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911860</wp:posOffset>
            </wp:positionV>
            <wp:extent cx="6677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937895</wp:posOffset>
            </wp:positionV>
            <wp:extent cx="6677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ectPr>
          <w:pgSz w:w="11900" w:h="16838" w:orient="portrait"/>
          <w:cols w:equalWidth="0" w:num="1">
            <w:col w:w="10700"/>
          </w:cols>
          <w:pgMar w:left="320" w:top="1440" w:right="879" w:bottom="1440" w:gutter="0" w:footer="0" w:header="0"/>
        </w:sectPr>
      </w:pPr>
    </w:p>
    <w:p>
      <w:pPr>
        <w:spacing w:after="0" w:line="147" w:lineRule="exact"/>
        <w:rPr>
          <w:sz w:val="24"/>
          <w:szCs w:val="24"/>
          <w:color w:val="auto"/>
        </w:rPr>
      </w:pPr>
    </w:p>
    <w:p>
      <w:pPr>
        <w:ind w:left="3020" w:firstLine="53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Proxy Statement Pursuant to Section 14(a) of the Securities Exchange Act of 1934 (Amendment No. </w:t>
      </w:r>
      <w:r>
        <w:rPr>
          <w:rFonts w:ascii="Times New Roman" w:cs="Times New Roman" w:eastAsia="Times New Roman" w:hAnsi="Times New Roman"/>
          <w:sz w:val="22"/>
          <w:szCs w:val="22"/>
          <w:color w:val="auto"/>
        </w:rPr>
        <w:t>_____________________</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85" w:lineRule="exact"/>
        <w:rPr>
          <w:sz w:val="24"/>
          <w:szCs w:val="24"/>
          <w:color w:val="auto"/>
        </w:rPr>
      </w:pPr>
    </w:p>
    <w:p>
      <w:pPr>
        <w:sectPr>
          <w:pgSz w:w="11900" w:h="16838" w:orient="portrait"/>
          <w:cols w:equalWidth="0" w:num="2">
            <w:col w:w="7940" w:space="220"/>
            <w:col w:w="2540"/>
          </w:cols>
          <w:pgMar w:left="320" w:top="1440"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Filed by the Registrant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113" w:lineRule="exact"/>
        <w:rPr>
          <w:sz w:val="24"/>
          <w:szCs w:val="24"/>
          <w:color w:val="auto"/>
        </w:rPr>
      </w:pPr>
    </w:p>
    <w:p>
      <w:pPr>
        <w:sectPr>
          <w:pgSz w:w="11900" w:h="16838" w:orient="portrait"/>
          <w:cols w:equalWidth="0" w:num="3">
            <w:col w:w="2160" w:space="720"/>
            <w:col w:w="2660" w:space="80"/>
            <w:col w:w="5080"/>
          </w:cols>
          <w:pgMar w:left="320" w:top="1440"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700"/>
          </w:cols>
          <w:pgMar w:left="320" w:top="1440" w:right="879" w:bottom="1440" w:gutter="0" w:footer="0" w:header="0"/>
          <w:type w:val="continuous"/>
        </w:sectPr>
      </w:pPr>
    </w:p>
    <w:p>
      <w:pPr>
        <w:spacing w:after="0" w:line="18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Preliminary Proxy Statement</w:t>
      </w:r>
    </w:p>
    <w:p>
      <w:pPr>
        <w:spacing w:after="0" w:line="57" w:lineRule="exact"/>
        <w:rPr>
          <w:rFonts w:ascii="Wingdings" w:cs="Wingdings" w:eastAsia="Wingdings" w:hAnsi="Wingdings"/>
          <w:sz w:val="16"/>
          <w:szCs w:val="16"/>
          <w:b w:val="1"/>
          <w:bCs w:val="1"/>
          <w:color w:val="auto"/>
        </w:rPr>
      </w:pPr>
    </w:p>
    <w:p>
      <w:pPr>
        <w:ind w:left="20" w:right="4700" w:firstLine="6"/>
        <w:spacing w:after="0" w:line="318" w:lineRule="auto"/>
        <w:tabs>
          <w:tab w:leader="none" w:pos="452"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 xml:space="preserve">Confidential, for Use of the Commission Only (as permitted by Rule 14a-6(e)(2)) </w:t>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Definitive Proxy Statement</w:t>
      </w: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Definitive Additional Materials</w:t>
      </w:r>
    </w:p>
    <w:p>
      <w:pPr>
        <w:spacing w:after="0" w:line="59" w:lineRule="exact"/>
        <w:rPr>
          <w:rFonts w:ascii="Wingdings" w:cs="Wingdings" w:eastAsia="Wingdings" w:hAnsi="Wingdings"/>
          <w:sz w:val="16"/>
          <w:szCs w:val="16"/>
          <w:b w:val="1"/>
          <w:bCs w:val="1"/>
          <w:color w:val="auto"/>
        </w:rPr>
      </w:pPr>
    </w:p>
    <w:p>
      <w:pPr>
        <w:ind w:left="460" w:hanging="434"/>
        <w:spacing w:after="0"/>
        <w:tabs>
          <w:tab w:leader="none" w:pos="4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under §240.14a-12</w:t>
      </w:r>
    </w:p>
    <w:p>
      <w:pPr>
        <w:spacing w:after="0" w:line="19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9"/>
          <w:szCs w:val="39"/>
          <w:b w:val="1"/>
          <w:bCs w:val="1"/>
          <w:color w:val="auto"/>
        </w:rPr>
        <w:t>INTEGRA LIFESCIENCES HOLDINGS CORPORATION</w:t>
      </w:r>
    </w:p>
    <w:p>
      <w:pPr>
        <w:spacing w:after="0" w:line="6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9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67"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 fee required.</w:t>
      </w:r>
    </w:p>
    <w:p>
      <w:pPr>
        <w:spacing w:after="0" w:line="149" w:lineRule="exact"/>
        <w:rPr>
          <w:sz w:val="24"/>
          <w:szCs w:val="24"/>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3"/>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755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6755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type w:val="continuous"/>
        </w:sectPr>
      </w:pPr>
    </w:p>
    <w:bookmarkStart w:id="1" w:name="page2"/>
    <w:bookmarkEnd w:id="1"/>
    <w:p>
      <w:pPr>
        <w:ind w:right="5940"/>
        <w:spacing w:after="0" w:line="302" w:lineRule="auto"/>
        <w:rPr>
          <w:sz w:val="20"/>
          <w:szCs w:val="20"/>
          <w:color w:val="auto"/>
        </w:rPr>
      </w:pPr>
      <w:r>
        <w:rPr>
          <w:rFonts w:ascii="Arial" w:cs="Arial" w:eastAsia="Arial" w:hAnsi="Arial"/>
          <w:sz w:val="35"/>
          <w:szCs w:val="35"/>
          <w:color w:val="009845"/>
        </w:rPr>
        <w:drawing>
          <wp:anchor simplePos="0" relativeHeight="251657728" behindDoc="1" locked="0" layoutInCell="0" allowOverlap="1">
            <wp:simplePos x="0" y="0"/>
            <wp:positionH relativeFrom="page">
              <wp:posOffset>5908675</wp:posOffset>
            </wp:positionH>
            <wp:positionV relativeFrom="page">
              <wp:posOffset>517525</wp:posOffset>
            </wp:positionV>
            <wp:extent cx="142303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514350"/>
                    </a:xfrm>
                    <a:prstGeom prst="rect">
                      <a:avLst/>
                    </a:prstGeom>
                    <a:noFill/>
                  </pic:spPr>
                </pic:pic>
              </a:graphicData>
            </a:graphic>
          </wp:anchor>
        </w:drawing>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817" w:right="35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Time &amp; Date </w:t>
      </w:r>
      <w:r>
        <w:rPr>
          <w:sz w:val="1"/>
          <w:szCs w:val="1"/>
          <w:color w:val="auto"/>
        </w:rPr>
        <w:drawing>
          <wp:inline distT="0" distB="0" distL="0" distR="0">
            <wp:extent cx="145415" cy="154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01" w:lineRule="exact"/>
        <w:rPr>
          <w:sz w:val="20"/>
          <w:szCs w:val="20"/>
          <w:color w:val="auto"/>
        </w:rPr>
      </w:pPr>
    </w:p>
    <w:p>
      <w:pPr>
        <w:ind w:right="340"/>
        <w:spacing w:after="0" w:line="367" w:lineRule="auto"/>
        <w:rPr>
          <w:sz w:val="20"/>
          <w:szCs w:val="20"/>
          <w:color w:val="auto"/>
        </w:rPr>
      </w:pPr>
      <w:r>
        <w:rPr>
          <w:rFonts w:ascii="Arial" w:cs="Arial" w:eastAsia="Arial" w:hAnsi="Arial"/>
          <w:sz w:val="16"/>
          <w:szCs w:val="16"/>
          <w:b w:val="1"/>
          <w:bCs w:val="1"/>
          <w:color w:val="009845"/>
        </w:rPr>
        <w:t>Thursday, May 9, 2024 9:00 a.m. local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Place </w:t>
      </w:r>
      <w:r>
        <w:rPr>
          <w:sz w:val="1"/>
          <w:szCs w:val="1"/>
          <w:color w:val="auto"/>
        </w:rPr>
        <w:drawing>
          <wp:inline distT="0" distB="0" distL="0" distR="0">
            <wp:extent cx="128905" cy="15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54305"/>
                    </a:xfrm>
                    <a:prstGeom prst="rect">
                      <a:avLst/>
                    </a:prstGeom>
                    <a:noFill/>
                    <a:ln>
                      <a:noFill/>
                    </a:ln>
                  </pic:spPr>
                </pic:pic>
              </a:graphicData>
            </a:graphic>
          </wp:inline>
        </w:drawing>
      </w:r>
    </w:p>
    <w:p>
      <w:pPr>
        <w:spacing w:after="0" w:line="101"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b w:val="1"/>
          <w:bCs w:val="1"/>
          <w:color w:val="009845"/>
        </w:rPr>
        <w:t>Integra LifeSciences Headquarters</w:t>
      </w:r>
    </w:p>
    <w:p>
      <w:pPr>
        <w:spacing w:after="0" w:line="1"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b w:val="1"/>
          <w:bCs w:val="1"/>
          <w:color w:val="009845"/>
        </w:rPr>
        <w:t>1100 Campus Road, Princeton, New Jersey 08540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Record Date</w:t>
      </w:r>
    </w:p>
    <w:p>
      <w:pPr>
        <w:spacing w:after="0" w:line="72" w:lineRule="exact"/>
        <w:rPr>
          <w:sz w:val="20"/>
          <w:szCs w:val="20"/>
          <w:color w:val="auto"/>
        </w:rPr>
      </w:pPr>
    </w:p>
    <w:p>
      <w:pPr>
        <w:spacing w:after="0" w:line="320" w:lineRule="auto"/>
        <w:rPr>
          <w:sz w:val="20"/>
          <w:szCs w:val="20"/>
          <w:color w:val="auto"/>
        </w:rPr>
      </w:pPr>
      <w:r>
        <w:rPr>
          <w:rFonts w:ascii="Arial" w:cs="Arial" w:eastAsia="Arial" w:hAnsi="Arial"/>
          <w:sz w:val="16"/>
          <w:szCs w:val="16"/>
          <w:b w:val="1"/>
          <w:bCs w:val="1"/>
          <w:color w:val="009845"/>
        </w:rPr>
        <w:t>Holders of record as of the close of business on March 11, 2024 are entitled to vote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2023 Annual Report of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Integra LifeSciences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Holdings Corporation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being mailed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simultaneously herewith.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Annual Report is not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to be considered part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the proxy solicitation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materials.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To the Stockholders of Integra LifeSciences Holdings Corporation:</w:t>
      </w:r>
    </w:p>
    <w:p>
      <w:pPr>
        <w:spacing w:after="0" w:line="72" w:lineRule="exact"/>
        <w:rPr>
          <w:sz w:val="20"/>
          <w:szCs w:val="20"/>
          <w:color w:val="auto"/>
        </w:rPr>
      </w:pPr>
    </w:p>
    <w:p>
      <w:pPr>
        <w:ind w:right="840"/>
        <w:spacing w:after="0" w:line="356" w:lineRule="auto"/>
        <w:rPr>
          <w:sz w:val="20"/>
          <w:szCs w:val="20"/>
          <w:color w:val="auto"/>
        </w:rPr>
      </w:pPr>
      <w:r>
        <w:rPr>
          <w:rFonts w:ascii="Arial" w:cs="Arial" w:eastAsia="Arial" w:hAnsi="Arial"/>
          <w:sz w:val="16"/>
          <w:szCs w:val="16"/>
          <w:color w:val="58595B"/>
        </w:rPr>
        <w:t>NOTICE IS HEREBY GIVEN that the 2024 Annual Meeting of Stockholders (the “Annual Meeting”) of Integra LifeSciences Holdings Corporation (the “Company”) will be held as, and for the purposes, set forth below:</w:t>
      </w:r>
    </w:p>
    <w:p>
      <w:pPr>
        <w:spacing w:after="0" w:line="89" w:lineRule="exact"/>
        <w:rPr>
          <w:sz w:val="20"/>
          <w:szCs w:val="20"/>
          <w:color w:val="auto"/>
        </w:rPr>
      </w:pPr>
    </w:p>
    <w:p>
      <w:pPr>
        <w:ind w:left="320" w:right="64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elect nine directors of the Company to serve until the next annual meeting of stockholders and until their successors are duly elected and qualified.</w:t>
      </w:r>
    </w:p>
    <w:p>
      <w:pPr>
        <w:spacing w:after="0" w:line="114" w:lineRule="exact"/>
        <w:rPr>
          <w:rFonts w:ascii="Arial" w:cs="Arial" w:eastAsia="Arial" w:hAnsi="Arial"/>
          <w:sz w:val="16"/>
          <w:szCs w:val="16"/>
          <w:color w:val="58595B"/>
        </w:rPr>
      </w:pPr>
    </w:p>
    <w:p>
      <w:pPr>
        <w:ind w:left="320" w:right="64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ratify the appointment of PricewaterhouseCoopers LLP as the Company’s independent registered public accounting firm for the fiscal year 2024.</w:t>
      </w:r>
    </w:p>
    <w:p>
      <w:pPr>
        <w:spacing w:after="0" w:line="114" w:lineRule="exact"/>
        <w:rPr>
          <w:rFonts w:ascii="Arial" w:cs="Arial" w:eastAsia="Arial" w:hAnsi="Arial"/>
          <w:sz w:val="16"/>
          <w:szCs w:val="16"/>
          <w:color w:val="58595B"/>
        </w:rPr>
      </w:pPr>
    </w:p>
    <w:p>
      <w:pPr>
        <w:ind w:left="320" w:hanging="235"/>
        <w:spacing w:after="0"/>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on an advisory basis, the compensation of our named executive officers.</w:t>
      </w:r>
    </w:p>
    <w:p>
      <w:pPr>
        <w:spacing w:after="0" w:line="207" w:lineRule="exact"/>
        <w:rPr>
          <w:rFonts w:ascii="Arial" w:cs="Arial" w:eastAsia="Arial" w:hAnsi="Arial"/>
          <w:sz w:val="16"/>
          <w:szCs w:val="16"/>
          <w:color w:val="58595B"/>
        </w:rPr>
      </w:pPr>
    </w:p>
    <w:p>
      <w:pPr>
        <w:ind w:left="320" w:right="220" w:hanging="235"/>
        <w:spacing w:after="0" w:line="339" w:lineRule="auto"/>
        <w:tabs>
          <w:tab w:leader="none" w:pos="362"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an amendment to the Company’s Amended and Restated Certificate of Incorporation (the “Company Charter”) to reflect new Delaware Law provisions regarding officer exculpation.</w:t>
      </w:r>
    </w:p>
    <w:p>
      <w:pPr>
        <w:spacing w:after="0" w:line="114" w:lineRule="exact"/>
        <w:rPr>
          <w:rFonts w:ascii="Arial" w:cs="Arial" w:eastAsia="Arial" w:hAnsi="Arial"/>
          <w:sz w:val="16"/>
          <w:szCs w:val="16"/>
          <w:color w:val="58595B"/>
        </w:rPr>
      </w:pPr>
    </w:p>
    <w:p>
      <w:pPr>
        <w:ind w:left="320" w:right="100" w:hanging="235"/>
        <w:spacing w:after="0" w:line="339" w:lineRule="auto"/>
        <w:tabs>
          <w:tab w:leader="none" w:pos="320" w:val="left"/>
        </w:tabs>
        <w:numPr>
          <w:ilvl w:val="0"/>
          <w:numId w:val="4"/>
        </w:numPr>
        <w:rPr>
          <w:rFonts w:ascii="Arial" w:cs="Arial" w:eastAsia="Arial" w:hAnsi="Arial"/>
          <w:sz w:val="16"/>
          <w:szCs w:val="16"/>
          <w:color w:val="58595B"/>
        </w:rPr>
      </w:pPr>
      <w:r>
        <w:rPr>
          <w:rFonts w:ascii="Arial" w:cs="Arial" w:eastAsia="Arial" w:hAnsi="Arial"/>
          <w:sz w:val="16"/>
          <w:szCs w:val="16"/>
          <w:color w:val="58595B"/>
        </w:rPr>
        <w:t>To approve Amendment No. 1 to the Integra LifeSciences Holdings Corporation Fifth Amended and Restated 2003 Equity Incentive Plan.</w:t>
      </w:r>
    </w:p>
    <w:p>
      <w:pPr>
        <w:spacing w:after="0" w:line="115" w:lineRule="exact"/>
        <w:rPr>
          <w:sz w:val="20"/>
          <w:szCs w:val="20"/>
          <w:color w:val="auto"/>
        </w:rPr>
      </w:pPr>
    </w:p>
    <w:p>
      <w:pPr>
        <w:ind w:right="840"/>
        <w:spacing w:after="0" w:line="339" w:lineRule="auto"/>
        <w:rPr>
          <w:sz w:val="20"/>
          <w:szCs w:val="20"/>
          <w:color w:val="auto"/>
        </w:rPr>
      </w:pPr>
      <w:r>
        <w:rPr>
          <w:rFonts w:ascii="Arial" w:cs="Arial" w:eastAsia="Arial" w:hAnsi="Arial"/>
          <w:sz w:val="16"/>
          <w:szCs w:val="16"/>
          <w:color w:val="58595B"/>
        </w:rPr>
        <w:t>Stockholders will also transact such other business as may properly come before the Annual Meeting, or any adjournment or postponement thereof.</w:t>
      </w:r>
    </w:p>
    <w:p>
      <w:pPr>
        <w:spacing w:after="0" w:line="101"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If your shares are held in “street name,” meaning that they are held for your account by a broker, bank or other nominee, your broker, bank or nominee will not be able to vote your shares with respect to any of the matters presented at the Annual Meeting, other than the ratification of the appointment of our independent registered public accounting firm, unless you give your broker specific voting instructions.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Therefore, it is very important that you vote your shares for all proposals.</w:t>
      </w:r>
    </w:p>
    <w:p>
      <w:pPr>
        <w:spacing w:after="0" w:line="20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color w:val="009845"/>
        </w:rPr>
        <w:t>Your vote is important</w:t>
      </w:r>
      <w:r>
        <w:rPr>
          <w:rFonts w:ascii="Arial" w:cs="Arial" w:eastAsia="Arial" w:hAnsi="Arial"/>
          <w:sz w:val="16"/>
          <w:szCs w:val="16"/>
          <w:color w:val="58595B"/>
        </w:rPr>
        <w:t>. Whether or not you plan to attend the Annual Meeting, we encourage you to review the proxy</w:t>
      </w:r>
      <w:r>
        <w:rPr>
          <w:rFonts w:ascii="Arial" w:cs="Arial" w:eastAsia="Arial" w:hAnsi="Arial"/>
          <w:sz w:val="16"/>
          <w:szCs w:val="16"/>
          <w:b w:val="1"/>
          <w:bCs w:val="1"/>
          <w:color w:val="009845"/>
        </w:rPr>
        <w:t xml:space="preserve"> </w:t>
      </w:r>
      <w:r>
        <w:rPr>
          <w:rFonts w:ascii="Arial" w:cs="Arial" w:eastAsia="Arial" w:hAnsi="Arial"/>
          <w:sz w:val="16"/>
          <w:szCs w:val="16"/>
          <w:color w:val="58595B"/>
        </w:rPr>
        <w:t>materials and vote as soon as possible. You may vote by proxy over the Internet at www.proxyvote.com by using the instructions provided in the notice or proxy card. Alternatively, as you have received your proxy materials by mail, you can also vote by mail by following the instructions on the proxy card. Voting over the Internet or by written proxy will ensure your representation at the Annual Meeting regardless of whether you attend. Instructions regarding the two methods of voting are contained in the notice or proxy card. If you attend the Annual Meeting, you may vote during the Annual Meeting via the Internet even if you have previously returned your proxy card or voting instruction card or voted by the Internet.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/s/ ERIC IAN SCHWARTZ</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Eric Ian Schwartz</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58595B"/>
        </w:rPr>
        <w:t>Princeton, New Jersey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April 4, 2024</w:t>
      </w:r>
    </w:p>
    <w:p>
      <w:pPr>
        <w:spacing w:after="0" w:line="223" w:lineRule="exact"/>
        <w:rPr>
          <w:sz w:val="20"/>
          <w:szCs w:val="20"/>
          <w:color w:val="auto"/>
        </w:rPr>
      </w:pPr>
    </w:p>
    <w:p>
      <w:pPr>
        <w:ind w:right="200"/>
        <w:spacing w:after="0" w:line="336" w:lineRule="auto"/>
        <w:rPr>
          <w:sz w:val="20"/>
          <w:szCs w:val="20"/>
          <w:color w:val="auto"/>
        </w:rPr>
      </w:pPr>
      <w:r>
        <w:rPr>
          <w:rFonts w:ascii="Arial" w:cs="Arial" w:eastAsia="Arial" w:hAnsi="Arial"/>
          <w:sz w:val="16"/>
          <w:szCs w:val="16"/>
          <w:i w:val="1"/>
          <w:iCs w:val="1"/>
          <w:color w:val="58595B"/>
        </w:rPr>
        <w:t>This Notice of Annual Meeting, the proxy statement, the proxy card and the 2023 Annual Report are first being sent to stockholders on or about 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1322070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60" w:space="520"/>
            <w:col w:w="8620"/>
          </w:cols>
          <w:pgMar w:left="340" w:top="817" w:right="359" w:bottom="1440" w:gutter="0" w:footer="0" w:header="0"/>
          <w:type w:val="continuous"/>
        </w:sectPr>
      </w:pPr>
    </w:p>
    <w:bookmarkStart w:id="2" w:name="page3"/>
    <w:bookmarkEnd w:id="2"/>
    <w:p>
      <w:pPr>
        <w:spacing w:after="0" w:line="134" w:lineRule="exact"/>
        <w:rPr>
          <w:sz w:val="20"/>
          <w:szCs w:val="20"/>
          <w:color w:val="auto"/>
        </w:rPr>
      </w:pPr>
    </w:p>
    <w:p>
      <w:pPr>
        <w:spacing w:after="0"/>
        <w:rPr>
          <w:sz w:val="20"/>
          <w:szCs w:val="20"/>
          <w:color w:val="auto"/>
        </w:rPr>
      </w:pPr>
      <w:r>
        <w:rPr>
          <w:rFonts w:ascii="Arial" w:cs="Arial" w:eastAsia="Arial" w:hAnsi="Arial"/>
          <w:sz w:val="36"/>
          <w:szCs w:val="36"/>
          <w:color w:val="009845"/>
        </w:rPr>
        <w:t>TABLE OF CONTENTS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600" w:type="dxa"/>
            <w:vAlign w:val="bottom"/>
          </w:tcPr>
          <w:p>
            <w:pPr>
              <w:spacing w:after="0"/>
              <w:rPr>
                <w:sz w:val="20"/>
                <w:szCs w:val="20"/>
                <w:color w:val="auto"/>
              </w:rPr>
            </w:pPr>
            <w:r>
              <w:rPr>
                <w:rFonts w:ascii="Arial" w:cs="Arial" w:eastAsia="Arial" w:hAnsi="Arial"/>
                <w:sz w:val="16"/>
                <w:szCs w:val="16"/>
                <w:b w:val="1"/>
                <w:bCs w:val="1"/>
                <w:color w:val="009845"/>
              </w:rPr>
              <w:t>Proxy Summary</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1</w:t>
            </w:r>
          </w:p>
        </w:tc>
      </w:tr>
      <w:tr>
        <w:trPr>
          <w:trHeight w:val="446"/>
        </w:trPr>
        <w:tc>
          <w:tcPr>
            <w:tcW w:w="8600" w:type="dxa"/>
            <w:vAlign w:val="bottom"/>
          </w:tcPr>
          <w:p>
            <w:pPr>
              <w:spacing w:after="0"/>
              <w:rPr>
                <w:sz w:val="20"/>
                <w:szCs w:val="20"/>
                <w:color w:val="auto"/>
              </w:rPr>
            </w:pPr>
            <w:r>
              <w:rPr>
                <w:rFonts w:ascii="Arial" w:cs="Arial" w:eastAsia="Arial" w:hAnsi="Arial"/>
                <w:sz w:val="16"/>
                <w:szCs w:val="16"/>
                <w:b w:val="1"/>
                <w:bCs w:val="1"/>
                <w:color w:val="009845"/>
              </w:rPr>
              <w:t>Cautionary Note Regarding Forward-Looking Statements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6</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Proposal 1: Election of Directors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7</w:t>
            </w: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2024 Director Nominees</w:t>
            </w:r>
          </w:p>
        </w:tc>
        <w:tc>
          <w:tcPr>
            <w:tcW w:w="2600" w:type="dxa"/>
            <w:vAlign w:val="bottom"/>
          </w:tcPr>
          <w:p>
            <w:pPr>
              <w:jc w:val="right"/>
              <w:spacing w:after="0"/>
              <w:rPr>
                <w:sz w:val="20"/>
                <w:szCs w:val="20"/>
                <w:color w:val="auto"/>
              </w:rPr>
            </w:pPr>
            <w:r>
              <w:rPr>
                <w:rFonts w:ascii="Arial" w:cs="Arial" w:eastAsia="Arial" w:hAnsi="Arial"/>
                <w:sz w:val="16"/>
                <w:szCs w:val="16"/>
                <w:color w:val="58595B"/>
              </w:rPr>
              <w:t>7</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Criteria for Board Membership and Director Qualifications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7</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Director Nominees</w:t>
            </w:r>
          </w:p>
        </w:tc>
        <w:tc>
          <w:tcPr>
            <w:tcW w:w="2600" w:type="dxa"/>
            <w:vAlign w:val="bottom"/>
          </w:tcPr>
          <w:p>
            <w:pPr>
              <w:jc w:val="right"/>
              <w:spacing w:after="0"/>
              <w:rPr>
                <w:sz w:val="20"/>
                <w:szCs w:val="20"/>
                <w:color w:val="auto"/>
              </w:rPr>
            </w:pPr>
            <w:r>
              <w:rPr>
                <w:rFonts w:ascii="Arial" w:cs="Arial" w:eastAsia="Arial" w:hAnsi="Arial"/>
                <w:sz w:val="16"/>
                <w:szCs w:val="16"/>
                <w:color w:val="58595B"/>
              </w:rPr>
              <w:t>10</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Information Concerning Meetings, Executive Sessions and Certain Committees</w:t>
            </w:r>
          </w:p>
        </w:tc>
        <w:tc>
          <w:tcPr>
            <w:tcW w:w="2600" w:type="dxa"/>
            <w:vAlign w:val="bottom"/>
          </w:tcPr>
          <w:p>
            <w:pPr>
              <w:jc w:val="right"/>
              <w:spacing w:after="0"/>
              <w:rPr>
                <w:sz w:val="20"/>
                <w:szCs w:val="20"/>
                <w:color w:val="auto"/>
              </w:rPr>
            </w:pPr>
            <w:r>
              <w:rPr>
                <w:rFonts w:ascii="Arial" w:cs="Arial" w:eastAsia="Arial" w:hAnsi="Arial"/>
                <w:sz w:val="16"/>
                <w:szCs w:val="16"/>
                <w:color w:val="58595B"/>
              </w:rPr>
              <w:t>16</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Board Leadership Structure</w:t>
            </w:r>
          </w:p>
        </w:tc>
        <w:tc>
          <w:tcPr>
            <w:tcW w:w="2600" w:type="dxa"/>
            <w:vAlign w:val="bottom"/>
          </w:tcPr>
          <w:p>
            <w:pPr>
              <w:jc w:val="right"/>
              <w:spacing w:after="0"/>
              <w:rPr>
                <w:sz w:val="20"/>
                <w:szCs w:val="20"/>
                <w:color w:val="auto"/>
              </w:rPr>
            </w:pPr>
            <w:r>
              <w:rPr>
                <w:rFonts w:ascii="Arial" w:cs="Arial" w:eastAsia="Arial" w:hAnsi="Arial"/>
                <w:sz w:val="16"/>
                <w:szCs w:val="16"/>
                <w:color w:val="58595B"/>
              </w:rPr>
              <w:t>20</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The Board’s Role in Risk Oversight</w:t>
            </w:r>
          </w:p>
        </w:tc>
        <w:tc>
          <w:tcPr>
            <w:tcW w:w="2600" w:type="dxa"/>
            <w:vAlign w:val="bottom"/>
          </w:tcPr>
          <w:p>
            <w:pPr>
              <w:jc w:val="right"/>
              <w:spacing w:after="0"/>
              <w:rPr>
                <w:sz w:val="20"/>
                <w:szCs w:val="20"/>
                <w:color w:val="auto"/>
              </w:rPr>
            </w:pPr>
            <w:r>
              <w:rPr>
                <w:rFonts w:ascii="Arial" w:cs="Arial" w:eastAsia="Arial" w:hAnsi="Arial"/>
                <w:sz w:val="16"/>
                <w:szCs w:val="16"/>
                <w:color w:val="58595B"/>
              </w:rPr>
              <w:t>21</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Compensation Committee Interlocks and Insider Participation</w:t>
            </w:r>
          </w:p>
        </w:tc>
        <w:tc>
          <w:tcPr>
            <w:tcW w:w="2600" w:type="dxa"/>
            <w:vAlign w:val="bottom"/>
          </w:tcPr>
          <w:p>
            <w:pPr>
              <w:jc w:val="right"/>
              <w:spacing w:after="0"/>
              <w:rPr>
                <w:sz w:val="20"/>
                <w:szCs w:val="20"/>
                <w:color w:val="auto"/>
              </w:rPr>
            </w:pPr>
            <w:r>
              <w:rPr>
                <w:rFonts w:ascii="Arial" w:cs="Arial" w:eastAsia="Arial" w:hAnsi="Arial"/>
                <w:sz w:val="16"/>
                <w:szCs w:val="16"/>
                <w:color w:val="58595B"/>
              </w:rPr>
              <w:t>23</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Environmental, Social and Governance (ESG) Initiatives</w:t>
            </w:r>
          </w:p>
        </w:tc>
        <w:tc>
          <w:tcPr>
            <w:tcW w:w="2600" w:type="dxa"/>
            <w:vAlign w:val="bottom"/>
          </w:tcPr>
          <w:p>
            <w:pPr>
              <w:jc w:val="right"/>
              <w:spacing w:after="0"/>
              <w:rPr>
                <w:sz w:val="20"/>
                <w:szCs w:val="20"/>
                <w:color w:val="auto"/>
              </w:rPr>
            </w:pPr>
            <w:r>
              <w:rPr>
                <w:rFonts w:ascii="Arial" w:cs="Arial" w:eastAsia="Arial" w:hAnsi="Arial"/>
                <w:sz w:val="16"/>
                <w:szCs w:val="16"/>
                <w:color w:val="58595B"/>
              </w:rPr>
              <w:t>23</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Risk Assessment Regarding Compensation Policies and Practices</w:t>
            </w:r>
          </w:p>
        </w:tc>
        <w:tc>
          <w:tcPr>
            <w:tcW w:w="2600" w:type="dxa"/>
            <w:vAlign w:val="bottom"/>
          </w:tcPr>
          <w:p>
            <w:pPr>
              <w:jc w:val="right"/>
              <w:spacing w:after="0"/>
              <w:rPr>
                <w:sz w:val="20"/>
                <w:szCs w:val="20"/>
                <w:color w:val="auto"/>
              </w:rPr>
            </w:pPr>
            <w:r>
              <w:rPr>
                <w:rFonts w:ascii="Arial" w:cs="Arial" w:eastAsia="Arial" w:hAnsi="Arial"/>
                <w:sz w:val="16"/>
                <w:szCs w:val="16"/>
                <w:color w:val="58595B"/>
              </w:rPr>
              <w:t>26</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Director Attendance at Annual Meetings</w:t>
            </w:r>
          </w:p>
        </w:tc>
        <w:tc>
          <w:tcPr>
            <w:tcW w:w="2600" w:type="dxa"/>
            <w:vAlign w:val="bottom"/>
          </w:tcPr>
          <w:p>
            <w:pPr>
              <w:jc w:val="right"/>
              <w:spacing w:after="0"/>
              <w:rPr>
                <w:sz w:val="20"/>
                <w:szCs w:val="20"/>
                <w:color w:val="auto"/>
              </w:rPr>
            </w:pPr>
            <w:r>
              <w:rPr>
                <w:rFonts w:ascii="Arial" w:cs="Arial" w:eastAsia="Arial" w:hAnsi="Arial"/>
                <w:sz w:val="16"/>
                <w:szCs w:val="16"/>
                <w:color w:val="58595B"/>
              </w:rPr>
              <w:t>27</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Communications with the Board</w:t>
            </w:r>
          </w:p>
        </w:tc>
        <w:tc>
          <w:tcPr>
            <w:tcW w:w="2600" w:type="dxa"/>
            <w:vAlign w:val="bottom"/>
          </w:tcPr>
          <w:p>
            <w:pPr>
              <w:jc w:val="right"/>
              <w:spacing w:after="0"/>
              <w:rPr>
                <w:sz w:val="20"/>
                <w:szCs w:val="20"/>
                <w:color w:val="auto"/>
              </w:rPr>
            </w:pPr>
            <w:r>
              <w:rPr>
                <w:rFonts w:ascii="Arial" w:cs="Arial" w:eastAsia="Arial" w:hAnsi="Arial"/>
                <w:sz w:val="16"/>
                <w:szCs w:val="16"/>
                <w:color w:val="58595B"/>
              </w:rPr>
              <w:t>27</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Director Compensation</w:t>
            </w:r>
          </w:p>
        </w:tc>
        <w:tc>
          <w:tcPr>
            <w:tcW w:w="2600" w:type="dxa"/>
            <w:vAlign w:val="bottom"/>
          </w:tcPr>
          <w:p>
            <w:pPr>
              <w:jc w:val="right"/>
              <w:spacing w:after="0"/>
              <w:rPr>
                <w:sz w:val="20"/>
                <w:szCs w:val="20"/>
                <w:color w:val="auto"/>
              </w:rPr>
            </w:pPr>
            <w:r>
              <w:rPr>
                <w:rFonts w:ascii="Arial" w:cs="Arial" w:eastAsia="Arial" w:hAnsi="Arial"/>
                <w:sz w:val="16"/>
                <w:szCs w:val="16"/>
                <w:color w:val="58595B"/>
              </w:rPr>
              <w:t>28</w:t>
            </w:r>
          </w:p>
        </w:tc>
      </w:tr>
      <w:tr>
        <w:trPr>
          <w:trHeight w:val="453"/>
        </w:trPr>
        <w:tc>
          <w:tcPr>
            <w:tcW w:w="8600" w:type="dxa"/>
            <w:vAlign w:val="bottom"/>
          </w:tcPr>
          <w:p>
            <w:pPr>
              <w:spacing w:after="0"/>
              <w:rPr>
                <w:sz w:val="20"/>
                <w:szCs w:val="20"/>
                <w:color w:val="auto"/>
              </w:rPr>
            </w:pPr>
            <w:r>
              <w:rPr>
                <w:rFonts w:ascii="Arial" w:cs="Arial" w:eastAsia="Arial" w:hAnsi="Arial"/>
                <w:sz w:val="16"/>
                <w:szCs w:val="16"/>
                <w:b w:val="1"/>
                <w:bCs w:val="1"/>
                <w:color w:val="009845"/>
              </w:rPr>
              <w:t>Information About Executive Officers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30</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Discussion and Analysis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33</w:t>
            </w: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Executive Compensation Philosophy</w:t>
            </w:r>
          </w:p>
        </w:tc>
        <w:tc>
          <w:tcPr>
            <w:tcW w:w="2600" w:type="dxa"/>
            <w:vAlign w:val="bottom"/>
          </w:tcPr>
          <w:p>
            <w:pPr>
              <w:jc w:val="right"/>
              <w:spacing w:after="0"/>
              <w:rPr>
                <w:sz w:val="20"/>
                <w:szCs w:val="20"/>
                <w:color w:val="auto"/>
              </w:rPr>
            </w:pPr>
            <w:r>
              <w:rPr>
                <w:rFonts w:ascii="Arial" w:cs="Arial" w:eastAsia="Arial" w:hAnsi="Arial"/>
                <w:sz w:val="16"/>
                <w:szCs w:val="16"/>
                <w:color w:val="58595B"/>
              </w:rPr>
              <w:t>33</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Summary of Our 2023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34</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Supporting Our Pay-for-Performance Philosophy</w:t>
            </w:r>
          </w:p>
        </w:tc>
        <w:tc>
          <w:tcPr>
            <w:tcW w:w="2600" w:type="dxa"/>
            <w:vAlign w:val="bottom"/>
          </w:tcPr>
          <w:p>
            <w:pPr>
              <w:jc w:val="right"/>
              <w:spacing w:after="0"/>
              <w:rPr>
                <w:sz w:val="20"/>
                <w:szCs w:val="20"/>
                <w:color w:val="auto"/>
              </w:rPr>
            </w:pPr>
            <w:r>
              <w:rPr>
                <w:rFonts w:ascii="Arial" w:cs="Arial" w:eastAsia="Arial" w:hAnsi="Arial"/>
                <w:sz w:val="16"/>
                <w:szCs w:val="16"/>
                <w:color w:val="58595B"/>
              </w:rPr>
              <w:t>36</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Compensation Best Practices</w:t>
            </w:r>
          </w:p>
        </w:tc>
        <w:tc>
          <w:tcPr>
            <w:tcW w:w="2600" w:type="dxa"/>
            <w:vAlign w:val="bottom"/>
          </w:tcPr>
          <w:p>
            <w:pPr>
              <w:jc w:val="right"/>
              <w:spacing w:after="0"/>
              <w:rPr>
                <w:sz w:val="20"/>
                <w:szCs w:val="20"/>
                <w:color w:val="auto"/>
              </w:rPr>
            </w:pPr>
            <w:r>
              <w:rPr>
                <w:rFonts w:ascii="Arial" w:cs="Arial" w:eastAsia="Arial" w:hAnsi="Arial"/>
                <w:sz w:val="16"/>
                <w:szCs w:val="16"/>
                <w:color w:val="58595B"/>
              </w:rPr>
              <w:t>38</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Elements of the Executive Compensation Program</w:t>
            </w:r>
          </w:p>
        </w:tc>
        <w:tc>
          <w:tcPr>
            <w:tcW w:w="2600" w:type="dxa"/>
            <w:vAlign w:val="bottom"/>
          </w:tcPr>
          <w:p>
            <w:pPr>
              <w:jc w:val="right"/>
              <w:spacing w:after="0"/>
              <w:rPr>
                <w:sz w:val="20"/>
                <w:szCs w:val="20"/>
                <w:color w:val="auto"/>
              </w:rPr>
            </w:pPr>
            <w:r>
              <w:rPr>
                <w:rFonts w:ascii="Arial" w:cs="Arial" w:eastAsia="Arial" w:hAnsi="Arial"/>
                <w:sz w:val="16"/>
                <w:szCs w:val="16"/>
                <w:color w:val="58595B"/>
              </w:rPr>
              <w:t>41</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Analysis of 2023 Compensation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42</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2023 Equity Compensation Decisions</w:t>
            </w:r>
          </w:p>
        </w:tc>
        <w:tc>
          <w:tcPr>
            <w:tcW w:w="2600" w:type="dxa"/>
            <w:vAlign w:val="bottom"/>
          </w:tcPr>
          <w:p>
            <w:pPr>
              <w:jc w:val="right"/>
              <w:spacing w:after="0"/>
              <w:rPr>
                <w:sz w:val="20"/>
                <w:szCs w:val="20"/>
                <w:color w:val="auto"/>
              </w:rPr>
            </w:pPr>
            <w:r>
              <w:rPr>
                <w:rFonts w:ascii="Arial" w:cs="Arial" w:eastAsia="Arial" w:hAnsi="Arial"/>
                <w:sz w:val="16"/>
                <w:szCs w:val="16"/>
                <w:color w:val="58595B"/>
              </w:rPr>
              <w:t>45</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Other Benefits</w:t>
            </w:r>
          </w:p>
        </w:tc>
        <w:tc>
          <w:tcPr>
            <w:tcW w:w="2600" w:type="dxa"/>
            <w:vAlign w:val="bottom"/>
          </w:tcPr>
          <w:p>
            <w:pPr>
              <w:jc w:val="right"/>
              <w:spacing w:after="0"/>
              <w:rPr>
                <w:sz w:val="20"/>
                <w:szCs w:val="20"/>
                <w:color w:val="auto"/>
              </w:rPr>
            </w:pPr>
            <w:r>
              <w:rPr>
                <w:rFonts w:ascii="Arial" w:cs="Arial" w:eastAsia="Arial" w:hAnsi="Arial"/>
                <w:sz w:val="16"/>
                <w:szCs w:val="16"/>
                <w:color w:val="58595B"/>
              </w:rPr>
              <w:t>49</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Other Key Features of Our Executive Compensation Program</w:t>
            </w:r>
          </w:p>
        </w:tc>
        <w:tc>
          <w:tcPr>
            <w:tcW w:w="2600" w:type="dxa"/>
            <w:vAlign w:val="bottom"/>
          </w:tcPr>
          <w:p>
            <w:pPr>
              <w:jc w:val="right"/>
              <w:spacing w:after="0"/>
              <w:rPr>
                <w:sz w:val="20"/>
                <w:szCs w:val="20"/>
                <w:color w:val="auto"/>
              </w:rPr>
            </w:pPr>
            <w:r>
              <w:rPr>
                <w:rFonts w:ascii="Arial" w:cs="Arial" w:eastAsia="Arial" w:hAnsi="Arial"/>
                <w:sz w:val="16"/>
                <w:szCs w:val="16"/>
                <w:color w:val="58595B"/>
              </w:rPr>
              <w:t>49</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Employment and Post-Employment Arrangements</w:t>
            </w:r>
          </w:p>
        </w:tc>
        <w:tc>
          <w:tcPr>
            <w:tcW w:w="2600" w:type="dxa"/>
            <w:vAlign w:val="bottom"/>
          </w:tcPr>
          <w:p>
            <w:pPr>
              <w:jc w:val="right"/>
              <w:spacing w:after="0"/>
              <w:rPr>
                <w:sz w:val="20"/>
                <w:szCs w:val="20"/>
                <w:color w:val="auto"/>
              </w:rPr>
            </w:pPr>
            <w:r>
              <w:rPr>
                <w:rFonts w:ascii="Arial" w:cs="Arial" w:eastAsia="Arial" w:hAnsi="Arial"/>
                <w:sz w:val="16"/>
                <w:szCs w:val="16"/>
                <w:color w:val="58595B"/>
              </w:rPr>
              <w:t>50</w:t>
            </w:r>
          </w:p>
        </w:tc>
      </w:tr>
      <w:tr>
        <w:trPr>
          <w:trHeight w:val="453"/>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Committee Report</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54</w:t>
            </w:r>
          </w:p>
        </w:tc>
      </w:tr>
      <w:tr>
        <w:trPr>
          <w:trHeight w:val="445"/>
        </w:trPr>
        <w:tc>
          <w:tcPr>
            <w:tcW w:w="8600" w:type="dxa"/>
            <w:vAlign w:val="bottom"/>
          </w:tcPr>
          <w:p>
            <w:pPr>
              <w:spacing w:after="0"/>
              <w:rPr>
                <w:sz w:val="20"/>
                <w:szCs w:val="20"/>
                <w:color w:val="auto"/>
              </w:rPr>
            </w:pPr>
            <w:r>
              <w:rPr>
                <w:rFonts w:ascii="Arial" w:cs="Arial" w:eastAsia="Arial" w:hAnsi="Arial"/>
                <w:sz w:val="16"/>
                <w:szCs w:val="16"/>
                <w:b w:val="1"/>
                <w:bCs w:val="1"/>
                <w:color w:val="009845"/>
              </w:rPr>
              <w:t>Compensation of Executive Officers</w:t>
            </w:r>
          </w:p>
        </w:tc>
        <w:tc>
          <w:tcPr>
            <w:tcW w:w="2600" w:type="dxa"/>
            <w:vAlign w:val="bottom"/>
          </w:tcPr>
          <w:p>
            <w:pPr>
              <w:jc w:val="right"/>
              <w:spacing w:after="0"/>
              <w:rPr>
                <w:sz w:val="20"/>
                <w:szCs w:val="20"/>
                <w:color w:val="auto"/>
              </w:rPr>
            </w:pPr>
            <w:r>
              <w:rPr>
                <w:rFonts w:ascii="Arial" w:cs="Arial" w:eastAsia="Arial" w:hAnsi="Arial"/>
                <w:sz w:val="16"/>
                <w:szCs w:val="16"/>
                <w:b w:val="1"/>
                <w:bCs w:val="1"/>
                <w:color w:val="009845"/>
              </w:rPr>
              <w:t>55</w:t>
            </w:r>
          </w:p>
        </w:tc>
      </w:tr>
      <w:tr>
        <w:trPr>
          <w:trHeight w:val="438"/>
        </w:trPr>
        <w:tc>
          <w:tcPr>
            <w:tcW w:w="8600" w:type="dxa"/>
            <w:vAlign w:val="bottom"/>
          </w:tcPr>
          <w:p>
            <w:pPr>
              <w:ind w:left="500"/>
              <w:spacing w:after="0"/>
              <w:rPr>
                <w:sz w:val="20"/>
                <w:szCs w:val="20"/>
                <w:color w:val="auto"/>
              </w:rPr>
            </w:pPr>
            <w:r>
              <w:rPr>
                <w:rFonts w:ascii="Arial" w:cs="Arial" w:eastAsia="Arial" w:hAnsi="Arial"/>
                <w:sz w:val="16"/>
                <w:szCs w:val="16"/>
                <w:color w:val="58595B"/>
              </w:rPr>
              <w:t>Summary Compensation Table</w:t>
            </w:r>
          </w:p>
        </w:tc>
        <w:tc>
          <w:tcPr>
            <w:tcW w:w="2600" w:type="dxa"/>
            <w:vAlign w:val="bottom"/>
          </w:tcPr>
          <w:p>
            <w:pPr>
              <w:jc w:val="right"/>
              <w:spacing w:after="0"/>
              <w:rPr>
                <w:sz w:val="20"/>
                <w:szCs w:val="20"/>
                <w:color w:val="auto"/>
              </w:rPr>
            </w:pPr>
            <w:r>
              <w:rPr>
                <w:rFonts w:ascii="Arial" w:cs="Arial" w:eastAsia="Arial" w:hAnsi="Arial"/>
                <w:sz w:val="16"/>
                <w:szCs w:val="16"/>
                <w:color w:val="58595B"/>
              </w:rPr>
              <w:t>55</w:t>
            </w:r>
          </w:p>
        </w:tc>
      </w:tr>
      <w:tr>
        <w:trPr>
          <w:trHeight w:val="445"/>
        </w:trPr>
        <w:tc>
          <w:tcPr>
            <w:tcW w:w="8600" w:type="dxa"/>
            <w:vAlign w:val="bottom"/>
          </w:tcPr>
          <w:p>
            <w:pPr>
              <w:ind w:left="500"/>
              <w:spacing w:after="0"/>
              <w:rPr>
                <w:sz w:val="20"/>
                <w:szCs w:val="20"/>
                <w:color w:val="auto"/>
              </w:rPr>
            </w:pPr>
            <w:r>
              <w:rPr>
                <w:rFonts w:ascii="Arial" w:cs="Arial" w:eastAsia="Arial" w:hAnsi="Arial"/>
                <w:sz w:val="16"/>
                <w:szCs w:val="16"/>
                <w:color w:val="58595B"/>
              </w:rPr>
              <w:t>Grants of Plan-Based Awards Table</w:t>
            </w:r>
          </w:p>
        </w:tc>
        <w:tc>
          <w:tcPr>
            <w:tcW w:w="2600" w:type="dxa"/>
            <w:vAlign w:val="bottom"/>
          </w:tcPr>
          <w:p>
            <w:pPr>
              <w:jc w:val="right"/>
              <w:spacing w:after="0"/>
              <w:rPr>
                <w:sz w:val="20"/>
                <w:szCs w:val="20"/>
                <w:color w:val="auto"/>
              </w:rPr>
            </w:pPr>
            <w:r>
              <w:rPr>
                <w:rFonts w:ascii="Arial" w:cs="Arial" w:eastAsia="Arial" w:hAnsi="Arial"/>
                <w:sz w:val="16"/>
                <w:szCs w:val="16"/>
                <w:color w:val="58595B"/>
              </w:rPr>
              <w:t>57</w:t>
            </w:r>
          </w:p>
        </w:tc>
      </w:tr>
      <w:tr>
        <w:trPr>
          <w:trHeight w:val="446"/>
        </w:trPr>
        <w:tc>
          <w:tcPr>
            <w:tcW w:w="8600" w:type="dxa"/>
            <w:vAlign w:val="bottom"/>
          </w:tcPr>
          <w:p>
            <w:pPr>
              <w:ind w:left="500"/>
              <w:spacing w:after="0"/>
              <w:rPr>
                <w:sz w:val="20"/>
                <w:szCs w:val="20"/>
                <w:color w:val="auto"/>
              </w:rPr>
            </w:pPr>
            <w:r>
              <w:rPr>
                <w:rFonts w:ascii="Arial" w:cs="Arial" w:eastAsia="Arial" w:hAnsi="Arial"/>
                <w:sz w:val="16"/>
                <w:szCs w:val="16"/>
                <w:color w:val="58595B"/>
              </w:rPr>
              <w:t>Outstanding Equity Awards at Fiscal Year-End</w:t>
            </w:r>
          </w:p>
        </w:tc>
        <w:tc>
          <w:tcPr>
            <w:tcW w:w="2600" w:type="dxa"/>
            <w:vAlign w:val="bottom"/>
          </w:tcPr>
          <w:p>
            <w:pPr>
              <w:jc w:val="right"/>
              <w:spacing w:after="0"/>
              <w:rPr>
                <w:sz w:val="20"/>
                <w:szCs w:val="20"/>
                <w:color w:val="auto"/>
              </w:rPr>
            </w:pPr>
            <w:r>
              <w:rPr>
                <w:rFonts w:ascii="Arial" w:cs="Arial" w:eastAsia="Arial" w:hAnsi="Arial"/>
                <w:sz w:val="16"/>
                <w:szCs w:val="16"/>
                <w:color w:val="58595B"/>
              </w:rPr>
              <w:t>59</w:t>
            </w:r>
          </w:p>
        </w:tc>
      </w:tr>
    </w:tbl>
    <w:p>
      <w:pPr>
        <w:sectPr>
          <w:pgSz w:w="11900" w:h="16838" w:orient="portrait"/>
          <w:cols w:equalWidth="0" w:num="1">
            <w:col w:w="11220"/>
          </w:cols>
          <w:pgMar w:left="320" w:top="1440" w:right="359" w:bottom="0" w:gutter="0" w:footer="0" w:header="0"/>
        </w:sectPr>
      </w:pPr>
    </w:p>
    <w:bookmarkStart w:id="3" w:name="page4"/>
    <w:bookmarkEnd w:id="3"/>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7380" w:type="dxa"/>
            <w:vAlign w:val="bottom"/>
          </w:tcPr>
          <w:p>
            <w:pPr>
              <w:spacing w:after="0"/>
              <w:rPr>
                <w:sz w:val="20"/>
                <w:szCs w:val="20"/>
                <w:color w:val="auto"/>
              </w:rPr>
            </w:pPr>
            <w:r>
              <w:rPr>
                <w:rFonts w:ascii="Arial" w:cs="Arial" w:eastAsia="Arial" w:hAnsi="Arial"/>
                <w:sz w:val="16"/>
                <w:szCs w:val="16"/>
                <w:color w:val="58595B"/>
              </w:rPr>
              <w:t>Options Exercised and Stock Vested</w:t>
            </w:r>
          </w:p>
        </w:tc>
        <w:tc>
          <w:tcPr>
            <w:tcW w:w="3320" w:type="dxa"/>
            <w:vAlign w:val="bottom"/>
          </w:tcPr>
          <w:p>
            <w:pPr>
              <w:jc w:val="right"/>
              <w:spacing w:after="0"/>
              <w:rPr>
                <w:sz w:val="20"/>
                <w:szCs w:val="20"/>
                <w:color w:val="auto"/>
              </w:rPr>
            </w:pPr>
            <w:r>
              <w:rPr>
                <w:rFonts w:ascii="Arial" w:cs="Arial" w:eastAsia="Arial" w:hAnsi="Arial"/>
                <w:sz w:val="16"/>
                <w:szCs w:val="16"/>
                <w:color w:val="58595B"/>
              </w:rPr>
              <w:t>62</w:t>
            </w:r>
          </w:p>
        </w:tc>
      </w:tr>
      <w:tr>
        <w:trPr>
          <w:trHeight w:val="445"/>
        </w:trPr>
        <w:tc>
          <w:tcPr>
            <w:tcW w:w="7380" w:type="dxa"/>
            <w:vAlign w:val="bottom"/>
          </w:tcPr>
          <w:p>
            <w:pPr>
              <w:spacing w:after="0"/>
              <w:rPr>
                <w:sz w:val="20"/>
                <w:szCs w:val="20"/>
                <w:color w:val="auto"/>
              </w:rPr>
            </w:pPr>
            <w:r>
              <w:rPr>
                <w:rFonts w:ascii="Arial" w:cs="Arial" w:eastAsia="Arial" w:hAnsi="Arial"/>
                <w:sz w:val="16"/>
                <w:szCs w:val="16"/>
                <w:color w:val="58595B"/>
              </w:rPr>
              <w:t>Nonqualified Deferred Compensation</w:t>
            </w:r>
          </w:p>
        </w:tc>
        <w:tc>
          <w:tcPr>
            <w:tcW w:w="3320" w:type="dxa"/>
            <w:vAlign w:val="bottom"/>
          </w:tcPr>
          <w:p>
            <w:pPr>
              <w:jc w:val="right"/>
              <w:spacing w:after="0"/>
              <w:rPr>
                <w:sz w:val="20"/>
                <w:szCs w:val="20"/>
                <w:color w:val="auto"/>
              </w:rPr>
            </w:pPr>
            <w:r>
              <w:rPr>
                <w:rFonts w:ascii="Arial" w:cs="Arial" w:eastAsia="Arial" w:hAnsi="Arial"/>
                <w:sz w:val="16"/>
                <w:szCs w:val="16"/>
                <w:color w:val="58595B"/>
              </w:rPr>
              <w:t>63</w:t>
            </w:r>
          </w:p>
        </w:tc>
      </w:tr>
      <w:tr>
        <w:trPr>
          <w:trHeight w:val="446"/>
        </w:trPr>
        <w:tc>
          <w:tcPr>
            <w:tcW w:w="7380" w:type="dxa"/>
            <w:vAlign w:val="bottom"/>
          </w:tcPr>
          <w:p>
            <w:pPr>
              <w:spacing w:after="0"/>
              <w:rPr>
                <w:sz w:val="20"/>
                <w:szCs w:val="20"/>
                <w:color w:val="auto"/>
              </w:rPr>
            </w:pPr>
            <w:r>
              <w:rPr>
                <w:rFonts w:ascii="Arial" w:cs="Arial" w:eastAsia="Arial" w:hAnsi="Arial"/>
                <w:sz w:val="16"/>
                <w:szCs w:val="16"/>
                <w:color w:val="58595B"/>
              </w:rPr>
              <w:t>Potential Payments Upon Termination or Change in Control</w:t>
            </w:r>
          </w:p>
        </w:tc>
        <w:tc>
          <w:tcPr>
            <w:tcW w:w="3320" w:type="dxa"/>
            <w:vAlign w:val="bottom"/>
          </w:tcPr>
          <w:p>
            <w:pPr>
              <w:jc w:val="right"/>
              <w:spacing w:after="0"/>
              <w:rPr>
                <w:sz w:val="20"/>
                <w:szCs w:val="20"/>
                <w:color w:val="auto"/>
              </w:rPr>
            </w:pPr>
            <w:r>
              <w:rPr>
                <w:rFonts w:ascii="Arial" w:cs="Arial" w:eastAsia="Arial" w:hAnsi="Arial"/>
                <w:sz w:val="16"/>
                <w:szCs w:val="16"/>
                <w:color w:val="58595B"/>
              </w:rPr>
              <w:t>63</w:t>
            </w:r>
          </w:p>
        </w:tc>
      </w:tr>
      <w:tr>
        <w:trPr>
          <w:trHeight w:val="445"/>
        </w:trPr>
        <w:tc>
          <w:tcPr>
            <w:tcW w:w="7380" w:type="dxa"/>
            <w:vAlign w:val="bottom"/>
          </w:tcPr>
          <w:p>
            <w:pPr>
              <w:spacing w:after="0"/>
              <w:rPr>
                <w:sz w:val="20"/>
                <w:szCs w:val="20"/>
                <w:color w:val="auto"/>
              </w:rPr>
            </w:pPr>
            <w:r>
              <w:rPr>
                <w:rFonts w:ascii="Arial" w:cs="Arial" w:eastAsia="Arial" w:hAnsi="Arial"/>
                <w:sz w:val="16"/>
                <w:szCs w:val="16"/>
                <w:color w:val="58595B"/>
              </w:rPr>
              <w:t>CEO Pay Ratio Disclosure</w:t>
            </w:r>
          </w:p>
        </w:tc>
        <w:tc>
          <w:tcPr>
            <w:tcW w:w="3320" w:type="dxa"/>
            <w:vAlign w:val="bottom"/>
          </w:tcPr>
          <w:p>
            <w:pPr>
              <w:jc w:val="right"/>
              <w:spacing w:after="0"/>
              <w:rPr>
                <w:sz w:val="20"/>
                <w:szCs w:val="20"/>
                <w:color w:val="auto"/>
              </w:rPr>
            </w:pPr>
            <w:r>
              <w:rPr>
                <w:rFonts w:ascii="Arial" w:cs="Arial" w:eastAsia="Arial" w:hAnsi="Arial"/>
                <w:sz w:val="16"/>
                <w:szCs w:val="16"/>
                <w:color w:val="58595B"/>
              </w:rPr>
              <w:t>67</w:t>
            </w:r>
          </w:p>
        </w:tc>
      </w:tr>
      <w:tr>
        <w:trPr>
          <w:trHeight w:val="446"/>
        </w:trPr>
        <w:tc>
          <w:tcPr>
            <w:tcW w:w="7380" w:type="dxa"/>
            <w:vAlign w:val="bottom"/>
          </w:tcPr>
          <w:p>
            <w:pPr>
              <w:spacing w:after="0"/>
              <w:rPr>
                <w:sz w:val="20"/>
                <w:szCs w:val="20"/>
                <w:color w:val="auto"/>
              </w:rPr>
            </w:pPr>
            <w:r>
              <w:rPr>
                <w:rFonts w:ascii="Arial" w:cs="Arial" w:eastAsia="Arial" w:hAnsi="Arial"/>
                <w:sz w:val="16"/>
                <w:szCs w:val="16"/>
                <w:color w:val="58595B"/>
              </w:rPr>
              <w:t>Pay versus Performance Disclosure</w:t>
            </w:r>
          </w:p>
        </w:tc>
        <w:tc>
          <w:tcPr>
            <w:tcW w:w="3320" w:type="dxa"/>
            <w:vAlign w:val="bottom"/>
          </w:tcPr>
          <w:p>
            <w:pPr>
              <w:jc w:val="right"/>
              <w:spacing w:after="0"/>
              <w:rPr>
                <w:sz w:val="20"/>
                <w:szCs w:val="20"/>
                <w:color w:val="auto"/>
              </w:rPr>
            </w:pPr>
            <w:r>
              <w:rPr>
                <w:rFonts w:ascii="Arial" w:cs="Arial" w:eastAsia="Arial" w:hAnsi="Arial"/>
                <w:sz w:val="16"/>
                <w:szCs w:val="16"/>
                <w:color w:val="58595B"/>
              </w:rPr>
              <w:t>68</w:t>
            </w:r>
          </w:p>
        </w:tc>
      </w:tr>
    </w:tbl>
    <w:p>
      <w:pPr>
        <w:spacing w:after="0" w:line="200" w:lineRule="exact"/>
        <w:rPr>
          <w:sz w:val="20"/>
          <w:szCs w:val="20"/>
          <w:color w:val="auto"/>
        </w:rPr>
      </w:pPr>
    </w:p>
    <w:p>
      <w:pPr>
        <w:sectPr>
          <w:pgSz w:w="11900" w:h="16838" w:orient="portrait"/>
          <w:cols w:equalWidth="0" w:num="1">
            <w:col w:w="11200"/>
          </w:cols>
          <w:pgMar w:left="340" w:top="139" w:right="35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Equity Compensation Plan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Certain Relationships and Related Transactions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Proposal 2: Ratification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Audit Committee Report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Proposal 3: Advisory Vote on Named Executive Officer Compensation</w:t>
      </w:r>
    </w:p>
    <w:p>
      <w:pPr>
        <w:spacing w:after="0" w:line="181" w:lineRule="exact"/>
        <w:rPr>
          <w:sz w:val="20"/>
          <w:szCs w:val="20"/>
          <w:color w:val="auto"/>
        </w:rPr>
      </w:pPr>
    </w:p>
    <w:p>
      <w:pPr>
        <w:ind w:right="240"/>
        <w:spacing w:after="0" w:line="349" w:lineRule="auto"/>
        <w:rPr>
          <w:sz w:val="20"/>
          <w:szCs w:val="20"/>
          <w:color w:val="auto"/>
        </w:rPr>
      </w:pPr>
      <w:r>
        <w:rPr>
          <w:rFonts w:ascii="Arial" w:cs="Arial" w:eastAsia="Arial" w:hAnsi="Arial"/>
          <w:sz w:val="16"/>
          <w:szCs w:val="16"/>
          <w:b w:val="1"/>
          <w:bCs w:val="1"/>
          <w:color w:val="009845"/>
        </w:rPr>
        <w:t>Proposal 4: Approval of an Amendment to the Amended and Restated Certificate of Incorporation of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608330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75</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77</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78</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79</w:t>
      </w:r>
    </w:p>
    <w:p>
      <w:pPr>
        <w:sectPr>
          <w:pgSz w:w="11900" w:h="16838" w:orient="portrait"/>
          <w:cols w:equalWidth="0" w:num="2">
            <w:col w:w="10300" w:space="720"/>
            <w:col w:w="180"/>
          </w:cols>
          <w:pgMar w:left="340" w:top="139" w:right="359" w:bottom="1440" w:gutter="0" w:footer="0" w:header="0"/>
          <w:type w:val="continuous"/>
        </w:sectPr>
      </w:pPr>
    </w:p>
    <w:bookmarkStart w:id="4" w:name="page5"/>
    <w:bookmarkEnd w:id="4"/>
    <w:p>
      <w:pPr>
        <w:spacing w:after="0" w:line="200" w:lineRule="exact"/>
        <w:rPr>
          <w:sz w:val="20"/>
          <w:szCs w:val="20"/>
          <w:color w:val="auto"/>
        </w:rPr>
      </w:pPr>
    </w:p>
    <w:p>
      <w:pPr>
        <w:spacing w:after="0" w:line="227" w:lineRule="exact"/>
        <w:rPr>
          <w:sz w:val="20"/>
          <w:szCs w:val="20"/>
          <w:color w:val="auto"/>
        </w:rPr>
      </w:pPr>
    </w:p>
    <w:p>
      <w:pPr>
        <w:ind w:right="40"/>
        <w:spacing w:after="0" w:line="349" w:lineRule="auto"/>
        <w:rPr>
          <w:sz w:val="20"/>
          <w:szCs w:val="20"/>
          <w:color w:val="auto"/>
        </w:rPr>
      </w:pPr>
      <w:r>
        <w:rPr>
          <w:rFonts w:ascii="Arial" w:cs="Arial" w:eastAsia="Arial" w:hAnsi="Arial"/>
          <w:sz w:val="16"/>
          <w:szCs w:val="16"/>
          <w:b w:val="1"/>
          <w:bCs w:val="1"/>
          <w:color w:val="009845"/>
        </w:rPr>
        <w:t>Proposal 5: Approval of Amendment No. 1 to the Integra LifeSciences Holdings Corporation Fifth Amended and Restated 2003 Equity Incentive Plan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Principal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Delinquent Section 16(a) Reports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General Information about the Annual Meeting and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81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90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92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92</w:t>
      </w:r>
    </w:p>
    <w:p>
      <w:pPr>
        <w:spacing w:after="0" w:line="200" w:lineRule="exact"/>
        <w:rPr>
          <w:sz w:val="20"/>
          <w:szCs w:val="20"/>
          <w:color w:val="auto"/>
        </w:rPr>
      </w:pPr>
    </w:p>
    <w:p>
      <w:pPr>
        <w:sectPr>
          <w:pgSz w:w="11900" w:h="16838" w:orient="portrait"/>
          <w:cols w:equalWidth="0" w:num="2">
            <w:col w:w="10300" w:space="720"/>
            <w:col w:w="180"/>
          </w:cols>
          <w:pgMar w:left="340" w:top="1440" w:right="359" w:bottom="1440" w:gutter="0" w:footer="0" w:header="0"/>
        </w:sectPr>
      </w:pPr>
    </w:p>
    <w:p>
      <w:pPr>
        <w:spacing w:after="0" w:line="62"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7160" w:type="dxa"/>
            <w:vAlign w:val="bottom"/>
          </w:tcPr>
          <w:p>
            <w:pPr>
              <w:spacing w:after="0"/>
              <w:rPr>
                <w:sz w:val="20"/>
                <w:szCs w:val="20"/>
                <w:color w:val="auto"/>
              </w:rPr>
            </w:pPr>
            <w:r>
              <w:rPr>
                <w:rFonts w:ascii="Arial" w:cs="Arial" w:eastAsia="Arial" w:hAnsi="Arial"/>
                <w:sz w:val="16"/>
                <w:szCs w:val="16"/>
                <w:color w:val="58595B"/>
              </w:rPr>
              <w:t>Purpose of the Meeting</w:t>
            </w:r>
          </w:p>
        </w:tc>
        <w:tc>
          <w:tcPr>
            <w:tcW w:w="3540" w:type="dxa"/>
            <w:vAlign w:val="bottom"/>
          </w:tcPr>
          <w:p>
            <w:pPr>
              <w:jc w:val="right"/>
              <w:spacing w:after="0"/>
              <w:rPr>
                <w:sz w:val="20"/>
                <w:szCs w:val="20"/>
                <w:color w:val="auto"/>
              </w:rPr>
            </w:pPr>
            <w:r>
              <w:rPr>
                <w:rFonts w:ascii="Arial" w:cs="Arial" w:eastAsia="Arial" w:hAnsi="Arial"/>
                <w:sz w:val="16"/>
                <w:szCs w:val="16"/>
                <w:color w:val="58595B"/>
              </w:rPr>
              <w:t>92</w:t>
            </w:r>
          </w:p>
        </w:tc>
      </w:tr>
      <w:tr>
        <w:trPr>
          <w:trHeight w:val="446"/>
        </w:trPr>
        <w:tc>
          <w:tcPr>
            <w:tcW w:w="7160" w:type="dxa"/>
            <w:vAlign w:val="bottom"/>
          </w:tcPr>
          <w:p>
            <w:pPr>
              <w:spacing w:after="0"/>
              <w:rPr>
                <w:sz w:val="20"/>
                <w:szCs w:val="20"/>
                <w:color w:val="auto"/>
              </w:rPr>
            </w:pPr>
            <w:r>
              <w:rPr>
                <w:rFonts w:ascii="Arial" w:cs="Arial" w:eastAsia="Arial" w:hAnsi="Arial"/>
                <w:sz w:val="16"/>
                <w:szCs w:val="16"/>
                <w:color w:val="58595B"/>
              </w:rPr>
              <w:t>Proposals and Voting Recommendation of Our Board</w:t>
            </w:r>
          </w:p>
        </w:tc>
        <w:tc>
          <w:tcPr>
            <w:tcW w:w="3540" w:type="dxa"/>
            <w:vAlign w:val="bottom"/>
          </w:tcPr>
          <w:p>
            <w:pPr>
              <w:jc w:val="right"/>
              <w:spacing w:after="0"/>
              <w:rPr>
                <w:sz w:val="20"/>
                <w:szCs w:val="20"/>
                <w:color w:val="auto"/>
              </w:rPr>
            </w:pPr>
            <w:r>
              <w:rPr>
                <w:rFonts w:ascii="Arial" w:cs="Arial" w:eastAsia="Arial" w:hAnsi="Arial"/>
                <w:sz w:val="16"/>
                <w:szCs w:val="16"/>
                <w:color w:val="58595B"/>
              </w:rPr>
              <w:t>92</w:t>
            </w:r>
          </w:p>
        </w:tc>
      </w:tr>
      <w:tr>
        <w:trPr>
          <w:trHeight w:val="445"/>
        </w:trPr>
        <w:tc>
          <w:tcPr>
            <w:tcW w:w="7160" w:type="dxa"/>
            <w:vAlign w:val="bottom"/>
          </w:tcPr>
          <w:p>
            <w:pPr>
              <w:spacing w:after="0"/>
              <w:rPr>
                <w:sz w:val="20"/>
                <w:szCs w:val="20"/>
                <w:color w:val="auto"/>
              </w:rPr>
            </w:pPr>
            <w:r>
              <w:rPr>
                <w:rFonts w:ascii="Arial" w:cs="Arial" w:eastAsia="Arial" w:hAnsi="Arial"/>
                <w:sz w:val="16"/>
                <w:szCs w:val="16"/>
                <w:color w:val="58595B"/>
              </w:rPr>
              <w:t>Record Date</w:t>
            </w:r>
          </w:p>
        </w:tc>
        <w:tc>
          <w:tcPr>
            <w:tcW w:w="3540" w:type="dxa"/>
            <w:vAlign w:val="bottom"/>
          </w:tcPr>
          <w:p>
            <w:pPr>
              <w:jc w:val="right"/>
              <w:spacing w:after="0"/>
              <w:rPr>
                <w:sz w:val="20"/>
                <w:szCs w:val="20"/>
                <w:color w:val="auto"/>
              </w:rPr>
            </w:pPr>
            <w:r>
              <w:rPr>
                <w:rFonts w:ascii="Arial" w:cs="Arial" w:eastAsia="Arial" w:hAnsi="Arial"/>
                <w:sz w:val="16"/>
                <w:szCs w:val="16"/>
                <w:color w:val="58595B"/>
              </w:rPr>
              <w:t>93</w:t>
            </w:r>
          </w:p>
        </w:tc>
      </w:tr>
      <w:tr>
        <w:trPr>
          <w:trHeight w:val="446"/>
        </w:trPr>
        <w:tc>
          <w:tcPr>
            <w:tcW w:w="7160" w:type="dxa"/>
            <w:vAlign w:val="bottom"/>
          </w:tcPr>
          <w:p>
            <w:pPr>
              <w:spacing w:after="0"/>
              <w:rPr>
                <w:sz w:val="20"/>
                <w:szCs w:val="20"/>
                <w:color w:val="auto"/>
              </w:rPr>
            </w:pPr>
            <w:r>
              <w:rPr>
                <w:rFonts w:ascii="Arial" w:cs="Arial" w:eastAsia="Arial" w:hAnsi="Arial"/>
                <w:sz w:val="16"/>
                <w:szCs w:val="16"/>
                <w:color w:val="58595B"/>
              </w:rPr>
              <w:t>Voting and Revocability of Proxies</w:t>
            </w:r>
          </w:p>
        </w:tc>
        <w:tc>
          <w:tcPr>
            <w:tcW w:w="3540" w:type="dxa"/>
            <w:vAlign w:val="bottom"/>
          </w:tcPr>
          <w:p>
            <w:pPr>
              <w:jc w:val="right"/>
              <w:spacing w:after="0"/>
              <w:rPr>
                <w:sz w:val="20"/>
                <w:szCs w:val="20"/>
                <w:color w:val="auto"/>
              </w:rPr>
            </w:pPr>
            <w:r>
              <w:rPr>
                <w:rFonts w:ascii="Arial" w:cs="Arial" w:eastAsia="Arial" w:hAnsi="Arial"/>
                <w:sz w:val="16"/>
                <w:szCs w:val="16"/>
                <w:color w:val="58595B"/>
              </w:rPr>
              <w:t>93</w:t>
            </w:r>
          </w:p>
        </w:tc>
      </w:tr>
      <w:tr>
        <w:trPr>
          <w:trHeight w:val="445"/>
        </w:trPr>
        <w:tc>
          <w:tcPr>
            <w:tcW w:w="7160" w:type="dxa"/>
            <w:vAlign w:val="bottom"/>
          </w:tcPr>
          <w:p>
            <w:pPr>
              <w:spacing w:after="0"/>
              <w:rPr>
                <w:sz w:val="20"/>
                <w:szCs w:val="20"/>
                <w:color w:val="auto"/>
              </w:rPr>
            </w:pPr>
            <w:r>
              <w:rPr>
                <w:rFonts w:ascii="Arial" w:cs="Arial" w:eastAsia="Arial" w:hAnsi="Arial"/>
                <w:sz w:val="16"/>
                <w:szCs w:val="16"/>
                <w:color w:val="58595B"/>
              </w:rPr>
              <w:t>How to Vote In Advance or at the Annual Meeting</w:t>
            </w:r>
          </w:p>
        </w:tc>
        <w:tc>
          <w:tcPr>
            <w:tcW w:w="3540" w:type="dxa"/>
            <w:vAlign w:val="bottom"/>
          </w:tcPr>
          <w:p>
            <w:pPr>
              <w:jc w:val="right"/>
              <w:spacing w:after="0"/>
              <w:rPr>
                <w:sz w:val="20"/>
                <w:szCs w:val="20"/>
                <w:color w:val="auto"/>
              </w:rPr>
            </w:pPr>
            <w:r>
              <w:rPr>
                <w:rFonts w:ascii="Arial" w:cs="Arial" w:eastAsia="Arial" w:hAnsi="Arial"/>
                <w:sz w:val="16"/>
                <w:szCs w:val="16"/>
                <w:color w:val="58595B"/>
              </w:rPr>
              <w:t>94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Other Matters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Appendix A — Non-GAAP Financial Measures</w:t>
      </w:r>
    </w:p>
    <w:p>
      <w:pPr>
        <w:spacing w:after="0" w:line="262" w:lineRule="exact"/>
        <w:rPr>
          <w:sz w:val="20"/>
          <w:szCs w:val="20"/>
          <w:color w:val="auto"/>
        </w:rPr>
      </w:pPr>
    </w:p>
    <w:p>
      <w:pPr>
        <w:ind w:right="80"/>
        <w:spacing w:after="0" w:line="349" w:lineRule="auto"/>
        <w:rPr>
          <w:sz w:val="20"/>
          <w:szCs w:val="20"/>
          <w:color w:val="auto"/>
        </w:rPr>
      </w:pPr>
      <w:r>
        <w:rPr>
          <w:rFonts w:ascii="Arial" w:cs="Arial" w:eastAsia="Arial" w:hAnsi="Arial"/>
          <w:sz w:val="16"/>
          <w:szCs w:val="16"/>
          <w:b w:val="1"/>
          <w:bCs w:val="1"/>
          <w:color w:val="009845"/>
        </w:rPr>
        <w:t>Appendix B — Certificate of Amendment to the Amended and Restated Certificate of Incorporation of Integra LifeSciences Holdings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Appendix C — Amendment to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676910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9845"/>
        </w:rPr>
        <w:t>95</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B-1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C-1</w:t>
      </w:r>
    </w:p>
    <w:p>
      <w:pPr>
        <w:sectPr>
          <w:pgSz w:w="11900" w:h="16838" w:orient="portrait"/>
          <w:cols w:equalWidth="0" w:num="2">
            <w:col w:w="10220" w:space="720"/>
            <w:col w:w="260"/>
          </w:cols>
          <w:pgMar w:left="340" w:top="1440" w:right="35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36"/>
          <w:szCs w:val="36"/>
          <w:color w:val="009845"/>
        </w:rPr>
        <w:drawing>
          <wp:anchor simplePos="0" relativeHeight="251657728" behindDoc="1" locked="0" layoutInCell="0" allowOverlap="1">
            <wp:simplePos x="0" y="0"/>
            <wp:positionH relativeFrom="page">
              <wp:posOffset>6182995</wp:posOffset>
            </wp:positionH>
            <wp:positionV relativeFrom="page">
              <wp:posOffset>843280</wp:posOffset>
            </wp:positionV>
            <wp:extent cx="114871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41148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 w:right="200"/>
        <w:spacing w:after="0" w:line="314" w:lineRule="auto"/>
        <w:rPr>
          <w:sz w:val="20"/>
          <w:szCs w:val="20"/>
          <w:color w:val="auto"/>
        </w:rPr>
      </w:pPr>
      <w:r>
        <w:rPr>
          <w:rFonts w:ascii="Arial" w:cs="Arial" w:eastAsia="Arial" w:hAnsi="Arial"/>
          <w:sz w:val="16"/>
          <w:szCs w:val="16"/>
          <w:color w:val="58595B"/>
        </w:rPr>
        <w:t>This proxy statement contains information related to the solicitation of proxies for use at our 2024 Annual Meeting of Stockholders (the “Annual Meeting”). The solicitation is made by Integra on behalf of its Board of Directors (the "Board"). This summary highlights information contained in this proxy statement, which, along with the proxy card and our 2023 annual report, is first being sent or made available to stockholders on or about April 4, 2024. This summary does not contain all of the information you should consider before voting. Please read the entire proxy statement before voting. For more information regarding Integra's 2023 operational and financial performance, please review our Annual Report on Form 10-K for the year ended December 31, 2023, which accompanies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Meeting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22"/>
                <w:szCs w:val="22"/>
                <w:b w:val="1"/>
                <w:bCs w:val="1"/>
                <w:color w:val="58595B"/>
              </w:rPr>
              <w:t>Date</w:t>
            </w:r>
          </w:p>
        </w:tc>
        <w:tc>
          <w:tcPr>
            <w:tcW w:w="2880" w:type="dxa"/>
            <w:vAlign w:val="bottom"/>
            <w:tcBorders>
              <w:right w:val="single" w:sz="8" w:color="58595B"/>
            </w:tcBorders>
          </w:tcPr>
          <w:p>
            <w:pPr>
              <w:ind w:left="220"/>
              <w:spacing w:after="0"/>
              <w:rPr>
                <w:sz w:val="20"/>
                <w:szCs w:val="20"/>
                <w:color w:val="auto"/>
              </w:rPr>
            </w:pPr>
            <w:r>
              <w:rPr>
                <w:rFonts w:ascii="Arial" w:cs="Arial" w:eastAsia="Arial" w:hAnsi="Arial"/>
                <w:sz w:val="22"/>
                <w:szCs w:val="22"/>
                <w:b w:val="1"/>
                <w:bCs w:val="1"/>
                <w:color w:val="58595B"/>
              </w:rPr>
              <w:t>Time</w:t>
            </w:r>
          </w:p>
        </w:tc>
        <w:tc>
          <w:tcPr>
            <w:tcW w:w="4720" w:type="dxa"/>
            <w:vAlign w:val="bottom"/>
          </w:tcPr>
          <w:p>
            <w:pPr>
              <w:ind w:left="240"/>
              <w:spacing w:after="0"/>
              <w:rPr>
                <w:sz w:val="20"/>
                <w:szCs w:val="20"/>
                <w:color w:val="auto"/>
              </w:rPr>
            </w:pPr>
            <w:r>
              <w:rPr>
                <w:rFonts w:ascii="Arial" w:cs="Arial" w:eastAsia="Arial" w:hAnsi="Arial"/>
                <w:sz w:val="22"/>
                <w:szCs w:val="22"/>
                <w:b w:val="1"/>
                <w:bCs w:val="1"/>
                <w:color w:val="58595B"/>
              </w:rPr>
              <w:t>Place</w:t>
            </w:r>
          </w:p>
        </w:tc>
        <w:tc>
          <w:tcPr>
            <w:tcW w:w="920" w:type="dxa"/>
            <w:vAlign w:val="bottom"/>
          </w:tcPr>
          <w:p>
            <w:pPr>
              <w:spacing w:after="0"/>
              <w:rPr>
                <w:sz w:val="24"/>
                <w:szCs w:val="24"/>
                <w:color w:val="auto"/>
              </w:rPr>
            </w:pPr>
          </w:p>
        </w:tc>
      </w:tr>
      <w:tr>
        <w:trPr>
          <w:trHeight w:val="242"/>
        </w:trPr>
        <w:tc>
          <w:tcPr>
            <w:tcW w:w="2720" w:type="dxa"/>
            <w:vAlign w:val="bottom"/>
            <w:tcBorders>
              <w:right w:val="single" w:sz="8" w:color="58595B"/>
            </w:tcBorders>
          </w:tcPr>
          <w:p>
            <w:pPr>
              <w:ind w:left="20"/>
              <w:spacing w:after="0"/>
              <w:rPr>
                <w:sz w:val="20"/>
                <w:szCs w:val="20"/>
                <w:color w:val="auto"/>
              </w:rPr>
            </w:pPr>
            <w:r>
              <w:rPr>
                <w:rFonts w:ascii="Arial" w:cs="Arial" w:eastAsia="Arial" w:hAnsi="Arial"/>
                <w:sz w:val="16"/>
                <w:szCs w:val="16"/>
                <w:color w:val="58595B"/>
              </w:rPr>
              <w:t>May 9, 2024</w:t>
            </w:r>
          </w:p>
        </w:tc>
        <w:tc>
          <w:tcPr>
            <w:tcW w:w="2880" w:type="dxa"/>
            <w:vAlign w:val="bottom"/>
            <w:tcBorders>
              <w:right w:val="single" w:sz="8" w:color="58595B"/>
            </w:tcBorders>
          </w:tcPr>
          <w:p>
            <w:pPr>
              <w:ind w:left="220"/>
              <w:spacing w:after="0"/>
              <w:rPr>
                <w:sz w:val="20"/>
                <w:szCs w:val="20"/>
                <w:color w:val="auto"/>
              </w:rPr>
            </w:pPr>
            <w:r>
              <w:rPr>
                <w:rFonts w:ascii="Arial" w:cs="Arial" w:eastAsia="Arial" w:hAnsi="Arial"/>
                <w:sz w:val="16"/>
                <w:szCs w:val="16"/>
                <w:color w:val="58595B"/>
              </w:rPr>
              <w:t>9:00 a.m. local time</w:t>
            </w:r>
          </w:p>
        </w:tc>
        <w:tc>
          <w:tcPr>
            <w:tcW w:w="5640" w:type="dxa"/>
            <w:vAlign w:val="bottom"/>
            <w:gridSpan w:val="2"/>
          </w:tcPr>
          <w:p>
            <w:pPr>
              <w:ind w:left="240"/>
              <w:spacing w:after="0"/>
              <w:rPr>
                <w:sz w:val="20"/>
                <w:szCs w:val="20"/>
                <w:color w:val="auto"/>
              </w:rPr>
            </w:pPr>
            <w:r>
              <w:rPr>
                <w:rFonts w:ascii="Arial" w:cs="Arial" w:eastAsia="Arial" w:hAnsi="Arial"/>
                <w:sz w:val="16"/>
                <w:szCs w:val="16"/>
                <w:color w:val="58595B"/>
              </w:rPr>
              <w:t>The Annual Meeting will be held at Integra's corporate headquarters:</w:t>
            </w:r>
          </w:p>
        </w:tc>
      </w:tr>
      <w:tr>
        <w:trPr>
          <w:trHeight w:val="230"/>
        </w:trPr>
        <w:tc>
          <w:tcPr>
            <w:tcW w:w="2720" w:type="dxa"/>
            <w:vAlign w:val="bottom"/>
            <w:tcBorders>
              <w:right w:val="single" w:sz="8" w:color="58595B"/>
            </w:tcBorders>
          </w:tcPr>
          <w:p>
            <w:pPr>
              <w:spacing w:after="0"/>
              <w:rPr>
                <w:sz w:val="19"/>
                <w:szCs w:val="19"/>
                <w:color w:val="auto"/>
              </w:rPr>
            </w:pPr>
          </w:p>
        </w:tc>
        <w:tc>
          <w:tcPr>
            <w:tcW w:w="2880" w:type="dxa"/>
            <w:vAlign w:val="bottom"/>
            <w:tcBorders>
              <w:right w:val="single" w:sz="8" w:color="58595B"/>
            </w:tcBorders>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6"/>
                <w:szCs w:val="16"/>
                <w:color w:val="58595B"/>
              </w:rPr>
              <w:t>1100 Campus Road, Princeton, New Jersey, 08540</w:t>
            </w:r>
          </w:p>
        </w:tc>
        <w:tc>
          <w:tcPr>
            <w:tcW w:w="920" w:type="dxa"/>
            <w:vAlign w:val="bottom"/>
          </w:tcPr>
          <w:p>
            <w:pPr>
              <w:spacing w:after="0"/>
              <w:rPr>
                <w:sz w:val="19"/>
                <w:szCs w:val="19"/>
                <w:color w:val="auto"/>
              </w:rPr>
            </w:pPr>
          </w:p>
        </w:tc>
      </w:tr>
      <w:tr>
        <w:trPr>
          <w:trHeight w:val="218"/>
        </w:trPr>
        <w:tc>
          <w:tcPr>
            <w:tcW w:w="2720" w:type="dxa"/>
            <w:vAlign w:val="bottom"/>
            <w:tcBorders>
              <w:right w:val="single" w:sz="8" w:color="58595B"/>
            </w:tcBorders>
          </w:tcPr>
          <w:p>
            <w:pPr>
              <w:spacing w:after="0"/>
              <w:rPr>
                <w:sz w:val="18"/>
                <w:szCs w:val="18"/>
                <w:color w:val="auto"/>
              </w:rPr>
            </w:pPr>
          </w:p>
        </w:tc>
        <w:tc>
          <w:tcPr>
            <w:tcW w:w="2880" w:type="dxa"/>
            <w:vAlign w:val="bottom"/>
            <w:tcBorders>
              <w:right w:val="single" w:sz="8" w:color="58595B"/>
            </w:tcBorders>
          </w:tcPr>
          <w:p>
            <w:pPr>
              <w:spacing w:after="0"/>
              <w:rPr>
                <w:sz w:val="18"/>
                <w:szCs w:val="18"/>
                <w:color w:val="auto"/>
              </w:rPr>
            </w:pPr>
          </w:p>
        </w:tc>
        <w:tc>
          <w:tcPr>
            <w:tcW w:w="4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2"/>
        </w:trPr>
        <w:tc>
          <w:tcPr>
            <w:tcW w:w="2720" w:type="dxa"/>
            <w:vAlign w:val="bottom"/>
            <w:tcBorders>
              <w:bottom w:val="single" w:sz="8" w:color="58595B"/>
            </w:tcBorders>
          </w:tcPr>
          <w:p>
            <w:pPr>
              <w:spacing w:after="0"/>
              <w:rPr>
                <w:sz w:val="14"/>
                <w:szCs w:val="14"/>
                <w:color w:val="auto"/>
              </w:rPr>
            </w:pPr>
          </w:p>
        </w:tc>
        <w:tc>
          <w:tcPr>
            <w:tcW w:w="2880" w:type="dxa"/>
            <w:vAlign w:val="bottom"/>
            <w:tcBorders>
              <w:bottom w:val="single" w:sz="8" w:color="58595B"/>
            </w:tcBorders>
          </w:tcPr>
          <w:p>
            <w:pPr>
              <w:spacing w:after="0"/>
              <w:rPr>
                <w:sz w:val="14"/>
                <w:szCs w:val="14"/>
                <w:color w:val="auto"/>
              </w:rPr>
            </w:pPr>
          </w:p>
        </w:tc>
        <w:tc>
          <w:tcPr>
            <w:tcW w:w="4720" w:type="dxa"/>
            <w:vAlign w:val="bottom"/>
            <w:tcBorders>
              <w:bottom w:val="single" w:sz="8" w:color="58595B"/>
            </w:tcBorders>
          </w:tcPr>
          <w:p>
            <w:pPr>
              <w:spacing w:after="0"/>
              <w:rPr>
                <w:sz w:val="14"/>
                <w:szCs w:val="14"/>
                <w:color w:val="auto"/>
              </w:rPr>
            </w:pPr>
          </w:p>
        </w:tc>
        <w:tc>
          <w:tcPr>
            <w:tcW w:w="920" w:type="dxa"/>
            <w:vAlign w:val="bottom"/>
            <w:tcBorders>
              <w:bottom w:val="single" w:sz="8" w:color="58595B"/>
            </w:tcBorders>
          </w:tcPr>
          <w:p>
            <w:pPr>
              <w:spacing w:after="0"/>
              <w:rPr>
                <w:sz w:val="14"/>
                <w:szCs w:val="14"/>
                <w:color w:val="auto"/>
              </w:rPr>
            </w:pPr>
          </w:p>
        </w:tc>
      </w:tr>
      <w:tr>
        <w:trPr>
          <w:trHeight w:val="169"/>
        </w:trPr>
        <w:tc>
          <w:tcPr>
            <w:tcW w:w="2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4"/>
        </w:trPr>
        <w:tc>
          <w:tcPr>
            <w:tcW w:w="2720" w:type="dxa"/>
            <w:vAlign w:val="bottom"/>
            <w:tcBorders>
              <w:right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Proposal</w:t>
            </w:r>
          </w:p>
        </w:tc>
        <w:tc>
          <w:tcPr>
            <w:tcW w:w="2880" w:type="dxa"/>
            <w:vAlign w:val="bottom"/>
            <w:tcBorders>
              <w:right w:val="single" w:sz="8" w:color="009845"/>
            </w:tcBorders>
            <w:shd w:val="clear" w:color="auto" w:fill="009845"/>
          </w:tcPr>
          <w:p>
            <w:pPr>
              <w:spacing w:after="0"/>
              <w:rPr>
                <w:sz w:val="18"/>
                <w:szCs w:val="18"/>
                <w:color w:val="auto"/>
              </w:rPr>
            </w:pPr>
          </w:p>
        </w:tc>
        <w:tc>
          <w:tcPr>
            <w:tcW w:w="4720" w:type="dxa"/>
            <w:vAlign w:val="bottom"/>
            <w:shd w:val="clear" w:color="auto" w:fill="009845"/>
          </w:tcPr>
          <w:p>
            <w:pPr>
              <w:ind w:left="2860"/>
              <w:spacing w:after="0"/>
              <w:rPr>
                <w:sz w:val="20"/>
                <w:szCs w:val="20"/>
                <w:color w:val="auto"/>
              </w:rPr>
            </w:pPr>
            <w:r>
              <w:rPr>
                <w:rFonts w:ascii="Arial" w:cs="Arial" w:eastAsia="Arial" w:hAnsi="Arial"/>
                <w:sz w:val="14"/>
                <w:szCs w:val="14"/>
                <w:b w:val="1"/>
                <w:bCs w:val="1"/>
                <w:color w:val="FFFFFF"/>
              </w:rPr>
              <w:t>Board Recommendation</w:t>
            </w:r>
          </w:p>
        </w:tc>
        <w:tc>
          <w:tcPr>
            <w:tcW w:w="920" w:type="dxa"/>
            <w:vAlign w:val="bottom"/>
            <w:shd w:val="clear" w:color="auto" w:fill="009845"/>
          </w:tcPr>
          <w:p>
            <w:pPr>
              <w:ind w:left="200"/>
              <w:spacing w:after="0"/>
              <w:rPr>
                <w:sz w:val="20"/>
                <w:szCs w:val="20"/>
                <w:color w:val="auto"/>
              </w:rPr>
            </w:pPr>
            <w:r>
              <w:rPr>
                <w:rFonts w:ascii="Arial" w:cs="Arial" w:eastAsia="Arial" w:hAnsi="Arial"/>
                <w:sz w:val="14"/>
                <w:szCs w:val="14"/>
                <w:b w:val="1"/>
                <w:bCs w:val="1"/>
                <w:color w:val="FFFFFF"/>
              </w:rPr>
              <w:t>Page</w:t>
            </w:r>
          </w:p>
        </w:tc>
      </w:tr>
      <w:tr>
        <w:trPr>
          <w:trHeight w:val="70"/>
        </w:trPr>
        <w:tc>
          <w:tcPr>
            <w:tcW w:w="2720" w:type="dxa"/>
            <w:vAlign w:val="bottom"/>
            <w:tcBorders>
              <w:right w:val="single" w:sz="8" w:color="009845"/>
            </w:tcBorders>
            <w:shd w:val="clear" w:color="auto" w:fill="009845"/>
          </w:tcPr>
          <w:p>
            <w:pPr>
              <w:spacing w:after="0"/>
              <w:rPr>
                <w:sz w:val="6"/>
                <w:szCs w:val="6"/>
                <w:color w:val="auto"/>
              </w:rPr>
            </w:pPr>
          </w:p>
        </w:tc>
        <w:tc>
          <w:tcPr>
            <w:tcW w:w="2880" w:type="dxa"/>
            <w:vAlign w:val="bottom"/>
            <w:tcBorders>
              <w:right w:val="single" w:sz="8" w:color="009845"/>
            </w:tcBorders>
            <w:shd w:val="clear" w:color="auto" w:fill="009845"/>
          </w:tcPr>
          <w:p>
            <w:pPr>
              <w:spacing w:after="0"/>
              <w:rPr>
                <w:sz w:val="6"/>
                <w:szCs w:val="6"/>
                <w:color w:val="auto"/>
              </w:rPr>
            </w:pPr>
          </w:p>
        </w:tc>
        <w:tc>
          <w:tcPr>
            <w:tcW w:w="4720" w:type="dxa"/>
            <w:vAlign w:val="bottom"/>
            <w:shd w:val="clear" w:color="auto" w:fill="009845"/>
          </w:tcPr>
          <w:p>
            <w:pPr>
              <w:spacing w:after="0"/>
              <w:rPr>
                <w:sz w:val="6"/>
                <w:szCs w:val="6"/>
                <w:color w:val="auto"/>
              </w:rPr>
            </w:pPr>
          </w:p>
        </w:tc>
        <w:tc>
          <w:tcPr>
            <w:tcW w:w="920" w:type="dxa"/>
            <w:vAlign w:val="bottom"/>
            <w:shd w:val="clear" w:color="auto" w:fill="009845"/>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-1079500</wp:posOffset>
            </wp:positionV>
            <wp:extent cx="14541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-1079500</wp:posOffset>
            </wp:positionV>
            <wp:extent cx="15430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-1079500</wp:posOffset>
            </wp:positionV>
            <wp:extent cx="12890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5430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p>
      <w:pPr>
        <w:spacing w:after="0" w:line="40" w:lineRule="exact"/>
        <w:rPr>
          <w:sz w:val="20"/>
          <w:szCs w:val="20"/>
          <w:color w:val="auto"/>
        </w:rPr>
      </w:pPr>
    </w:p>
    <w:p>
      <w:pPr>
        <w:ind w:left="360" w:right="320" w:hanging="253"/>
        <w:spacing w:after="0" w:line="339" w:lineRule="auto"/>
        <w:tabs>
          <w:tab w:leader="none" w:pos="360" w:val="left"/>
        </w:tabs>
        <w:numPr>
          <w:ilvl w:val="0"/>
          <w:numId w:val="5"/>
        </w:numPr>
        <w:rPr>
          <w:rFonts w:ascii="Arial" w:cs="Arial" w:eastAsia="Arial" w:hAnsi="Arial"/>
          <w:sz w:val="16"/>
          <w:szCs w:val="16"/>
          <w:b w:val="1"/>
          <w:bCs w:val="1"/>
          <w:color w:val="009845"/>
        </w:rPr>
      </w:pPr>
      <w:r>
        <w:rPr>
          <w:rFonts w:ascii="Arial" w:cs="Arial" w:eastAsia="Arial" w:hAnsi="Arial"/>
          <w:sz w:val="16"/>
          <w:szCs w:val="16"/>
          <w:color w:val="58595B"/>
        </w:rPr>
        <w:t>To elect nine directors of the Company to serve until the next annual meeting of stockholders and until their successors are duly elected and qualified.</w:t>
      </w:r>
    </w:p>
    <w:p>
      <w:pPr>
        <w:spacing w:after="0" w:line="195" w:lineRule="exact"/>
        <w:rPr>
          <w:rFonts w:ascii="Arial" w:cs="Arial" w:eastAsia="Arial" w:hAnsi="Arial"/>
          <w:sz w:val="16"/>
          <w:szCs w:val="16"/>
          <w:b w:val="1"/>
          <w:bCs w:val="1"/>
          <w:color w:val="009845"/>
        </w:rPr>
      </w:pPr>
    </w:p>
    <w:p>
      <w:pPr>
        <w:ind w:left="360" w:right="300" w:hanging="253"/>
        <w:spacing w:after="0" w:line="339" w:lineRule="auto"/>
        <w:tabs>
          <w:tab w:leader="none" w:pos="360" w:val="left"/>
        </w:tabs>
        <w:numPr>
          <w:ilvl w:val="0"/>
          <w:numId w:val="5"/>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2024.</w:t>
      </w:r>
    </w:p>
    <w:p>
      <w:pPr>
        <w:spacing w:after="0" w:line="168" w:lineRule="exact"/>
        <w:rPr>
          <w:rFonts w:ascii="Arial" w:cs="Arial" w:eastAsia="Arial" w:hAnsi="Arial"/>
          <w:sz w:val="16"/>
          <w:szCs w:val="16"/>
          <w:b w:val="1"/>
          <w:bCs w:val="1"/>
          <w:color w:val="0057B9"/>
        </w:rPr>
      </w:pPr>
    </w:p>
    <w:p>
      <w:pPr>
        <w:ind w:left="360" w:hanging="253"/>
        <w:spacing w:after="0"/>
        <w:tabs>
          <w:tab w:leader="none" w:pos="360" w:val="left"/>
        </w:tabs>
        <w:numPr>
          <w:ilvl w:val="0"/>
          <w:numId w:val="5"/>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261" w:lineRule="exact"/>
        <w:rPr>
          <w:rFonts w:ascii="Arial" w:cs="Arial" w:eastAsia="Arial" w:hAnsi="Arial"/>
          <w:sz w:val="16"/>
          <w:szCs w:val="16"/>
          <w:b w:val="1"/>
          <w:bCs w:val="1"/>
          <w:color w:val="6C4194"/>
        </w:rPr>
      </w:pPr>
    </w:p>
    <w:p>
      <w:pPr>
        <w:ind w:left="360" w:hanging="253"/>
        <w:spacing w:after="0" w:line="319" w:lineRule="auto"/>
        <w:tabs>
          <w:tab w:leader="none" w:pos="360"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58595B"/>
        </w:rPr>
        <w:t>To approve an amendment to the Integra LifeSciences Holdings Corporation Amended and Restated Certificate of Incorporation, as amended, to limit the liability of certain officers of the Company as permitted by recent amendments to the General Corporation Law of the State of Delaware.</w:t>
      </w:r>
    </w:p>
    <w:p>
      <w:pPr>
        <w:spacing w:after="0" w:line="184" w:lineRule="exact"/>
        <w:rPr>
          <w:rFonts w:ascii="Arial" w:cs="Arial" w:eastAsia="Arial" w:hAnsi="Arial"/>
          <w:sz w:val="16"/>
          <w:szCs w:val="16"/>
          <w:b w:val="1"/>
          <w:bCs w:val="1"/>
          <w:color w:val="FAAC16"/>
        </w:rPr>
      </w:pPr>
    </w:p>
    <w:p>
      <w:pPr>
        <w:ind w:left="360" w:right="180" w:hanging="253"/>
        <w:spacing w:after="0" w:line="339" w:lineRule="auto"/>
        <w:tabs>
          <w:tab w:leader="none" w:pos="360" w:val="left"/>
        </w:tabs>
        <w:numPr>
          <w:ilvl w:val="0"/>
          <w:numId w:val="5"/>
        </w:numPr>
        <w:rPr>
          <w:rFonts w:ascii="Arial" w:cs="Arial" w:eastAsia="Arial" w:hAnsi="Arial"/>
          <w:sz w:val="16"/>
          <w:szCs w:val="16"/>
          <w:b w:val="1"/>
          <w:bCs w:val="1"/>
          <w:color w:val="009845"/>
        </w:rPr>
      </w:pPr>
      <w:r>
        <w:rPr>
          <w:rFonts w:ascii="Arial" w:cs="Arial" w:eastAsia="Arial" w:hAnsi="Arial"/>
          <w:sz w:val="16"/>
          <w:szCs w:val="16"/>
          <w:color w:val="58595B"/>
        </w:rPr>
        <w:t>To approve Amendment No. 1 to the Integra LifeSciences Holdings Corporation Fifth Amended and Restated 2003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-1649095</wp:posOffset>
            </wp:positionV>
            <wp:extent cx="7132320" cy="436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-929005</wp:posOffset>
            </wp:positionV>
            <wp:extent cx="713232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9845"/>
        </w:rPr>
        <w:t>FOR</w:t>
      </w:r>
    </w:p>
    <w:p>
      <w:pPr>
        <w:ind w:left="1860"/>
        <w:spacing w:after="0" w:line="193" w:lineRule="auto"/>
        <w:rPr>
          <w:sz w:val="20"/>
          <w:szCs w:val="20"/>
          <w:color w:val="auto"/>
        </w:rPr>
      </w:pPr>
      <w:r>
        <w:rPr>
          <w:rFonts w:ascii="Arial" w:cs="Arial" w:eastAsia="Arial" w:hAnsi="Arial"/>
          <w:sz w:val="16"/>
          <w:szCs w:val="16"/>
          <w:color w:val="58595B"/>
        </w:rPr>
        <w:t>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8595B"/>
        </w:rPr>
        <w:t>each nominee</w:t>
      </w:r>
    </w:p>
    <w:p>
      <w:pPr>
        <w:spacing w:after="0" w:line="367" w:lineRule="exact"/>
        <w:rPr>
          <w:sz w:val="20"/>
          <w:szCs w:val="20"/>
          <w:color w:val="auto"/>
        </w:rPr>
      </w:pPr>
    </w:p>
    <w:p>
      <w:pPr>
        <w:jc w:val="both"/>
        <w:ind w:left="320"/>
        <w:spacing w:after="0"/>
        <w:tabs>
          <w:tab w:leader="none" w:pos="180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75</w:t>
      </w:r>
    </w:p>
    <w:p>
      <w:pPr>
        <w:spacing w:after="0" w:line="383" w:lineRule="exact"/>
        <w:rPr>
          <w:sz w:val="20"/>
          <w:szCs w:val="20"/>
          <w:color w:val="auto"/>
        </w:rPr>
      </w:pPr>
    </w:p>
    <w:p>
      <w:pPr>
        <w:jc w:val="both"/>
        <w:ind w:left="320"/>
        <w:spacing w:after="0"/>
        <w:tabs>
          <w:tab w:leader="none" w:pos="180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16"/>
          <w:szCs w:val="16"/>
          <w:color w:val="58595B"/>
        </w:rPr>
        <w:t>78</w:t>
      </w:r>
    </w:p>
    <w:p>
      <w:pPr>
        <w:spacing w:after="0" w:line="271" w:lineRule="exact"/>
        <w:rPr>
          <w:sz w:val="20"/>
          <w:szCs w:val="20"/>
          <w:color w:val="auto"/>
        </w:rPr>
      </w:pPr>
    </w:p>
    <w:p>
      <w:pPr>
        <w:jc w:val="both"/>
        <w:ind w:left="320"/>
        <w:spacing w:after="0"/>
        <w:tabs>
          <w:tab w:leader="none" w:pos="180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32"/>
          <w:szCs w:val="32"/>
          <w:color w:val="58595B"/>
          <w:vertAlign w:val="subscript"/>
        </w:rPr>
        <w:t>79</w:t>
      </w:r>
    </w:p>
    <w:p>
      <w:pPr>
        <w:spacing w:after="0" w:line="200" w:lineRule="exact"/>
        <w:rPr>
          <w:sz w:val="20"/>
          <w:szCs w:val="20"/>
          <w:color w:val="auto"/>
        </w:rPr>
      </w:pPr>
    </w:p>
    <w:p>
      <w:pPr>
        <w:spacing w:after="0" w:line="242" w:lineRule="exact"/>
        <w:rPr>
          <w:sz w:val="20"/>
          <w:szCs w:val="20"/>
          <w:color w:val="auto"/>
        </w:rPr>
      </w:pPr>
    </w:p>
    <w:p>
      <w:pPr>
        <w:jc w:val="both"/>
        <w:ind w:left="320"/>
        <w:spacing w:after="0"/>
        <w:tabs>
          <w:tab w:leader="none" w:pos="1800" w:val="left"/>
        </w:tabs>
        <w:rPr>
          <w:sz w:val="20"/>
          <w:szCs w:val="20"/>
          <w:color w:val="auto"/>
        </w:rPr>
      </w:pPr>
      <w:r>
        <w:rPr>
          <w:rFonts w:ascii="Arial" w:cs="Arial" w:eastAsia="Arial" w:hAnsi="Arial"/>
          <w:sz w:val="16"/>
          <w:szCs w:val="16"/>
          <w:b w:val="1"/>
          <w:bCs w:val="1"/>
          <w:color w:val="009845"/>
        </w:rPr>
        <w:t>FOR</w:t>
      </w:r>
      <w:r>
        <w:rPr>
          <w:sz w:val="20"/>
          <w:szCs w:val="20"/>
          <w:color w:val="auto"/>
        </w:rPr>
        <w:tab/>
      </w:r>
      <w:r>
        <w:rPr>
          <w:rFonts w:ascii="Arial" w:cs="Arial" w:eastAsia="Arial" w:hAnsi="Arial"/>
          <w:sz w:val="32"/>
          <w:szCs w:val="32"/>
          <w:color w:val="58595B"/>
          <w:vertAlign w:val="subscript"/>
        </w:rPr>
        <w:t>81</w:t>
      </w:r>
    </w:p>
    <w:p>
      <w:pPr>
        <w:spacing w:after="0" w:line="369" w:lineRule="exact"/>
        <w:rPr>
          <w:sz w:val="20"/>
          <w:szCs w:val="20"/>
          <w:color w:val="auto"/>
        </w:rPr>
      </w:pPr>
    </w:p>
    <w:p>
      <w:pPr>
        <w:sectPr>
          <w:pgSz w:w="11900" w:h="16838" w:orient="portrait"/>
          <w:cols w:equalWidth="0" w:num="2">
            <w:col w:w="8320" w:space="480"/>
            <w:col w:w="2440"/>
          </w:cols>
          <w:pgMar w:left="320" w:top="1411" w:right="339" w:bottom="1440" w:gutter="0" w:footer="0" w:header="0"/>
          <w:type w:val="continuous"/>
        </w:sect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5"/>
          <w:szCs w:val="25"/>
          <w:color w:val="009845"/>
        </w:rPr>
        <w:t>How to Vote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15" w:lineRule="exact"/>
        <w:rPr>
          <w:sz w:val="20"/>
          <w:szCs w:val="20"/>
          <w:color w:val="auto"/>
        </w:rPr>
      </w:pPr>
    </w:p>
    <w:p>
      <w:pPr>
        <w:ind w:left="20"/>
        <w:spacing w:after="0" w:line="314"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-177165</wp:posOffset>
            </wp:positionV>
            <wp:extent cx="8255" cy="128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77"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58595B"/>
        </w:rPr>
        <w:t>If you vote via the Internet,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-132715</wp:posOffset>
            </wp:positionV>
            <wp:extent cx="8255" cy="128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58595B"/>
        </w:rPr>
        <w:t>may vote at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www.proxyvote.com, </w:t>
      </w:r>
      <w:r>
        <w:rPr>
          <w:rFonts w:ascii="Arial" w:cs="Arial" w:eastAsia="Arial" w:hAnsi="Arial"/>
          <w:sz w:val="16"/>
          <w:szCs w:val="16"/>
          <w:color w:val="58595B"/>
        </w:rPr>
        <w:t>from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anywhere in the world, 24 hours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day, 7 days a week, up until 11:59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p.m., Eastern Time, on May 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2024.</w:t>
      </w:r>
    </w:p>
    <w:p>
      <w:pPr>
        <w:spacing w:after="0" w:line="420" w:lineRule="exact"/>
        <w:rPr>
          <w:sz w:val="20"/>
          <w:szCs w:val="20"/>
          <w:color w:val="auto"/>
        </w:rPr>
      </w:pPr>
    </w:p>
    <w:p>
      <w:pPr>
        <w:sectPr>
          <w:pgSz w:w="11900" w:h="16838" w:orient="portrait"/>
          <w:cols w:equalWidth="0" w:num="3">
            <w:col w:w="2340" w:space="600"/>
            <w:col w:w="5220" w:space="580"/>
            <w:col w:w="2500"/>
          </w:cols>
          <w:pgMar w:left="320" w:top="14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1</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b w:val="1"/>
          <w:bCs w:val="1"/>
          <w:color w:val="009845"/>
        </w:rPr>
        <w:t xml:space="preserve">Your Vote is Important. </w:t>
      </w:r>
      <w:r>
        <w:rPr>
          <w:rFonts w:ascii="Arial" w:cs="Arial" w:eastAsia="Arial" w:hAnsi="Arial"/>
          <w:sz w:val="16"/>
          <w:szCs w:val="16"/>
          <w:color w:val="58595B"/>
        </w:rPr>
        <w:t>Stockholders as of March 11, 2024, the record date, are entitled to vote. Each share of common stock is entitled to one vote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each of the proposals presented at the Annual Meeting. Please vote your proxy promptly so that your shares can be represented, even if you plan to attend the Annual Meeting. You can vote via the internet or telephone by following the voting procedures described in the Notice of Annual meeting above, proxy card or voting instruction form, or by returning your completed and signed proxy card or voting instruction form in the provided envelope.</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009845"/>
        </w:rPr>
        <w:t>Board Composition and Director Nominees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summary information about each current member of the Board and each director nominee.</w:t>
      </w:r>
    </w:p>
    <w:p>
      <w:pPr>
        <w:spacing w:after="0" w:line="208"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All directors are elected by a majority of votes cast, except in the case of a contested election where the number of nominees exceeds the number of open positions, in which case plurality voting is used. Members of the Board are elected to serve a term of one year and until their successors have been elected and qualified. All of the nominees for director have consented to being named in this proxy statement and to serve if elected.</w:t>
      </w:r>
    </w:p>
    <w:p>
      <w:pPr>
        <w:spacing w:after="0" w:line="123"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color w:val="58595B"/>
        </w:rPr>
        <w:t>More detailed information about each director nominee’s background, skill set and areas of expertise can be found beginning on page 10 of this proxy statement.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1840" w:type="dxa"/>
            <w:vAlign w:val="bottom"/>
            <w:shd w:val="clear" w:color="auto" w:fill="009845"/>
          </w:tcPr>
          <w:p>
            <w:pPr>
              <w:spacing w:after="0"/>
              <w:rPr>
                <w:sz w:val="24"/>
                <w:szCs w:val="24"/>
                <w:color w:val="auto"/>
              </w:rPr>
            </w:pPr>
          </w:p>
        </w:tc>
        <w:tc>
          <w:tcPr>
            <w:tcW w:w="700" w:type="dxa"/>
            <w:vAlign w:val="bottom"/>
            <w:shd w:val="clear" w:color="auto" w:fill="009845"/>
          </w:tcPr>
          <w:p>
            <w:pPr>
              <w:spacing w:after="0"/>
              <w:rPr>
                <w:sz w:val="24"/>
                <w:szCs w:val="24"/>
                <w:color w:val="auto"/>
              </w:rPr>
            </w:pPr>
          </w:p>
        </w:tc>
        <w:tc>
          <w:tcPr>
            <w:tcW w:w="920" w:type="dxa"/>
            <w:vAlign w:val="bottom"/>
            <w:shd w:val="clear" w:color="auto" w:fill="009845"/>
          </w:tcPr>
          <w:p>
            <w:pPr>
              <w:spacing w:after="0"/>
              <w:rPr>
                <w:sz w:val="24"/>
                <w:szCs w:val="24"/>
                <w:color w:val="auto"/>
              </w:rPr>
            </w:pPr>
          </w:p>
        </w:tc>
        <w:tc>
          <w:tcPr>
            <w:tcW w:w="1220" w:type="dxa"/>
            <w:vAlign w:val="bottom"/>
            <w:shd w:val="clear" w:color="auto" w:fill="009845"/>
          </w:tcPr>
          <w:p>
            <w:pPr>
              <w:spacing w:after="0"/>
              <w:rPr>
                <w:sz w:val="24"/>
                <w:szCs w:val="24"/>
                <w:color w:val="auto"/>
              </w:rPr>
            </w:pPr>
          </w:p>
        </w:tc>
        <w:tc>
          <w:tcPr>
            <w:tcW w:w="2860" w:type="dxa"/>
            <w:vAlign w:val="bottom"/>
            <w:shd w:val="clear" w:color="auto" w:fill="009845"/>
          </w:tcPr>
          <w:p>
            <w:pPr>
              <w:spacing w:after="0"/>
              <w:rPr>
                <w:sz w:val="24"/>
                <w:szCs w:val="24"/>
                <w:color w:val="auto"/>
              </w:rPr>
            </w:pPr>
          </w:p>
        </w:tc>
        <w:tc>
          <w:tcPr>
            <w:tcW w:w="360" w:type="dxa"/>
            <w:vAlign w:val="bottom"/>
            <w:shd w:val="clear" w:color="auto" w:fill="009845"/>
          </w:tcPr>
          <w:p>
            <w:pPr>
              <w:spacing w:after="0"/>
              <w:rPr>
                <w:sz w:val="24"/>
                <w:szCs w:val="24"/>
                <w:color w:val="auto"/>
              </w:rPr>
            </w:pPr>
          </w:p>
        </w:tc>
        <w:tc>
          <w:tcPr>
            <w:tcW w:w="1720" w:type="dxa"/>
            <w:vAlign w:val="bottom"/>
            <w:gridSpan w:val="2"/>
            <w:shd w:val="clear" w:color="auto" w:fill="009845"/>
          </w:tcPr>
          <w:p>
            <w:pPr>
              <w:spacing w:after="0"/>
              <w:rPr>
                <w:sz w:val="20"/>
                <w:szCs w:val="20"/>
                <w:color w:val="auto"/>
              </w:rPr>
            </w:pPr>
            <w:r>
              <w:rPr>
                <w:rFonts w:ascii="Arial" w:cs="Arial" w:eastAsia="Arial" w:hAnsi="Arial"/>
                <w:sz w:val="14"/>
                <w:szCs w:val="14"/>
                <w:b w:val="1"/>
                <w:bCs w:val="1"/>
                <w:color w:val="FFFFFF"/>
              </w:rPr>
              <w:t>Committee Memberships</w:t>
            </w:r>
          </w:p>
        </w:tc>
        <w:tc>
          <w:tcPr>
            <w:tcW w:w="360" w:type="dxa"/>
            <w:vAlign w:val="bottom"/>
            <w:shd w:val="clear" w:color="auto" w:fill="009845"/>
          </w:tcPr>
          <w:p>
            <w:pPr>
              <w:spacing w:after="0"/>
              <w:rPr>
                <w:sz w:val="24"/>
                <w:szCs w:val="24"/>
                <w:color w:val="auto"/>
              </w:rPr>
            </w:pPr>
          </w:p>
        </w:tc>
        <w:tc>
          <w:tcPr>
            <w:tcW w:w="126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Other Current</w:t>
            </w:r>
          </w:p>
        </w:tc>
        <w:tc>
          <w:tcPr>
            <w:tcW w:w="0" w:type="dxa"/>
            <w:vAlign w:val="bottom"/>
          </w:tcPr>
          <w:p>
            <w:pPr>
              <w:spacing w:after="0"/>
              <w:rPr>
                <w:sz w:val="1"/>
                <w:szCs w:val="1"/>
                <w:color w:val="auto"/>
              </w:rPr>
            </w:pPr>
          </w:p>
        </w:tc>
      </w:tr>
      <w:tr>
        <w:trPr>
          <w:trHeight w:val="124"/>
        </w:trPr>
        <w:tc>
          <w:tcPr>
            <w:tcW w:w="1840" w:type="dxa"/>
            <w:vAlign w:val="bottom"/>
            <w:shd w:val="clear" w:color="auto" w:fill="009845"/>
          </w:tcPr>
          <w:p>
            <w:pPr>
              <w:spacing w:after="0"/>
              <w:rPr>
                <w:sz w:val="10"/>
                <w:szCs w:val="10"/>
                <w:color w:val="auto"/>
              </w:rPr>
            </w:pPr>
          </w:p>
        </w:tc>
        <w:tc>
          <w:tcPr>
            <w:tcW w:w="700" w:type="dxa"/>
            <w:vAlign w:val="bottom"/>
            <w:shd w:val="clear" w:color="auto" w:fill="009845"/>
          </w:tcPr>
          <w:p>
            <w:pPr>
              <w:spacing w:after="0"/>
              <w:rPr>
                <w:sz w:val="10"/>
                <w:szCs w:val="10"/>
                <w:color w:val="auto"/>
              </w:rPr>
            </w:pPr>
          </w:p>
        </w:tc>
        <w:tc>
          <w:tcPr>
            <w:tcW w:w="92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Director</w:t>
            </w:r>
          </w:p>
        </w:tc>
        <w:tc>
          <w:tcPr>
            <w:tcW w:w="1220" w:type="dxa"/>
            <w:vAlign w:val="bottom"/>
            <w:shd w:val="clear" w:color="auto" w:fill="009845"/>
          </w:tcPr>
          <w:p>
            <w:pPr>
              <w:spacing w:after="0"/>
              <w:rPr>
                <w:sz w:val="10"/>
                <w:szCs w:val="10"/>
                <w:color w:val="auto"/>
              </w:rPr>
            </w:pPr>
          </w:p>
        </w:tc>
        <w:tc>
          <w:tcPr>
            <w:tcW w:w="2860" w:type="dxa"/>
            <w:vAlign w:val="bottom"/>
            <w:shd w:val="clear" w:color="auto" w:fill="009845"/>
          </w:tcPr>
          <w:p>
            <w:pPr>
              <w:spacing w:after="0"/>
              <w:rPr>
                <w:sz w:val="10"/>
                <w:szCs w:val="10"/>
                <w:color w:val="auto"/>
              </w:rPr>
            </w:pPr>
          </w:p>
        </w:tc>
        <w:tc>
          <w:tcPr>
            <w:tcW w:w="360" w:type="dxa"/>
            <w:vAlign w:val="bottom"/>
            <w:shd w:val="clear" w:color="auto" w:fill="009845"/>
          </w:tcPr>
          <w:p>
            <w:pPr>
              <w:spacing w:after="0"/>
              <w:rPr>
                <w:sz w:val="10"/>
                <w:szCs w:val="10"/>
                <w:color w:val="auto"/>
              </w:rPr>
            </w:pPr>
          </w:p>
        </w:tc>
        <w:tc>
          <w:tcPr>
            <w:tcW w:w="860" w:type="dxa"/>
            <w:vAlign w:val="bottom"/>
            <w:shd w:val="clear" w:color="auto" w:fill="009845"/>
          </w:tcPr>
          <w:p>
            <w:pPr>
              <w:spacing w:after="0"/>
              <w:rPr>
                <w:sz w:val="10"/>
                <w:szCs w:val="10"/>
                <w:color w:val="auto"/>
              </w:rPr>
            </w:pPr>
          </w:p>
        </w:tc>
        <w:tc>
          <w:tcPr>
            <w:tcW w:w="860" w:type="dxa"/>
            <w:vAlign w:val="bottom"/>
            <w:shd w:val="clear" w:color="auto" w:fill="009845"/>
          </w:tcPr>
          <w:p>
            <w:pPr>
              <w:spacing w:after="0"/>
              <w:rPr>
                <w:sz w:val="10"/>
                <w:szCs w:val="10"/>
                <w:color w:val="auto"/>
              </w:rPr>
            </w:pPr>
          </w:p>
        </w:tc>
        <w:tc>
          <w:tcPr>
            <w:tcW w:w="360" w:type="dxa"/>
            <w:vAlign w:val="bottom"/>
            <w:shd w:val="clear" w:color="auto" w:fill="009845"/>
          </w:tcPr>
          <w:p>
            <w:pPr>
              <w:spacing w:after="0"/>
              <w:rPr>
                <w:sz w:val="10"/>
                <w:szCs w:val="10"/>
                <w:color w:val="auto"/>
              </w:rPr>
            </w:pPr>
          </w:p>
        </w:tc>
        <w:tc>
          <w:tcPr>
            <w:tcW w:w="1260" w:type="dxa"/>
            <w:vAlign w:val="bottom"/>
            <w:vMerge w:val="continue"/>
            <w:shd w:val="clear" w:color="auto" w:fill="009845"/>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009845"/>
          </w:tcPr>
          <w:p>
            <w:pPr>
              <w:spacing w:after="0"/>
              <w:rPr>
                <w:sz w:val="13"/>
                <w:szCs w:val="13"/>
                <w:color w:val="auto"/>
              </w:rPr>
            </w:pPr>
          </w:p>
        </w:tc>
        <w:tc>
          <w:tcPr>
            <w:tcW w:w="700" w:type="dxa"/>
            <w:vAlign w:val="bottom"/>
            <w:shd w:val="clear" w:color="auto" w:fill="009845"/>
          </w:tcPr>
          <w:p>
            <w:pPr>
              <w:spacing w:after="0"/>
              <w:rPr>
                <w:sz w:val="13"/>
                <w:szCs w:val="13"/>
                <w:color w:val="auto"/>
              </w:rPr>
            </w:pPr>
          </w:p>
        </w:tc>
        <w:tc>
          <w:tcPr>
            <w:tcW w:w="920" w:type="dxa"/>
            <w:vAlign w:val="bottom"/>
            <w:vMerge w:val="continue"/>
            <w:shd w:val="clear" w:color="auto" w:fill="009845"/>
          </w:tcPr>
          <w:p>
            <w:pPr>
              <w:spacing w:after="0"/>
              <w:rPr>
                <w:sz w:val="13"/>
                <w:szCs w:val="13"/>
                <w:color w:val="auto"/>
              </w:rPr>
            </w:pPr>
          </w:p>
        </w:tc>
        <w:tc>
          <w:tcPr>
            <w:tcW w:w="1220" w:type="dxa"/>
            <w:vAlign w:val="bottom"/>
            <w:shd w:val="clear" w:color="auto" w:fill="009845"/>
          </w:tcPr>
          <w:p>
            <w:pPr>
              <w:spacing w:after="0"/>
              <w:rPr>
                <w:sz w:val="13"/>
                <w:szCs w:val="13"/>
                <w:color w:val="auto"/>
              </w:rPr>
            </w:pPr>
          </w:p>
        </w:tc>
        <w:tc>
          <w:tcPr>
            <w:tcW w:w="2860" w:type="dxa"/>
            <w:vAlign w:val="bottom"/>
            <w:shd w:val="clear" w:color="auto" w:fill="009845"/>
          </w:tcPr>
          <w:p>
            <w:pPr>
              <w:spacing w:after="0"/>
              <w:rPr>
                <w:sz w:val="13"/>
                <w:szCs w:val="13"/>
                <w:color w:val="auto"/>
              </w:rPr>
            </w:pPr>
          </w:p>
        </w:tc>
        <w:tc>
          <w:tcPr>
            <w:tcW w:w="360" w:type="dxa"/>
            <w:vAlign w:val="bottom"/>
            <w:shd w:val="clear" w:color="auto" w:fill="009845"/>
          </w:tcPr>
          <w:p>
            <w:pPr>
              <w:spacing w:after="0"/>
              <w:rPr>
                <w:sz w:val="13"/>
                <w:szCs w:val="13"/>
                <w:color w:val="auto"/>
              </w:rPr>
            </w:pPr>
          </w:p>
        </w:tc>
        <w:tc>
          <w:tcPr>
            <w:tcW w:w="860" w:type="dxa"/>
            <w:vAlign w:val="bottom"/>
            <w:shd w:val="clear" w:color="auto" w:fill="009845"/>
          </w:tcPr>
          <w:p>
            <w:pPr>
              <w:spacing w:after="0"/>
              <w:rPr>
                <w:sz w:val="13"/>
                <w:szCs w:val="13"/>
                <w:color w:val="auto"/>
              </w:rPr>
            </w:pPr>
          </w:p>
        </w:tc>
        <w:tc>
          <w:tcPr>
            <w:tcW w:w="860" w:type="dxa"/>
            <w:vAlign w:val="bottom"/>
            <w:shd w:val="clear" w:color="auto" w:fill="009845"/>
          </w:tcPr>
          <w:p>
            <w:pPr>
              <w:spacing w:after="0"/>
              <w:rPr>
                <w:sz w:val="13"/>
                <w:szCs w:val="13"/>
                <w:color w:val="auto"/>
              </w:rPr>
            </w:pPr>
          </w:p>
        </w:tc>
        <w:tc>
          <w:tcPr>
            <w:tcW w:w="360" w:type="dxa"/>
            <w:vAlign w:val="bottom"/>
            <w:shd w:val="clear" w:color="auto" w:fill="009845"/>
          </w:tcPr>
          <w:p>
            <w:pPr>
              <w:spacing w:after="0"/>
              <w:rPr>
                <w:sz w:val="13"/>
                <w:szCs w:val="13"/>
                <w:color w:val="auto"/>
              </w:rPr>
            </w:pPr>
          </w:p>
        </w:tc>
        <w:tc>
          <w:tcPr>
            <w:tcW w:w="1260" w:type="dxa"/>
            <w:vAlign w:val="bottom"/>
            <w:shd w:val="clear" w:color="auto" w:fill="009845"/>
          </w:tcPr>
          <w:p>
            <w:pPr>
              <w:jc w:val="center"/>
              <w:spacing w:after="0" w:line="153" w:lineRule="exact"/>
              <w:rPr>
                <w:sz w:val="20"/>
                <w:szCs w:val="20"/>
                <w:color w:val="auto"/>
              </w:rPr>
            </w:pPr>
            <w:r>
              <w:rPr>
                <w:rFonts w:ascii="Arial" w:cs="Arial" w:eastAsia="Arial" w:hAnsi="Arial"/>
                <w:sz w:val="14"/>
                <w:szCs w:val="14"/>
                <w:b w:val="1"/>
                <w:bCs w:val="1"/>
                <w:color w:val="FFFFFF"/>
              </w:rPr>
              <w:t>Public Company</w:t>
            </w:r>
          </w:p>
        </w:tc>
        <w:tc>
          <w:tcPr>
            <w:tcW w:w="0" w:type="dxa"/>
            <w:vAlign w:val="bottom"/>
          </w:tcPr>
          <w:p>
            <w:pPr>
              <w:spacing w:after="0"/>
              <w:rPr>
                <w:sz w:val="1"/>
                <w:szCs w:val="1"/>
                <w:color w:val="auto"/>
              </w:rPr>
            </w:pPr>
          </w:p>
        </w:tc>
      </w:tr>
      <w:tr>
        <w:trPr>
          <w:trHeight w:val="246"/>
        </w:trPr>
        <w:tc>
          <w:tcPr>
            <w:tcW w:w="184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7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Age*</w:t>
            </w:r>
          </w:p>
        </w:tc>
        <w:tc>
          <w:tcPr>
            <w:tcW w:w="9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Since</w:t>
            </w:r>
          </w:p>
        </w:tc>
        <w:tc>
          <w:tcPr>
            <w:tcW w:w="12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Independence</w:t>
            </w:r>
          </w:p>
        </w:tc>
        <w:tc>
          <w:tcPr>
            <w:tcW w:w="2860" w:type="dxa"/>
            <w:vAlign w:val="bottom"/>
            <w:tcBorders>
              <w:bottom w:val="single" w:sz="8" w:color="009845"/>
            </w:tcBorders>
            <w:shd w:val="clear" w:color="auto" w:fill="009845"/>
          </w:tcPr>
          <w:p>
            <w:pPr>
              <w:ind w:left="1040"/>
              <w:spacing w:after="0"/>
              <w:rPr>
                <w:sz w:val="20"/>
                <w:szCs w:val="20"/>
                <w:color w:val="auto"/>
              </w:rPr>
            </w:pPr>
            <w:r>
              <w:rPr>
                <w:rFonts w:ascii="Arial" w:cs="Arial" w:eastAsia="Arial" w:hAnsi="Arial"/>
                <w:sz w:val="14"/>
                <w:szCs w:val="14"/>
                <w:b w:val="1"/>
                <w:bCs w:val="1"/>
                <w:color w:val="FFFFFF"/>
              </w:rPr>
              <w:t>Occupation</w:t>
            </w:r>
          </w:p>
        </w:tc>
        <w:tc>
          <w:tcPr>
            <w:tcW w:w="360" w:type="dxa"/>
            <w:vAlign w:val="bottom"/>
            <w:tcBorders>
              <w:bottom w:val="single" w:sz="8" w:color="009845"/>
            </w:tcBorders>
            <w:shd w:val="clear" w:color="auto" w:fill="009845"/>
          </w:tcPr>
          <w:p>
            <w:pPr>
              <w:ind w:left="260"/>
              <w:spacing w:after="0"/>
              <w:rPr>
                <w:sz w:val="20"/>
                <w:szCs w:val="20"/>
                <w:color w:val="auto"/>
              </w:rPr>
            </w:pPr>
            <w:r>
              <w:rPr>
                <w:rFonts w:ascii="Arial" w:cs="Arial" w:eastAsia="Arial" w:hAnsi="Arial"/>
                <w:sz w:val="14"/>
                <w:szCs w:val="14"/>
                <w:b w:val="1"/>
                <w:bCs w:val="1"/>
                <w:color w:val="FFFFFF"/>
                <w:w w:val="78"/>
              </w:rPr>
              <w:t>A</w:t>
            </w:r>
          </w:p>
        </w:tc>
        <w:tc>
          <w:tcPr>
            <w:tcW w:w="860" w:type="dxa"/>
            <w:vAlign w:val="bottom"/>
            <w:tcBorders>
              <w:bottom w:val="single" w:sz="8" w:color="009845"/>
            </w:tcBorders>
            <w:shd w:val="clear" w:color="auto" w:fill="009845"/>
          </w:tcPr>
          <w:p>
            <w:pPr>
              <w:ind w:left="500"/>
              <w:spacing w:after="0"/>
              <w:rPr>
                <w:sz w:val="20"/>
                <w:szCs w:val="20"/>
                <w:color w:val="auto"/>
              </w:rPr>
            </w:pPr>
            <w:r>
              <w:rPr>
                <w:rFonts w:ascii="Arial" w:cs="Arial" w:eastAsia="Arial" w:hAnsi="Arial"/>
                <w:sz w:val="14"/>
                <w:szCs w:val="14"/>
                <w:b w:val="1"/>
                <w:bCs w:val="1"/>
                <w:color w:val="FFFFFF"/>
              </w:rPr>
              <w:t>C</w:t>
            </w:r>
          </w:p>
        </w:tc>
        <w:tc>
          <w:tcPr>
            <w:tcW w:w="860" w:type="dxa"/>
            <w:vAlign w:val="bottom"/>
            <w:tcBorders>
              <w:bottom w:val="single" w:sz="8" w:color="009845"/>
            </w:tcBorders>
            <w:shd w:val="clear" w:color="auto" w:fill="009845"/>
          </w:tcPr>
          <w:p>
            <w:pPr>
              <w:ind w:left="240"/>
              <w:spacing w:after="0"/>
              <w:rPr>
                <w:sz w:val="20"/>
                <w:szCs w:val="20"/>
                <w:color w:val="auto"/>
              </w:rPr>
            </w:pPr>
            <w:r>
              <w:rPr>
                <w:rFonts w:ascii="Arial" w:cs="Arial" w:eastAsia="Arial" w:hAnsi="Arial"/>
                <w:sz w:val="14"/>
                <w:szCs w:val="14"/>
                <w:b w:val="1"/>
                <w:bCs w:val="1"/>
                <w:color w:val="FFFFFF"/>
              </w:rPr>
              <w:t>G</w:t>
            </w:r>
          </w:p>
        </w:tc>
        <w:tc>
          <w:tcPr>
            <w:tcW w:w="360" w:type="dxa"/>
            <w:vAlign w:val="bottom"/>
            <w:tcBorders>
              <w:bottom w:val="single" w:sz="8" w:color="009845"/>
            </w:tcBorders>
            <w:shd w:val="clear" w:color="auto" w:fill="009845"/>
          </w:tcPr>
          <w:p>
            <w:pPr>
              <w:spacing w:after="0"/>
              <w:rPr>
                <w:sz w:val="20"/>
                <w:szCs w:val="20"/>
                <w:color w:val="auto"/>
              </w:rPr>
            </w:pPr>
            <w:r>
              <w:rPr>
                <w:rFonts w:ascii="Arial" w:cs="Arial" w:eastAsia="Arial" w:hAnsi="Arial"/>
                <w:sz w:val="14"/>
                <w:szCs w:val="14"/>
                <w:b w:val="1"/>
                <w:bCs w:val="1"/>
                <w:color w:val="FFFFFF"/>
              </w:rPr>
              <w:t>F</w:t>
            </w:r>
          </w:p>
        </w:tc>
        <w:tc>
          <w:tcPr>
            <w:tcW w:w="12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Boards</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58595B"/>
              </w:rPr>
              <w:t>Retired Professor of International</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79</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1992</w:t>
            </w:r>
          </w:p>
        </w:tc>
        <w:tc>
          <w:tcPr>
            <w:tcW w:w="122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58595B"/>
              </w:rPr>
              <w:t>Management and Management Strategy,</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58595B"/>
              </w:rPr>
              <w:t>Open University and Cass Business School,</w:t>
            </w: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58595B"/>
              </w:rPr>
              <w:t>U.K.</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53</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2021</w:t>
            </w:r>
          </w:p>
        </w:tc>
        <w:tc>
          <w:tcPr>
            <w:tcW w:w="1220" w:type="dxa"/>
            <w:vAlign w:val="bottom"/>
            <w:shd w:val="clear" w:color="auto" w:fill="EFEDED"/>
          </w:tcPr>
          <w:p>
            <w:pPr>
              <w:spacing w:after="0"/>
              <w:rPr>
                <w:sz w:val="17"/>
                <w:szCs w:val="17"/>
                <w:color w:val="auto"/>
              </w:rPr>
            </w:pPr>
          </w:p>
        </w:tc>
        <w:tc>
          <w:tcPr>
            <w:tcW w:w="28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Global Vice President of Finance, Beam</w:t>
            </w:r>
          </w:p>
        </w:tc>
        <w:tc>
          <w:tcPr>
            <w:tcW w:w="3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360" w:type="dxa"/>
            <w:vAlign w:val="bottom"/>
            <w:shd w:val="clear" w:color="auto" w:fill="EFEDED"/>
          </w:tcPr>
          <w:p>
            <w:pPr>
              <w:spacing w:after="0"/>
              <w:rPr>
                <w:sz w:val="17"/>
                <w:szCs w:val="17"/>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40" w:type="dxa"/>
            <w:vAlign w:val="bottom"/>
            <w:vMerge w:val="continue"/>
            <w:shd w:val="clear" w:color="auto" w:fill="EFEDED"/>
          </w:tcPr>
          <w:p>
            <w:pPr>
              <w:spacing w:after="0"/>
              <w:rPr>
                <w:sz w:val="8"/>
                <w:szCs w:val="8"/>
                <w:color w:val="auto"/>
              </w:rPr>
            </w:pPr>
          </w:p>
        </w:tc>
        <w:tc>
          <w:tcPr>
            <w:tcW w:w="700" w:type="dxa"/>
            <w:vAlign w:val="bottom"/>
            <w:vMerge w:val="continue"/>
            <w:shd w:val="clear" w:color="auto" w:fill="EFEDED"/>
          </w:tcPr>
          <w:p>
            <w:pPr>
              <w:spacing w:after="0"/>
              <w:rPr>
                <w:sz w:val="8"/>
                <w:szCs w:val="8"/>
                <w:color w:val="auto"/>
              </w:rPr>
            </w:pPr>
          </w:p>
        </w:tc>
        <w:tc>
          <w:tcPr>
            <w:tcW w:w="920" w:type="dxa"/>
            <w:vAlign w:val="bottom"/>
            <w:vMerge w:val="continue"/>
            <w:shd w:val="clear" w:color="auto" w:fill="EFEDED"/>
          </w:tcPr>
          <w:p>
            <w:pPr>
              <w:spacing w:after="0"/>
              <w:rPr>
                <w:sz w:val="8"/>
                <w:szCs w:val="8"/>
                <w:color w:val="auto"/>
              </w:rPr>
            </w:pPr>
          </w:p>
        </w:tc>
        <w:tc>
          <w:tcPr>
            <w:tcW w:w="1220" w:type="dxa"/>
            <w:vAlign w:val="bottom"/>
            <w:shd w:val="clear" w:color="auto" w:fill="EFEDED"/>
          </w:tcPr>
          <w:p>
            <w:pPr>
              <w:spacing w:after="0"/>
              <w:rPr>
                <w:sz w:val="8"/>
                <w:szCs w:val="8"/>
                <w:color w:val="auto"/>
              </w:rPr>
            </w:pPr>
          </w:p>
        </w:tc>
        <w:tc>
          <w:tcPr>
            <w:tcW w:w="286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Suntory, Inc.</w:t>
            </w:r>
          </w:p>
        </w:tc>
        <w:tc>
          <w:tcPr>
            <w:tcW w:w="3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4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920" w:type="dxa"/>
            <w:vAlign w:val="bottom"/>
            <w:tcBorders>
              <w:bottom w:val="single" w:sz="8" w:color="EFEDED"/>
            </w:tcBorders>
            <w:shd w:val="clear" w:color="auto" w:fill="EFEDED"/>
          </w:tcPr>
          <w:p>
            <w:pPr>
              <w:spacing w:after="0"/>
              <w:rPr>
                <w:sz w:val="7"/>
                <w:szCs w:val="7"/>
                <w:color w:val="auto"/>
              </w:rPr>
            </w:pPr>
          </w:p>
        </w:tc>
        <w:tc>
          <w:tcPr>
            <w:tcW w:w="1220" w:type="dxa"/>
            <w:vAlign w:val="bottom"/>
            <w:tcBorders>
              <w:bottom w:val="single" w:sz="8" w:color="EFEDED"/>
            </w:tcBorders>
            <w:shd w:val="clear" w:color="auto" w:fill="EFEDED"/>
          </w:tcPr>
          <w:p>
            <w:pPr>
              <w:spacing w:after="0"/>
              <w:rPr>
                <w:sz w:val="7"/>
                <w:szCs w:val="7"/>
                <w:color w:val="auto"/>
              </w:rPr>
            </w:pPr>
          </w:p>
        </w:tc>
        <w:tc>
          <w:tcPr>
            <w:tcW w:w="2860" w:type="dxa"/>
            <w:vAlign w:val="bottom"/>
            <w:tcBorders>
              <w:bottom w:val="single" w:sz="8" w:color="EFEDED"/>
            </w:tcBorders>
            <w:vMerge w:val="continue"/>
            <w:shd w:val="clear" w:color="auto" w:fill="EFEDED"/>
          </w:tcPr>
          <w:p>
            <w:pPr>
              <w:spacing w:after="0"/>
              <w:rPr>
                <w:sz w:val="7"/>
                <w:szCs w:val="7"/>
                <w:color w:val="auto"/>
              </w:rPr>
            </w:pPr>
          </w:p>
        </w:tc>
        <w:tc>
          <w:tcPr>
            <w:tcW w:w="36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36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4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Jan De Witte</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59</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2021</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2860" w:type="dxa"/>
            <w:vAlign w:val="bottom"/>
          </w:tcPr>
          <w:p>
            <w:pPr>
              <w:ind w:left="20"/>
              <w:spacing w:after="0"/>
              <w:rPr>
                <w:sz w:val="20"/>
                <w:szCs w:val="20"/>
                <w:color w:val="auto"/>
              </w:rPr>
            </w:pPr>
            <w:r>
              <w:rPr>
                <w:rFonts w:ascii="Arial" w:cs="Arial" w:eastAsia="Arial" w:hAnsi="Arial"/>
                <w:sz w:val="14"/>
                <w:szCs w:val="14"/>
                <w:color w:val="58595B"/>
              </w:rPr>
              <w:t>President and CEO, Integra LifeSciences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58595B"/>
              </w:rPr>
              <w:t>Holdings Corporation</w:t>
            </w: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4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1220" w:type="dxa"/>
            <w:vAlign w:val="bottom"/>
            <w:shd w:val="clear" w:color="auto" w:fill="EFEDED"/>
          </w:tcPr>
          <w:p>
            <w:pPr>
              <w:spacing w:after="0"/>
              <w:rPr>
                <w:sz w:val="16"/>
                <w:szCs w:val="16"/>
                <w:color w:val="auto"/>
              </w:rPr>
            </w:pPr>
          </w:p>
        </w:tc>
        <w:tc>
          <w:tcPr>
            <w:tcW w:w="28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Chairman, Integra LifeSciences</w:t>
            </w:r>
          </w:p>
        </w:tc>
        <w:tc>
          <w:tcPr>
            <w:tcW w:w="3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360" w:type="dxa"/>
            <w:vAlign w:val="bottom"/>
            <w:shd w:val="clear" w:color="auto" w:fill="EFEDED"/>
          </w:tcPr>
          <w:p>
            <w:pPr>
              <w:spacing w:after="0"/>
              <w:rPr>
                <w:sz w:val="16"/>
                <w:szCs w:val="16"/>
                <w:color w:val="auto"/>
              </w:rPr>
            </w:pPr>
          </w:p>
        </w:tc>
        <w:tc>
          <w:tcPr>
            <w:tcW w:w="126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shd w:val="clear" w:color="auto" w:fill="EFEDED"/>
          </w:tcPr>
          <w:p>
            <w:pPr>
              <w:spacing w:after="0"/>
              <w:rPr>
                <w:sz w:val="16"/>
                <w:szCs w:val="16"/>
                <w:color w:val="auto"/>
              </w:rPr>
            </w:pPr>
          </w:p>
        </w:tc>
        <w:tc>
          <w:tcPr>
            <w:tcW w:w="700" w:type="dxa"/>
            <w:vAlign w:val="bottom"/>
            <w:shd w:val="clear" w:color="auto" w:fill="EFEDED"/>
          </w:tcPr>
          <w:p>
            <w:pPr>
              <w:spacing w:after="0"/>
              <w:rPr>
                <w:sz w:val="16"/>
                <w:szCs w:val="16"/>
                <w:color w:val="auto"/>
              </w:rPr>
            </w:pPr>
          </w:p>
        </w:tc>
        <w:tc>
          <w:tcPr>
            <w:tcW w:w="920" w:type="dxa"/>
            <w:vAlign w:val="bottom"/>
            <w:shd w:val="clear" w:color="auto" w:fill="EFEDED"/>
          </w:tcPr>
          <w:p>
            <w:pPr>
              <w:spacing w:after="0"/>
              <w:rPr>
                <w:sz w:val="16"/>
                <w:szCs w:val="16"/>
                <w:color w:val="auto"/>
              </w:rPr>
            </w:pPr>
          </w:p>
        </w:tc>
        <w:tc>
          <w:tcPr>
            <w:tcW w:w="12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Executive</w:t>
            </w:r>
          </w:p>
        </w:tc>
        <w:tc>
          <w:tcPr>
            <w:tcW w:w="28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Holdings Corporation</w:t>
            </w:r>
          </w:p>
        </w:tc>
        <w:tc>
          <w:tcPr>
            <w:tcW w:w="3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360" w:type="dxa"/>
            <w:vAlign w:val="bottom"/>
            <w:shd w:val="clear" w:color="auto" w:fill="EFEDED"/>
          </w:tcPr>
          <w:p>
            <w:pPr>
              <w:spacing w:after="0"/>
              <w:rPr>
                <w:sz w:val="16"/>
                <w:szCs w:val="16"/>
                <w:color w:val="auto"/>
              </w:rPr>
            </w:pPr>
          </w:p>
        </w:tc>
        <w:tc>
          <w:tcPr>
            <w:tcW w:w="126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84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62</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1997</w:t>
            </w:r>
          </w:p>
        </w:tc>
        <w:tc>
          <w:tcPr>
            <w:tcW w:w="1220" w:type="dxa"/>
            <w:vAlign w:val="bottom"/>
            <w:vMerge w:val="continue"/>
            <w:shd w:val="clear" w:color="auto" w:fill="EFEDED"/>
          </w:tcPr>
          <w:p>
            <w:pPr>
              <w:spacing w:after="0"/>
              <w:rPr>
                <w:sz w:val="8"/>
                <w:szCs w:val="8"/>
                <w:color w:val="auto"/>
              </w:rPr>
            </w:pPr>
          </w:p>
        </w:tc>
        <w:tc>
          <w:tcPr>
            <w:tcW w:w="2860" w:type="dxa"/>
            <w:vAlign w:val="bottom"/>
            <w:shd w:val="clear" w:color="auto" w:fill="EFEDED"/>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w:t>
            </w:r>
          </w:p>
        </w:tc>
        <w:tc>
          <w:tcPr>
            <w:tcW w:w="0" w:type="dxa"/>
            <w:vAlign w:val="bottom"/>
          </w:tcPr>
          <w:p>
            <w:pPr>
              <w:spacing w:after="0"/>
              <w:rPr>
                <w:sz w:val="1"/>
                <w:szCs w:val="1"/>
                <w:color w:val="auto"/>
              </w:rPr>
            </w:pPr>
          </w:p>
        </w:tc>
      </w:tr>
      <w:tr>
        <w:trPr>
          <w:trHeight w:val="115"/>
        </w:trPr>
        <w:tc>
          <w:tcPr>
            <w:tcW w:w="1840" w:type="dxa"/>
            <w:vAlign w:val="bottom"/>
            <w:vMerge w:val="continue"/>
            <w:shd w:val="clear" w:color="auto" w:fill="EFEDED"/>
          </w:tcPr>
          <w:p>
            <w:pPr>
              <w:spacing w:after="0"/>
              <w:rPr>
                <w:sz w:val="10"/>
                <w:szCs w:val="10"/>
                <w:color w:val="auto"/>
              </w:rPr>
            </w:pPr>
          </w:p>
        </w:tc>
        <w:tc>
          <w:tcPr>
            <w:tcW w:w="700" w:type="dxa"/>
            <w:vAlign w:val="bottom"/>
            <w:vMerge w:val="continue"/>
            <w:shd w:val="clear" w:color="auto" w:fill="EFEDED"/>
          </w:tcPr>
          <w:p>
            <w:pPr>
              <w:spacing w:after="0"/>
              <w:rPr>
                <w:sz w:val="10"/>
                <w:szCs w:val="10"/>
                <w:color w:val="auto"/>
              </w:rPr>
            </w:pPr>
          </w:p>
        </w:tc>
        <w:tc>
          <w:tcPr>
            <w:tcW w:w="920" w:type="dxa"/>
            <w:vAlign w:val="bottom"/>
            <w:vMerge w:val="continue"/>
            <w:shd w:val="clear" w:color="auto" w:fill="EFEDED"/>
          </w:tcPr>
          <w:p>
            <w:pPr>
              <w:spacing w:after="0"/>
              <w:rPr>
                <w:sz w:val="10"/>
                <w:szCs w:val="10"/>
                <w:color w:val="auto"/>
              </w:rPr>
            </w:pPr>
          </w:p>
        </w:tc>
        <w:tc>
          <w:tcPr>
            <w:tcW w:w="12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Chairman</w:t>
            </w:r>
          </w:p>
        </w:tc>
        <w:tc>
          <w:tcPr>
            <w:tcW w:w="2860" w:type="dxa"/>
            <w:vAlign w:val="bottom"/>
            <w:shd w:val="clear" w:color="auto" w:fill="EFEDED"/>
          </w:tcPr>
          <w:p>
            <w:pPr>
              <w:spacing w:after="0"/>
              <w:rPr>
                <w:sz w:val="10"/>
                <w:szCs w:val="10"/>
                <w:color w:val="auto"/>
              </w:rPr>
            </w:pPr>
          </w:p>
        </w:tc>
        <w:tc>
          <w:tcPr>
            <w:tcW w:w="360" w:type="dxa"/>
            <w:vAlign w:val="bottom"/>
            <w:shd w:val="clear" w:color="auto" w:fill="EFEDED"/>
          </w:tcPr>
          <w:p>
            <w:pPr>
              <w:spacing w:after="0"/>
              <w:rPr>
                <w:sz w:val="10"/>
                <w:szCs w:val="10"/>
                <w:color w:val="auto"/>
              </w:rPr>
            </w:pPr>
          </w:p>
        </w:tc>
        <w:tc>
          <w:tcPr>
            <w:tcW w:w="860" w:type="dxa"/>
            <w:vAlign w:val="bottom"/>
            <w:shd w:val="clear" w:color="auto" w:fill="EFEDED"/>
          </w:tcPr>
          <w:p>
            <w:pPr>
              <w:spacing w:after="0"/>
              <w:rPr>
                <w:sz w:val="10"/>
                <w:szCs w:val="10"/>
                <w:color w:val="auto"/>
              </w:rPr>
            </w:pPr>
          </w:p>
        </w:tc>
        <w:tc>
          <w:tcPr>
            <w:tcW w:w="860" w:type="dxa"/>
            <w:vAlign w:val="bottom"/>
            <w:shd w:val="clear" w:color="auto" w:fill="EFEDED"/>
          </w:tcPr>
          <w:p>
            <w:pPr>
              <w:spacing w:after="0"/>
              <w:rPr>
                <w:sz w:val="10"/>
                <w:szCs w:val="10"/>
                <w:color w:val="auto"/>
              </w:rPr>
            </w:pPr>
          </w:p>
        </w:tc>
        <w:tc>
          <w:tcPr>
            <w:tcW w:w="360" w:type="dxa"/>
            <w:vAlign w:val="bottom"/>
            <w:shd w:val="clear" w:color="auto" w:fill="EFEDED"/>
          </w:tcPr>
          <w:p>
            <w:pPr>
              <w:spacing w:after="0"/>
              <w:rPr>
                <w:sz w:val="10"/>
                <w:szCs w:val="10"/>
                <w:color w:val="auto"/>
              </w:rPr>
            </w:pPr>
          </w:p>
        </w:tc>
        <w:tc>
          <w:tcPr>
            <w:tcW w:w="1260" w:type="dxa"/>
            <w:vAlign w:val="bottom"/>
            <w:vMerge w:val="continue"/>
            <w:shd w:val="clear" w:color="auto" w:fill="EFEDED"/>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840" w:type="dxa"/>
            <w:vAlign w:val="bottom"/>
            <w:shd w:val="clear" w:color="auto" w:fill="EFEDED"/>
          </w:tcPr>
          <w:p>
            <w:pPr>
              <w:spacing w:after="0"/>
              <w:rPr>
                <w:sz w:val="6"/>
                <w:szCs w:val="6"/>
                <w:color w:val="auto"/>
              </w:rPr>
            </w:pPr>
          </w:p>
        </w:tc>
        <w:tc>
          <w:tcPr>
            <w:tcW w:w="700" w:type="dxa"/>
            <w:vAlign w:val="bottom"/>
            <w:shd w:val="clear" w:color="auto" w:fill="EFEDED"/>
          </w:tcPr>
          <w:p>
            <w:pPr>
              <w:spacing w:after="0"/>
              <w:rPr>
                <w:sz w:val="6"/>
                <w:szCs w:val="6"/>
                <w:color w:val="auto"/>
              </w:rPr>
            </w:pPr>
          </w:p>
        </w:tc>
        <w:tc>
          <w:tcPr>
            <w:tcW w:w="920" w:type="dxa"/>
            <w:vAlign w:val="bottom"/>
            <w:shd w:val="clear" w:color="auto" w:fill="EFEDED"/>
          </w:tcPr>
          <w:p>
            <w:pPr>
              <w:spacing w:after="0"/>
              <w:rPr>
                <w:sz w:val="6"/>
                <w:szCs w:val="6"/>
                <w:color w:val="auto"/>
              </w:rPr>
            </w:pPr>
          </w:p>
        </w:tc>
        <w:tc>
          <w:tcPr>
            <w:tcW w:w="1220" w:type="dxa"/>
            <w:vAlign w:val="bottom"/>
            <w:vMerge w:val="continue"/>
            <w:shd w:val="clear" w:color="auto" w:fill="EFEDED"/>
          </w:tcPr>
          <w:p>
            <w:pPr>
              <w:spacing w:after="0"/>
              <w:rPr>
                <w:sz w:val="6"/>
                <w:szCs w:val="6"/>
                <w:color w:val="auto"/>
              </w:rPr>
            </w:pPr>
          </w:p>
        </w:tc>
        <w:tc>
          <w:tcPr>
            <w:tcW w:w="286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Managing Director, Prettybrook Partners,</w:t>
            </w:r>
          </w:p>
        </w:tc>
        <w:tc>
          <w:tcPr>
            <w:tcW w:w="360" w:type="dxa"/>
            <w:vAlign w:val="bottom"/>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40" w:type="dxa"/>
            <w:vAlign w:val="bottom"/>
            <w:shd w:val="clear" w:color="auto" w:fill="EFEDED"/>
          </w:tcPr>
          <w:p>
            <w:pPr>
              <w:spacing w:after="0"/>
              <w:rPr>
                <w:sz w:val="10"/>
                <w:szCs w:val="10"/>
                <w:color w:val="auto"/>
              </w:rPr>
            </w:pPr>
          </w:p>
        </w:tc>
        <w:tc>
          <w:tcPr>
            <w:tcW w:w="700" w:type="dxa"/>
            <w:vAlign w:val="bottom"/>
            <w:shd w:val="clear" w:color="auto" w:fill="EFEDED"/>
          </w:tcPr>
          <w:p>
            <w:pPr>
              <w:spacing w:after="0"/>
              <w:rPr>
                <w:sz w:val="10"/>
                <w:szCs w:val="10"/>
                <w:color w:val="auto"/>
              </w:rPr>
            </w:pPr>
          </w:p>
        </w:tc>
        <w:tc>
          <w:tcPr>
            <w:tcW w:w="920" w:type="dxa"/>
            <w:vAlign w:val="bottom"/>
            <w:shd w:val="clear" w:color="auto" w:fill="EFEDED"/>
          </w:tcPr>
          <w:p>
            <w:pPr>
              <w:spacing w:after="0"/>
              <w:rPr>
                <w:sz w:val="10"/>
                <w:szCs w:val="10"/>
                <w:color w:val="auto"/>
              </w:rPr>
            </w:pPr>
          </w:p>
        </w:tc>
        <w:tc>
          <w:tcPr>
            <w:tcW w:w="1220" w:type="dxa"/>
            <w:vAlign w:val="bottom"/>
            <w:shd w:val="clear" w:color="auto" w:fill="EFEDED"/>
          </w:tcPr>
          <w:p>
            <w:pPr>
              <w:spacing w:after="0"/>
              <w:rPr>
                <w:sz w:val="10"/>
                <w:szCs w:val="10"/>
                <w:color w:val="auto"/>
              </w:rPr>
            </w:pPr>
          </w:p>
        </w:tc>
        <w:tc>
          <w:tcPr>
            <w:tcW w:w="2860" w:type="dxa"/>
            <w:vAlign w:val="bottom"/>
            <w:vMerge w:val="continue"/>
            <w:shd w:val="clear" w:color="auto" w:fill="EFEDED"/>
          </w:tcPr>
          <w:p>
            <w:pPr>
              <w:spacing w:after="0"/>
              <w:rPr>
                <w:sz w:val="10"/>
                <w:szCs w:val="10"/>
                <w:color w:val="auto"/>
              </w:rPr>
            </w:pPr>
          </w:p>
        </w:tc>
        <w:tc>
          <w:tcPr>
            <w:tcW w:w="360" w:type="dxa"/>
            <w:vAlign w:val="bottom"/>
            <w:shd w:val="clear" w:color="auto" w:fill="EFEDED"/>
          </w:tcPr>
          <w:p>
            <w:pPr>
              <w:spacing w:after="0"/>
              <w:rPr>
                <w:sz w:val="10"/>
                <w:szCs w:val="10"/>
                <w:color w:val="auto"/>
              </w:rPr>
            </w:pPr>
          </w:p>
        </w:tc>
        <w:tc>
          <w:tcPr>
            <w:tcW w:w="860" w:type="dxa"/>
            <w:vAlign w:val="bottom"/>
            <w:shd w:val="clear" w:color="auto" w:fill="EFEDED"/>
          </w:tcPr>
          <w:p>
            <w:pPr>
              <w:spacing w:after="0"/>
              <w:rPr>
                <w:sz w:val="10"/>
                <w:szCs w:val="10"/>
                <w:color w:val="auto"/>
              </w:rPr>
            </w:pPr>
          </w:p>
        </w:tc>
        <w:tc>
          <w:tcPr>
            <w:tcW w:w="860" w:type="dxa"/>
            <w:vAlign w:val="bottom"/>
            <w:shd w:val="clear" w:color="auto" w:fill="EFEDED"/>
          </w:tcPr>
          <w:p>
            <w:pPr>
              <w:spacing w:after="0"/>
              <w:rPr>
                <w:sz w:val="10"/>
                <w:szCs w:val="10"/>
                <w:color w:val="auto"/>
              </w:rPr>
            </w:pPr>
          </w:p>
        </w:tc>
        <w:tc>
          <w:tcPr>
            <w:tcW w:w="360" w:type="dxa"/>
            <w:vAlign w:val="bottom"/>
            <w:shd w:val="clear" w:color="auto" w:fill="EFEDED"/>
          </w:tcPr>
          <w:p>
            <w:pPr>
              <w:spacing w:after="0"/>
              <w:rPr>
                <w:sz w:val="10"/>
                <w:szCs w:val="10"/>
                <w:color w:val="auto"/>
              </w:rPr>
            </w:pPr>
          </w:p>
        </w:tc>
        <w:tc>
          <w:tcPr>
            <w:tcW w:w="1260" w:type="dxa"/>
            <w:vAlign w:val="bottom"/>
            <w:shd w:val="clear" w:color="auto" w:fill="EFEDED"/>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840" w:type="dxa"/>
            <w:vAlign w:val="bottom"/>
            <w:shd w:val="clear" w:color="auto" w:fill="EFEDED"/>
          </w:tcPr>
          <w:p>
            <w:pPr>
              <w:spacing w:after="0"/>
              <w:rPr>
                <w:sz w:val="17"/>
                <w:szCs w:val="17"/>
                <w:color w:val="auto"/>
              </w:rPr>
            </w:pPr>
          </w:p>
        </w:tc>
        <w:tc>
          <w:tcPr>
            <w:tcW w:w="700" w:type="dxa"/>
            <w:vAlign w:val="bottom"/>
            <w:shd w:val="clear" w:color="auto" w:fill="EFEDED"/>
          </w:tcPr>
          <w:p>
            <w:pPr>
              <w:spacing w:after="0"/>
              <w:rPr>
                <w:sz w:val="17"/>
                <w:szCs w:val="17"/>
                <w:color w:val="auto"/>
              </w:rPr>
            </w:pPr>
          </w:p>
        </w:tc>
        <w:tc>
          <w:tcPr>
            <w:tcW w:w="920" w:type="dxa"/>
            <w:vAlign w:val="bottom"/>
            <w:shd w:val="clear" w:color="auto" w:fill="EFEDED"/>
          </w:tcPr>
          <w:p>
            <w:pPr>
              <w:spacing w:after="0"/>
              <w:rPr>
                <w:sz w:val="17"/>
                <w:szCs w:val="17"/>
                <w:color w:val="auto"/>
              </w:rPr>
            </w:pPr>
          </w:p>
        </w:tc>
        <w:tc>
          <w:tcPr>
            <w:tcW w:w="1220" w:type="dxa"/>
            <w:vAlign w:val="bottom"/>
            <w:shd w:val="clear" w:color="auto" w:fill="EFEDED"/>
          </w:tcPr>
          <w:p>
            <w:pPr>
              <w:spacing w:after="0"/>
              <w:rPr>
                <w:sz w:val="17"/>
                <w:szCs w:val="17"/>
                <w:color w:val="auto"/>
              </w:rPr>
            </w:pPr>
          </w:p>
        </w:tc>
        <w:tc>
          <w:tcPr>
            <w:tcW w:w="28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LLC</w:t>
            </w:r>
          </w:p>
        </w:tc>
        <w:tc>
          <w:tcPr>
            <w:tcW w:w="3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c>
          <w:tcPr>
            <w:tcW w:w="360" w:type="dxa"/>
            <w:vAlign w:val="bottom"/>
            <w:shd w:val="clear" w:color="auto" w:fill="EFEDED"/>
          </w:tcPr>
          <w:p>
            <w:pPr>
              <w:spacing w:after="0"/>
              <w:rPr>
                <w:sz w:val="17"/>
                <w:szCs w:val="17"/>
                <w:color w:val="auto"/>
              </w:rPr>
            </w:pPr>
          </w:p>
        </w:tc>
        <w:tc>
          <w:tcPr>
            <w:tcW w:w="126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4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62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2023</w:t>
            </w:r>
          </w:p>
        </w:tc>
        <w:tc>
          <w:tcPr>
            <w:tcW w:w="122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58595B"/>
              </w:rPr>
              <w:t>President and CEO, 3D Systems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right"/>
              <w:ind w:right="408"/>
              <w:spacing w:after="0"/>
              <w:rPr>
                <w:sz w:val="20"/>
                <w:szCs w:val="20"/>
                <w:color w:val="auto"/>
              </w:rPr>
            </w:pPr>
            <w:r>
              <w:rPr>
                <w:rFonts w:ascii="Arial" w:cs="Arial" w:eastAsia="Arial" w:hAnsi="Arial"/>
                <w:sz w:val="14"/>
                <w:szCs w:val="14"/>
                <w:color w:val="58595B"/>
              </w:rPr>
              <w:t>2**</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58595B"/>
              </w:rPr>
              <w:t>Corporation</w:t>
            </w: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84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7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71</w:t>
            </w:r>
          </w:p>
        </w:tc>
        <w:tc>
          <w:tcPr>
            <w:tcW w:w="9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2013</w:t>
            </w:r>
          </w:p>
        </w:tc>
        <w:tc>
          <w:tcPr>
            <w:tcW w:w="1220" w:type="dxa"/>
            <w:vAlign w:val="bottom"/>
            <w:shd w:val="clear" w:color="auto" w:fill="EFEDED"/>
          </w:tcPr>
          <w:p>
            <w:pPr>
              <w:spacing w:after="0"/>
              <w:rPr>
                <w:sz w:val="23"/>
                <w:szCs w:val="23"/>
                <w:color w:val="auto"/>
              </w:rPr>
            </w:pPr>
          </w:p>
        </w:tc>
        <w:tc>
          <w:tcPr>
            <w:tcW w:w="28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Operating Partner, NexPhase Capital</w:t>
            </w:r>
          </w:p>
        </w:tc>
        <w:tc>
          <w:tcPr>
            <w:tcW w:w="360" w:type="dxa"/>
            <w:vAlign w:val="bottom"/>
            <w:shd w:val="clear" w:color="auto" w:fill="EFEDED"/>
          </w:tcPr>
          <w:p>
            <w:pPr>
              <w:spacing w:after="0"/>
              <w:rPr>
                <w:sz w:val="23"/>
                <w:szCs w:val="23"/>
                <w:color w:val="auto"/>
              </w:rPr>
            </w:pPr>
          </w:p>
        </w:tc>
        <w:tc>
          <w:tcPr>
            <w:tcW w:w="860" w:type="dxa"/>
            <w:vAlign w:val="bottom"/>
            <w:shd w:val="clear" w:color="auto" w:fill="EFEDED"/>
          </w:tcPr>
          <w:p>
            <w:pPr>
              <w:spacing w:after="0"/>
              <w:rPr>
                <w:sz w:val="23"/>
                <w:szCs w:val="23"/>
                <w:color w:val="auto"/>
              </w:rPr>
            </w:pPr>
          </w:p>
        </w:tc>
        <w:tc>
          <w:tcPr>
            <w:tcW w:w="860" w:type="dxa"/>
            <w:vAlign w:val="bottom"/>
            <w:shd w:val="clear" w:color="auto" w:fill="EFEDED"/>
          </w:tcPr>
          <w:p>
            <w:pPr>
              <w:spacing w:after="0"/>
              <w:rPr>
                <w:sz w:val="23"/>
                <w:szCs w:val="23"/>
                <w:color w:val="auto"/>
              </w:rPr>
            </w:pPr>
          </w:p>
        </w:tc>
        <w:tc>
          <w:tcPr>
            <w:tcW w:w="360" w:type="dxa"/>
            <w:vAlign w:val="bottom"/>
            <w:shd w:val="clear" w:color="auto" w:fill="EFEDED"/>
          </w:tcPr>
          <w:p>
            <w:pPr>
              <w:spacing w:after="0"/>
              <w:rPr>
                <w:sz w:val="23"/>
                <w:szCs w:val="23"/>
                <w:color w:val="auto"/>
              </w:rPr>
            </w:pPr>
          </w:p>
        </w:tc>
        <w:tc>
          <w:tcPr>
            <w:tcW w:w="12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70"/>
        </w:trPr>
        <w:tc>
          <w:tcPr>
            <w:tcW w:w="1840" w:type="dxa"/>
            <w:vAlign w:val="bottom"/>
            <w:shd w:val="clear" w:color="auto" w:fill="EFEDED"/>
          </w:tcPr>
          <w:p>
            <w:pPr>
              <w:spacing w:after="0"/>
              <w:rPr>
                <w:sz w:val="6"/>
                <w:szCs w:val="6"/>
                <w:color w:val="auto"/>
              </w:rPr>
            </w:pPr>
          </w:p>
        </w:tc>
        <w:tc>
          <w:tcPr>
            <w:tcW w:w="700" w:type="dxa"/>
            <w:vAlign w:val="bottom"/>
            <w:shd w:val="clear" w:color="auto" w:fill="EFEDED"/>
          </w:tcPr>
          <w:p>
            <w:pPr>
              <w:spacing w:after="0"/>
              <w:rPr>
                <w:sz w:val="6"/>
                <w:szCs w:val="6"/>
                <w:color w:val="auto"/>
              </w:rPr>
            </w:pPr>
          </w:p>
        </w:tc>
        <w:tc>
          <w:tcPr>
            <w:tcW w:w="92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2860" w:type="dxa"/>
            <w:vAlign w:val="bottom"/>
            <w:shd w:val="clear" w:color="auto" w:fill="EFEDED"/>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860" w:type="dxa"/>
            <w:vAlign w:val="bottom"/>
            <w:shd w:val="clear" w:color="auto" w:fill="EFEDED"/>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Renee W. Lo</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58595B"/>
              </w:rPr>
              <w:t>43</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58595B"/>
              </w:rPr>
              <w:t>2022</w:t>
            </w:r>
          </w:p>
        </w:tc>
        <w:tc>
          <w:tcPr>
            <w:tcW w:w="122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58595B"/>
              </w:rPr>
              <w:t>Partner CTO, APAC Regional Director,</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2860" w:type="dxa"/>
            <w:vAlign w:val="bottom"/>
            <w:vMerge w:val="restart"/>
          </w:tcPr>
          <w:p>
            <w:pPr>
              <w:ind w:left="20"/>
              <w:spacing w:after="0"/>
              <w:rPr>
                <w:sz w:val="20"/>
                <w:szCs w:val="20"/>
                <w:color w:val="auto"/>
              </w:rPr>
            </w:pPr>
            <w:r>
              <w:rPr>
                <w:rFonts w:ascii="Arial" w:cs="Arial" w:eastAsia="Arial" w:hAnsi="Arial"/>
                <w:sz w:val="14"/>
                <w:szCs w:val="14"/>
                <w:color w:val="58595B"/>
              </w:rPr>
              <w:t>Google</w:t>
            </w: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40" w:type="dxa"/>
            <w:vAlign w:val="bottom"/>
            <w:vMerge w:val="restart"/>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70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76</w:t>
            </w:r>
          </w:p>
        </w:tc>
        <w:tc>
          <w:tcPr>
            <w:tcW w:w="92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rPr>
              <w:t>2009</w:t>
            </w:r>
          </w:p>
        </w:tc>
        <w:tc>
          <w:tcPr>
            <w:tcW w:w="1220" w:type="dxa"/>
            <w:vAlign w:val="bottom"/>
            <w:shd w:val="clear" w:color="auto" w:fill="EFEDED"/>
          </w:tcPr>
          <w:p>
            <w:pPr>
              <w:spacing w:after="0"/>
              <w:rPr>
                <w:sz w:val="16"/>
                <w:szCs w:val="16"/>
                <w:color w:val="auto"/>
              </w:rPr>
            </w:pPr>
          </w:p>
        </w:tc>
        <w:tc>
          <w:tcPr>
            <w:tcW w:w="286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Retired Senior Vice President and</w:t>
            </w:r>
          </w:p>
        </w:tc>
        <w:tc>
          <w:tcPr>
            <w:tcW w:w="3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860" w:type="dxa"/>
            <w:vAlign w:val="bottom"/>
            <w:shd w:val="clear" w:color="auto" w:fill="EFEDED"/>
          </w:tcPr>
          <w:p>
            <w:pPr>
              <w:spacing w:after="0"/>
              <w:rPr>
                <w:sz w:val="16"/>
                <w:szCs w:val="16"/>
                <w:color w:val="auto"/>
              </w:rPr>
            </w:pPr>
          </w:p>
        </w:tc>
        <w:tc>
          <w:tcPr>
            <w:tcW w:w="360" w:type="dxa"/>
            <w:vAlign w:val="bottom"/>
            <w:shd w:val="clear" w:color="auto" w:fill="EFEDED"/>
          </w:tcPr>
          <w:p>
            <w:pPr>
              <w:spacing w:after="0"/>
              <w:rPr>
                <w:sz w:val="16"/>
                <w:szCs w:val="16"/>
                <w:color w:val="auto"/>
              </w:rPr>
            </w:pPr>
          </w:p>
        </w:tc>
        <w:tc>
          <w:tcPr>
            <w:tcW w:w="1260" w:type="dxa"/>
            <w:vAlign w:val="bottom"/>
            <w:vMerge w:val="restart"/>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0" w:type="dxa"/>
            <w:vAlign w:val="bottom"/>
          </w:tcPr>
          <w:p>
            <w:pPr>
              <w:spacing w:after="0"/>
              <w:rPr>
                <w:sz w:val="1"/>
                <w:szCs w:val="1"/>
                <w:color w:val="auto"/>
              </w:rPr>
            </w:pPr>
          </w:p>
        </w:tc>
      </w:tr>
      <w:tr>
        <w:trPr>
          <w:trHeight w:val="102"/>
        </w:trPr>
        <w:tc>
          <w:tcPr>
            <w:tcW w:w="1840" w:type="dxa"/>
            <w:vAlign w:val="bottom"/>
            <w:vMerge w:val="continue"/>
            <w:shd w:val="clear" w:color="auto" w:fill="EFEDED"/>
          </w:tcPr>
          <w:p>
            <w:pPr>
              <w:spacing w:after="0"/>
              <w:rPr>
                <w:sz w:val="8"/>
                <w:szCs w:val="8"/>
                <w:color w:val="auto"/>
              </w:rPr>
            </w:pPr>
          </w:p>
        </w:tc>
        <w:tc>
          <w:tcPr>
            <w:tcW w:w="700" w:type="dxa"/>
            <w:vAlign w:val="bottom"/>
            <w:vMerge w:val="continue"/>
            <w:shd w:val="clear" w:color="auto" w:fill="EFEDED"/>
          </w:tcPr>
          <w:p>
            <w:pPr>
              <w:spacing w:after="0"/>
              <w:rPr>
                <w:sz w:val="8"/>
                <w:szCs w:val="8"/>
                <w:color w:val="auto"/>
              </w:rPr>
            </w:pPr>
          </w:p>
        </w:tc>
        <w:tc>
          <w:tcPr>
            <w:tcW w:w="920" w:type="dxa"/>
            <w:vAlign w:val="bottom"/>
            <w:vMerge w:val="continue"/>
            <w:shd w:val="clear" w:color="auto" w:fill="EFEDED"/>
          </w:tcPr>
          <w:p>
            <w:pPr>
              <w:spacing w:after="0"/>
              <w:rPr>
                <w:sz w:val="8"/>
                <w:szCs w:val="8"/>
                <w:color w:val="auto"/>
              </w:rPr>
            </w:pPr>
          </w:p>
        </w:tc>
        <w:tc>
          <w:tcPr>
            <w:tcW w:w="1220" w:type="dxa"/>
            <w:vAlign w:val="bottom"/>
            <w:shd w:val="clear" w:color="auto" w:fill="EFEDED"/>
          </w:tcPr>
          <w:p>
            <w:pPr>
              <w:spacing w:after="0"/>
              <w:rPr>
                <w:sz w:val="8"/>
                <w:szCs w:val="8"/>
                <w:color w:val="auto"/>
              </w:rPr>
            </w:pPr>
          </w:p>
        </w:tc>
        <w:tc>
          <w:tcPr>
            <w:tcW w:w="2860" w:type="dxa"/>
            <w:vAlign w:val="bottom"/>
            <w:vMerge w:val="restart"/>
            <w:shd w:val="clear" w:color="auto" w:fill="EFEDED"/>
          </w:tcPr>
          <w:p>
            <w:pPr>
              <w:ind w:left="20"/>
              <w:spacing w:after="0"/>
              <w:rPr>
                <w:sz w:val="20"/>
                <w:szCs w:val="20"/>
                <w:color w:val="auto"/>
              </w:rPr>
            </w:pPr>
            <w:r>
              <w:rPr>
                <w:rFonts w:ascii="Arial" w:cs="Arial" w:eastAsia="Arial" w:hAnsi="Arial"/>
                <w:sz w:val="14"/>
                <w:szCs w:val="14"/>
                <w:color w:val="58595B"/>
              </w:rPr>
              <w:t>Treasurer, Time Warner Inc.</w:t>
            </w:r>
          </w:p>
        </w:tc>
        <w:tc>
          <w:tcPr>
            <w:tcW w:w="3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860" w:type="dxa"/>
            <w:vAlign w:val="bottom"/>
            <w:shd w:val="clear" w:color="auto" w:fill="EFEDED"/>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126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40" w:type="dxa"/>
            <w:vAlign w:val="bottom"/>
            <w:tcBorders>
              <w:bottom w:val="single" w:sz="8" w:color="EFEDED"/>
            </w:tcBorders>
            <w:shd w:val="clear" w:color="auto" w:fill="EFEDED"/>
          </w:tcPr>
          <w:p>
            <w:pPr>
              <w:spacing w:after="0"/>
              <w:rPr>
                <w:sz w:val="7"/>
                <w:szCs w:val="7"/>
                <w:color w:val="auto"/>
              </w:rPr>
            </w:pPr>
          </w:p>
        </w:tc>
        <w:tc>
          <w:tcPr>
            <w:tcW w:w="700" w:type="dxa"/>
            <w:vAlign w:val="bottom"/>
            <w:tcBorders>
              <w:bottom w:val="single" w:sz="8" w:color="EFEDED"/>
            </w:tcBorders>
            <w:shd w:val="clear" w:color="auto" w:fill="EFEDED"/>
          </w:tcPr>
          <w:p>
            <w:pPr>
              <w:spacing w:after="0"/>
              <w:rPr>
                <w:sz w:val="7"/>
                <w:szCs w:val="7"/>
                <w:color w:val="auto"/>
              </w:rPr>
            </w:pPr>
          </w:p>
        </w:tc>
        <w:tc>
          <w:tcPr>
            <w:tcW w:w="920" w:type="dxa"/>
            <w:vAlign w:val="bottom"/>
            <w:tcBorders>
              <w:bottom w:val="single" w:sz="8" w:color="EFEDED"/>
            </w:tcBorders>
            <w:shd w:val="clear" w:color="auto" w:fill="EFEDED"/>
          </w:tcPr>
          <w:p>
            <w:pPr>
              <w:spacing w:after="0"/>
              <w:rPr>
                <w:sz w:val="7"/>
                <w:szCs w:val="7"/>
                <w:color w:val="auto"/>
              </w:rPr>
            </w:pPr>
          </w:p>
        </w:tc>
        <w:tc>
          <w:tcPr>
            <w:tcW w:w="1220" w:type="dxa"/>
            <w:vAlign w:val="bottom"/>
            <w:tcBorders>
              <w:bottom w:val="single" w:sz="8" w:color="EFEDED"/>
            </w:tcBorders>
            <w:shd w:val="clear" w:color="auto" w:fill="EFEDED"/>
          </w:tcPr>
          <w:p>
            <w:pPr>
              <w:spacing w:after="0"/>
              <w:rPr>
                <w:sz w:val="7"/>
                <w:szCs w:val="7"/>
                <w:color w:val="auto"/>
              </w:rPr>
            </w:pPr>
          </w:p>
        </w:tc>
        <w:tc>
          <w:tcPr>
            <w:tcW w:w="2860" w:type="dxa"/>
            <w:vAlign w:val="bottom"/>
            <w:tcBorders>
              <w:bottom w:val="single" w:sz="8" w:color="EFEDED"/>
            </w:tcBorders>
            <w:vMerge w:val="continue"/>
            <w:shd w:val="clear" w:color="auto" w:fill="EFEDED"/>
          </w:tcPr>
          <w:p>
            <w:pPr>
              <w:spacing w:after="0"/>
              <w:rPr>
                <w:sz w:val="7"/>
                <w:szCs w:val="7"/>
                <w:color w:val="auto"/>
              </w:rPr>
            </w:pPr>
          </w:p>
        </w:tc>
        <w:tc>
          <w:tcPr>
            <w:tcW w:w="36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860" w:type="dxa"/>
            <w:vAlign w:val="bottom"/>
            <w:tcBorders>
              <w:bottom w:val="single" w:sz="8" w:color="EFEDED"/>
            </w:tcBorders>
            <w:shd w:val="clear" w:color="auto" w:fill="EFEDED"/>
          </w:tcPr>
          <w:p>
            <w:pPr>
              <w:spacing w:after="0"/>
              <w:rPr>
                <w:sz w:val="7"/>
                <w:szCs w:val="7"/>
                <w:color w:val="auto"/>
              </w:rPr>
            </w:pPr>
          </w:p>
        </w:tc>
        <w:tc>
          <w:tcPr>
            <w:tcW w:w="360" w:type="dxa"/>
            <w:vAlign w:val="bottom"/>
            <w:tcBorders>
              <w:bottom w:val="single" w:sz="8" w:color="EFEDED"/>
            </w:tcBorders>
            <w:shd w:val="clear" w:color="auto" w:fill="EFEDED"/>
          </w:tcPr>
          <w:p>
            <w:pPr>
              <w:spacing w:after="0"/>
              <w:rPr>
                <w:sz w:val="7"/>
                <w:szCs w:val="7"/>
                <w:color w:val="auto"/>
              </w:rPr>
            </w:pPr>
          </w:p>
        </w:tc>
        <w:tc>
          <w:tcPr>
            <w:tcW w:w="126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84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700" w:type="dxa"/>
            <w:vAlign w:val="bottom"/>
          </w:tcPr>
          <w:p>
            <w:pPr>
              <w:jc w:val="center"/>
              <w:spacing w:after="0"/>
              <w:rPr>
                <w:sz w:val="20"/>
                <w:szCs w:val="20"/>
                <w:color w:val="auto"/>
              </w:rPr>
            </w:pPr>
            <w:r>
              <w:rPr>
                <w:rFonts w:ascii="Arial" w:cs="Arial" w:eastAsia="Arial" w:hAnsi="Arial"/>
                <w:sz w:val="14"/>
                <w:szCs w:val="14"/>
                <w:color w:val="58595B"/>
              </w:rPr>
              <w:t>63</w:t>
            </w:r>
          </w:p>
        </w:tc>
        <w:tc>
          <w:tcPr>
            <w:tcW w:w="920" w:type="dxa"/>
            <w:vAlign w:val="bottom"/>
          </w:tcPr>
          <w:p>
            <w:pPr>
              <w:jc w:val="center"/>
              <w:spacing w:after="0"/>
              <w:rPr>
                <w:sz w:val="20"/>
                <w:szCs w:val="20"/>
                <w:color w:val="auto"/>
              </w:rPr>
            </w:pPr>
            <w:r>
              <w:rPr>
                <w:rFonts w:ascii="Arial" w:cs="Arial" w:eastAsia="Arial" w:hAnsi="Arial"/>
                <w:sz w:val="14"/>
                <w:szCs w:val="14"/>
                <w:color w:val="58595B"/>
              </w:rPr>
              <w:t>2006</w:t>
            </w:r>
          </w:p>
        </w:tc>
        <w:tc>
          <w:tcPr>
            <w:tcW w:w="1220" w:type="dxa"/>
            <w:vAlign w:val="bottom"/>
          </w:tcPr>
          <w:p>
            <w:pPr>
              <w:spacing w:after="0"/>
              <w:rPr>
                <w:sz w:val="23"/>
                <w:szCs w:val="23"/>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58595B"/>
              </w:rPr>
              <w:t>Growth Partner, Flagship Pioneering</w:t>
            </w: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70"/>
        </w:trPr>
        <w:tc>
          <w:tcPr>
            <w:tcW w:w="1840" w:type="dxa"/>
            <w:vAlign w:val="bottom"/>
            <w:tcBorders>
              <w:bottom w:val="single" w:sz="8" w:color="58595B"/>
            </w:tcBorders>
          </w:tcPr>
          <w:p>
            <w:pPr>
              <w:spacing w:after="0"/>
              <w:rPr>
                <w:sz w:val="6"/>
                <w:szCs w:val="6"/>
                <w:color w:val="auto"/>
              </w:rPr>
            </w:pPr>
          </w:p>
        </w:tc>
        <w:tc>
          <w:tcPr>
            <w:tcW w:w="700" w:type="dxa"/>
            <w:vAlign w:val="bottom"/>
            <w:tcBorders>
              <w:bottom w:val="single" w:sz="8" w:color="58595B"/>
            </w:tcBorders>
          </w:tcPr>
          <w:p>
            <w:pPr>
              <w:spacing w:after="0"/>
              <w:rPr>
                <w:sz w:val="6"/>
                <w:szCs w:val="6"/>
                <w:color w:val="auto"/>
              </w:rPr>
            </w:pPr>
          </w:p>
        </w:tc>
        <w:tc>
          <w:tcPr>
            <w:tcW w:w="920" w:type="dxa"/>
            <w:vAlign w:val="bottom"/>
            <w:tcBorders>
              <w:bottom w:val="single" w:sz="8" w:color="58595B"/>
            </w:tcBorders>
          </w:tcPr>
          <w:p>
            <w:pPr>
              <w:spacing w:after="0"/>
              <w:rPr>
                <w:sz w:val="6"/>
                <w:szCs w:val="6"/>
                <w:color w:val="auto"/>
              </w:rPr>
            </w:pPr>
          </w:p>
        </w:tc>
        <w:tc>
          <w:tcPr>
            <w:tcW w:w="1220" w:type="dxa"/>
            <w:vAlign w:val="bottom"/>
            <w:tcBorders>
              <w:bottom w:val="single" w:sz="8" w:color="58595B"/>
            </w:tcBorders>
          </w:tcPr>
          <w:p>
            <w:pPr>
              <w:spacing w:after="0"/>
              <w:rPr>
                <w:sz w:val="6"/>
                <w:szCs w:val="6"/>
                <w:color w:val="auto"/>
              </w:rPr>
            </w:pPr>
          </w:p>
        </w:tc>
        <w:tc>
          <w:tcPr>
            <w:tcW w:w="2860" w:type="dxa"/>
            <w:vAlign w:val="bottom"/>
            <w:tcBorders>
              <w:bottom w:val="single" w:sz="8" w:color="58595B"/>
            </w:tcBorders>
          </w:tcPr>
          <w:p>
            <w:pPr>
              <w:spacing w:after="0"/>
              <w:rPr>
                <w:sz w:val="6"/>
                <w:szCs w:val="6"/>
                <w:color w:val="auto"/>
              </w:rPr>
            </w:pPr>
          </w:p>
        </w:tc>
        <w:tc>
          <w:tcPr>
            <w:tcW w:w="360" w:type="dxa"/>
            <w:vAlign w:val="bottom"/>
            <w:tcBorders>
              <w:bottom w:val="single" w:sz="8" w:color="58595B"/>
            </w:tcBorders>
          </w:tcPr>
          <w:p>
            <w:pPr>
              <w:spacing w:after="0"/>
              <w:rPr>
                <w:sz w:val="6"/>
                <w:szCs w:val="6"/>
                <w:color w:val="auto"/>
              </w:rPr>
            </w:pPr>
          </w:p>
        </w:tc>
        <w:tc>
          <w:tcPr>
            <w:tcW w:w="860" w:type="dxa"/>
            <w:vAlign w:val="bottom"/>
            <w:tcBorders>
              <w:bottom w:val="single" w:sz="8" w:color="58595B"/>
            </w:tcBorders>
          </w:tcPr>
          <w:p>
            <w:pPr>
              <w:spacing w:after="0"/>
              <w:rPr>
                <w:sz w:val="6"/>
                <w:szCs w:val="6"/>
                <w:color w:val="auto"/>
              </w:rPr>
            </w:pPr>
          </w:p>
        </w:tc>
        <w:tc>
          <w:tcPr>
            <w:tcW w:w="860" w:type="dxa"/>
            <w:vAlign w:val="bottom"/>
            <w:tcBorders>
              <w:bottom w:val="single" w:sz="8" w:color="58595B"/>
            </w:tcBorders>
          </w:tcPr>
          <w:p>
            <w:pPr>
              <w:spacing w:after="0"/>
              <w:rPr>
                <w:sz w:val="6"/>
                <w:szCs w:val="6"/>
                <w:color w:val="auto"/>
              </w:rPr>
            </w:pPr>
          </w:p>
        </w:tc>
        <w:tc>
          <w:tcPr>
            <w:tcW w:w="360" w:type="dxa"/>
            <w:vAlign w:val="bottom"/>
            <w:tcBorders>
              <w:bottom w:val="single" w:sz="8" w:color="58595B"/>
            </w:tcBorders>
          </w:tcPr>
          <w:p>
            <w:pPr>
              <w:spacing w:after="0"/>
              <w:rPr>
                <w:sz w:val="6"/>
                <w:szCs w:val="6"/>
                <w:color w:val="auto"/>
              </w:rPr>
            </w:pPr>
          </w:p>
        </w:tc>
        <w:tc>
          <w:tcPr>
            <w:tcW w:w="1260" w:type="dxa"/>
            <w:vAlign w:val="bottom"/>
            <w:tcBorders>
              <w:bottom w:val="single" w:sz="8" w:color="58595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-3085465</wp:posOffset>
            </wp:positionV>
            <wp:extent cx="1543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-2682875</wp:posOffset>
            </wp:positionV>
            <wp:extent cx="17145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-2691130</wp:posOffset>
            </wp:positionV>
            <wp:extent cx="12001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-2700020</wp:posOffset>
            </wp:positionV>
            <wp:extent cx="2057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-2700020</wp:posOffset>
            </wp:positionV>
            <wp:extent cx="20574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-2313940</wp:posOffset>
            </wp:positionV>
            <wp:extent cx="17145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-2339975</wp:posOffset>
            </wp:positionV>
            <wp:extent cx="2057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-1174115</wp:posOffset>
            </wp:positionV>
            <wp:extent cx="17145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282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-1199515</wp:posOffset>
            </wp:positionV>
            <wp:extent cx="2057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-942340</wp:posOffset>
            </wp:positionV>
            <wp:extent cx="17145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-951230</wp:posOffset>
            </wp:positionV>
            <wp:extent cx="12001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-702310</wp:posOffset>
            </wp:positionV>
            <wp:extent cx="17145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-728345</wp:posOffset>
            </wp:positionV>
            <wp:extent cx="2057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-445135</wp:posOffset>
            </wp:positionV>
            <wp:extent cx="17145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-471170</wp:posOffset>
            </wp:positionV>
            <wp:extent cx="20574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-471170</wp:posOffset>
            </wp:positionV>
            <wp:extent cx="2057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-471170</wp:posOffset>
            </wp:positionV>
            <wp:extent cx="2057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-213995</wp:posOffset>
            </wp:positionV>
            <wp:extent cx="17145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-222250</wp:posOffset>
            </wp:positionV>
            <wp:extent cx="12001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-222250</wp:posOffset>
            </wp:positionV>
            <wp:extent cx="12001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73" w:lineRule="exact"/>
        <w:rPr>
          <w:sz w:val="20"/>
          <w:szCs w:val="20"/>
          <w:color w:val="auto"/>
        </w:rPr>
      </w:pPr>
    </w:p>
    <w:p>
      <w:pPr>
        <w:ind w:left="240" w:hanging="214"/>
        <w:spacing w:after="0"/>
        <w:tabs>
          <w:tab w:leader="none" w:pos="240" w:val="left"/>
        </w:tabs>
        <w:numPr>
          <w:ilvl w:val="0"/>
          <w:numId w:val="6"/>
        </w:numPr>
        <w:rPr>
          <w:rFonts w:ascii="Arial" w:cs="Arial" w:eastAsia="Arial" w:hAnsi="Arial"/>
          <w:sz w:val="14"/>
          <w:szCs w:val="14"/>
          <w:color w:val="58595B"/>
        </w:rPr>
      </w:pPr>
      <w:r>
        <w:rPr>
          <w:rFonts w:ascii="Arial" w:cs="Arial" w:eastAsia="Arial" w:hAnsi="Arial"/>
          <w:sz w:val="14"/>
          <w:szCs w:val="14"/>
          <w:color w:val="58595B"/>
        </w:rPr>
        <w:t>As of March 31, 2024</w:t>
      </w:r>
    </w:p>
    <w:p>
      <w:pPr>
        <w:spacing w:after="0" w:line="29" w:lineRule="exact"/>
        <w:rPr>
          <w:sz w:val="20"/>
          <w:szCs w:val="20"/>
          <w:color w:val="auto"/>
        </w:rPr>
      </w:pPr>
    </w:p>
    <w:p>
      <w:pPr>
        <w:ind w:left="180" w:right="1440" w:hanging="154"/>
        <w:spacing w:after="0" w:line="284" w:lineRule="auto"/>
        <w:tabs>
          <w:tab w:leader="none" w:pos="170" w:val="left"/>
        </w:tabs>
        <w:numPr>
          <w:ilvl w:val="0"/>
          <w:numId w:val="7"/>
        </w:numPr>
        <w:rPr>
          <w:rFonts w:ascii="Arial" w:cs="Arial" w:eastAsia="Arial" w:hAnsi="Arial"/>
          <w:sz w:val="14"/>
          <w:szCs w:val="14"/>
          <w:color w:val="58595B"/>
        </w:rPr>
      </w:pPr>
      <w:r>
        <w:rPr>
          <w:rFonts w:ascii="Arial" w:cs="Arial" w:eastAsia="Arial" w:hAnsi="Arial"/>
          <w:sz w:val="14"/>
          <w:szCs w:val="14"/>
          <w:color w:val="58595B"/>
        </w:rPr>
        <w:t>Dr. Graves currently serves on the board of directors of Hexcel Corporation. Dr. Graves is not standing for re-election at its upcoming annual meeting of stockholders and will cease to serve on the board of directors of Hexcel Corporation at the conclusion of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149225</wp:posOffset>
            </wp:positionV>
            <wp:extent cx="2146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630" cy="171450"/>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60" w:type="dxa"/>
            <w:vAlign w:val="bottom"/>
          </w:tcPr>
          <w:p>
            <w:pPr>
              <w:spacing w:after="0"/>
              <w:rPr>
                <w:sz w:val="20"/>
                <w:szCs w:val="20"/>
                <w:color w:val="auto"/>
              </w:rPr>
            </w:pPr>
            <w:r>
              <w:rPr>
                <w:rFonts w:ascii="Arial" w:cs="Arial" w:eastAsia="Arial" w:hAnsi="Arial"/>
                <w:sz w:val="14"/>
                <w:szCs w:val="14"/>
                <w:b w:val="1"/>
                <w:bCs w:val="1"/>
                <w:color w:val="58595B"/>
              </w:rPr>
              <w:t>A</w:t>
            </w:r>
          </w:p>
        </w:tc>
        <w:tc>
          <w:tcPr>
            <w:tcW w:w="1100" w:type="dxa"/>
            <w:vAlign w:val="bottom"/>
          </w:tcPr>
          <w:p>
            <w:pPr>
              <w:ind w:left="80"/>
              <w:spacing w:after="0"/>
              <w:rPr>
                <w:sz w:val="20"/>
                <w:szCs w:val="20"/>
                <w:color w:val="auto"/>
              </w:rPr>
            </w:pPr>
            <w:r>
              <w:rPr>
                <w:rFonts w:ascii="Arial" w:cs="Arial" w:eastAsia="Arial" w:hAnsi="Arial"/>
                <w:sz w:val="14"/>
                <w:szCs w:val="14"/>
                <w:color w:val="58595B"/>
              </w:rPr>
              <w:t>Audit</w:t>
            </w:r>
          </w:p>
        </w:tc>
        <w:tc>
          <w:tcPr>
            <w:tcW w:w="500" w:type="dxa"/>
            <w:vAlign w:val="bottom"/>
          </w:tcPr>
          <w:p>
            <w:pPr>
              <w:ind w:left="340"/>
              <w:spacing w:after="0"/>
              <w:rPr>
                <w:sz w:val="20"/>
                <w:szCs w:val="20"/>
                <w:color w:val="auto"/>
              </w:rPr>
            </w:pPr>
            <w:r>
              <w:rPr>
                <w:rFonts w:ascii="Arial" w:cs="Arial" w:eastAsia="Arial" w:hAnsi="Arial"/>
                <w:sz w:val="14"/>
                <w:szCs w:val="14"/>
                <w:b w:val="1"/>
                <w:bCs w:val="1"/>
                <w:color w:val="58595B"/>
              </w:rPr>
              <w:t>C</w:t>
            </w:r>
          </w:p>
        </w:tc>
        <w:tc>
          <w:tcPr>
            <w:tcW w:w="1360" w:type="dxa"/>
            <w:vAlign w:val="bottom"/>
          </w:tcPr>
          <w:p>
            <w:pPr>
              <w:ind w:left="80"/>
              <w:spacing w:after="0"/>
              <w:rPr>
                <w:sz w:val="20"/>
                <w:szCs w:val="20"/>
                <w:color w:val="auto"/>
              </w:rPr>
            </w:pPr>
            <w:r>
              <w:rPr>
                <w:rFonts w:ascii="Arial" w:cs="Arial" w:eastAsia="Arial" w:hAnsi="Arial"/>
                <w:sz w:val="14"/>
                <w:szCs w:val="14"/>
                <w:color w:val="58595B"/>
              </w:rPr>
              <w:t>Compensation</w:t>
            </w:r>
          </w:p>
        </w:tc>
        <w:tc>
          <w:tcPr>
            <w:tcW w:w="520" w:type="dxa"/>
            <w:vAlign w:val="bottom"/>
          </w:tcPr>
          <w:p>
            <w:pPr>
              <w:ind w:left="360"/>
              <w:spacing w:after="0"/>
              <w:rPr>
                <w:sz w:val="20"/>
                <w:szCs w:val="20"/>
                <w:color w:val="auto"/>
              </w:rPr>
            </w:pPr>
            <w:r>
              <w:rPr>
                <w:rFonts w:ascii="Arial" w:cs="Arial" w:eastAsia="Arial" w:hAnsi="Arial"/>
                <w:sz w:val="14"/>
                <w:szCs w:val="14"/>
                <w:b w:val="1"/>
                <w:bCs w:val="1"/>
                <w:color w:val="58595B"/>
              </w:rPr>
              <w:t>G</w:t>
            </w:r>
          </w:p>
        </w:tc>
        <w:tc>
          <w:tcPr>
            <w:tcW w:w="2160" w:type="dxa"/>
            <w:vAlign w:val="bottom"/>
          </w:tcPr>
          <w:p>
            <w:pPr>
              <w:ind w:left="80"/>
              <w:spacing w:after="0"/>
              <w:rPr>
                <w:sz w:val="20"/>
                <w:szCs w:val="20"/>
                <w:color w:val="auto"/>
              </w:rPr>
            </w:pPr>
            <w:r>
              <w:rPr>
                <w:rFonts w:ascii="Arial" w:cs="Arial" w:eastAsia="Arial" w:hAnsi="Arial"/>
                <w:sz w:val="14"/>
                <w:szCs w:val="14"/>
                <w:color w:val="58595B"/>
              </w:rPr>
              <w:t>Nominating and Corporate</w:t>
            </w:r>
          </w:p>
        </w:tc>
        <w:tc>
          <w:tcPr>
            <w:tcW w:w="560" w:type="dxa"/>
            <w:vAlign w:val="bottom"/>
          </w:tcPr>
          <w:p>
            <w:pPr>
              <w:ind w:left="400"/>
              <w:spacing w:after="0"/>
              <w:rPr>
                <w:sz w:val="20"/>
                <w:szCs w:val="20"/>
                <w:color w:val="auto"/>
              </w:rPr>
            </w:pPr>
            <w:r>
              <w:rPr>
                <w:rFonts w:ascii="Arial" w:cs="Arial" w:eastAsia="Arial" w:hAnsi="Arial"/>
                <w:sz w:val="14"/>
                <w:szCs w:val="14"/>
                <w:b w:val="1"/>
                <w:bCs w:val="1"/>
                <w:color w:val="58595B"/>
              </w:rPr>
              <w:t>F</w:t>
            </w:r>
          </w:p>
        </w:tc>
        <w:tc>
          <w:tcPr>
            <w:tcW w:w="1240" w:type="dxa"/>
            <w:vAlign w:val="bottom"/>
          </w:tcPr>
          <w:p>
            <w:pPr>
              <w:ind w:left="60"/>
              <w:spacing w:after="0"/>
              <w:rPr>
                <w:sz w:val="20"/>
                <w:szCs w:val="20"/>
                <w:color w:val="auto"/>
              </w:rPr>
            </w:pPr>
            <w:r>
              <w:rPr>
                <w:rFonts w:ascii="Arial" w:cs="Arial" w:eastAsia="Arial" w:hAnsi="Arial"/>
                <w:sz w:val="14"/>
                <w:szCs w:val="14"/>
                <w:color w:val="58595B"/>
              </w:rPr>
              <w:t>Finance</w:t>
            </w:r>
          </w:p>
        </w:tc>
        <w:tc>
          <w:tcPr>
            <w:tcW w:w="1300" w:type="dxa"/>
            <w:vAlign w:val="bottom"/>
          </w:tcPr>
          <w:p>
            <w:pPr>
              <w:ind w:left="480"/>
              <w:spacing w:after="0"/>
              <w:rPr>
                <w:sz w:val="20"/>
                <w:szCs w:val="20"/>
                <w:color w:val="auto"/>
              </w:rPr>
            </w:pPr>
            <w:r>
              <w:rPr>
                <w:rFonts w:ascii="Arial" w:cs="Arial" w:eastAsia="Arial" w:hAnsi="Arial"/>
                <w:sz w:val="14"/>
                <w:szCs w:val="14"/>
                <w:color w:val="58595B"/>
              </w:rPr>
              <w:t>Chair</w:t>
            </w:r>
          </w:p>
        </w:tc>
        <w:tc>
          <w:tcPr>
            <w:tcW w:w="1020" w:type="dxa"/>
            <w:vAlign w:val="bottom"/>
          </w:tcPr>
          <w:p>
            <w:pPr>
              <w:ind w:left="500"/>
              <w:spacing w:after="0"/>
              <w:rPr>
                <w:sz w:val="20"/>
                <w:szCs w:val="20"/>
                <w:color w:val="auto"/>
              </w:rPr>
            </w:pPr>
            <w:r>
              <w:rPr>
                <w:rFonts w:ascii="Arial" w:cs="Arial" w:eastAsia="Arial" w:hAnsi="Arial"/>
                <w:sz w:val="14"/>
                <w:szCs w:val="14"/>
                <w:color w:val="58595B"/>
                <w:w w:val="97"/>
              </w:rPr>
              <w:t>Member</w:t>
            </w:r>
          </w:p>
        </w:tc>
      </w:tr>
      <w:tr>
        <w:trPr>
          <w:trHeight w:val="190"/>
        </w:trPr>
        <w:tc>
          <w:tcPr>
            <w:tcW w:w="160" w:type="dxa"/>
            <w:vAlign w:val="bottom"/>
          </w:tcPr>
          <w:p>
            <w:pPr>
              <w:spacing w:after="0"/>
              <w:rPr>
                <w:sz w:val="16"/>
                <w:szCs w:val="16"/>
                <w:color w:val="auto"/>
              </w:rPr>
            </w:pPr>
          </w:p>
        </w:tc>
        <w:tc>
          <w:tcPr>
            <w:tcW w:w="1100" w:type="dxa"/>
            <w:vAlign w:val="bottom"/>
          </w:tcPr>
          <w:p>
            <w:pPr>
              <w:ind w:left="80"/>
              <w:spacing w:after="0"/>
              <w:rPr>
                <w:sz w:val="20"/>
                <w:szCs w:val="20"/>
                <w:color w:val="auto"/>
              </w:rPr>
            </w:pPr>
            <w:r>
              <w:rPr>
                <w:rFonts w:ascii="Arial" w:cs="Arial" w:eastAsia="Arial" w:hAnsi="Arial"/>
                <w:sz w:val="14"/>
                <w:szCs w:val="14"/>
                <w:color w:val="58595B"/>
              </w:rPr>
              <w:t>Committee</w:t>
            </w:r>
          </w:p>
        </w:tc>
        <w:tc>
          <w:tcPr>
            <w:tcW w:w="500" w:type="dxa"/>
            <w:vAlign w:val="bottom"/>
          </w:tcPr>
          <w:p>
            <w:pPr>
              <w:spacing w:after="0"/>
              <w:rPr>
                <w:sz w:val="16"/>
                <w:szCs w:val="16"/>
                <w:color w:val="auto"/>
              </w:rPr>
            </w:pPr>
          </w:p>
        </w:tc>
        <w:tc>
          <w:tcPr>
            <w:tcW w:w="1360" w:type="dxa"/>
            <w:vAlign w:val="bottom"/>
          </w:tcPr>
          <w:p>
            <w:pPr>
              <w:ind w:left="80"/>
              <w:spacing w:after="0"/>
              <w:rPr>
                <w:sz w:val="20"/>
                <w:szCs w:val="20"/>
                <w:color w:val="auto"/>
              </w:rPr>
            </w:pPr>
            <w:r>
              <w:rPr>
                <w:rFonts w:ascii="Arial" w:cs="Arial" w:eastAsia="Arial" w:hAnsi="Arial"/>
                <w:sz w:val="14"/>
                <w:szCs w:val="14"/>
                <w:color w:val="58595B"/>
              </w:rPr>
              <w:t>Committee</w:t>
            </w:r>
          </w:p>
        </w:tc>
        <w:tc>
          <w:tcPr>
            <w:tcW w:w="52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58595B"/>
              </w:rPr>
              <w:t>Governance Committee</w:t>
            </w:r>
          </w:p>
        </w:tc>
        <w:tc>
          <w:tcPr>
            <w:tcW w:w="56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58595B"/>
              </w:rPr>
              <w:t>Committee</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-226060</wp:posOffset>
            </wp:positionV>
            <wp:extent cx="1111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10280"/>
        <w:spacing w:after="0"/>
        <w:rPr>
          <w:sz w:val="20"/>
          <w:szCs w:val="20"/>
          <w:color w:val="auto"/>
        </w:rPr>
      </w:pPr>
      <w:r>
        <w:rPr>
          <w:rFonts w:ascii="Arial" w:cs="Arial" w:eastAsia="Arial" w:hAnsi="Arial"/>
          <w:sz w:val="12"/>
          <w:szCs w:val="12"/>
          <w:b w:val="1"/>
          <w:bCs w:val="1"/>
          <w:color w:val="009845"/>
        </w:rPr>
        <w:t>Proxy Summary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009845"/>
        </w:rPr>
        <w:t>2023 Business Highlights</w:t>
      </w:r>
    </w:p>
    <w:p>
      <w:pPr>
        <w:spacing w:after="0" w:line="247"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Integra LifeSciences Holdings Corporation is a global leader in neurological solutions and regenerative tissue technologies dedicated to limiting uncertainty for clinicians so they can focus on providing the best patient care. We manufacture and sell medical technologies and products in two reportable business segments: Codman Specialty Surgical and Tissue Technologies.</w:t>
      </w:r>
    </w:p>
    <w:p>
      <w:pPr>
        <w:spacing w:after="0" w:line="118" w:lineRule="exact"/>
        <w:rPr>
          <w:sz w:val="20"/>
          <w:szCs w:val="20"/>
          <w:color w:val="auto"/>
        </w:rPr>
      </w:pPr>
    </w:p>
    <w:p>
      <w:pPr>
        <w:ind w:left="20" w:right="140"/>
        <w:spacing w:after="0" w:line="314" w:lineRule="auto"/>
        <w:rPr>
          <w:sz w:val="20"/>
          <w:szCs w:val="20"/>
          <w:color w:val="auto"/>
        </w:rPr>
      </w:pPr>
      <w:r>
        <w:rPr>
          <w:rFonts w:ascii="Arial" w:cs="Arial" w:eastAsia="Arial" w:hAnsi="Arial"/>
          <w:sz w:val="16"/>
          <w:szCs w:val="16"/>
          <w:color w:val="58595B"/>
        </w:rPr>
        <w:t>Our core values — Integrity; Our People; Excellence; Embracing Change; Decisiveness; and Teamwork — guide our approach to doing business. We believe how we do our work is just as important as what we do. As our company grows, we will stay focused on our path to fulfilling Integra’s vision—to be one of the most admired global healthcare technology companies—committed to becoming better and smarter in delivering breakthrough outcomes for patients and surgeons while strengthening our commitment to the greater good.</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9845"/>
        </w:rPr>
        <w:t>2023 Year in Review</w:t>
      </w:r>
    </w:p>
    <w:p>
      <w:pPr>
        <w:spacing w:after="0" w:line="208" w:lineRule="exact"/>
        <w:rPr>
          <w:sz w:val="20"/>
          <w:szCs w:val="20"/>
          <w:color w:val="auto"/>
        </w:rPr>
      </w:pPr>
    </w:p>
    <w:p>
      <w:pPr>
        <w:ind w:left="20" w:right="100"/>
        <w:spacing w:after="0" w:line="313" w:lineRule="auto"/>
        <w:rPr>
          <w:sz w:val="20"/>
          <w:szCs w:val="20"/>
          <w:color w:val="auto"/>
        </w:rPr>
      </w:pPr>
      <w:r>
        <w:rPr>
          <w:rFonts w:ascii="Arial" w:cs="Arial" w:eastAsia="Arial" w:hAnsi="Arial"/>
          <w:sz w:val="16"/>
          <w:szCs w:val="16"/>
          <w:color w:val="58595B"/>
        </w:rPr>
        <w:t>2023 presented numerous operational challenges, including the voluntary global recall and manufacturing stoppage of all products manufactured at our Boston, Massachusetts facility. Despite these challenges, we were able to strengthen our operational capabilities while capitalizing on the growth of our markets and the resilience of our products. We delivered total revenues of $1,541.6 million in 2023, representing a decrease of 1.0% on a reported basis and an increase of 5.5% on an organic basis excluding Boston compared to full-year 2022. The Company reported GAAP net income of $67.7 million for the full-year 2023. Adjusted EBITDA for the full-year 2023 was $369.7 million.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9845"/>
        </w:rPr>
        <w:t>2023 operational highlights include:</w:t>
      </w:r>
    </w:p>
    <w:p>
      <w:pPr>
        <w:spacing w:after="0" w:line="208" w:lineRule="exact"/>
        <w:rPr>
          <w:sz w:val="20"/>
          <w:szCs w:val="20"/>
          <w:color w:val="auto"/>
        </w:rPr>
      </w:pPr>
    </w:p>
    <w:p>
      <w:pPr>
        <w:ind w:left="640" w:hanging="290"/>
        <w:spacing w:after="0"/>
        <w:tabs>
          <w:tab w:leader="none" w:pos="640"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Achieved mid-single digit growth in our Codman Specialty Surgical</w:t>
      </w:r>
    </w:p>
    <w:p>
      <w:pPr>
        <w:spacing w:after="0" w:line="59" w:lineRule="exact"/>
        <w:rPr>
          <w:rFonts w:ascii="Arial" w:cs="Arial" w:eastAsia="Arial" w:hAnsi="Arial"/>
          <w:sz w:val="16"/>
          <w:szCs w:val="16"/>
          <w:color w:val="58595B"/>
        </w:rPr>
      </w:pPr>
    </w:p>
    <w:p>
      <w:pPr>
        <w:ind w:left="680" w:right="640"/>
        <w:spacing w:after="0" w:line="339" w:lineRule="auto"/>
        <w:rPr>
          <w:rFonts w:ascii="Arial" w:cs="Arial" w:eastAsia="Arial" w:hAnsi="Arial"/>
          <w:sz w:val="16"/>
          <w:szCs w:val="16"/>
          <w:color w:val="58595B"/>
        </w:rPr>
      </w:pPr>
      <w:r>
        <w:rPr>
          <w:rFonts w:ascii="Arial" w:cs="Arial" w:eastAsia="Arial" w:hAnsi="Arial"/>
          <w:sz w:val="16"/>
          <w:szCs w:val="16"/>
          <w:color w:val="58595B"/>
        </w:rPr>
        <w:t>segment and high-single digit growth in our Tissue Technologies segment, ex Boston</w:t>
      </w:r>
    </w:p>
    <w:p>
      <w:pPr>
        <w:spacing w:after="0" w:line="114" w:lineRule="exact"/>
        <w:rPr>
          <w:rFonts w:ascii="Arial" w:cs="Arial" w:eastAsia="Arial" w:hAnsi="Arial"/>
          <w:sz w:val="16"/>
          <w:szCs w:val="16"/>
          <w:color w:val="58595B"/>
        </w:rPr>
      </w:pPr>
    </w:p>
    <w:p>
      <w:pPr>
        <w:ind w:left="680" w:right="160" w:hanging="330"/>
        <w:spacing w:after="0" w:line="339"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Integrated SIA following its acquisition in December 2022 and achieved 100% revenue growth for DuraSorb®</w:t>
      </w:r>
    </w:p>
    <w:p>
      <w:pPr>
        <w:spacing w:after="0" w:line="101" w:lineRule="exact"/>
        <w:rPr>
          <w:rFonts w:ascii="Arial" w:cs="Arial" w:eastAsia="Arial" w:hAnsi="Arial"/>
          <w:sz w:val="16"/>
          <w:szCs w:val="16"/>
          <w:color w:val="58595B"/>
        </w:rPr>
      </w:pPr>
    </w:p>
    <w:p>
      <w:pPr>
        <w:ind w:left="680" w:right="80" w:hanging="330"/>
        <w:spacing w:after="0" w:line="356" w:lineRule="auto"/>
        <w:tabs>
          <w:tab w:leader="none" w:pos="642" w:val="left"/>
        </w:tabs>
        <w:numPr>
          <w:ilvl w:val="0"/>
          <w:numId w:val="8"/>
        </w:numPr>
        <w:rPr>
          <w:rFonts w:ascii="Arial" w:cs="Arial" w:eastAsia="Arial" w:hAnsi="Arial"/>
          <w:sz w:val="16"/>
          <w:szCs w:val="16"/>
          <w:color w:val="58595B"/>
        </w:rPr>
      </w:pPr>
      <w:r>
        <w:rPr>
          <w:rFonts w:ascii="Arial" w:cs="Arial" w:eastAsia="Arial" w:hAnsi="Arial"/>
          <w:sz w:val="16"/>
          <w:szCs w:val="16"/>
          <w:color w:val="58595B"/>
        </w:rPr>
        <w:t>Advanced our implant-based-breast-reconstruction PMA clinical strategy for both SurgiMend® and DuraSorb®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59"/>
          <w:szCs w:val="59"/>
          <w:color w:val="009845"/>
        </w:rPr>
        <w:t>$1,541.6m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-608965</wp:posOffset>
            </wp:positionV>
            <wp:extent cx="2211705" cy="5332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11705" cy="533209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Total Revenues</w:t>
      </w:r>
    </w:p>
    <w:p>
      <w:pPr>
        <w:spacing w:after="0" w:line="272" w:lineRule="exact"/>
        <w:rPr>
          <w:sz w:val="20"/>
          <w:szCs w:val="20"/>
          <w:color w:val="auto"/>
        </w:rPr>
      </w:pPr>
    </w:p>
    <w:p>
      <w:pPr>
        <w:spacing w:after="0"/>
        <w:rPr>
          <w:sz w:val="20"/>
          <w:szCs w:val="20"/>
          <w:color w:val="auto"/>
        </w:rPr>
      </w:pPr>
      <w:r>
        <w:rPr>
          <w:rFonts w:ascii="Arial" w:cs="Arial" w:eastAsia="Arial" w:hAnsi="Arial"/>
          <w:sz w:val="59"/>
          <w:szCs w:val="59"/>
          <w:color w:val="009845"/>
        </w:rPr>
        <w:t>(1.0)%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Revenue change and</w:t>
      </w:r>
    </w:p>
    <w:p>
      <w:pPr>
        <w:spacing w:after="0" w:line="272" w:lineRule="exact"/>
        <w:rPr>
          <w:sz w:val="20"/>
          <w:szCs w:val="20"/>
          <w:color w:val="auto"/>
        </w:rPr>
      </w:pPr>
    </w:p>
    <w:p>
      <w:pPr>
        <w:spacing w:after="0"/>
        <w:rPr>
          <w:sz w:val="20"/>
          <w:szCs w:val="20"/>
          <w:color w:val="auto"/>
        </w:rPr>
      </w:pPr>
      <w:r>
        <w:rPr>
          <w:rFonts w:ascii="Arial" w:cs="Arial" w:eastAsia="Arial" w:hAnsi="Arial"/>
          <w:sz w:val="59"/>
          <w:szCs w:val="59"/>
          <w:color w:val="009845"/>
        </w:rPr>
        <w:t>5.5%</w:t>
      </w:r>
    </w:p>
    <w:p>
      <w:pPr>
        <w:spacing w:after="0" w:line="95" w:lineRule="exact"/>
        <w:rPr>
          <w:sz w:val="20"/>
          <w:szCs w:val="20"/>
          <w:color w:val="auto"/>
        </w:rPr>
      </w:pPr>
    </w:p>
    <w:p>
      <w:pPr>
        <w:ind w:right="2240"/>
        <w:spacing w:after="0" w:line="328" w:lineRule="auto"/>
        <w:rPr>
          <w:sz w:val="20"/>
          <w:szCs w:val="20"/>
          <w:color w:val="auto"/>
        </w:rPr>
      </w:pPr>
      <w:r>
        <w:rPr>
          <w:rFonts w:ascii="Arial" w:cs="Arial" w:eastAsia="Arial" w:hAnsi="Arial"/>
          <w:sz w:val="16"/>
          <w:szCs w:val="16"/>
          <w:b w:val="1"/>
          <w:bCs w:val="1"/>
          <w:color w:val="58595B"/>
        </w:rPr>
        <w:t>Organic revenue growth excluding Boston compared to fiscal year 2022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59"/>
          <w:szCs w:val="59"/>
          <w:color w:val="009845"/>
        </w:rPr>
        <w:t>$67.7m</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Reported GAAP Net Income</w:t>
      </w:r>
    </w:p>
    <w:p>
      <w:pPr>
        <w:spacing w:after="0" w:line="272" w:lineRule="exact"/>
        <w:rPr>
          <w:sz w:val="20"/>
          <w:szCs w:val="20"/>
          <w:color w:val="auto"/>
        </w:rPr>
      </w:pPr>
    </w:p>
    <w:p>
      <w:pPr>
        <w:spacing w:after="0"/>
        <w:rPr>
          <w:sz w:val="20"/>
          <w:szCs w:val="20"/>
          <w:color w:val="auto"/>
        </w:rPr>
      </w:pPr>
      <w:r>
        <w:rPr>
          <w:rFonts w:ascii="Arial" w:cs="Arial" w:eastAsia="Arial" w:hAnsi="Arial"/>
          <w:sz w:val="59"/>
          <w:szCs w:val="59"/>
          <w:color w:val="009845"/>
        </w:rPr>
        <w:t>$369.7m</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Adjusted EBITDA</w:t>
      </w:r>
    </w:p>
    <w:p>
      <w:pPr>
        <w:spacing w:after="0" w:line="272" w:lineRule="exact"/>
        <w:rPr>
          <w:sz w:val="20"/>
          <w:szCs w:val="20"/>
          <w:color w:val="auto"/>
        </w:rPr>
      </w:pPr>
    </w:p>
    <w:p>
      <w:pPr>
        <w:spacing w:after="0"/>
        <w:rPr>
          <w:sz w:val="20"/>
          <w:szCs w:val="20"/>
          <w:color w:val="auto"/>
        </w:rPr>
      </w:pPr>
      <w:r>
        <w:rPr>
          <w:rFonts w:ascii="Arial" w:cs="Arial" w:eastAsia="Arial" w:hAnsi="Arial"/>
          <w:sz w:val="59"/>
          <w:szCs w:val="59"/>
          <w:color w:val="009845"/>
        </w:rPr>
        <w:t>$275M</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of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259080</wp:posOffset>
            </wp:positionV>
            <wp:extent cx="2211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491" w:lineRule="exact"/>
        <w:rPr>
          <w:sz w:val="20"/>
          <w:szCs w:val="20"/>
          <w:color w:val="auto"/>
        </w:rPr>
      </w:pPr>
    </w:p>
    <w:p>
      <w:pPr>
        <w:sectPr>
          <w:pgSz w:w="11900" w:h="16838" w:orient="portrait"/>
          <w:cols w:equalWidth="0" w:num="2">
            <w:col w:w="5900" w:space="280"/>
            <w:col w:w="5060"/>
          </w:cols>
          <w:pgMar w:left="320" w:top="121" w:right="339" w:bottom="1440" w:gutter="0" w:footer="0" w:header="0"/>
          <w:type w:val="continuous"/>
        </w:sectPr>
      </w:pPr>
    </w:p>
    <w:p>
      <w:pPr>
        <w:spacing w:after="0" w:line="145" w:lineRule="exact"/>
        <w:rPr>
          <w:sz w:val="20"/>
          <w:szCs w:val="20"/>
          <w:color w:val="auto"/>
        </w:rPr>
      </w:pPr>
    </w:p>
    <w:p>
      <w:pPr>
        <w:ind w:left="680" w:right="2020" w:hanging="330"/>
        <w:spacing w:after="0" w:line="304" w:lineRule="auto"/>
        <w:tabs>
          <w:tab w:leader="none" w:pos="64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Completed international CereLink® relaunch and obtained 510(k) clearance for the domestic relaunch in the first quarter of 2024</w:t>
      </w:r>
    </w:p>
    <w:p>
      <w:pPr>
        <w:spacing w:after="0" w:line="46" w:lineRule="exact"/>
        <w:rPr>
          <w:rFonts w:ascii="Arial" w:cs="Arial" w:eastAsia="Arial" w:hAnsi="Arial"/>
          <w:sz w:val="16"/>
          <w:szCs w:val="16"/>
          <w:color w:val="58595B"/>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Obtained 510(k) clearance for our next generation Aurora® Surgiscope</w:t>
      </w:r>
    </w:p>
    <w:p>
      <w:pPr>
        <w:spacing w:after="0" w:line="221" w:lineRule="exact"/>
        <w:rPr>
          <w:rFonts w:ascii="Arial" w:cs="Arial" w:eastAsia="Arial" w:hAnsi="Arial"/>
          <w:sz w:val="16"/>
          <w:szCs w:val="16"/>
          <w:color w:val="58595B"/>
        </w:rPr>
      </w:pPr>
    </w:p>
    <w:p>
      <w:pPr>
        <w:ind w:left="680" w:right="2020" w:hanging="330"/>
        <w:spacing w:after="0" w:line="339" w:lineRule="auto"/>
        <w:tabs>
          <w:tab w:leader="none" w:pos="64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Achieved double digit growth internationally in China and Japan and through portfolio expansion of DuraGen®, CUSA®, and 100+ product registrations</w:t>
      </w:r>
    </w:p>
    <w:p>
      <w:pPr>
        <w:spacing w:after="0" w:line="101" w:lineRule="exact"/>
        <w:rPr>
          <w:rFonts w:ascii="Arial" w:cs="Arial" w:eastAsia="Arial" w:hAnsi="Arial"/>
          <w:sz w:val="16"/>
          <w:szCs w:val="16"/>
          <w:color w:val="58595B"/>
        </w:rPr>
      </w:pPr>
    </w:p>
    <w:p>
      <w:pPr>
        <w:ind w:left="640" w:hanging="290"/>
        <w:spacing w:after="0"/>
        <w:tabs>
          <w:tab w:leader="none" w:pos="640"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Continued to strengthen and expand our In-China-for-China manufacturing capability</w:t>
      </w:r>
    </w:p>
    <w:p>
      <w:pPr>
        <w:spacing w:after="0" w:line="221" w:lineRule="exact"/>
        <w:rPr>
          <w:rFonts w:ascii="Arial" w:cs="Arial" w:eastAsia="Arial" w:hAnsi="Arial"/>
          <w:sz w:val="16"/>
          <w:szCs w:val="16"/>
          <w:color w:val="58595B"/>
        </w:rPr>
      </w:pPr>
    </w:p>
    <w:p>
      <w:pPr>
        <w:ind w:left="680" w:right="2180" w:hanging="330"/>
        <w:spacing w:after="0" w:line="339" w:lineRule="auto"/>
        <w:tabs>
          <w:tab w:leader="none" w:pos="64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Further strengthened our executive leadership team — including appointing Lea Knight, Executive Vice President and Chief Financial Officer, and Chantal Veillon, Executive Vice President and Chief Human Resources Officer</w:t>
      </w:r>
    </w:p>
    <w:p>
      <w:pPr>
        <w:spacing w:after="0" w:line="114" w:lineRule="exact"/>
        <w:rPr>
          <w:rFonts w:ascii="Arial" w:cs="Arial" w:eastAsia="Arial" w:hAnsi="Arial"/>
          <w:sz w:val="16"/>
          <w:szCs w:val="16"/>
          <w:color w:val="58595B"/>
        </w:rPr>
      </w:pPr>
    </w:p>
    <w:p>
      <w:pPr>
        <w:ind w:left="680" w:right="1920" w:hanging="330"/>
        <w:spacing w:after="0" w:line="339" w:lineRule="auto"/>
        <w:tabs>
          <w:tab w:leader="none" w:pos="642" w:val="left"/>
        </w:tabs>
        <w:numPr>
          <w:ilvl w:val="0"/>
          <w:numId w:val="9"/>
        </w:numPr>
        <w:rPr>
          <w:rFonts w:ascii="Arial" w:cs="Arial" w:eastAsia="Arial" w:hAnsi="Arial"/>
          <w:sz w:val="16"/>
          <w:szCs w:val="16"/>
          <w:color w:val="58595B"/>
        </w:rPr>
      </w:pPr>
      <w:r>
        <w:rPr>
          <w:rFonts w:ascii="Arial" w:cs="Arial" w:eastAsia="Arial" w:hAnsi="Arial"/>
          <w:sz w:val="16"/>
          <w:szCs w:val="16"/>
          <w:color w:val="58595B"/>
        </w:rPr>
        <w:t>Entered into a definitive agreement to acquire Acclarent, Inc., with the consummation of the transaction anticipated by the second quarter of 2024</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11140" w:val="left"/>
        </w:tabs>
        <w:rPr>
          <w:sz w:val="20"/>
          <w:szCs w:val="20"/>
          <w:color w:val="auto"/>
        </w:rPr>
      </w:pPr>
      <w:r>
        <w:rPr>
          <w:rFonts w:ascii="Arial" w:cs="Arial" w:eastAsia="Arial" w:hAnsi="Arial"/>
          <w:sz w:val="13"/>
          <w:szCs w:val="13"/>
          <w:color w:val="58595B"/>
        </w:rPr>
        <w:t>2024 Proxy Statement</w:t>
      </w:r>
      <w:r>
        <w:rPr>
          <w:sz w:val="20"/>
          <w:szCs w:val="20"/>
          <w:color w:val="auto"/>
        </w:rPr>
        <w:tab/>
      </w:r>
      <w:r>
        <w:rPr>
          <w:rFonts w:ascii="Arial" w:cs="Arial" w:eastAsia="Arial" w:hAnsi="Arial"/>
          <w:sz w:val="10"/>
          <w:szCs w:val="10"/>
          <w:b w:val="1"/>
          <w:bCs w:val="1"/>
          <w:color w:val="00984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80" w:right="2360" w:hanging="330"/>
        <w:spacing w:after="0" w:line="339" w:lineRule="auto"/>
        <w:tabs>
          <w:tab w:leader="none" w:pos="642"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Implemented an upgraded Quality Management System, reflecting investments in talent, infrastructure and process capabilities</w:t>
      </w:r>
    </w:p>
    <w:p>
      <w:pPr>
        <w:spacing w:after="0" w:line="114" w:lineRule="exact"/>
        <w:rPr>
          <w:rFonts w:ascii="Arial" w:cs="Arial" w:eastAsia="Arial" w:hAnsi="Arial"/>
          <w:sz w:val="16"/>
          <w:szCs w:val="16"/>
          <w:color w:val="58595B"/>
        </w:rPr>
      </w:pPr>
    </w:p>
    <w:p>
      <w:pPr>
        <w:ind w:left="680" w:right="2760" w:hanging="330"/>
        <w:spacing w:after="0" w:line="339" w:lineRule="auto"/>
        <w:tabs>
          <w:tab w:leader="none" w:pos="642"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Began process of identifying operational efficiency opportunities to re-establish the path to sustainable margin improvement</w:t>
      </w:r>
    </w:p>
    <w:p>
      <w:pPr>
        <w:spacing w:after="0" w:line="114" w:lineRule="exact"/>
        <w:rPr>
          <w:rFonts w:ascii="Arial" w:cs="Arial" w:eastAsia="Arial" w:hAnsi="Arial"/>
          <w:sz w:val="16"/>
          <w:szCs w:val="16"/>
          <w:color w:val="58595B"/>
        </w:rPr>
      </w:pPr>
    </w:p>
    <w:p>
      <w:pPr>
        <w:ind w:left="680" w:right="2280" w:hanging="330"/>
        <w:spacing w:after="0" w:line="339" w:lineRule="auto"/>
        <w:tabs>
          <w:tab w:leader="none" w:pos="642" w:val="left"/>
        </w:tabs>
        <w:numPr>
          <w:ilvl w:val="0"/>
          <w:numId w:val="10"/>
        </w:numPr>
        <w:rPr>
          <w:rFonts w:ascii="Arial" w:cs="Arial" w:eastAsia="Arial" w:hAnsi="Arial"/>
          <w:sz w:val="16"/>
          <w:szCs w:val="16"/>
          <w:color w:val="58595B"/>
        </w:rPr>
      </w:pPr>
      <w:r>
        <w:rPr>
          <w:rFonts w:ascii="Arial" w:cs="Arial" w:eastAsia="Arial" w:hAnsi="Arial"/>
          <w:sz w:val="16"/>
          <w:szCs w:val="16"/>
          <w:color w:val="58595B"/>
        </w:rPr>
        <w:t>Further refined and implemented our sustainability roadmap and initiatives and published our second environmental, social and governance ("ESG") report</w:t>
      </w:r>
    </w:p>
    <w:p>
      <w:pPr>
        <w:spacing w:after="0" w:line="155" w:lineRule="exact"/>
        <w:rPr>
          <w:sz w:val="20"/>
          <w:szCs w:val="20"/>
          <w:color w:val="auto"/>
        </w:rPr>
      </w:pPr>
    </w:p>
    <w:p>
      <w:pPr>
        <w:ind w:left="20" w:right="1940"/>
        <w:spacing w:after="0" w:line="318" w:lineRule="auto"/>
        <w:rPr>
          <w:sz w:val="20"/>
          <w:szCs w:val="20"/>
          <w:color w:val="auto"/>
        </w:rPr>
      </w:pPr>
      <w:r>
        <w:rPr>
          <w:rFonts w:ascii="Arial" w:cs="Arial" w:eastAsia="Arial" w:hAnsi="Arial"/>
          <w:sz w:val="16"/>
          <w:szCs w:val="16"/>
          <w:color w:val="58595B"/>
        </w:rPr>
        <w:t>Despite encountering operational challenges in 2023, our teams exhibited an unwavering commitment to fortifying our operational capabilities while delivering lifesaving technologies to our customers and their patients. Excluding Boston, our business performance showcased the strength of our markets and the strong demand for our products. The accomplishments of 2023 not only expanded our portfolio but also reinforced our ability to implement strategic initiatives and drive future growth. We remain confident about our potential to accelerate growth and make impactful investments in our strategic priorities moving forward.</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color w:val="009845"/>
        </w:rPr>
        <w:t>Corporate Governance Highlights</w:t>
      </w:r>
    </w:p>
    <w:p>
      <w:pPr>
        <w:spacing w:after="0" w:line="19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The Board believes that our commitment to strong corporate governance benefits all of our stakeholders, including our stockholders, employees, business partners, customers, communities and others who have a stake in how we operate. Our key corporate governance highlights include: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Number of Directors</w:t>
            </w:r>
          </w:p>
        </w:tc>
        <w:tc>
          <w:tcPr>
            <w:tcW w:w="780" w:type="dxa"/>
            <w:vAlign w:val="bottom"/>
            <w:shd w:val="clear" w:color="auto" w:fill="009845"/>
          </w:tcPr>
          <w:p>
            <w:pPr>
              <w:jc w:val="right"/>
              <w:ind w:right="288"/>
              <w:spacing w:after="0"/>
              <w:rPr>
                <w:sz w:val="20"/>
                <w:szCs w:val="20"/>
                <w:color w:val="auto"/>
              </w:rPr>
            </w:pPr>
            <w:r>
              <w:rPr>
                <w:rFonts w:ascii="Arial" w:cs="Arial" w:eastAsia="Arial" w:hAnsi="Arial"/>
                <w:sz w:val="14"/>
                <w:szCs w:val="14"/>
                <w:b w:val="1"/>
                <w:bCs w:val="1"/>
                <w:color w:val="FFFFFF"/>
              </w:rPr>
              <w:t>9</w:t>
            </w:r>
          </w:p>
        </w:tc>
      </w:tr>
      <w:tr>
        <w:trPr>
          <w:trHeight w:val="67"/>
        </w:trPr>
        <w:tc>
          <w:tcPr>
            <w:tcW w:w="10460" w:type="dxa"/>
            <w:vAlign w:val="bottom"/>
            <w:shd w:val="clear" w:color="auto" w:fill="009845"/>
          </w:tcPr>
          <w:p>
            <w:pPr>
              <w:spacing w:after="0"/>
              <w:rPr>
                <w:sz w:val="5"/>
                <w:szCs w:val="5"/>
                <w:color w:val="auto"/>
              </w:rPr>
            </w:pPr>
          </w:p>
        </w:tc>
        <w:tc>
          <w:tcPr>
            <w:tcW w:w="780" w:type="dxa"/>
            <w:vAlign w:val="bottom"/>
            <w:shd w:val="clear" w:color="auto" w:fill="009845"/>
          </w:tcPr>
          <w:p>
            <w:pPr>
              <w:spacing w:after="0"/>
              <w:rPr>
                <w:sz w:val="5"/>
                <w:szCs w:val="5"/>
                <w:color w:val="auto"/>
              </w:rPr>
            </w:pPr>
          </w:p>
        </w:tc>
      </w:tr>
      <w:tr>
        <w:trPr>
          <w:trHeight w:val="214"/>
        </w:trPr>
        <w:tc>
          <w:tcPr>
            <w:tcW w:w="10460" w:type="dxa"/>
            <w:vAlign w:val="bottom"/>
          </w:tcPr>
          <w:p>
            <w:pPr>
              <w:ind w:left="100"/>
              <w:spacing w:after="0"/>
              <w:rPr>
                <w:sz w:val="20"/>
                <w:szCs w:val="20"/>
                <w:color w:val="auto"/>
              </w:rPr>
            </w:pPr>
            <w:r>
              <w:rPr>
                <w:rFonts w:ascii="Arial" w:cs="Arial" w:eastAsia="Arial" w:hAnsi="Arial"/>
                <w:sz w:val="14"/>
                <w:szCs w:val="14"/>
                <w:b w:val="1"/>
                <w:bCs w:val="1"/>
                <w:color w:val="58595B"/>
              </w:rPr>
              <w:t>Percentage of directors who are Independent</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58595B"/>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Stockholder right to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57785</wp:posOffset>
            </wp:positionV>
            <wp:extent cx="17145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All non-employee directors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Risk oversight by the full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57785</wp:posOffset>
            </wp:positionV>
            <wp:extent cx="171450"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2827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Majority voting standard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Four fully independent standing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57785</wp:posOffset>
            </wp:positionV>
            <wp:extent cx="17145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Annual Board and committee self-evaluations, and individual evaluations of nominees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Meaningful stock ownership guidelines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57785</wp:posOffset>
            </wp:positionV>
            <wp:extent cx="17145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Prohibition on hedging and pledging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Recoupment/clawback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We continuously look for ways to enhance our corporate governance and increase value to our stockholders. As described in more detail under the "Environmental, Social, and Governance (ESG) Initiatives" section of this proxy statement, our corporate governance structure places formal oversight of ESG initiatives with our Board. We have found that formally integrating oversight of ESG-related matters has not only strengthened our business by affording the Board and its committees increased opportunities to collaborate with management on our ESG initiatives but also provides increased opportunity for Integra's core values and principles to inform our approach to sustainability and ESG-related matters.</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Stockholder Outreach</w:t>
      </w:r>
    </w:p>
    <w:p>
      <w:pPr>
        <w:spacing w:after="0" w:line="193"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58595B"/>
        </w:rPr>
        <w:t>We believe that regular dialogue with, and accountability to, our stockholders is critical to our success. Our management team participates in numerous investor meetings throughout the year to discuss our business and strategic priorities. Our core stockholder engagement team includes senior members of our investor relations, finance and corporate governance teams, supplemented by our President and Chief Executive Officer and members of our Board, as appropriate. These meetings include in-person, telephone and webcast engagements, as well as investor conferences and our annual meeting of stockholders. Stockholder feedback provides our Board and management with valuable insights on our business strategy and performance, corporate responsibility, executive compensation, sustainability initiatives and many other topics.</w:t>
      </w:r>
    </w:p>
    <w:p>
      <w:pPr>
        <w:spacing w:after="0" w:line="13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Over the course of 2023, management reached out to and engaged with stockholders representing approximately 50% of our outstanding shares. In our meetings with stockholders, we continue to receive feedback on key indicators that drive the strength of our business and a driver of stockholder value creation. Stockholder feedback and perspectives are shared with the Board and considered for our compensation programs. In addition, in May 2023, we hosted our first Investor Day since 2021. This program gave stockholders the opportunity to hear directly from our management team about our performance in fiscal 2023, as well as our short- and long-term strategic initiatives and areas of opportunity. Stockholders that attended were able to ask questions of management.</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845"/>
        </w:rPr>
        <w:t>Executive Compensation Highlights</w:t>
      </w:r>
    </w:p>
    <w:p>
      <w:pPr>
        <w:spacing w:after="0" w:line="19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The Compensation Committee holds a pivotal role in ensuring the integrity and effectiveness of the Company's executive compensation program. This program is designed to adhere to robust compensation and governance standards, reflecting our dedication to ethical practices and shareholder interests. By fostering a pay-for-performance culture, our compensation policies incentivize executives to achieve outstanding results while remaining aligned with the Company's long-term objectives. Through competitive compensation packages, we attract and retain top-tier executive talent, vital for driving innovation and sustaining growth in a competitive market environment. Our compensation structure prioritizes our overarching purpose of enhancing patient outcomes, underscoring our commitment to delivering value not only to shareholders but also the broader community. Our comprehensive approach to executive compensation strengthens our position as a responsible corporate entity dedicated to sustainable success.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highlights some of the key principles and practices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Majority of compensation is performance-based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17145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Short- and long-term performance objectives align with long-term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92075</wp:posOffset>
            </wp:positionV>
            <wp:extent cx="17145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70" w:lineRule="exact"/>
        <w:rPr>
          <w:sz w:val="20"/>
          <w:szCs w:val="20"/>
          <w:color w:val="auto"/>
        </w:rPr>
      </w:pPr>
    </w:p>
    <w:p>
      <w:pPr>
        <w:ind w:left="460" w:right="1400"/>
        <w:spacing w:after="0" w:line="442" w:lineRule="auto"/>
        <w:rPr>
          <w:sz w:val="20"/>
          <w:szCs w:val="20"/>
          <w:color w:val="auto"/>
        </w:rPr>
      </w:pPr>
      <w:r>
        <w:rPr>
          <w:rFonts w:ascii="Arial" w:cs="Arial" w:eastAsia="Arial" w:hAnsi="Arial"/>
          <w:sz w:val="14"/>
          <w:szCs w:val="14"/>
          <w:color w:val="58595B"/>
        </w:rPr>
        <w:t>Performance measures align with shareholder interests No guaranteed minimums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-215900</wp:posOffset>
            </wp:positionV>
            <wp:extent cx="17145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-27305</wp:posOffset>
            </wp:positionV>
            <wp:extent cx="17145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ind w:left="460" w:right="2200"/>
        <w:spacing w:after="0" w:line="442" w:lineRule="auto"/>
        <w:rPr>
          <w:sz w:val="20"/>
          <w:szCs w:val="20"/>
          <w:color w:val="auto"/>
        </w:rPr>
      </w:pPr>
      <w:r>
        <w:rPr>
          <w:rFonts w:ascii="Arial" w:cs="Arial" w:eastAsia="Arial" w:hAnsi="Arial"/>
          <w:sz w:val="14"/>
          <w:szCs w:val="14"/>
          <w:color w:val="58595B"/>
        </w:rPr>
        <w:t>Caps on performance incentives payments No repricing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-215900</wp:posOffset>
            </wp:positionV>
            <wp:extent cx="17145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-27305</wp:posOffset>
            </wp:positionV>
            <wp:extent cx="17145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58595B"/>
        </w:rPr>
        <w:t>Compensation Committee oversight of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58595B"/>
        </w:rPr>
        <w:t>External competitiveness through market benchmarking</w:t>
      </w:r>
    </w:p>
    <w:p>
      <w:pPr>
        <w:spacing w:after="0" w:line="109"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58595B"/>
        </w:rPr>
        <w:t>Recoupment/clawback provisions for both long-term incentive and short-term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-219075</wp:posOffset>
            </wp:positionV>
            <wp:extent cx="17145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3175</wp:posOffset>
            </wp:positionV>
            <wp:extent cx="1714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58595B"/>
        </w:rPr>
        <w:t>Significant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57785</wp:posOffset>
            </wp:positionV>
            <wp:extent cx="17145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16" w:lineRule="exact"/>
        <w:rPr>
          <w:sz w:val="20"/>
          <w:szCs w:val="20"/>
          <w:color w:val="auto"/>
        </w:rPr>
      </w:pPr>
    </w:p>
    <w:p>
      <w:pPr>
        <w:ind w:right="1540"/>
        <w:spacing w:after="0" w:line="442" w:lineRule="auto"/>
        <w:rPr>
          <w:sz w:val="20"/>
          <w:szCs w:val="20"/>
          <w:color w:val="auto"/>
        </w:rPr>
      </w:pPr>
      <w:r>
        <w:rPr>
          <w:rFonts w:ascii="Arial" w:cs="Arial" w:eastAsia="Arial" w:hAnsi="Arial"/>
          <w:sz w:val="14"/>
          <w:szCs w:val="14"/>
          <w:color w:val="58595B"/>
        </w:rPr>
        <w:t>“Double trigger” vesting for all long-term incentive awards Anti-hedging and anti-pledging policy Limited 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-403860</wp:posOffset>
            </wp:positionV>
            <wp:extent cx="1714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-215265</wp:posOffset>
            </wp:positionV>
            <wp:extent cx="17145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-26670</wp:posOffset>
            </wp:positionV>
            <wp:extent cx="17145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58595B"/>
        </w:rPr>
        <w:t>Compensation decisions reflect peer group pay levels and practices</w:t>
      </w:r>
    </w:p>
    <w:p>
      <w:pPr>
        <w:spacing w:after="0" w:line="200" w:lineRule="exact"/>
        <w:rPr>
          <w:sz w:val="20"/>
          <w:szCs w:val="20"/>
          <w:color w:val="auto"/>
        </w:rPr>
      </w:pPr>
    </w:p>
    <w:p>
      <w:pPr>
        <w:sectPr>
          <w:pgSz w:w="11900" w:h="16838" w:orient="portrait"/>
          <w:cols w:equalWidth="0" w:num="2">
            <w:col w:w="5380" w:space="680"/>
            <w:col w:w="5180"/>
          </w:cols>
          <w:pgMar w:left="320" w:top="121"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5</w:t>
            </w:r>
          </w:p>
        </w:tc>
      </w:tr>
      <w:tr>
        <w:trPr>
          <w:trHeight w:val="218"/>
        </w:trPr>
        <w:tc>
          <w:tcPr>
            <w:tcW w:w="622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3"/>
          <w:szCs w:val="13"/>
          <w:b w:val="1"/>
          <w:bCs w:val="1"/>
          <w:color w:val="009845"/>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color w:val="009845"/>
        </w:rPr>
        <w:t>Additional Information</w:t>
      </w:r>
    </w:p>
    <w:p>
      <w:pPr>
        <w:spacing w:after="0" w:line="258"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Our principal executive offices are located at 1100 Campus Road, Princeton, NJ 08540, and our telephone number is (609) 275-0500. Our website address is www.integralife.com. Website references and hyperlinks throughout this document are provided for convenience only, and the content on the referenced websites is not incorporated into, nor does it form a part of, this proxy statement.</w:t>
      </w:r>
    </w:p>
    <w:p>
      <w:pPr>
        <w:spacing w:after="0" w:line="110" w:lineRule="exact"/>
        <w:rPr>
          <w:sz w:val="20"/>
          <w:szCs w:val="20"/>
          <w:color w:val="auto"/>
        </w:rPr>
      </w:pPr>
    </w:p>
    <w:p>
      <w:pPr>
        <w:ind w:right="680"/>
        <w:spacing w:after="0" w:line="356" w:lineRule="auto"/>
        <w:rPr>
          <w:sz w:val="20"/>
          <w:szCs w:val="20"/>
          <w:color w:val="auto"/>
        </w:rPr>
      </w:pPr>
      <w:r>
        <w:rPr>
          <w:rFonts w:ascii="Arial" w:cs="Arial" w:eastAsia="Arial" w:hAnsi="Arial"/>
          <w:sz w:val="16"/>
          <w:szCs w:val="16"/>
          <w:color w:val="58595B"/>
        </w:rPr>
        <w:t>References throughout this proxy statement to “the Company,” “Integra LifeSciences,” “Integra,” “we” or “our” refer to Integra LifeSciences Holdings Corporation and its subsidiaries, unless the context suggests otherwise.</w:t>
      </w:r>
    </w:p>
    <w:p>
      <w:pPr>
        <w:spacing w:after="0" w:line="119" w:lineRule="exact"/>
        <w:rPr>
          <w:sz w:val="20"/>
          <w:szCs w:val="20"/>
          <w:color w:val="auto"/>
        </w:rPr>
      </w:pPr>
    </w:p>
    <w:p>
      <w:pPr>
        <w:spacing w:after="0"/>
        <w:rPr>
          <w:sz w:val="20"/>
          <w:szCs w:val="20"/>
          <w:color w:val="auto"/>
        </w:rPr>
      </w:pPr>
      <w:r>
        <w:rPr>
          <w:rFonts w:ascii="Arial" w:cs="Arial" w:eastAsia="Arial" w:hAnsi="Arial"/>
          <w:sz w:val="36"/>
          <w:szCs w:val="36"/>
          <w:color w:val="009845"/>
        </w:rPr>
        <w:t>Cautionary Note Regarding Forward-Looking Statements</w:t>
      </w:r>
    </w:p>
    <w:p>
      <w:pPr>
        <w:spacing w:after="0" w:line="2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This proxy statement contains forward-looking statements within the meaning of the U.S. federal securities laws. Forward-looking statements may be identified by words like “anticipate,” “expect,” “project,” “believe,” “plan,” “may,” “estimate,” “intend” and other similar words. Forward-looking statements in this proxy statement include, but are not limited to, statements regarding individual and Company performance objectives and targets, statements relating to the financial performance of the Company, and the benefits of the Company's product launches, business objectives and growth strategies. These and other forward-looking statements are based on the Company’s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Integra's periodic reports on file with the U.S. Securities and Exchange Commission ("SEC"). The forward-looking statements speak only as of the date of this proxy statement and undue reliance should not be placed on these statements. Integra disclaims any intention or obligation to publicly update or revise any forward-looking statements. This cautionary statement is applicable to all forward-looking statements contained in this document.</w:t>
      </w:r>
    </w:p>
    <w:p>
      <w:pPr>
        <w:spacing w:after="0" w:line="358"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Forward-looking and other statements in this proxy statement regarding our ESG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36"/>
          <w:szCs w:val="36"/>
          <w:color w:val="009845"/>
        </w:rPr>
        <w:t>PROPOSAL 1. ELECTION OF DIRECTORS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2024 Director Nominees</w:t>
      </w:r>
    </w:p>
    <w:p>
      <w:pPr>
        <w:spacing w:after="0" w:line="193"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58595B"/>
        </w:rPr>
        <w:t>Based on the qualifications described below, the Board, upon the recommendation of the Nominating and Corporate Governance Committee, has nominated the following nine persons for election as directors who will serve until the next annual meeting of stockholders and until their successors are duly elected and qualified: Keith Bradley, Ph.D., Shaundra D. Clay, Jan De Witte, Stuart M. Essig, Ph.D., Jeffrey A. Graves, Ph.D., Barbara B. Hill, Renee W. Lo, Raymond G. Murphy, and Christian S. Schade, each of whom currently serve as a director of the Company.</w:t>
      </w:r>
    </w:p>
    <w:p>
      <w:pPr>
        <w:spacing w:after="0" w:line="113" w:lineRule="exact"/>
        <w:rPr>
          <w:sz w:val="20"/>
          <w:szCs w:val="20"/>
          <w:color w:val="auto"/>
        </w:rPr>
      </w:pPr>
    </w:p>
    <w:p>
      <w:pPr>
        <w:spacing w:after="0" w:line="312" w:lineRule="auto"/>
        <w:rPr>
          <w:sz w:val="20"/>
          <w:szCs w:val="20"/>
          <w:color w:val="auto"/>
        </w:rPr>
      </w:pPr>
      <w:r>
        <w:rPr>
          <w:rFonts w:ascii="Arial" w:cs="Arial" w:eastAsia="Arial" w:hAnsi="Arial"/>
          <w:sz w:val="16"/>
          <w:szCs w:val="16"/>
          <w:color w:val="58595B"/>
        </w:rPr>
        <w:t>As described below, we believe that our directors should satisfy a number of qualifications, including demonstrated integrity, a record of personal accomplishments, and a commitment to participation in board activities. The Board believes that each nominee appearing below has the skills, experience and personal qualities the Board seeks in its directors, and that the combination of these nominees creates an effective and well-functioning Board, with a diversity of perspectives, viewpoints, backgrounds and professional experiences that best serves the Board, the Company and our stockholders. Included in each director nominee’s biography is a description of select key qualifications and experience that led the Board to conclude that each nominee is qualified to serve as a member of the Board. The fact that a particular experience, qualification, attribute or skill for a director nominee is not specifically referenced for a particular nominee does not mean that the nominee does not possess that experience, qualification, attribute or skill. All biographical information below is as of the record date.</w:t>
      </w:r>
    </w:p>
    <w:p>
      <w:pPr>
        <w:spacing w:after="0" w:line="125" w:lineRule="exact"/>
        <w:rPr>
          <w:sz w:val="20"/>
          <w:szCs w:val="20"/>
          <w:color w:val="auto"/>
        </w:rPr>
      </w:pPr>
    </w:p>
    <w:p>
      <w:pPr>
        <w:jc w:val="both"/>
        <w:ind w:right="420"/>
        <w:spacing w:after="0" w:line="328" w:lineRule="auto"/>
        <w:rPr>
          <w:sz w:val="20"/>
          <w:szCs w:val="20"/>
          <w:color w:val="auto"/>
        </w:rPr>
      </w:pPr>
      <w:r>
        <w:rPr>
          <w:rFonts w:ascii="Arial" w:cs="Arial" w:eastAsia="Arial" w:hAnsi="Arial"/>
          <w:sz w:val="16"/>
          <w:szCs w:val="16"/>
          <w:color w:val="58595B"/>
        </w:rPr>
        <w:t>If any nominee should become unable to serve as director, an event not now anticipated, the shares of common stock represented by proxies would be voted for the election of such substitute as the Board may nominate. See “Principal Stockholders” for information regarding the security holdings of our director nominees.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Required Vote for Approval and Recommendation of the Board of Directors</w:t>
      </w:r>
    </w:p>
    <w:p>
      <w:pPr>
        <w:spacing w:after="0" w:line="8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The Nominating and Corporate Governance Committee then will make a recommendation to the Board whether to accept or reject the resignation, or whether other action should be taken. The Board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172085</wp:posOffset>
            </wp:positionV>
            <wp:extent cx="94615"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394335"/>
                    </a:xfrm>
                    <a:prstGeom prst="rect">
                      <a:avLst/>
                    </a:prstGeom>
                    <a:noFill/>
                  </pic:spPr>
                </pic:pic>
              </a:graphicData>
            </a:graphic>
          </wp:anchor>
        </w:drawing>
      </w:r>
    </w:p>
    <w:p>
      <w:pPr>
        <w:spacing w:after="0" w:line="265" w:lineRule="exact"/>
        <w:rPr>
          <w:sz w:val="20"/>
          <w:szCs w:val="20"/>
          <w:color w:val="auto"/>
        </w:rPr>
      </w:pPr>
    </w:p>
    <w:p>
      <w:pPr>
        <w:ind w:left="1400" w:right="500"/>
        <w:spacing w:after="0" w:line="285" w:lineRule="auto"/>
        <w:rPr>
          <w:sz w:val="20"/>
          <w:szCs w:val="20"/>
          <w:color w:val="auto"/>
        </w:rPr>
      </w:pPr>
      <w:r>
        <w:rPr>
          <w:rFonts w:ascii="Arial" w:cs="Arial" w:eastAsia="Arial" w:hAnsi="Arial"/>
          <w:sz w:val="22"/>
          <w:szCs w:val="22"/>
          <w:color w:val="58595B"/>
        </w:rPr>
        <w:t xml:space="preserve">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the election of each nominee for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009845"/>
        </w:rPr>
        <w:t>Criteria for Board Membership and Director Qualifications</w:t>
      </w:r>
    </w:p>
    <w:p>
      <w:pPr>
        <w:spacing w:after="0" w:line="207"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The Nominating and Corporate Governance Committee seeks to construct and maintain a Board consisting of a balanced, and diverse set of directors who collectively possess the expertise to ensure effective oversight of management. When considering a candidate for nomination as a director, the Board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The Nominating and Corporate Governance Committee also considers whether directors and director nominees are able to devote sufficient time and attention to their role as a member of our Board (including with respect to the Executive Chairman and Presiding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20" w:type="dxa"/>
            <w:vAlign w:val="bottom"/>
          </w:tcPr>
          <w:p>
            <w:pPr>
              <w:jc w:val="right"/>
              <w:spacing w:after="0"/>
              <w:rPr>
                <w:sz w:val="20"/>
                <w:szCs w:val="20"/>
                <w:color w:val="auto"/>
              </w:rPr>
            </w:pPr>
            <w:r>
              <w:rPr>
                <w:rFonts w:ascii="Arial" w:cs="Arial" w:eastAsia="Arial" w:hAnsi="Arial"/>
                <w:sz w:val="13"/>
                <w:szCs w:val="13"/>
                <w:b w:val="1"/>
                <w:bCs w:val="1"/>
                <w:color w:val="009845"/>
              </w:rPr>
              <w:t>7</w:t>
            </w:r>
          </w:p>
        </w:tc>
      </w:tr>
      <w:tr>
        <w:trPr>
          <w:trHeight w:val="231"/>
        </w:trPr>
        <w:tc>
          <w:tcPr>
            <w:tcW w:w="6220" w:type="dxa"/>
            <w:vAlign w:val="bottom"/>
            <w:tcBorders>
              <w:bottom w:val="single" w:sz="8" w:color="9A9A9A"/>
            </w:tcBorders>
          </w:tcPr>
          <w:p>
            <w:pPr>
              <w:spacing w:after="0"/>
              <w:rPr>
                <w:sz w:val="20"/>
                <w:szCs w:val="20"/>
                <w:color w:val="auto"/>
              </w:rPr>
            </w:pPr>
          </w:p>
        </w:tc>
        <w:tc>
          <w:tcPr>
            <w:tcW w:w="50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Director roles) and will, consistent with our Corporate Governance guidelines, take into account the nature of and time involved in a director's service on other boards (including any committees thereof) in evaluating the suitability of individual director candidates and current directors and making its recommendations to the Company's stockholders. In addition, for candidates who are currently serving as directors, the Nominating and Corporate Governance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353"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Board and the Nominating and Corporate Governance Committee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and drawing on the diversity of its members. In addition, the Board and the Nominating and Corporate Governance Committee believe that the Company and its stockholders benefit from a Board that combines the fresh perspectives brought by newer directors with the extensive industry and company-specific knowledge of longer-tenured directors, and consider director tenure when making director nomination decisions.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Consideration of Diversity</w:t>
      </w:r>
    </w:p>
    <w:p>
      <w:pPr>
        <w:spacing w:after="0" w:line="72"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As indicated in “Information Concerning Meetings, Executive Sessions and Director Independence — Nominating and Corporate Governance Committee,” on pages 17-18, a key objective for the Board in composing its membership is to assemble a group of directors that can support the business in achieving its goals and represent stockholder interests through the exercise of sound business judgment, leveraging a diversity of experiences and backgrounds. Both the Nominating and Corporate Governance Committee and the Board consider a broad range of diversity characteristics for this purpose, including viewpoints, backgrounds, experience, skill sets, education and personal attributes such as gender and race. The Nominating and Corporate Governance Committee does not assign specific weights to particular criteria and no particular criterion is necessarily applicable to all prospective nominees. Director tenure is also considered during nominee assessment.</w:t>
      </w:r>
    </w:p>
    <w:p>
      <w:pPr>
        <w:spacing w:after="0" w:line="277" w:lineRule="exact"/>
        <w:rPr>
          <w:sz w:val="20"/>
          <w:szCs w:val="20"/>
          <w:color w:val="auto"/>
        </w:rPr>
      </w:pPr>
    </w:p>
    <w:p>
      <w:pPr>
        <w:ind w:left="4180"/>
        <w:spacing w:after="0"/>
        <w:tabs>
          <w:tab w:leader="none" w:pos="6280" w:val="left"/>
        </w:tabs>
        <w:rPr>
          <w:sz w:val="20"/>
          <w:szCs w:val="20"/>
          <w:color w:val="auto"/>
        </w:rPr>
      </w:pPr>
      <w:r>
        <w:rPr>
          <w:rFonts w:ascii="Arial" w:cs="Arial" w:eastAsia="Arial" w:hAnsi="Arial"/>
          <w:sz w:val="14"/>
          <w:szCs w:val="14"/>
          <w:b w:val="1"/>
          <w:bCs w:val="1"/>
          <w:color w:val="58595B"/>
        </w:rPr>
        <w:t>Gender</w:t>
      </w:r>
      <w:r>
        <w:rPr>
          <w:sz w:val="20"/>
          <w:szCs w:val="20"/>
          <w:color w:val="auto"/>
        </w:rPr>
        <w:tab/>
      </w:r>
      <w:r>
        <w:rPr>
          <w:rFonts w:ascii="Arial" w:cs="Arial" w:eastAsia="Arial" w:hAnsi="Arial"/>
          <w:sz w:val="14"/>
          <w:szCs w:val="14"/>
          <w:b w:val="1"/>
          <w:bCs w:val="1"/>
          <w:color w:val="58595B"/>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92075</wp:posOffset>
            </wp:positionV>
            <wp:extent cx="3000375" cy="1234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0037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3980" w:type="dxa"/>
        <w:tblCellMar>
          <w:top w:w="0" w:type="dxa"/>
          <w:left w:w="0" w:type="dxa"/>
          <w:bottom w:w="0" w:type="dxa"/>
          <w:right w:w="0" w:type="dxa"/>
        </w:tblCellMar>
      </w:tblPr>
      <w:tr>
        <w:trPr>
          <w:trHeight w:val="190"/>
        </w:trPr>
        <w:tc>
          <w:tcPr>
            <w:tcW w:w="1380" w:type="dxa"/>
            <w:vAlign w:val="bottom"/>
          </w:tcPr>
          <w:p>
            <w:pPr>
              <w:spacing w:after="0"/>
              <w:rPr>
                <w:sz w:val="20"/>
                <w:szCs w:val="20"/>
                <w:color w:val="auto"/>
              </w:rPr>
            </w:pPr>
            <w:r>
              <w:rPr>
                <w:rFonts w:ascii="Wingdings" w:cs="Wingdings" w:eastAsia="Wingdings" w:hAnsi="Wingdings"/>
                <w:sz w:val="14"/>
                <w:szCs w:val="14"/>
                <w:b w:val="1"/>
                <w:bCs w:val="1"/>
                <w:color w:val="009845"/>
              </w:rPr>
              <w:t xml:space="preserve">l </w:t>
            </w:r>
            <w:r>
              <w:rPr>
                <w:rFonts w:ascii="Arial" w:cs="Arial" w:eastAsia="Arial" w:hAnsi="Arial"/>
                <w:sz w:val="14"/>
                <w:szCs w:val="14"/>
                <w:color w:val="58595B"/>
              </w:rPr>
              <w:t>Male</w:t>
            </w:r>
          </w:p>
        </w:tc>
        <w:tc>
          <w:tcPr>
            <w:tcW w:w="2000" w:type="dxa"/>
            <w:vAlign w:val="bottom"/>
          </w:tcPr>
          <w:p>
            <w:pPr>
              <w:ind w:left="760"/>
              <w:spacing w:after="0"/>
              <w:rPr>
                <w:sz w:val="20"/>
                <w:szCs w:val="20"/>
                <w:color w:val="auto"/>
              </w:rPr>
            </w:pPr>
            <w:r>
              <w:rPr>
                <w:rFonts w:ascii="Wingdings" w:cs="Wingdings" w:eastAsia="Wingdings" w:hAnsi="Wingdings"/>
                <w:sz w:val="14"/>
                <w:szCs w:val="14"/>
                <w:b w:val="1"/>
                <w:bCs w:val="1"/>
                <w:color w:val="009845"/>
              </w:rPr>
              <w:t xml:space="preserve">l </w:t>
            </w:r>
            <w:r>
              <w:rPr>
                <w:rFonts w:ascii="Arial" w:cs="Arial" w:eastAsia="Arial" w:hAnsi="Arial"/>
                <w:sz w:val="14"/>
                <w:szCs w:val="14"/>
                <w:color w:val="58595B"/>
              </w:rPr>
              <w:t>Independent</w:t>
            </w:r>
          </w:p>
        </w:tc>
      </w:tr>
      <w:tr>
        <w:trPr>
          <w:trHeight w:val="255"/>
        </w:trPr>
        <w:tc>
          <w:tcPr>
            <w:tcW w:w="1380" w:type="dxa"/>
            <w:vAlign w:val="bottom"/>
          </w:tcPr>
          <w:p>
            <w:pPr>
              <w:spacing w:after="0"/>
              <w:rPr>
                <w:sz w:val="20"/>
                <w:szCs w:val="20"/>
                <w:color w:val="auto"/>
              </w:rPr>
            </w:pPr>
            <w:r>
              <w:rPr>
                <w:rFonts w:ascii="Wingdings" w:cs="Wingdings" w:eastAsia="Wingdings" w:hAnsi="Wingdings"/>
                <w:sz w:val="14"/>
                <w:szCs w:val="14"/>
                <w:b w:val="1"/>
                <w:bCs w:val="1"/>
                <w:color w:val="005CB9"/>
              </w:rPr>
              <w:t xml:space="preserve">l </w:t>
            </w:r>
            <w:r>
              <w:rPr>
                <w:rFonts w:ascii="Arial" w:cs="Arial" w:eastAsia="Arial" w:hAnsi="Arial"/>
                <w:sz w:val="14"/>
                <w:szCs w:val="14"/>
                <w:color w:val="58595B"/>
              </w:rPr>
              <w:t>Female</w:t>
            </w:r>
          </w:p>
        </w:tc>
        <w:tc>
          <w:tcPr>
            <w:tcW w:w="2000" w:type="dxa"/>
            <w:vAlign w:val="bottom"/>
          </w:tcPr>
          <w:p>
            <w:pPr>
              <w:ind w:left="760"/>
              <w:spacing w:after="0"/>
              <w:rPr>
                <w:sz w:val="20"/>
                <w:szCs w:val="20"/>
                <w:color w:val="auto"/>
              </w:rPr>
            </w:pPr>
            <w:r>
              <w:rPr>
                <w:rFonts w:ascii="Wingdings" w:cs="Wingdings" w:eastAsia="Wingdings" w:hAnsi="Wingdings"/>
                <w:sz w:val="14"/>
                <w:szCs w:val="14"/>
                <w:b w:val="1"/>
                <w:bCs w:val="1"/>
                <w:color w:val="005CB9"/>
                <w:w w:val="93"/>
              </w:rPr>
              <w:t xml:space="preserve">l </w:t>
            </w:r>
            <w:r>
              <w:rPr>
                <w:rFonts w:ascii="Arial" w:cs="Arial" w:eastAsia="Arial" w:hAnsi="Arial"/>
                <w:sz w:val="14"/>
                <w:szCs w:val="14"/>
                <w:color w:val="58595B"/>
                <w:w w:val="93"/>
              </w:rPr>
              <w:t>President/CEO &amp;</w:t>
            </w:r>
          </w:p>
        </w:tc>
      </w:tr>
      <w:tr>
        <w:trPr>
          <w:trHeight w:val="190"/>
        </w:trPr>
        <w:tc>
          <w:tcPr>
            <w:tcW w:w="1380" w:type="dxa"/>
            <w:vAlign w:val="bottom"/>
          </w:tcPr>
          <w:p>
            <w:pPr>
              <w:spacing w:after="0"/>
              <w:rPr>
                <w:sz w:val="16"/>
                <w:szCs w:val="16"/>
                <w:color w:val="auto"/>
              </w:rPr>
            </w:pPr>
          </w:p>
        </w:tc>
        <w:tc>
          <w:tcPr>
            <w:tcW w:w="2000" w:type="dxa"/>
            <w:vAlign w:val="bottom"/>
          </w:tcPr>
          <w:p>
            <w:pPr>
              <w:ind w:left="920"/>
              <w:spacing w:after="0"/>
              <w:rPr>
                <w:sz w:val="20"/>
                <w:szCs w:val="20"/>
                <w:color w:val="auto"/>
              </w:rPr>
            </w:pPr>
            <w:r>
              <w:rPr>
                <w:rFonts w:ascii="Arial" w:cs="Arial" w:eastAsia="Arial" w:hAnsi="Arial"/>
                <w:sz w:val="14"/>
                <w:szCs w:val="14"/>
                <w:color w:val="58595B"/>
              </w:rPr>
              <w:t>Executive Chair</w:t>
            </w:r>
          </w:p>
        </w:tc>
      </w:tr>
    </w:tbl>
    <w:p>
      <w:pPr>
        <w:spacing w:after="0" w:line="38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58595B"/>
        </w:rPr>
        <w:t>100% of the membership the directors serving on the Audit, Nominating and Corporate Governance, Compensation, and Finance committees are independent. Since 2021, we have appointed four new non-executive directors to our Board. As previously disclosed, effective February 27, 2024, the Board appointed Dr. Essig, the Company's Chairman, to the role of Executive Chairman in connection with Mr. De Witte's announced intention to retire as our President and Chief Executive Officer following the appointment of his successor. There was no change to Dr. Essig’s aggregate cash or equity-based compensation in connection with his appointment as Executive Chairman nor is it anticipated that Dr. Essig will serve as our principal executive officer at any point during the CEO transition process. The Board believes that Dr. Essig's experience with the Company and knowledge of the markets in which we operate will serve as a valuable resource and source of stability throughout the transition process.</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Diversity Matrix</w:t>
      </w:r>
    </w:p>
    <w:p>
      <w:pPr>
        <w:spacing w:after="0" w:line="180"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color w:val="58595B"/>
        </w:rPr>
        <w:t>The table below provides certain highlights of the composition of our Board members and nominees as of March 25, 2024. Each of the categories listed in the table below has the meaning as it is used in Nasdaq Rule 5605(f).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shd w:val="clear" w:color="auto" w:fill="009845"/>
          </w:tcPr>
          <w:p>
            <w:pPr>
              <w:spacing w:after="0"/>
              <w:rPr>
                <w:sz w:val="19"/>
                <w:szCs w:val="19"/>
                <w:color w:val="auto"/>
              </w:rPr>
            </w:pPr>
          </w:p>
        </w:tc>
        <w:tc>
          <w:tcPr>
            <w:tcW w:w="3700" w:type="dxa"/>
            <w:vAlign w:val="bottom"/>
            <w:gridSpan w:val="2"/>
            <w:shd w:val="clear" w:color="auto" w:fill="009845"/>
          </w:tcPr>
          <w:p>
            <w:pPr>
              <w:ind w:left="500"/>
              <w:spacing w:after="0"/>
              <w:rPr>
                <w:sz w:val="20"/>
                <w:szCs w:val="20"/>
                <w:color w:val="auto"/>
              </w:rPr>
            </w:pPr>
            <w:r>
              <w:rPr>
                <w:rFonts w:ascii="Arial" w:cs="Arial" w:eastAsia="Arial" w:hAnsi="Arial"/>
                <w:sz w:val="14"/>
                <w:szCs w:val="14"/>
                <w:b w:val="1"/>
                <w:bCs w:val="1"/>
                <w:color w:val="FFFFFF"/>
              </w:rPr>
              <w:t>Board Diversity Matrix (as of March 25, 2024)</w:t>
            </w:r>
          </w:p>
        </w:tc>
        <w:tc>
          <w:tcPr>
            <w:tcW w:w="1480" w:type="dxa"/>
            <w:vAlign w:val="bottom"/>
            <w:shd w:val="clear" w:color="auto" w:fill="009845"/>
          </w:tcPr>
          <w:p>
            <w:pPr>
              <w:spacing w:after="0"/>
              <w:rPr>
                <w:sz w:val="19"/>
                <w:szCs w:val="19"/>
                <w:color w:val="auto"/>
              </w:rPr>
            </w:pPr>
          </w:p>
        </w:tc>
        <w:tc>
          <w:tcPr>
            <w:tcW w:w="2440" w:type="dxa"/>
            <w:vAlign w:val="bottom"/>
            <w:shd w:val="clear" w:color="auto" w:fill="009845"/>
          </w:tcPr>
          <w:p>
            <w:pPr>
              <w:spacing w:after="0"/>
              <w:rPr>
                <w:sz w:val="19"/>
                <w:szCs w:val="19"/>
                <w:color w:val="auto"/>
              </w:rPr>
            </w:pPr>
          </w:p>
        </w:tc>
      </w:tr>
      <w:tr>
        <w:trPr>
          <w:trHeight w:val="222"/>
        </w:trPr>
        <w:tc>
          <w:tcPr>
            <w:tcW w:w="3580" w:type="dxa"/>
            <w:vAlign w:val="bottom"/>
          </w:tcPr>
          <w:p>
            <w:pPr>
              <w:ind w:left="100"/>
              <w:spacing w:after="0"/>
              <w:rPr>
                <w:sz w:val="20"/>
                <w:szCs w:val="20"/>
                <w:color w:val="auto"/>
              </w:rPr>
            </w:pPr>
            <w:r>
              <w:rPr>
                <w:rFonts w:ascii="Arial" w:cs="Arial" w:eastAsia="Arial" w:hAnsi="Arial"/>
                <w:sz w:val="14"/>
                <w:szCs w:val="14"/>
                <w:b w:val="1"/>
                <w:bCs w:val="1"/>
                <w:color w:val="58595B"/>
              </w:rPr>
              <w:t>Total Number of Directors</w:t>
            </w:r>
          </w:p>
        </w:tc>
        <w:tc>
          <w:tcPr>
            <w:tcW w:w="1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80" w:type="dxa"/>
            <w:vAlign w:val="bottom"/>
          </w:tcPr>
          <w:p>
            <w:pPr>
              <w:jc w:val="right"/>
              <w:ind w:right="1168"/>
              <w:spacing w:after="0"/>
              <w:rPr>
                <w:sz w:val="20"/>
                <w:szCs w:val="20"/>
                <w:color w:val="auto"/>
              </w:rPr>
            </w:pPr>
            <w:r>
              <w:rPr>
                <w:rFonts w:ascii="Arial" w:cs="Arial" w:eastAsia="Arial" w:hAnsi="Arial"/>
                <w:sz w:val="14"/>
                <w:szCs w:val="14"/>
                <w:b w:val="1"/>
                <w:bCs w:val="1"/>
                <w:color w:val="58595B"/>
              </w:rPr>
              <w:t>9</w:t>
            </w:r>
          </w:p>
        </w:tc>
        <w:tc>
          <w:tcPr>
            <w:tcW w:w="2440" w:type="dxa"/>
            <w:vAlign w:val="bottom"/>
          </w:tcPr>
          <w:p>
            <w:pPr>
              <w:spacing w:after="0"/>
              <w:rPr>
                <w:sz w:val="19"/>
                <w:szCs w:val="19"/>
                <w:color w:val="auto"/>
              </w:rPr>
            </w:pPr>
          </w:p>
        </w:tc>
      </w:tr>
      <w:tr>
        <w:trPr>
          <w:trHeight w:val="237"/>
        </w:trPr>
        <w:tc>
          <w:tcPr>
            <w:tcW w:w="3580" w:type="dxa"/>
            <w:vAlign w:val="bottom"/>
            <w:shd w:val="clear" w:color="auto" w:fill="005CB9"/>
          </w:tcPr>
          <w:p>
            <w:pPr>
              <w:ind w:left="100"/>
              <w:spacing w:after="0"/>
              <w:rPr>
                <w:sz w:val="20"/>
                <w:szCs w:val="20"/>
                <w:color w:val="auto"/>
              </w:rPr>
            </w:pPr>
            <w:r>
              <w:rPr>
                <w:rFonts w:ascii="Arial" w:cs="Arial" w:eastAsia="Arial" w:hAnsi="Arial"/>
                <w:sz w:val="14"/>
                <w:szCs w:val="14"/>
                <w:b w:val="1"/>
                <w:bCs w:val="1"/>
                <w:color w:val="FFFFFF"/>
              </w:rPr>
              <w:t>Gender Identity</w:t>
            </w:r>
          </w:p>
        </w:tc>
        <w:tc>
          <w:tcPr>
            <w:tcW w:w="1920" w:type="dxa"/>
            <w:vAlign w:val="bottom"/>
            <w:shd w:val="clear" w:color="auto" w:fill="005CB9"/>
          </w:tcPr>
          <w:p>
            <w:pPr>
              <w:jc w:val="center"/>
              <w:ind w:left="68"/>
              <w:spacing w:after="0"/>
              <w:rPr>
                <w:sz w:val="20"/>
                <w:szCs w:val="20"/>
                <w:color w:val="auto"/>
              </w:rPr>
            </w:pPr>
            <w:r>
              <w:rPr>
                <w:rFonts w:ascii="Arial" w:cs="Arial" w:eastAsia="Arial" w:hAnsi="Arial"/>
                <w:sz w:val="14"/>
                <w:szCs w:val="14"/>
                <w:b w:val="1"/>
                <w:bCs w:val="1"/>
                <w:color w:val="FFFFFF"/>
              </w:rPr>
              <w:t>Female</w:t>
            </w:r>
          </w:p>
        </w:tc>
        <w:tc>
          <w:tcPr>
            <w:tcW w:w="1780" w:type="dxa"/>
            <w:vAlign w:val="bottom"/>
            <w:shd w:val="clear" w:color="auto" w:fill="005CB9"/>
          </w:tcPr>
          <w:p>
            <w:pPr>
              <w:jc w:val="center"/>
              <w:ind w:right="108"/>
              <w:spacing w:after="0"/>
              <w:rPr>
                <w:sz w:val="20"/>
                <w:szCs w:val="20"/>
                <w:color w:val="auto"/>
              </w:rPr>
            </w:pPr>
            <w:r>
              <w:rPr>
                <w:rFonts w:ascii="Arial" w:cs="Arial" w:eastAsia="Arial" w:hAnsi="Arial"/>
                <w:sz w:val="14"/>
                <w:szCs w:val="14"/>
                <w:b w:val="1"/>
                <w:bCs w:val="1"/>
                <w:color w:val="FFFFFF"/>
              </w:rPr>
              <w:t>Male</w:t>
            </w:r>
          </w:p>
        </w:tc>
        <w:tc>
          <w:tcPr>
            <w:tcW w:w="1480" w:type="dxa"/>
            <w:vAlign w:val="bottom"/>
            <w:shd w:val="clear" w:color="auto" w:fill="005CB9"/>
          </w:tcPr>
          <w:p>
            <w:pPr>
              <w:jc w:val="center"/>
              <w:ind w:right="8"/>
              <w:spacing w:after="0"/>
              <w:rPr>
                <w:sz w:val="20"/>
                <w:szCs w:val="20"/>
                <w:color w:val="auto"/>
              </w:rPr>
            </w:pPr>
            <w:r>
              <w:rPr>
                <w:rFonts w:ascii="Arial" w:cs="Arial" w:eastAsia="Arial" w:hAnsi="Arial"/>
                <w:sz w:val="14"/>
                <w:szCs w:val="14"/>
                <w:b w:val="1"/>
                <w:bCs w:val="1"/>
                <w:color w:val="FFFFFF"/>
              </w:rPr>
              <w:t>Non-Binary</w:t>
            </w:r>
          </w:p>
        </w:tc>
        <w:tc>
          <w:tcPr>
            <w:tcW w:w="24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Did Not Disclose Gender</w:t>
            </w:r>
          </w:p>
        </w:tc>
      </w:tr>
      <w:tr>
        <w:trPr>
          <w:trHeight w:val="222"/>
        </w:trPr>
        <w:tc>
          <w:tcPr>
            <w:tcW w:w="3580" w:type="dxa"/>
            <w:vAlign w:val="bottom"/>
          </w:tcPr>
          <w:p>
            <w:pPr>
              <w:ind w:left="100"/>
              <w:spacing w:after="0"/>
              <w:rPr>
                <w:sz w:val="20"/>
                <w:szCs w:val="20"/>
                <w:color w:val="auto"/>
              </w:rPr>
            </w:pPr>
            <w:r>
              <w:rPr>
                <w:rFonts w:ascii="Arial" w:cs="Arial" w:eastAsia="Arial" w:hAnsi="Arial"/>
                <w:sz w:val="14"/>
                <w:szCs w:val="14"/>
                <w:b w:val="1"/>
                <w:bCs w:val="1"/>
                <w:color w:val="58595B"/>
              </w:rPr>
              <w:t>Directors</w:t>
            </w:r>
          </w:p>
        </w:tc>
        <w:tc>
          <w:tcPr>
            <w:tcW w:w="1920" w:type="dxa"/>
            <w:vAlign w:val="bottom"/>
          </w:tcPr>
          <w:p>
            <w:pPr>
              <w:jc w:val="center"/>
              <w:ind w:left="48"/>
              <w:spacing w:after="0"/>
              <w:rPr>
                <w:sz w:val="20"/>
                <w:szCs w:val="20"/>
                <w:color w:val="auto"/>
              </w:rPr>
            </w:pPr>
            <w:r>
              <w:rPr>
                <w:rFonts w:ascii="Arial" w:cs="Arial" w:eastAsia="Arial" w:hAnsi="Arial"/>
                <w:sz w:val="14"/>
                <w:szCs w:val="14"/>
                <w:b w:val="1"/>
                <w:bCs w:val="1"/>
                <w:color w:val="58595B"/>
              </w:rPr>
              <w:t>3</w:t>
            </w: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58595B"/>
              </w:rPr>
              <w:t>6</w:t>
            </w:r>
          </w:p>
        </w:tc>
        <w:tc>
          <w:tcPr>
            <w:tcW w:w="1480" w:type="dxa"/>
            <w:vAlign w:val="bottom"/>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37"/>
        </w:trPr>
        <w:tc>
          <w:tcPr>
            <w:tcW w:w="3580" w:type="dxa"/>
            <w:vAlign w:val="bottom"/>
            <w:shd w:val="clear" w:color="auto" w:fill="005CB9"/>
          </w:tcPr>
          <w:p>
            <w:pPr>
              <w:ind w:left="100"/>
              <w:spacing w:after="0"/>
              <w:rPr>
                <w:sz w:val="20"/>
                <w:szCs w:val="20"/>
                <w:color w:val="auto"/>
              </w:rPr>
            </w:pPr>
            <w:r>
              <w:rPr>
                <w:rFonts w:ascii="Arial" w:cs="Arial" w:eastAsia="Arial" w:hAnsi="Arial"/>
                <w:sz w:val="14"/>
                <w:szCs w:val="14"/>
                <w:b w:val="1"/>
                <w:bCs w:val="1"/>
                <w:color w:val="FFFFFF"/>
              </w:rPr>
              <w:t>Demographic Background</w:t>
            </w:r>
          </w:p>
        </w:tc>
        <w:tc>
          <w:tcPr>
            <w:tcW w:w="1920" w:type="dxa"/>
            <w:vAlign w:val="bottom"/>
            <w:shd w:val="clear" w:color="auto" w:fill="005CB9"/>
          </w:tcPr>
          <w:p>
            <w:pPr>
              <w:spacing w:after="0"/>
              <w:rPr>
                <w:sz w:val="20"/>
                <w:szCs w:val="20"/>
                <w:color w:val="auto"/>
              </w:rPr>
            </w:pPr>
          </w:p>
        </w:tc>
        <w:tc>
          <w:tcPr>
            <w:tcW w:w="1780" w:type="dxa"/>
            <w:vAlign w:val="bottom"/>
            <w:shd w:val="clear" w:color="auto" w:fill="005CB9"/>
          </w:tcPr>
          <w:p>
            <w:pPr>
              <w:spacing w:after="0"/>
              <w:rPr>
                <w:sz w:val="20"/>
                <w:szCs w:val="20"/>
                <w:color w:val="auto"/>
              </w:rPr>
            </w:pPr>
          </w:p>
        </w:tc>
        <w:tc>
          <w:tcPr>
            <w:tcW w:w="1480" w:type="dxa"/>
            <w:vAlign w:val="bottom"/>
            <w:shd w:val="clear" w:color="auto" w:fill="005CB9"/>
          </w:tcPr>
          <w:p>
            <w:pPr>
              <w:spacing w:after="0"/>
              <w:rPr>
                <w:sz w:val="20"/>
                <w:szCs w:val="20"/>
                <w:color w:val="auto"/>
              </w:rPr>
            </w:pPr>
          </w:p>
        </w:tc>
        <w:tc>
          <w:tcPr>
            <w:tcW w:w="2440" w:type="dxa"/>
            <w:vAlign w:val="bottom"/>
            <w:shd w:val="clear" w:color="auto" w:fill="005CB9"/>
          </w:tcPr>
          <w:p>
            <w:pPr>
              <w:spacing w:after="0"/>
              <w:rPr>
                <w:sz w:val="20"/>
                <w:szCs w:val="20"/>
                <w:color w:val="auto"/>
              </w:rPr>
            </w:pPr>
          </w:p>
        </w:tc>
      </w:tr>
      <w:tr>
        <w:trPr>
          <w:trHeight w:val="222"/>
        </w:trPr>
        <w:tc>
          <w:tcPr>
            <w:tcW w:w="3580" w:type="dxa"/>
            <w:vAlign w:val="bottom"/>
          </w:tcPr>
          <w:p>
            <w:pPr>
              <w:ind w:left="100"/>
              <w:spacing w:after="0"/>
              <w:rPr>
                <w:sz w:val="20"/>
                <w:szCs w:val="20"/>
                <w:color w:val="auto"/>
              </w:rPr>
            </w:pPr>
            <w:r>
              <w:rPr>
                <w:rFonts w:ascii="Arial" w:cs="Arial" w:eastAsia="Arial" w:hAnsi="Arial"/>
                <w:sz w:val="14"/>
                <w:szCs w:val="14"/>
                <w:b w:val="1"/>
                <w:bCs w:val="1"/>
                <w:color w:val="58595B"/>
              </w:rPr>
              <w:t>African American or Black</w:t>
            </w:r>
          </w:p>
        </w:tc>
        <w:tc>
          <w:tcPr>
            <w:tcW w:w="1920" w:type="dxa"/>
            <w:vAlign w:val="bottom"/>
          </w:tcPr>
          <w:p>
            <w:pPr>
              <w:jc w:val="center"/>
              <w:ind w:left="48"/>
              <w:spacing w:after="0"/>
              <w:rPr>
                <w:sz w:val="20"/>
                <w:szCs w:val="20"/>
                <w:color w:val="auto"/>
              </w:rPr>
            </w:pPr>
            <w:r>
              <w:rPr>
                <w:rFonts w:ascii="Arial" w:cs="Arial" w:eastAsia="Arial" w:hAnsi="Arial"/>
                <w:sz w:val="14"/>
                <w:szCs w:val="14"/>
                <w:b w:val="1"/>
                <w:bCs w:val="1"/>
                <w:color w:val="58595B"/>
              </w:rPr>
              <w:t>1</w:t>
            </w: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58595B"/>
              </w:rPr>
              <w:t>–</w:t>
            </w:r>
          </w:p>
        </w:tc>
        <w:tc>
          <w:tcPr>
            <w:tcW w:w="1480" w:type="dxa"/>
            <w:vAlign w:val="bottom"/>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37"/>
        </w:trPr>
        <w:tc>
          <w:tcPr>
            <w:tcW w:w="35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Alaskan Native or Native American</w:t>
            </w:r>
          </w:p>
        </w:tc>
        <w:tc>
          <w:tcPr>
            <w:tcW w:w="1920" w:type="dxa"/>
            <w:vAlign w:val="bottom"/>
            <w:shd w:val="clear" w:color="auto" w:fill="EFEDED"/>
          </w:tcPr>
          <w:p>
            <w:pPr>
              <w:jc w:val="center"/>
              <w:ind w:left="48"/>
              <w:spacing w:after="0"/>
              <w:rPr>
                <w:sz w:val="20"/>
                <w:szCs w:val="20"/>
                <w:color w:val="auto"/>
              </w:rPr>
            </w:pPr>
            <w:r>
              <w:rPr>
                <w:rFonts w:ascii="Arial" w:cs="Arial" w:eastAsia="Arial" w:hAnsi="Arial"/>
                <w:sz w:val="14"/>
                <w:szCs w:val="14"/>
                <w:b w:val="1"/>
                <w:bCs w:val="1"/>
                <w:color w:val="58595B"/>
              </w:rPr>
              <w:t>–</w:t>
            </w:r>
          </w:p>
        </w:tc>
        <w:tc>
          <w:tcPr>
            <w:tcW w:w="1780" w:type="dxa"/>
            <w:vAlign w:val="bottom"/>
            <w:shd w:val="clear" w:color="auto" w:fill="EFEDED"/>
          </w:tcPr>
          <w:p>
            <w:pPr>
              <w:jc w:val="center"/>
              <w:ind w:right="108"/>
              <w:spacing w:after="0"/>
              <w:rPr>
                <w:sz w:val="20"/>
                <w:szCs w:val="20"/>
                <w:color w:val="auto"/>
              </w:rPr>
            </w:pPr>
            <w:r>
              <w:rPr>
                <w:rFonts w:ascii="Arial" w:cs="Arial" w:eastAsia="Arial" w:hAnsi="Arial"/>
                <w:sz w:val="14"/>
                <w:szCs w:val="14"/>
                <w:b w:val="1"/>
                <w:bCs w:val="1"/>
                <w:color w:val="58595B"/>
              </w:rPr>
              <w:t>–</w:t>
            </w:r>
          </w:p>
        </w:tc>
        <w:tc>
          <w:tcPr>
            <w:tcW w:w="1480" w:type="dxa"/>
            <w:vAlign w:val="bottom"/>
            <w:shd w:val="clear" w:color="auto" w:fill="EFEDED"/>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shd w:val="clear" w:color="auto" w:fill="EFEDED"/>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22"/>
        </w:trPr>
        <w:tc>
          <w:tcPr>
            <w:tcW w:w="3580" w:type="dxa"/>
            <w:vAlign w:val="bottom"/>
          </w:tcPr>
          <w:p>
            <w:pPr>
              <w:ind w:left="100"/>
              <w:spacing w:after="0"/>
              <w:rPr>
                <w:sz w:val="20"/>
                <w:szCs w:val="20"/>
                <w:color w:val="auto"/>
              </w:rPr>
            </w:pPr>
            <w:r>
              <w:rPr>
                <w:rFonts w:ascii="Arial" w:cs="Arial" w:eastAsia="Arial" w:hAnsi="Arial"/>
                <w:sz w:val="14"/>
                <w:szCs w:val="14"/>
                <w:b w:val="1"/>
                <w:bCs w:val="1"/>
                <w:color w:val="58595B"/>
              </w:rPr>
              <w:t>Asian</w:t>
            </w:r>
          </w:p>
        </w:tc>
        <w:tc>
          <w:tcPr>
            <w:tcW w:w="1920" w:type="dxa"/>
            <w:vAlign w:val="bottom"/>
          </w:tcPr>
          <w:p>
            <w:pPr>
              <w:jc w:val="center"/>
              <w:ind w:left="48"/>
              <w:spacing w:after="0"/>
              <w:rPr>
                <w:sz w:val="20"/>
                <w:szCs w:val="20"/>
                <w:color w:val="auto"/>
              </w:rPr>
            </w:pPr>
            <w:r>
              <w:rPr>
                <w:rFonts w:ascii="Arial" w:cs="Arial" w:eastAsia="Arial" w:hAnsi="Arial"/>
                <w:sz w:val="14"/>
                <w:szCs w:val="14"/>
                <w:b w:val="1"/>
                <w:bCs w:val="1"/>
                <w:color w:val="58595B"/>
              </w:rPr>
              <w:t>1</w:t>
            </w: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58595B"/>
              </w:rPr>
              <w:t>–</w:t>
            </w:r>
          </w:p>
        </w:tc>
        <w:tc>
          <w:tcPr>
            <w:tcW w:w="1480" w:type="dxa"/>
            <w:vAlign w:val="bottom"/>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37"/>
        </w:trPr>
        <w:tc>
          <w:tcPr>
            <w:tcW w:w="35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Hispanic or Latinx</w:t>
            </w:r>
          </w:p>
        </w:tc>
        <w:tc>
          <w:tcPr>
            <w:tcW w:w="1920" w:type="dxa"/>
            <w:vAlign w:val="bottom"/>
            <w:shd w:val="clear" w:color="auto" w:fill="EFEDED"/>
          </w:tcPr>
          <w:p>
            <w:pPr>
              <w:jc w:val="center"/>
              <w:ind w:left="48"/>
              <w:spacing w:after="0"/>
              <w:rPr>
                <w:sz w:val="20"/>
                <w:szCs w:val="20"/>
                <w:color w:val="auto"/>
              </w:rPr>
            </w:pPr>
            <w:r>
              <w:rPr>
                <w:rFonts w:ascii="Arial" w:cs="Arial" w:eastAsia="Arial" w:hAnsi="Arial"/>
                <w:sz w:val="14"/>
                <w:szCs w:val="14"/>
                <w:b w:val="1"/>
                <w:bCs w:val="1"/>
                <w:color w:val="58595B"/>
              </w:rPr>
              <w:t>–</w:t>
            </w:r>
          </w:p>
        </w:tc>
        <w:tc>
          <w:tcPr>
            <w:tcW w:w="1780" w:type="dxa"/>
            <w:vAlign w:val="bottom"/>
            <w:shd w:val="clear" w:color="auto" w:fill="EFEDED"/>
          </w:tcPr>
          <w:p>
            <w:pPr>
              <w:jc w:val="center"/>
              <w:ind w:right="108"/>
              <w:spacing w:after="0"/>
              <w:rPr>
                <w:sz w:val="20"/>
                <w:szCs w:val="20"/>
                <w:color w:val="auto"/>
              </w:rPr>
            </w:pPr>
            <w:r>
              <w:rPr>
                <w:rFonts w:ascii="Arial" w:cs="Arial" w:eastAsia="Arial" w:hAnsi="Arial"/>
                <w:sz w:val="14"/>
                <w:szCs w:val="14"/>
                <w:b w:val="1"/>
                <w:bCs w:val="1"/>
                <w:color w:val="58595B"/>
              </w:rPr>
              <w:t>–</w:t>
            </w:r>
          </w:p>
        </w:tc>
        <w:tc>
          <w:tcPr>
            <w:tcW w:w="1480" w:type="dxa"/>
            <w:vAlign w:val="bottom"/>
            <w:shd w:val="clear" w:color="auto" w:fill="EFEDED"/>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shd w:val="clear" w:color="auto" w:fill="EFEDED"/>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22"/>
        </w:trPr>
        <w:tc>
          <w:tcPr>
            <w:tcW w:w="3580" w:type="dxa"/>
            <w:vAlign w:val="bottom"/>
          </w:tcPr>
          <w:p>
            <w:pPr>
              <w:ind w:left="100"/>
              <w:spacing w:after="0"/>
              <w:rPr>
                <w:sz w:val="20"/>
                <w:szCs w:val="20"/>
                <w:color w:val="auto"/>
              </w:rPr>
            </w:pPr>
            <w:r>
              <w:rPr>
                <w:rFonts w:ascii="Arial" w:cs="Arial" w:eastAsia="Arial" w:hAnsi="Arial"/>
                <w:sz w:val="14"/>
                <w:szCs w:val="14"/>
                <w:b w:val="1"/>
                <w:bCs w:val="1"/>
                <w:color w:val="58595B"/>
              </w:rPr>
              <w:t>Native Hawaiian or Pacific Islander</w:t>
            </w:r>
          </w:p>
        </w:tc>
        <w:tc>
          <w:tcPr>
            <w:tcW w:w="1920" w:type="dxa"/>
            <w:vAlign w:val="bottom"/>
          </w:tcPr>
          <w:p>
            <w:pPr>
              <w:jc w:val="center"/>
              <w:ind w:left="48"/>
              <w:spacing w:after="0"/>
              <w:rPr>
                <w:sz w:val="20"/>
                <w:szCs w:val="20"/>
                <w:color w:val="auto"/>
              </w:rPr>
            </w:pPr>
            <w:r>
              <w:rPr>
                <w:rFonts w:ascii="Arial" w:cs="Arial" w:eastAsia="Arial" w:hAnsi="Arial"/>
                <w:sz w:val="14"/>
                <w:szCs w:val="14"/>
                <w:b w:val="1"/>
                <w:bCs w:val="1"/>
                <w:color w:val="58595B"/>
              </w:rPr>
              <w:t>–</w:t>
            </w: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58595B"/>
              </w:rPr>
              <w:t>–</w:t>
            </w:r>
          </w:p>
        </w:tc>
        <w:tc>
          <w:tcPr>
            <w:tcW w:w="1480" w:type="dxa"/>
            <w:vAlign w:val="bottom"/>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37"/>
        </w:trPr>
        <w:tc>
          <w:tcPr>
            <w:tcW w:w="35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White</w:t>
            </w:r>
          </w:p>
        </w:tc>
        <w:tc>
          <w:tcPr>
            <w:tcW w:w="1920" w:type="dxa"/>
            <w:vAlign w:val="bottom"/>
            <w:shd w:val="clear" w:color="auto" w:fill="EFEDED"/>
          </w:tcPr>
          <w:p>
            <w:pPr>
              <w:jc w:val="center"/>
              <w:ind w:left="48"/>
              <w:spacing w:after="0"/>
              <w:rPr>
                <w:sz w:val="20"/>
                <w:szCs w:val="20"/>
                <w:color w:val="auto"/>
              </w:rPr>
            </w:pPr>
            <w:r>
              <w:rPr>
                <w:rFonts w:ascii="Arial" w:cs="Arial" w:eastAsia="Arial" w:hAnsi="Arial"/>
                <w:sz w:val="14"/>
                <w:szCs w:val="14"/>
                <w:b w:val="1"/>
                <w:bCs w:val="1"/>
                <w:color w:val="58595B"/>
              </w:rPr>
              <w:t>1</w:t>
            </w:r>
          </w:p>
        </w:tc>
        <w:tc>
          <w:tcPr>
            <w:tcW w:w="1780" w:type="dxa"/>
            <w:vAlign w:val="bottom"/>
            <w:shd w:val="clear" w:color="auto" w:fill="EFEDED"/>
          </w:tcPr>
          <w:p>
            <w:pPr>
              <w:jc w:val="center"/>
              <w:ind w:right="108"/>
              <w:spacing w:after="0"/>
              <w:rPr>
                <w:sz w:val="20"/>
                <w:szCs w:val="20"/>
                <w:color w:val="auto"/>
              </w:rPr>
            </w:pPr>
            <w:r>
              <w:rPr>
                <w:rFonts w:ascii="Arial" w:cs="Arial" w:eastAsia="Arial" w:hAnsi="Arial"/>
                <w:sz w:val="14"/>
                <w:szCs w:val="14"/>
                <w:b w:val="1"/>
                <w:bCs w:val="1"/>
                <w:color w:val="58595B"/>
              </w:rPr>
              <w:t>6</w:t>
            </w:r>
          </w:p>
        </w:tc>
        <w:tc>
          <w:tcPr>
            <w:tcW w:w="1480" w:type="dxa"/>
            <w:vAlign w:val="bottom"/>
            <w:shd w:val="clear" w:color="auto" w:fill="EFEDED"/>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shd w:val="clear" w:color="auto" w:fill="EFEDED"/>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22"/>
        </w:trPr>
        <w:tc>
          <w:tcPr>
            <w:tcW w:w="3580" w:type="dxa"/>
            <w:vAlign w:val="bottom"/>
          </w:tcPr>
          <w:p>
            <w:pPr>
              <w:ind w:left="100"/>
              <w:spacing w:after="0"/>
              <w:rPr>
                <w:sz w:val="20"/>
                <w:szCs w:val="20"/>
                <w:color w:val="auto"/>
              </w:rPr>
            </w:pPr>
            <w:r>
              <w:rPr>
                <w:rFonts w:ascii="Arial" w:cs="Arial" w:eastAsia="Arial" w:hAnsi="Arial"/>
                <w:sz w:val="14"/>
                <w:szCs w:val="14"/>
                <w:b w:val="1"/>
                <w:bCs w:val="1"/>
                <w:color w:val="58595B"/>
              </w:rPr>
              <w:t>Two or More Races or Ethnicities</w:t>
            </w:r>
          </w:p>
        </w:tc>
        <w:tc>
          <w:tcPr>
            <w:tcW w:w="1920" w:type="dxa"/>
            <w:vAlign w:val="bottom"/>
          </w:tcPr>
          <w:p>
            <w:pPr>
              <w:jc w:val="center"/>
              <w:ind w:left="48"/>
              <w:spacing w:after="0"/>
              <w:rPr>
                <w:sz w:val="20"/>
                <w:szCs w:val="20"/>
                <w:color w:val="auto"/>
              </w:rPr>
            </w:pPr>
            <w:r>
              <w:rPr>
                <w:rFonts w:ascii="Arial" w:cs="Arial" w:eastAsia="Arial" w:hAnsi="Arial"/>
                <w:sz w:val="14"/>
                <w:szCs w:val="14"/>
                <w:b w:val="1"/>
                <w:bCs w:val="1"/>
                <w:color w:val="58595B"/>
              </w:rPr>
              <w:t>–</w:t>
            </w: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58595B"/>
              </w:rPr>
              <w:t>–</w:t>
            </w:r>
          </w:p>
        </w:tc>
        <w:tc>
          <w:tcPr>
            <w:tcW w:w="1480" w:type="dxa"/>
            <w:vAlign w:val="bottom"/>
          </w:tcPr>
          <w:p>
            <w:pPr>
              <w:jc w:val="center"/>
              <w:ind w:right="8"/>
              <w:spacing w:after="0"/>
              <w:rPr>
                <w:sz w:val="20"/>
                <w:szCs w:val="20"/>
                <w:color w:val="auto"/>
              </w:rPr>
            </w:pPr>
            <w:r>
              <w:rPr>
                <w:rFonts w:ascii="Arial" w:cs="Arial" w:eastAsia="Arial" w:hAnsi="Arial"/>
                <w:sz w:val="14"/>
                <w:szCs w:val="14"/>
                <w:b w:val="1"/>
                <w:bCs w:val="1"/>
                <w:color w:val="58595B"/>
              </w:rPr>
              <w:t>–</w:t>
            </w:r>
          </w:p>
        </w:tc>
        <w:tc>
          <w:tcPr>
            <w:tcW w:w="2440" w:type="dxa"/>
            <w:vAlign w:val="bottom"/>
          </w:tcPr>
          <w:p>
            <w:pPr>
              <w:jc w:val="center"/>
              <w:ind w:left="8"/>
              <w:spacing w:after="0"/>
              <w:rPr>
                <w:sz w:val="20"/>
                <w:szCs w:val="20"/>
                <w:color w:val="auto"/>
              </w:rPr>
            </w:pPr>
            <w:r>
              <w:rPr>
                <w:rFonts w:ascii="Arial" w:cs="Arial" w:eastAsia="Arial" w:hAnsi="Arial"/>
                <w:sz w:val="14"/>
                <w:szCs w:val="14"/>
                <w:b w:val="1"/>
                <w:bCs w:val="1"/>
                <w:color w:val="58595B"/>
              </w:rPr>
              <w:t>–</w:t>
            </w:r>
          </w:p>
        </w:tc>
      </w:tr>
      <w:tr>
        <w:trPr>
          <w:trHeight w:val="237"/>
        </w:trPr>
        <w:tc>
          <w:tcPr>
            <w:tcW w:w="35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LGBTQ+</w:t>
            </w:r>
          </w:p>
        </w:tc>
        <w:tc>
          <w:tcPr>
            <w:tcW w:w="1920" w:type="dxa"/>
            <w:vAlign w:val="bottom"/>
            <w:shd w:val="clear" w:color="auto" w:fill="EFEDED"/>
          </w:tcPr>
          <w:p>
            <w:pPr>
              <w:spacing w:after="0"/>
              <w:rPr>
                <w:sz w:val="20"/>
                <w:szCs w:val="20"/>
                <w:color w:val="auto"/>
              </w:rPr>
            </w:pPr>
          </w:p>
        </w:tc>
        <w:tc>
          <w:tcPr>
            <w:tcW w:w="1780" w:type="dxa"/>
            <w:vAlign w:val="bottom"/>
            <w:shd w:val="clear" w:color="auto" w:fill="EFEDED"/>
          </w:tcPr>
          <w:p>
            <w:pPr>
              <w:spacing w:after="0"/>
              <w:rPr>
                <w:sz w:val="20"/>
                <w:szCs w:val="20"/>
                <w:color w:val="auto"/>
              </w:rPr>
            </w:pPr>
          </w:p>
        </w:tc>
        <w:tc>
          <w:tcPr>
            <w:tcW w:w="1480" w:type="dxa"/>
            <w:vAlign w:val="bottom"/>
            <w:shd w:val="clear" w:color="auto" w:fill="EFEDED"/>
          </w:tcPr>
          <w:p>
            <w:pPr>
              <w:jc w:val="right"/>
              <w:ind w:right="1168"/>
              <w:spacing w:after="0"/>
              <w:rPr>
                <w:sz w:val="20"/>
                <w:szCs w:val="20"/>
                <w:color w:val="auto"/>
              </w:rPr>
            </w:pPr>
            <w:r>
              <w:rPr>
                <w:rFonts w:ascii="Arial" w:cs="Arial" w:eastAsia="Arial" w:hAnsi="Arial"/>
                <w:sz w:val="14"/>
                <w:szCs w:val="14"/>
                <w:b w:val="1"/>
                <w:bCs w:val="1"/>
                <w:color w:val="58595B"/>
              </w:rPr>
              <w:t>–</w:t>
            </w:r>
          </w:p>
        </w:tc>
        <w:tc>
          <w:tcPr>
            <w:tcW w:w="2440" w:type="dxa"/>
            <w:vAlign w:val="bottom"/>
            <w:shd w:val="clear" w:color="auto" w:fill="EFEDED"/>
          </w:tcPr>
          <w:p>
            <w:pPr>
              <w:spacing w:after="0"/>
              <w:rPr>
                <w:sz w:val="20"/>
                <w:szCs w:val="20"/>
                <w:color w:val="auto"/>
              </w:rPr>
            </w:pPr>
          </w:p>
        </w:tc>
      </w:tr>
      <w:tr>
        <w:trPr>
          <w:trHeight w:val="223"/>
        </w:trPr>
        <w:tc>
          <w:tcPr>
            <w:tcW w:w="358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Did Not Disclose Demographic Background</w:t>
            </w:r>
          </w:p>
        </w:tc>
        <w:tc>
          <w:tcPr>
            <w:tcW w:w="1920" w:type="dxa"/>
            <w:vAlign w:val="bottom"/>
            <w:tcBorders>
              <w:bottom w:val="single" w:sz="8" w:color="58595B"/>
            </w:tcBorders>
          </w:tcPr>
          <w:p>
            <w:pPr>
              <w:spacing w:after="0"/>
              <w:rPr>
                <w:sz w:val="19"/>
                <w:szCs w:val="19"/>
                <w:color w:val="auto"/>
              </w:rPr>
            </w:pPr>
          </w:p>
        </w:tc>
        <w:tc>
          <w:tcPr>
            <w:tcW w:w="1780" w:type="dxa"/>
            <w:vAlign w:val="bottom"/>
            <w:tcBorders>
              <w:bottom w:val="single" w:sz="8" w:color="58595B"/>
            </w:tcBorders>
          </w:tcPr>
          <w:p>
            <w:pPr>
              <w:spacing w:after="0"/>
              <w:rPr>
                <w:sz w:val="19"/>
                <w:szCs w:val="19"/>
                <w:color w:val="auto"/>
              </w:rPr>
            </w:pPr>
          </w:p>
        </w:tc>
        <w:tc>
          <w:tcPr>
            <w:tcW w:w="1480" w:type="dxa"/>
            <w:vAlign w:val="bottom"/>
            <w:tcBorders>
              <w:bottom w:val="single" w:sz="8" w:color="58595B"/>
            </w:tcBorders>
          </w:tcPr>
          <w:p>
            <w:pPr>
              <w:jc w:val="right"/>
              <w:ind w:right="1168"/>
              <w:spacing w:after="0"/>
              <w:rPr>
                <w:sz w:val="20"/>
                <w:szCs w:val="20"/>
                <w:color w:val="auto"/>
              </w:rPr>
            </w:pPr>
            <w:r>
              <w:rPr>
                <w:rFonts w:ascii="Arial" w:cs="Arial" w:eastAsia="Arial" w:hAnsi="Arial"/>
                <w:sz w:val="14"/>
                <w:szCs w:val="14"/>
                <w:b w:val="1"/>
                <w:bCs w:val="1"/>
                <w:color w:val="58595B"/>
              </w:rPr>
              <w:t>–</w:t>
            </w:r>
          </w:p>
        </w:tc>
        <w:tc>
          <w:tcPr>
            <w:tcW w:w="2440" w:type="dxa"/>
            <w:vAlign w:val="bottom"/>
            <w:tcBorders>
              <w:bottom w:val="single" w:sz="8" w:color="58595B"/>
            </w:tcBorders>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Diverse Range of Qualifications and Skills Represented by Our Directors</w:t>
      </w:r>
    </w:p>
    <w:p>
      <w:pPr>
        <w:spacing w:after="0" w:line="72" w:lineRule="exact"/>
        <w:rPr>
          <w:sz w:val="20"/>
          <w:szCs w:val="20"/>
          <w:color w:val="auto"/>
        </w:rPr>
      </w:pPr>
    </w:p>
    <w:p>
      <w:pPr>
        <w:ind w:right="320"/>
        <w:spacing w:after="0" w:line="328" w:lineRule="auto"/>
        <w:rPr>
          <w:sz w:val="20"/>
          <w:szCs w:val="20"/>
          <w:color w:val="auto"/>
        </w:rPr>
      </w:pPr>
      <w:r>
        <w:rPr>
          <w:rFonts w:ascii="Arial" w:cs="Arial" w:eastAsia="Arial" w:hAnsi="Arial"/>
          <w:sz w:val="16"/>
          <w:szCs w:val="16"/>
          <w:color w:val="58595B"/>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 No individual experience, qualification, or attribute is solely dispositive of becoming a member of our Board.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58595B"/>
              </w:rPr>
              <w:t>Bradley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58595B"/>
              </w:rPr>
              <w:t>Clay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58595B"/>
              </w:rPr>
              <w:t>De Witte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58595B"/>
              </w:rPr>
              <w:t>Essig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58595B"/>
              </w:rPr>
              <w:t>Graves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58595B"/>
              </w:rPr>
              <w:t>Hill</w:t>
            </w:r>
          </w:p>
        </w:tc>
        <w:tc>
          <w:tcPr>
            <w:tcW w:w="640" w:type="dxa"/>
            <w:vAlign w:val="bottom"/>
          </w:tcPr>
          <w:p>
            <w:pPr>
              <w:jc w:val="center"/>
              <w:ind w:left="16"/>
              <w:spacing w:after="0"/>
              <w:rPr>
                <w:sz w:val="20"/>
                <w:szCs w:val="20"/>
                <w:color w:val="auto"/>
              </w:rPr>
            </w:pPr>
            <w:r>
              <w:rPr>
                <w:rFonts w:ascii="Arial" w:cs="Arial" w:eastAsia="Arial" w:hAnsi="Arial"/>
                <w:sz w:val="14"/>
                <w:szCs w:val="14"/>
                <w:b w:val="1"/>
                <w:bCs w:val="1"/>
                <w:color w:val="58595B"/>
              </w:rPr>
              <w:t>Lo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58595B"/>
              </w:rPr>
              <w:t>Murphy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58595B"/>
              </w:rPr>
              <w:t>Schade</w:t>
            </w:r>
          </w:p>
        </w:tc>
        <w:tc>
          <w:tcPr>
            <w:tcW w:w="0" w:type="dxa"/>
            <w:vAlign w:val="bottom"/>
          </w:tcPr>
          <w:p>
            <w:pPr>
              <w:spacing w:after="0"/>
              <w:rPr>
                <w:sz w:val="1"/>
                <w:szCs w:val="1"/>
                <w:color w:val="auto"/>
              </w:rPr>
            </w:pPr>
          </w:p>
        </w:tc>
      </w:tr>
      <w:tr>
        <w:trPr>
          <w:trHeight w:val="237"/>
        </w:trPr>
        <w:tc>
          <w:tcPr>
            <w:tcW w:w="45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Skills/Qualifications</w:t>
            </w:r>
          </w:p>
        </w:tc>
        <w:tc>
          <w:tcPr>
            <w:tcW w:w="780" w:type="dxa"/>
            <w:vAlign w:val="bottom"/>
            <w:shd w:val="clear" w:color="auto" w:fill="009845"/>
          </w:tcPr>
          <w:p>
            <w:pPr>
              <w:spacing w:after="0"/>
              <w:rPr>
                <w:sz w:val="20"/>
                <w:szCs w:val="20"/>
                <w:color w:val="auto"/>
              </w:rPr>
            </w:pPr>
          </w:p>
        </w:tc>
        <w:tc>
          <w:tcPr>
            <w:tcW w:w="640" w:type="dxa"/>
            <w:vAlign w:val="bottom"/>
            <w:shd w:val="clear" w:color="auto" w:fill="009845"/>
          </w:tcPr>
          <w:p>
            <w:pPr>
              <w:spacing w:after="0"/>
              <w:rPr>
                <w:sz w:val="20"/>
                <w:szCs w:val="20"/>
                <w:color w:val="auto"/>
              </w:rPr>
            </w:pPr>
          </w:p>
        </w:tc>
        <w:tc>
          <w:tcPr>
            <w:tcW w:w="900" w:type="dxa"/>
            <w:vAlign w:val="bottom"/>
            <w:shd w:val="clear" w:color="auto" w:fill="009845"/>
          </w:tcPr>
          <w:p>
            <w:pPr>
              <w:spacing w:after="0"/>
              <w:rPr>
                <w:sz w:val="20"/>
                <w:szCs w:val="20"/>
                <w:color w:val="auto"/>
              </w:rPr>
            </w:pPr>
          </w:p>
        </w:tc>
        <w:tc>
          <w:tcPr>
            <w:tcW w:w="680" w:type="dxa"/>
            <w:vAlign w:val="bottom"/>
            <w:shd w:val="clear" w:color="auto" w:fill="009845"/>
          </w:tcPr>
          <w:p>
            <w:pPr>
              <w:spacing w:after="0"/>
              <w:rPr>
                <w:sz w:val="20"/>
                <w:szCs w:val="20"/>
                <w:color w:val="auto"/>
              </w:rPr>
            </w:pPr>
          </w:p>
        </w:tc>
        <w:tc>
          <w:tcPr>
            <w:tcW w:w="840" w:type="dxa"/>
            <w:vAlign w:val="bottom"/>
            <w:shd w:val="clear" w:color="auto" w:fill="009845"/>
          </w:tcPr>
          <w:p>
            <w:pPr>
              <w:spacing w:after="0"/>
              <w:rPr>
                <w:sz w:val="20"/>
                <w:szCs w:val="20"/>
                <w:color w:val="auto"/>
              </w:rPr>
            </w:pPr>
          </w:p>
        </w:tc>
        <w:tc>
          <w:tcPr>
            <w:tcW w:w="680" w:type="dxa"/>
            <w:vAlign w:val="bottom"/>
            <w:shd w:val="clear" w:color="auto" w:fill="009845"/>
          </w:tcPr>
          <w:p>
            <w:pPr>
              <w:spacing w:after="0"/>
              <w:rPr>
                <w:sz w:val="20"/>
                <w:szCs w:val="20"/>
                <w:color w:val="auto"/>
              </w:rPr>
            </w:pPr>
          </w:p>
        </w:tc>
        <w:tc>
          <w:tcPr>
            <w:tcW w:w="640" w:type="dxa"/>
            <w:vAlign w:val="bottom"/>
            <w:shd w:val="clear" w:color="auto" w:fill="009845"/>
          </w:tcPr>
          <w:p>
            <w:pPr>
              <w:spacing w:after="0"/>
              <w:rPr>
                <w:sz w:val="20"/>
                <w:szCs w:val="20"/>
                <w:color w:val="auto"/>
              </w:rPr>
            </w:pPr>
          </w:p>
        </w:tc>
        <w:tc>
          <w:tcPr>
            <w:tcW w:w="840" w:type="dxa"/>
            <w:vAlign w:val="bottom"/>
            <w:shd w:val="clear" w:color="auto" w:fill="009845"/>
          </w:tcPr>
          <w:p>
            <w:pPr>
              <w:spacing w:after="0"/>
              <w:rPr>
                <w:sz w:val="20"/>
                <w:szCs w:val="20"/>
                <w:color w:val="auto"/>
              </w:rPr>
            </w:pPr>
          </w:p>
        </w:tc>
        <w:tc>
          <w:tcPr>
            <w:tcW w:w="740" w:type="dxa"/>
            <w:vAlign w:val="bottom"/>
            <w:shd w:val="clear" w:color="auto" w:fill="009845"/>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0"/>
              <w:spacing w:after="0"/>
              <w:rPr>
                <w:sz w:val="20"/>
                <w:szCs w:val="20"/>
                <w:color w:val="auto"/>
              </w:rPr>
            </w:pPr>
            <w:r>
              <w:rPr>
                <w:rFonts w:ascii="Arial" w:cs="Arial" w:eastAsia="Arial" w:hAnsi="Arial"/>
                <w:sz w:val="14"/>
                <w:szCs w:val="14"/>
                <w:b w:val="1"/>
                <w:bCs w:val="1"/>
                <w:color w:val="58595B"/>
              </w:rPr>
              <w:t>Healthcare Industry Experience</w:t>
            </w:r>
          </w:p>
        </w:tc>
        <w:tc>
          <w:tcPr>
            <w:tcW w:w="7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0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16"/>
                <w:szCs w:val="16"/>
                <w:color w:val="auto"/>
              </w:rPr>
            </w:pPr>
          </w:p>
        </w:tc>
        <w:tc>
          <w:tcPr>
            <w:tcW w:w="840" w:type="dxa"/>
            <w:vAlign w:val="bottom"/>
            <w:vMerge w:val="restart"/>
          </w:tcPr>
          <w:p>
            <w:pPr>
              <w:jc w:val="center"/>
              <w:ind w:left="15"/>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0" w:type="dxa"/>
            <w:vAlign w:val="bottom"/>
          </w:tcPr>
          <w:p>
            <w:pPr>
              <w:spacing w:after="0"/>
              <w:rPr>
                <w:sz w:val="1"/>
                <w:szCs w:val="1"/>
                <w:color w:val="auto"/>
              </w:rPr>
            </w:pPr>
          </w:p>
        </w:tc>
      </w:tr>
      <w:tr>
        <w:trPr>
          <w:trHeight w:val="175"/>
        </w:trPr>
        <w:tc>
          <w:tcPr>
            <w:tcW w:w="4500" w:type="dxa"/>
            <w:vAlign w:val="bottom"/>
          </w:tcPr>
          <w:p>
            <w:pPr>
              <w:ind w:left="100"/>
              <w:spacing w:after="0"/>
              <w:rPr>
                <w:sz w:val="20"/>
                <w:szCs w:val="20"/>
                <w:color w:val="auto"/>
              </w:rPr>
            </w:pPr>
            <w:r>
              <w:rPr>
                <w:rFonts w:ascii="Arial" w:cs="Arial" w:eastAsia="Arial" w:hAnsi="Arial"/>
                <w:sz w:val="14"/>
                <w:szCs w:val="14"/>
                <w:color w:val="58595B"/>
              </w:rPr>
              <w:t>Knowledge or experience in an industry involving healthcare and</w:t>
            </w:r>
          </w:p>
        </w:tc>
        <w:tc>
          <w:tcPr>
            <w:tcW w:w="7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00" w:type="dxa"/>
            <w:vAlign w:val="bottom"/>
          </w:tcPr>
          <w:p>
            <w:pPr>
              <w:ind w:left="100"/>
              <w:spacing w:after="0"/>
              <w:rPr>
                <w:sz w:val="20"/>
                <w:szCs w:val="20"/>
                <w:color w:val="auto"/>
              </w:rPr>
            </w:pPr>
            <w:r>
              <w:rPr>
                <w:rFonts w:ascii="Arial" w:cs="Arial" w:eastAsia="Arial" w:hAnsi="Arial"/>
                <w:sz w:val="14"/>
                <w:szCs w:val="14"/>
                <w:color w:val="58595B"/>
              </w:rPr>
              <w:t>medical products and services</w:t>
            </w: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Senior Leadership and Oversight Experience</w:t>
            </w:r>
          </w:p>
        </w:tc>
        <w:tc>
          <w:tcPr>
            <w:tcW w:w="7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90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the leadership and oversight of organizations,</w:t>
            </w:r>
          </w:p>
        </w:tc>
        <w:tc>
          <w:tcPr>
            <w:tcW w:w="780" w:type="dxa"/>
            <w:vAlign w:val="bottom"/>
            <w:shd w:val="clear" w:color="auto" w:fill="EFEDED"/>
          </w:tcPr>
          <w:p>
            <w:pPr>
              <w:spacing w:after="0"/>
              <w:rPr>
                <w:sz w:val="15"/>
                <w:szCs w:val="15"/>
                <w:color w:val="auto"/>
              </w:rPr>
            </w:pPr>
          </w:p>
        </w:tc>
        <w:tc>
          <w:tcPr>
            <w:tcW w:w="6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vMerge w:val="restart"/>
            <w:shd w:val="clear" w:color="auto" w:fill="EFEDED"/>
          </w:tcPr>
          <w:p>
            <w:pPr>
              <w:jc w:val="center"/>
              <w:ind w:left="16"/>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ind w:left="15"/>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0" w:type="dxa"/>
            <w:vAlign w:val="bottom"/>
          </w:tcPr>
          <w:p>
            <w:pPr>
              <w:spacing w:after="0"/>
              <w:rPr>
                <w:sz w:val="1"/>
                <w:szCs w:val="1"/>
                <w:color w:val="auto"/>
              </w:rPr>
            </w:pPr>
          </w:p>
        </w:tc>
      </w:tr>
      <w:tr>
        <w:trPr>
          <w:trHeight w:val="162"/>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offering practical perspectives on organizational and strategic</w:t>
            </w:r>
          </w:p>
        </w:tc>
        <w:tc>
          <w:tcPr>
            <w:tcW w:w="780" w:type="dxa"/>
            <w:vAlign w:val="bottom"/>
            <w:shd w:val="clear" w:color="auto" w:fill="EFEDED"/>
          </w:tcPr>
          <w:p>
            <w:pPr>
              <w:spacing w:after="0"/>
              <w:rPr>
                <w:sz w:val="14"/>
                <w:szCs w:val="14"/>
                <w:color w:val="auto"/>
              </w:rPr>
            </w:pPr>
          </w:p>
        </w:tc>
        <w:tc>
          <w:tcPr>
            <w:tcW w:w="640" w:type="dxa"/>
            <w:vAlign w:val="bottom"/>
            <w:vMerge w:val="continue"/>
            <w:shd w:val="clear" w:color="auto" w:fill="EFEDED"/>
          </w:tcPr>
          <w:p>
            <w:pPr>
              <w:spacing w:after="0"/>
              <w:rPr>
                <w:sz w:val="14"/>
                <w:szCs w:val="14"/>
                <w:color w:val="auto"/>
              </w:rPr>
            </w:pPr>
          </w:p>
        </w:tc>
        <w:tc>
          <w:tcPr>
            <w:tcW w:w="900" w:type="dxa"/>
            <w:vAlign w:val="bottom"/>
            <w:vMerge w:val="continue"/>
            <w:shd w:val="clear" w:color="auto" w:fill="EFEDED"/>
          </w:tcPr>
          <w:p>
            <w:pPr>
              <w:spacing w:after="0"/>
              <w:rPr>
                <w:sz w:val="14"/>
                <w:szCs w:val="14"/>
                <w:color w:val="auto"/>
              </w:rPr>
            </w:pPr>
          </w:p>
        </w:tc>
        <w:tc>
          <w:tcPr>
            <w:tcW w:w="680" w:type="dxa"/>
            <w:vAlign w:val="bottom"/>
            <w:vMerge w:val="continue"/>
            <w:shd w:val="clear" w:color="auto" w:fill="EFEDED"/>
          </w:tcPr>
          <w:p>
            <w:pPr>
              <w:spacing w:after="0"/>
              <w:rPr>
                <w:sz w:val="14"/>
                <w:szCs w:val="14"/>
                <w:color w:val="auto"/>
              </w:rPr>
            </w:pPr>
          </w:p>
        </w:tc>
        <w:tc>
          <w:tcPr>
            <w:tcW w:w="840" w:type="dxa"/>
            <w:vAlign w:val="bottom"/>
            <w:vMerge w:val="continue"/>
            <w:shd w:val="clear" w:color="auto" w:fill="EFEDED"/>
          </w:tcPr>
          <w:p>
            <w:pPr>
              <w:spacing w:after="0"/>
              <w:rPr>
                <w:sz w:val="14"/>
                <w:szCs w:val="14"/>
                <w:color w:val="auto"/>
              </w:rPr>
            </w:pPr>
          </w:p>
        </w:tc>
        <w:tc>
          <w:tcPr>
            <w:tcW w:w="680" w:type="dxa"/>
            <w:vAlign w:val="bottom"/>
            <w:vMerge w:val="continue"/>
            <w:shd w:val="clear" w:color="auto" w:fill="EFEDED"/>
          </w:tcPr>
          <w:p>
            <w:pPr>
              <w:spacing w:after="0"/>
              <w:rPr>
                <w:sz w:val="14"/>
                <w:szCs w:val="14"/>
                <w:color w:val="auto"/>
              </w:rPr>
            </w:pPr>
          </w:p>
        </w:tc>
        <w:tc>
          <w:tcPr>
            <w:tcW w:w="640" w:type="dxa"/>
            <w:vAlign w:val="bottom"/>
            <w:vMerge w:val="continue"/>
            <w:shd w:val="clear" w:color="auto" w:fill="EFEDED"/>
          </w:tcPr>
          <w:p>
            <w:pPr>
              <w:spacing w:after="0"/>
              <w:rPr>
                <w:sz w:val="14"/>
                <w:szCs w:val="14"/>
                <w:color w:val="auto"/>
              </w:rPr>
            </w:pPr>
          </w:p>
        </w:tc>
        <w:tc>
          <w:tcPr>
            <w:tcW w:w="840" w:type="dxa"/>
            <w:vAlign w:val="bottom"/>
            <w:vMerge w:val="continue"/>
            <w:shd w:val="clear" w:color="auto" w:fill="EFEDED"/>
          </w:tcPr>
          <w:p>
            <w:pPr>
              <w:spacing w:after="0"/>
              <w:rPr>
                <w:sz w:val="14"/>
                <w:szCs w:val="14"/>
                <w:color w:val="auto"/>
              </w:rPr>
            </w:pPr>
          </w:p>
        </w:tc>
        <w:tc>
          <w:tcPr>
            <w:tcW w:w="740" w:type="dxa"/>
            <w:vAlign w:val="bottom"/>
            <w:vMerge w:val="continue"/>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planning, including M&amp;A activity, talent development and driving</w:t>
            </w:r>
          </w:p>
        </w:tc>
        <w:tc>
          <w:tcPr>
            <w:tcW w:w="780" w:type="dxa"/>
            <w:vAlign w:val="bottom"/>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900" w:type="dxa"/>
            <w:vAlign w:val="bottom"/>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680" w:type="dxa"/>
            <w:vAlign w:val="bottom"/>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long-term growth</w:t>
            </w:r>
          </w:p>
        </w:tc>
        <w:tc>
          <w:tcPr>
            <w:tcW w:w="780" w:type="dxa"/>
            <w:vAlign w:val="bottom"/>
            <w:tcBorders>
              <w:bottom w:val="single" w:sz="8" w:color="EFEDED"/>
            </w:tcBorders>
            <w:shd w:val="clear" w:color="auto" w:fill="EFEDED"/>
          </w:tcPr>
          <w:p>
            <w:pPr>
              <w:spacing w:after="0"/>
              <w:rPr>
                <w:sz w:val="16"/>
                <w:szCs w:val="16"/>
                <w:color w:val="auto"/>
              </w:rPr>
            </w:pPr>
          </w:p>
        </w:tc>
        <w:tc>
          <w:tcPr>
            <w:tcW w:w="640" w:type="dxa"/>
            <w:vAlign w:val="bottom"/>
            <w:tcBorders>
              <w:bottom w:val="single" w:sz="8" w:color="EFEDED"/>
            </w:tcBorders>
            <w:shd w:val="clear" w:color="auto" w:fill="EFEDED"/>
          </w:tcPr>
          <w:p>
            <w:pPr>
              <w:spacing w:after="0"/>
              <w:rPr>
                <w:sz w:val="16"/>
                <w:szCs w:val="16"/>
                <w:color w:val="auto"/>
              </w:rPr>
            </w:pPr>
          </w:p>
        </w:tc>
        <w:tc>
          <w:tcPr>
            <w:tcW w:w="900" w:type="dxa"/>
            <w:vAlign w:val="bottom"/>
            <w:tcBorders>
              <w:bottom w:val="single" w:sz="8" w:color="EFEDED"/>
            </w:tcBorders>
            <w:shd w:val="clear" w:color="auto" w:fill="EFEDED"/>
          </w:tcPr>
          <w:p>
            <w:pPr>
              <w:spacing w:after="0"/>
              <w:rPr>
                <w:sz w:val="16"/>
                <w:szCs w:val="16"/>
                <w:color w:val="auto"/>
              </w:rPr>
            </w:pPr>
          </w:p>
        </w:tc>
        <w:tc>
          <w:tcPr>
            <w:tcW w:w="680" w:type="dxa"/>
            <w:vAlign w:val="bottom"/>
            <w:tcBorders>
              <w:bottom w:val="single" w:sz="8" w:color="EFEDED"/>
            </w:tcBorders>
            <w:shd w:val="clear" w:color="auto" w:fill="EFEDED"/>
          </w:tcPr>
          <w:p>
            <w:pPr>
              <w:spacing w:after="0"/>
              <w:rPr>
                <w:sz w:val="16"/>
                <w:szCs w:val="16"/>
                <w:color w:val="auto"/>
              </w:rPr>
            </w:pPr>
          </w:p>
        </w:tc>
        <w:tc>
          <w:tcPr>
            <w:tcW w:w="840" w:type="dxa"/>
            <w:vAlign w:val="bottom"/>
            <w:tcBorders>
              <w:bottom w:val="single" w:sz="8" w:color="EFEDED"/>
            </w:tcBorders>
            <w:shd w:val="clear" w:color="auto" w:fill="EFEDED"/>
          </w:tcPr>
          <w:p>
            <w:pPr>
              <w:spacing w:after="0"/>
              <w:rPr>
                <w:sz w:val="16"/>
                <w:szCs w:val="16"/>
                <w:color w:val="auto"/>
              </w:rPr>
            </w:pPr>
          </w:p>
        </w:tc>
        <w:tc>
          <w:tcPr>
            <w:tcW w:w="680" w:type="dxa"/>
            <w:vAlign w:val="bottom"/>
            <w:tcBorders>
              <w:bottom w:val="single" w:sz="8" w:color="EFEDED"/>
            </w:tcBorders>
            <w:shd w:val="clear" w:color="auto" w:fill="EFEDED"/>
          </w:tcPr>
          <w:p>
            <w:pPr>
              <w:spacing w:after="0"/>
              <w:rPr>
                <w:sz w:val="16"/>
                <w:szCs w:val="16"/>
                <w:color w:val="auto"/>
              </w:rPr>
            </w:pPr>
          </w:p>
        </w:tc>
        <w:tc>
          <w:tcPr>
            <w:tcW w:w="640" w:type="dxa"/>
            <w:vAlign w:val="bottom"/>
            <w:tcBorders>
              <w:bottom w:val="single" w:sz="8" w:color="EFEDED"/>
            </w:tcBorders>
            <w:shd w:val="clear" w:color="auto" w:fill="EFEDED"/>
          </w:tcPr>
          <w:p>
            <w:pPr>
              <w:spacing w:after="0"/>
              <w:rPr>
                <w:sz w:val="16"/>
                <w:szCs w:val="16"/>
                <w:color w:val="auto"/>
              </w:rPr>
            </w:pPr>
          </w:p>
        </w:tc>
        <w:tc>
          <w:tcPr>
            <w:tcW w:w="840" w:type="dxa"/>
            <w:vAlign w:val="bottom"/>
            <w:tcBorders>
              <w:bottom w:val="single" w:sz="8" w:color="EFEDED"/>
            </w:tcBorders>
            <w:shd w:val="clear" w:color="auto" w:fill="EFEDED"/>
          </w:tcPr>
          <w:p>
            <w:pPr>
              <w:spacing w:after="0"/>
              <w:rPr>
                <w:sz w:val="16"/>
                <w:szCs w:val="16"/>
                <w:color w:val="auto"/>
              </w:rPr>
            </w:pPr>
          </w:p>
        </w:tc>
        <w:tc>
          <w:tcPr>
            <w:tcW w:w="740" w:type="dxa"/>
            <w:vAlign w:val="bottom"/>
            <w:tcBorders>
              <w:bottom w:val="single" w:sz="8" w:color="EFEDED"/>
            </w:tcBorders>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0"/>
              <w:spacing w:after="0"/>
              <w:rPr>
                <w:sz w:val="20"/>
                <w:szCs w:val="20"/>
                <w:color w:val="auto"/>
              </w:rPr>
            </w:pPr>
            <w:r>
              <w:rPr>
                <w:rFonts w:ascii="Arial" w:cs="Arial" w:eastAsia="Arial" w:hAnsi="Arial"/>
                <w:sz w:val="14"/>
                <w:szCs w:val="14"/>
                <w:b w:val="1"/>
                <w:bCs w:val="1"/>
                <w:color w:val="58595B"/>
              </w:rPr>
              <w:t>Manufacturing Operations and Supply Chain Experience</w:t>
            </w: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100"/>
              <w:spacing w:after="0"/>
              <w:rPr>
                <w:sz w:val="20"/>
                <w:szCs w:val="20"/>
                <w:color w:val="auto"/>
              </w:rPr>
            </w:pPr>
            <w:r>
              <w:rPr>
                <w:rFonts w:ascii="Arial" w:cs="Arial" w:eastAsia="Arial" w:hAnsi="Arial"/>
                <w:sz w:val="14"/>
                <w:szCs w:val="14"/>
                <w:color w:val="58595B"/>
              </w:rPr>
              <w:t>Experience with the relationships and activities required to</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00" w:type="dxa"/>
            <w:vAlign w:val="bottom"/>
          </w:tcPr>
          <w:p>
            <w:pPr>
              <w:ind w:left="100"/>
              <w:spacing w:after="0"/>
              <w:rPr>
                <w:sz w:val="20"/>
                <w:szCs w:val="20"/>
                <w:color w:val="auto"/>
              </w:rPr>
            </w:pPr>
            <w:r>
              <w:rPr>
                <w:rFonts w:ascii="Arial" w:cs="Arial" w:eastAsia="Arial" w:hAnsi="Arial"/>
                <w:sz w:val="14"/>
                <w:szCs w:val="14"/>
                <w:color w:val="58595B"/>
              </w:rPr>
              <w:t>manufacture goods and maximize overall supply chain efficiency</w:t>
            </w: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Corporate Sales and Marketing Experience</w:t>
            </w:r>
          </w:p>
        </w:tc>
        <w:tc>
          <w:tcPr>
            <w:tcW w:w="780" w:type="dxa"/>
            <w:vAlign w:val="bottom"/>
            <w:shd w:val="clear" w:color="auto" w:fill="EFEDED"/>
          </w:tcPr>
          <w:p>
            <w:pPr>
              <w:spacing w:after="0"/>
              <w:rPr>
                <w:sz w:val="17"/>
                <w:szCs w:val="17"/>
                <w:color w:val="auto"/>
              </w:rPr>
            </w:pPr>
          </w:p>
        </w:tc>
        <w:tc>
          <w:tcPr>
            <w:tcW w:w="6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vMerge w:val="restart"/>
            <w:shd w:val="clear" w:color="auto" w:fill="EFEDED"/>
          </w:tcPr>
          <w:p>
            <w:pPr>
              <w:jc w:val="center"/>
              <w:ind w:left="16"/>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the marketing of an organization's products and</w:t>
            </w:r>
          </w:p>
        </w:tc>
        <w:tc>
          <w:tcPr>
            <w:tcW w:w="780" w:type="dxa"/>
            <w:vAlign w:val="bottom"/>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90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vMerge w:val="continue"/>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services.</w:t>
            </w:r>
          </w:p>
        </w:tc>
        <w:tc>
          <w:tcPr>
            <w:tcW w:w="7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90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0"/>
              <w:spacing w:after="0"/>
              <w:rPr>
                <w:sz w:val="20"/>
                <w:szCs w:val="20"/>
                <w:color w:val="auto"/>
              </w:rPr>
            </w:pPr>
            <w:r>
              <w:rPr>
                <w:rFonts w:ascii="Arial" w:cs="Arial" w:eastAsia="Arial" w:hAnsi="Arial"/>
                <w:sz w:val="14"/>
                <w:szCs w:val="14"/>
                <w:b w:val="1"/>
                <w:bCs w:val="1"/>
                <w:color w:val="58595B"/>
              </w:rPr>
              <w:t>Risk Management Experience</w:t>
            </w:r>
          </w:p>
        </w:tc>
        <w:tc>
          <w:tcPr>
            <w:tcW w:w="78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0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16"/>
                <w:szCs w:val="16"/>
                <w:color w:val="auto"/>
              </w:rPr>
            </w:pPr>
          </w:p>
        </w:tc>
        <w:tc>
          <w:tcPr>
            <w:tcW w:w="840" w:type="dxa"/>
            <w:vAlign w:val="bottom"/>
            <w:vMerge w:val="restart"/>
          </w:tcPr>
          <w:p>
            <w:pPr>
              <w:jc w:val="center"/>
              <w:ind w:left="15"/>
              <w:spacing w:after="0"/>
              <w:rPr>
                <w:sz w:val="20"/>
                <w:szCs w:val="20"/>
                <w:color w:val="auto"/>
              </w:rPr>
            </w:pPr>
            <w:r>
              <w:rPr>
                <w:rFonts w:ascii="Wingdings" w:cs="Wingdings" w:eastAsia="Wingdings" w:hAnsi="Wingdings"/>
                <w:sz w:val="18"/>
                <w:szCs w:val="18"/>
                <w:b w:val="1"/>
                <w:bCs w:val="1"/>
                <w:color w:val="009845"/>
              </w:rPr>
              <w:t>l</w:t>
            </w:r>
          </w:p>
        </w:tc>
        <w:tc>
          <w:tcPr>
            <w:tcW w:w="740" w:type="dxa"/>
            <w:vAlign w:val="bottom"/>
            <w:vMerge w:val="restart"/>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0" w:type="dxa"/>
            <w:vAlign w:val="bottom"/>
          </w:tcPr>
          <w:p>
            <w:pPr>
              <w:spacing w:after="0"/>
              <w:rPr>
                <w:sz w:val="1"/>
                <w:szCs w:val="1"/>
                <w:color w:val="auto"/>
              </w:rPr>
            </w:pPr>
          </w:p>
        </w:tc>
      </w:tr>
      <w:tr>
        <w:trPr>
          <w:trHeight w:val="175"/>
        </w:trPr>
        <w:tc>
          <w:tcPr>
            <w:tcW w:w="4500" w:type="dxa"/>
            <w:vAlign w:val="bottom"/>
          </w:tcPr>
          <w:p>
            <w:pPr>
              <w:ind w:left="100"/>
              <w:spacing w:after="0"/>
              <w:rPr>
                <w:sz w:val="20"/>
                <w:szCs w:val="20"/>
                <w:color w:val="auto"/>
              </w:rPr>
            </w:pPr>
            <w:r>
              <w:rPr>
                <w:rFonts w:ascii="Arial" w:cs="Arial" w:eastAsia="Arial" w:hAnsi="Arial"/>
                <w:sz w:val="14"/>
                <w:szCs w:val="14"/>
                <w:color w:val="58595B"/>
              </w:rPr>
              <w:t>Knowledge and experience in managing major risk exposures for</w:t>
            </w:r>
          </w:p>
        </w:tc>
        <w:tc>
          <w:tcPr>
            <w:tcW w:w="7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00" w:type="dxa"/>
            <w:vAlign w:val="bottom"/>
          </w:tcPr>
          <w:p>
            <w:pPr>
              <w:ind w:left="100"/>
              <w:spacing w:after="0"/>
              <w:rPr>
                <w:sz w:val="20"/>
                <w:szCs w:val="20"/>
                <w:color w:val="auto"/>
              </w:rPr>
            </w:pPr>
            <w:r>
              <w:rPr>
                <w:rFonts w:ascii="Arial" w:cs="Arial" w:eastAsia="Arial" w:hAnsi="Arial"/>
                <w:sz w:val="14"/>
                <w:szCs w:val="14"/>
                <w:color w:val="58595B"/>
              </w:rPr>
              <w:t>complex, large organizations</w:t>
            </w: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EFEDED"/>
          </w:tcPr>
          <w:p>
            <w:pPr>
              <w:ind w:left="20"/>
              <w:spacing w:after="0"/>
              <w:rPr>
                <w:sz w:val="20"/>
                <w:szCs w:val="20"/>
                <w:color w:val="auto"/>
              </w:rPr>
            </w:pPr>
            <w:r>
              <w:rPr>
                <w:rFonts w:ascii="Arial" w:cs="Arial" w:eastAsia="Arial" w:hAnsi="Arial"/>
                <w:sz w:val="14"/>
                <w:szCs w:val="14"/>
                <w:b w:val="1"/>
                <w:bCs w:val="1"/>
                <w:color w:val="58595B"/>
              </w:rPr>
              <w:t>Regulatory, Compliance and Product Safety Experience</w:t>
            </w:r>
          </w:p>
        </w:tc>
        <w:tc>
          <w:tcPr>
            <w:tcW w:w="7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90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740" w:type="dxa"/>
            <w:vAlign w:val="bottom"/>
            <w:vMerge w:val="restart"/>
            <w:shd w:val="clear" w:color="auto" w:fill="EFEDED"/>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0" w:type="dxa"/>
            <w:vAlign w:val="bottom"/>
          </w:tcPr>
          <w:p>
            <w:pPr>
              <w:spacing w:after="0"/>
              <w:rPr>
                <w:sz w:val="1"/>
                <w:szCs w:val="1"/>
                <w:color w:val="auto"/>
              </w:rPr>
            </w:pPr>
          </w:p>
        </w:tc>
      </w:tr>
      <w:tr>
        <w:trPr>
          <w:trHeight w:val="175"/>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Experience with regulatory schemes and product quality control and</w:t>
            </w:r>
          </w:p>
        </w:tc>
        <w:tc>
          <w:tcPr>
            <w:tcW w:w="780" w:type="dxa"/>
            <w:vAlign w:val="bottom"/>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90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840" w:type="dxa"/>
            <w:vAlign w:val="bottom"/>
            <w:vMerge w:val="continue"/>
            <w:shd w:val="clear" w:color="auto" w:fill="EFEDED"/>
          </w:tcPr>
          <w:p>
            <w:pPr>
              <w:spacing w:after="0"/>
              <w:rPr>
                <w:sz w:val="15"/>
                <w:szCs w:val="15"/>
                <w:color w:val="auto"/>
              </w:rPr>
            </w:pPr>
          </w:p>
        </w:tc>
        <w:tc>
          <w:tcPr>
            <w:tcW w:w="680" w:type="dxa"/>
            <w:vAlign w:val="bottom"/>
            <w:vMerge w:val="continue"/>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840" w:type="dxa"/>
            <w:vAlign w:val="bottom"/>
            <w:shd w:val="clear" w:color="auto" w:fill="EFEDED"/>
          </w:tcPr>
          <w:p>
            <w:pPr>
              <w:spacing w:after="0"/>
              <w:rPr>
                <w:sz w:val="15"/>
                <w:szCs w:val="15"/>
                <w:color w:val="auto"/>
              </w:rPr>
            </w:pPr>
          </w:p>
        </w:tc>
        <w:tc>
          <w:tcPr>
            <w:tcW w:w="740" w:type="dxa"/>
            <w:vAlign w:val="bottom"/>
            <w:vMerge w:val="continue"/>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safety</w:t>
            </w:r>
          </w:p>
        </w:tc>
        <w:tc>
          <w:tcPr>
            <w:tcW w:w="7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90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680" w:type="dxa"/>
            <w:vAlign w:val="bottom"/>
            <w:shd w:val="clear" w:color="auto" w:fill="EFEDED"/>
          </w:tcPr>
          <w:p>
            <w:pPr>
              <w:spacing w:after="0"/>
              <w:rPr>
                <w:sz w:val="17"/>
                <w:szCs w:val="17"/>
                <w:color w:val="auto"/>
              </w:rPr>
            </w:pPr>
          </w:p>
        </w:tc>
        <w:tc>
          <w:tcPr>
            <w:tcW w:w="640" w:type="dxa"/>
            <w:vAlign w:val="bottom"/>
            <w:shd w:val="clear" w:color="auto" w:fill="EFEDED"/>
          </w:tcPr>
          <w:p>
            <w:pPr>
              <w:spacing w:after="0"/>
              <w:rPr>
                <w:sz w:val="17"/>
                <w:szCs w:val="17"/>
                <w:color w:val="auto"/>
              </w:rPr>
            </w:pPr>
          </w:p>
        </w:tc>
        <w:tc>
          <w:tcPr>
            <w:tcW w:w="840" w:type="dxa"/>
            <w:vAlign w:val="bottom"/>
            <w:shd w:val="clear" w:color="auto" w:fill="EFEDED"/>
          </w:tcPr>
          <w:p>
            <w:pPr>
              <w:spacing w:after="0"/>
              <w:rPr>
                <w:sz w:val="17"/>
                <w:szCs w:val="17"/>
                <w:color w:val="auto"/>
              </w:rPr>
            </w:pPr>
          </w:p>
        </w:tc>
        <w:tc>
          <w:tcPr>
            <w:tcW w:w="7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626"/>
        </w:trPr>
        <w:tc>
          <w:tcPr>
            <w:tcW w:w="450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009845"/>
              </w:rPr>
              <w:t>9</w:t>
            </w:r>
          </w:p>
        </w:tc>
        <w:tc>
          <w:tcPr>
            <w:tcW w:w="0" w:type="dxa"/>
            <w:vAlign w:val="bottom"/>
          </w:tcPr>
          <w:p>
            <w:pPr>
              <w:spacing w:after="0"/>
              <w:rPr>
                <w:sz w:val="1"/>
                <w:szCs w:val="1"/>
                <w:color w:val="auto"/>
              </w:rPr>
            </w:pPr>
          </w:p>
        </w:tc>
      </w:tr>
      <w:tr>
        <w:trPr>
          <w:trHeight w:val="231"/>
        </w:trPr>
        <w:tc>
          <w:tcPr>
            <w:tcW w:w="450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009845"/>
        </w:rPr>
        <w:t>Proposal 1</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Skills/Qualifications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Financial Acumen</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Experience in financial accounting/reporting and corporate finance.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International Experience</w:t>
      </w:r>
    </w:p>
    <w:p>
      <w:pPr>
        <w:spacing w:after="0" w:line="29" w:lineRule="exact"/>
        <w:rPr>
          <w:sz w:val="20"/>
          <w:szCs w:val="20"/>
          <w:color w:val="auto"/>
        </w:rPr>
      </w:pPr>
    </w:p>
    <w:p>
      <w:pPr>
        <w:ind w:left="100" w:right="560"/>
        <w:spacing w:after="0" w:line="281" w:lineRule="auto"/>
        <w:rPr>
          <w:sz w:val="20"/>
          <w:szCs w:val="20"/>
          <w:color w:val="auto"/>
        </w:rPr>
      </w:pPr>
      <w:r>
        <w:rPr>
          <w:rFonts w:ascii="Arial" w:cs="Arial" w:eastAsia="Arial" w:hAnsi="Arial"/>
          <w:sz w:val="14"/>
          <w:szCs w:val="14"/>
          <w:color w:val="58595B"/>
        </w:rPr>
        <w:t>Prior experience at, or study of, organizations that operates internationally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Public Company Board Experience</w:t>
      </w:r>
    </w:p>
    <w:p>
      <w:pPr>
        <w:spacing w:after="0" w:line="29" w:lineRule="exact"/>
        <w:rPr>
          <w:sz w:val="20"/>
          <w:szCs w:val="20"/>
          <w:color w:val="auto"/>
        </w:rPr>
      </w:pPr>
    </w:p>
    <w:p>
      <w:pPr>
        <w:ind w:left="100" w:right="180"/>
        <w:spacing w:after="0" w:line="281" w:lineRule="auto"/>
        <w:rPr>
          <w:sz w:val="20"/>
          <w:szCs w:val="20"/>
          <w:color w:val="auto"/>
        </w:rPr>
      </w:pPr>
      <w:r>
        <w:rPr>
          <w:rFonts w:ascii="Arial" w:cs="Arial" w:eastAsia="Arial" w:hAnsi="Arial"/>
          <w:sz w:val="14"/>
          <w:szCs w:val="14"/>
          <w:color w:val="58595B"/>
        </w:rPr>
        <w:t>Experience serving on and/or leading boards/committees of other public companies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Technology and Cybersecurity Expertise</w:t>
      </w:r>
    </w:p>
    <w:p>
      <w:pPr>
        <w:spacing w:after="0" w:line="29" w:lineRule="exact"/>
        <w:rPr>
          <w:sz w:val="20"/>
          <w:szCs w:val="20"/>
          <w:color w:val="auto"/>
        </w:rPr>
      </w:pPr>
    </w:p>
    <w:p>
      <w:pPr>
        <w:ind w:left="100" w:right="200"/>
        <w:spacing w:after="0" w:line="281" w:lineRule="auto"/>
        <w:rPr>
          <w:sz w:val="20"/>
          <w:szCs w:val="20"/>
          <w:color w:val="auto"/>
        </w:rPr>
      </w:pPr>
      <w:r>
        <w:rPr>
          <w:rFonts w:ascii="Arial" w:cs="Arial" w:eastAsia="Arial" w:hAnsi="Arial"/>
          <w:sz w:val="14"/>
          <w:szCs w:val="14"/>
          <w:color w:val="58595B"/>
        </w:rPr>
        <w:t>Knowledge or experience relating to information technology, data security, or data analytics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Corporate Governance Expertise</w:t>
      </w:r>
    </w:p>
    <w:p>
      <w:pPr>
        <w:spacing w:after="0" w:line="29" w:lineRule="exact"/>
        <w:rPr>
          <w:sz w:val="20"/>
          <w:szCs w:val="20"/>
          <w:color w:val="auto"/>
        </w:rPr>
      </w:pPr>
    </w:p>
    <w:p>
      <w:pPr>
        <w:ind w:left="100"/>
        <w:spacing w:after="0" w:line="281" w:lineRule="auto"/>
        <w:rPr>
          <w:sz w:val="20"/>
          <w:szCs w:val="20"/>
          <w:color w:val="auto"/>
        </w:rPr>
      </w:pPr>
      <w:r>
        <w:rPr>
          <w:rFonts w:ascii="Arial" w:cs="Arial" w:eastAsia="Arial" w:hAnsi="Arial"/>
          <w:sz w:val="14"/>
          <w:szCs w:val="14"/>
          <w:color w:val="58595B"/>
        </w:rPr>
        <w:t>Knowledge of or experience with the rules, practices, and processes used to direct and manage a company.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8595B"/>
        </w:rPr>
        <w:t>ESG/Sustainability Expertise</w:t>
      </w:r>
    </w:p>
    <w:p>
      <w:pPr>
        <w:spacing w:after="0" w:line="29" w:lineRule="exact"/>
        <w:rPr>
          <w:sz w:val="20"/>
          <w:szCs w:val="20"/>
          <w:color w:val="auto"/>
        </w:rPr>
      </w:pPr>
    </w:p>
    <w:p>
      <w:pPr>
        <w:ind w:left="100" w:right="180"/>
        <w:spacing w:after="0" w:line="262" w:lineRule="auto"/>
        <w:rPr>
          <w:sz w:val="20"/>
          <w:szCs w:val="20"/>
          <w:color w:val="auto"/>
        </w:rPr>
      </w:pPr>
      <w:r>
        <w:rPr>
          <w:rFonts w:ascii="Arial" w:cs="Arial" w:eastAsia="Arial" w:hAnsi="Arial"/>
          <w:sz w:val="14"/>
          <w:szCs w:val="14"/>
          <w:color w:val="58595B"/>
        </w:rPr>
        <w:t>Knowledge of or experience with oversight and implementation of ESG, human capital management and sustainability-related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58595B"/>
              </w:rPr>
              <w:t>Bradley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58595B"/>
              </w:rPr>
              <w:t>Clay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58595B"/>
              </w:rPr>
              <w:t>De Witte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58595B"/>
              </w:rPr>
              <w:t>Essig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58595B"/>
              </w:rPr>
              <w:t>Graves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58595B"/>
              </w:rPr>
              <w:t>Hill</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58595B"/>
              </w:rPr>
              <w:t>Lo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58595B"/>
              </w:rPr>
              <w:t>Murphy</w:t>
            </w:r>
          </w:p>
        </w:tc>
        <w:tc>
          <w:tcPr>
            <w:tcW w:w="620" w:type="dxa"/>
            <w:vAlign w:val="bottom"/>
          </w:tcPr>
          <w:p>
            <w:pPr>
              <w:jc w:val="center"/>
              <w:ind w:left="35"/>
              <w:spacing w:after="0"/>
              <w:rPr>
                <w:sz w:val="20"/>
                <w:szCs w:val="20"/>
                <w:color w:val="auto"/>
              </w:rPr>
            </w:pPr>
            <w:r>
              <w:rPr>
                <w:rFonts w:ascii="Arial" w:cs="Arial" w:eastAsia="Arial" w:hAnsi="Arial"/>
                <w:sz w:val="14"/>
                <w:szCs w:val="14"/>
                <w:b w:val="1"/>
                <w:bCs w:val="1"/>
                <w:color w:val="58595B"/>
              </w:rPr>
              <w:t>Schade</w:t>
            </w:r>
          </w:p>
        </w:tc>
      </w:tr>
      <w:tr>
        <w:trPr>
          <w:trHeight w:val="538"/>
        </w:trPr>
        <w:tc>
          <w:tcPr>
            <w:tcW w:w="700" w:type="dxa"/>
            <w:vAlign w:val="bottom"/>
          </w:tcPr>
          <w:p>
            <w:pPr>
              <w:jc w:val="center"/>
              <w:ind w:right="73"/>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center"/>
              <w:ind w:left="15"/>
              <w:spacing w:after="0"/>
              <w:rPr>
                <w:sz w:val="20"/>
                <w:szCs w:val="20"/>
                <w:color w:val="auto"/>
              </w:rPr>
            </w:pPr>
            <w:r>
              <w:rPr>
                <w:rFonts w:ascii="Wingdings" w:cs="Wingdings" w:eastAsia="Wingdings" w:hAnsi="Wingdings"/>
                <w:sz w:val="18"/>
                <w:szCs w:val="18"/>
                <w:b w:val="1"/>
                <w:bCs w:val="1"/>
                <w:color w:val="009845"/>
              </w:rPr>
              <w:t>l</w:t>
            </w:r>
          </w:p>
        </w:tc>
        <w:tc>
          <w:tcPr>
            <w:tcW w:w="620" w:type="dxa"/>
            <w:vAlign w:val="bottom"/>
          </w:tcPr>
          <w:p>
            <w:pPr>
              <w:jc w:val="center"/>
              <w:ind w:left="35"/>
              <w:spacing w:after="0"/>
              <w:rPr>
                <w:sz w:val="20"/>
                <w:szCs w:val="20"/>
                <w:color w:val="auto"/>
              </w:rPr>
            </w:pPr>
            <w:r>
              <w:rPr>
                <w:rFonts w:ascii="Wingdings" w:cs="Wingdings" w:eastAsia="Wingdings" w:hAnsi="Wingdings"/>
                <w:sz w:val="18"/>
                <w:szCs w:val="18"/>
                <w:b w:val="1"/>
                <w:bCs w:val="1"/>
                <w:color w:val="009845"/>
              </w:rPr>
              <w:t>l</w:t>
            </w:r>
          </w:p>
        </w:tc>
      </w:tr>
      <w:tr>
        <w:trPr>
          <w:trHeight w:val="486"/>
        </w:trPr>
        <w:tc>
          <w:tcPr>
            <w:tcW w:w="700" w:type="dxa"/>
            <w:vAlign w:val="bottom"/>
          </w:tcPr>
          <w:p>
            <w:pPr>
              <w:jc w:val="center"/>
              <w:ind w:right="73"/>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ind w:left="300"/>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ind w:left="15"/>
              <w:spacing w:after="0"/>
              <w:rPr>
                <w:sz w:val="20"/>
                <w:szCs w:val="20"/>
                <w:color w:val="auto"/>
              </w:rPr>
            </w:pPr>
            <w:r>
              <w:rPr>
                <w:rFonts w:ascii="Wingdings" w:cs="Wingdings" w:eastAsia="Wingdings" w:hAnsi="Wingdings"/>
                <w:sz w:val="18"/>
                <w:szCs w:val="18"/>
                <w:b w:val="1"/>
                <w:bCs w:val="1"/>
                <w:color w:val="009845"/>
              </w:rPr>
              <w:t>l</w:t>
            </w:r>
          </w:p>
        </w:tc>
        <w:tc>
          <w:tcPr>
            <w:tcW w:w="620" w:type="dxa"/>
            <w:vAlign w:val="bottom"/>
          </w:tcPr>
          <w:p>
            <w:pPr>
              <w:spacing w:after="0"/>
              <w:rPr>
                <w:sz w:val="24"/>
                <w:szCs w:val="24"/>
                <w:color w:val="auto"/>
              </w:rPr>
            </w:pPr>
          </w:p>
        </w:tc>
      </w:tr>
      <w:tr>
        <w:trPr>
          <w:trHeight w:val="567"/>
        </w:trPr>
        <w:tc>
          <w:tcPr>
            <w:tcW w:w="700" w:type="dxa"/>
            <w:vAlign w:val="bottom"/>
          </w:tcPr>
          <w:p>
            <w:pPr>
              <w:jc w:val="center"/>
              <w:ind w:right="73"/>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jc w:val="center"/>
              <w:ind w:left="35"/>
              <w:spacing w:after="0"/>
              <w:rPr>
                <w:sz w:val="20"/>
                <w:szCs w:val="20"/>
                <w:color w:val="auto"/>
              </w:rPr>
            </w:pPr>
            <w:r>
              <w:rPr>
                <w:rFonts w:ascii="Wingdings" w:cs="Wingdings" w:eastAsia="Wingdings" w:hAnsi="Wingdings"/>
                <w:sz w:val="18"/>
                <w:szCs w:val="18"/>
                <w:b w:val="1"/>
                <w:bCs w:val="1"/>
                <w:color w:val="009845"/>
              </w:rPr>
              <w:t>l</w:t>
            </w:r>
          </w:p>
        </w:tc>
      </w:tr>
      <w:tr>
        <w:trPr>
          <w:trHeight w:val="567"/>
        </w:trPr>
        <w:tc>
          <w:tcPr>
            <w:tcW w:w="700" w:type="dxa"/>
            <w:vAlign w:val="bottom"/>
          </w:tcPr>
          <w:p>
            <w:pPr>
              <w:jc w:val="center"/>
              <w:ind w:right="73"/>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7"/>
        </w:trPr>
        <w:tc>
          <w:tcPr>
            <w:tcW w:w="700" w:type="dxa"/>
            <w:vAlign w:val="bottom"/>
          </w:tcPr>
          <w:p>
            <w:pPr>
              <w:jc w:val="center"/>
              <w:ind w:right="73"/>
              <w:spacing w:after="0"/>
              <w:rPr>
                <w:sz w:val="20"/>
                <w:szCs w:val="20"/>
                <w:color w:val="auto"/>
              </w:rPr>
            </w:pPr>
            <w:r>
              <w:rPr>
                <w:rFonts w:ascii="Wingdings" w:cs="Wingdings" w:eastAsia="Wingdings" w:hAnsi="Wingdings"/>
                <w:sz w:val="18"/>
                <w:szCs w:val="18"/>
                <w:b w:val="1"/>
                <w:bCs w:val="1"/>
                <w:color w:val="009845"/>
              </w:rPr>
              <w:t>l</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24"/>
                <w:szCs w:val="24"/>
                <w:color w:val="auto"/>
              </w:rPr>
            </w:pPr>
          </w:p>
        </w:tc>
        <w:tc>
          <w:tcPr>
            <w:tcW w:w="840" w:type="dxa"/>
            <w:vAlign w:val="bottom"/>
          </w:tcPr>
          <w:p>
            <w:pPr>
              <w:jc w:val="center"/>
              <w:ind w:left="15"/>
              <w:spacing w:after="0"/>
              <w:rPr>
                <w:sz w:val="20"/>
                <w:szCs w:val="20"/>
                <w:color w:val="auto"/>
              </w:rPr>
            </w:pPr>
            <w:r>
              <w:rPr>
                <w:rFonts w:ascii="Wingdings" w:cs="Wingdings" w:eastAsia="Wingdings" w:hAnsi="Wingdings"/>
                <w:sz w:val="18"/>
                <w:szCs w:val="18"/>
                <w:b w:val="1"/>
                <w:bCs w:val="1"/>
                <w:color w:val="009845"/>
              </w:rPr>
              <w:t>l</w:t>
            </w:r>
          </w:p>
        </w:tc>
        <w:tc>
          <w:tcPr>
            <w:tcW w:w="620" w:type="dxa"/>
            <w:vAlign w:val="bottom"/>
          </w:tcPr>
          <w:p>
            <w:pPr>
              <w:jc w:val="center"/>
              <w:ind w:left="35"/>
              <w:spacing w:after="0"/>
              <w:rPr>
                <w:sz w:val="20"/>
                <w:szCs w:val="20"/>
                <w:color w:val="auto"/>
              </w:rPr>
            </w:pPr>
            <w:r>
              <w:rPr>
                <w:rFonts w:ascii="Wingdings" w:cs="Wingdings" w:eastAsia="Wingdings" w:hAnsi="Wingdings"/>
                <w:sz w:val="18"/>
                <w:szCs w:val="18"/>
                <w:b w:val="1"/>
                <w:bCs w:val="1"/>
                <w:color w:val="009845"/>
              </w:rPr>
              <w:t>l</w:t>
            </w:r>
          </w:p>
        </w:tc>
      </w:tr>
      <w:tr>
        <w:trPr>
          <w:trHeight w:val="648"/>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rPr>
              <w:t>l</w:t>
            </w:r>
          </w:p>
        </w:tc>
        <w:tc>
          <w:tcPr>
            <w:tcW w:w="84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80" w:type="dxa"/>
            <w:vAlign w:val="bottom"/>
          </w:tcPr>
          <w:p>
            <w:pPr>
              <w:jc w:val="center"/>
              <w:spacing w:after="0"/>
              <w:rPr>
                <w:sz w:val="20"/>
                <w:szCs w:val="20"/>
                <w:color w:val="auto"/>
              </w:rPr>
            </w:pPr>
            <w:r>
              <w:rPr>
                <w:rFonts w:ascii="Wingdings" w:cs="Wingdings" w:eastAsia="Wingdings" w:hAnsi="Wingdings"/>
                <w:sz w:val="18"/>
                <w:szCs w:val="18"/>
                <w:b w:val="1"/>
                <w:bCs w:val="1"/>
                <w:color w:val="009845"/>
                <w:w w:val="88"/>
              </w:rPr>
              <w:t>l</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-2131060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-1728470</wp:posOffset>
            </wp:positionV>
            <wp:extent cx="7132320" cy="360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-1007745</wp:posOffset>
            </wp:positionV>
            <wp:extent cx="7132320" cy="3600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-287655</wp:posOffset>
            </wp:positionV>
            <wp:extent cx="7132320" cy="4800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480" w:lineRule="exact"/>
        <w:rPr>
          <w:sz w:val="20"/>
          <w:szCs w:val="20"/>
          <w:color w:val="auto"/>
        </w:rPr>
      </w:pPr>
    </w:p>
    <w:p>
      <w:pPr>
        <w:sectPr>
          <w:pgSz w:w="11900" w:h="16838" w:orient="portrait"/>
          <w:cols w:equalWidth="0" w:num="2">
            <w:col w:w="4440" w:space="140"/>
            <w:col w:w="6640"/>
          </w:cols>
          <w:pgMar w:left="320" w:top="122" w:right="35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5"/>
          <w:szCs w:val="25"/>
          <w:color w:val="009845"/>
        </w:rPr>
        <w:t>Director Nominees</w:t>
      </w:r>
    </w:p>
    <w:p>
      <w:pPr>
        <w:spacing w:after="0" w:line="85"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Set forth below is certain information furnished to us by the director nominees. There are no family relationships among any of our current directors or executive officers. None of the corporations or other organizations referenced in the biographical information below is a parent, subsidiary, or other affiliate of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52705</wp:posOffset>
            </wp:positionV>
            <wp:extent cx="7123430" cy="1097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3430" cy="109728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354455" cy="1474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54455" cy="1474470"/>
                    </a:xfrm>
                    <a:prstGeom prst="rect">
                      <a:avLst/>
                    </a:prstGeom>
                    <a:noFill/>
                  </pic:spPr>
                </pic:pic>
              </a:graphicData>
            </a:graphic>
          </wp:anchor>
        </w:drawing>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1992</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Nominating and Corporate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Governance,</w:t>
      </w:r>
    </w:p>
    <w:p>
      <w:pPr>
        <w:spacing w:after="0" w:line="46" w:lineRule="exact"/>
        <w:rPr>
          <w:sz w:val="20"/>
          <w:szCs w:val="20"/>
          <w:color w:val="auto"/>
        </w:rPr>
      </w:pPr>
    </w:p>
    <w:p>
      <w:pPr>
        <w:ind w:left="100" w:right="260"/>
        <w:spacing w:after="0" w:line="356" w:lineRule="auto"/>
        <w:rPr>
          <w:sz w:val="20"/>
          <w:szCs w:val="20"/>
          <w:color w:val="auto"/>
        </w:rPr>
      </w:pPr>
      <w:r>
        <w:rPr>
          <w:rFonts w:ascii="Arial" w:cs="Arial" w:eastAsia="Arial" w:hAnsi="Arial"/>
          <w:sz w:val="16"/>
          <w:szCs w:val="16"/>
          <w:color w:val="58595B"/>
        </w:rPr>
        <w:t>Compensation (Chair), Finance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440"/>
        <w:spacing w:after="0" w:line="274" w:lineRule="auto"/>
        <w:rPr>
          <w:sz w:val="20"/>
          <w:szCs w:val="20"/>
          <w:color w:val="auto"/>
        </w:rPr>
      </w:pPr>
      <w:r>
        <w:rPr>
          <w:rFonts w:ascii="Arial" w:cs="Arial" w:eastAsia="Arial" w:hAnsi="Arial"/>
          <w:sz w:val="22"/>
          <w:szCs w:val="22"/>
          <w:b w:val="1"/>
          <w:bCs w:val="1"/>
          <w:color w:val="FFFFFF"/>
        </w:rPr>
        <w:t xml:space="preserve">Keith Bradley, Ph.D. </w:t>
      </w:r>
      <w:r>
        <w:rPr>
          <w:rFonts w:ascii="Arial" w:cs="Arial" w:eastAsia="Arial" w:hAnsi="Arial"/>
          <w:sz w:val="22"/>
          <w:szCs w:val="22"/>
          <w:color w:val="FFFFFF"/>
        </w:rPr>
        <w:t>– Former Professor of International Management &amp; Management</w:t>
      </w:r>
      <w:r>
        <w:rPr>
          <w:rFonts w:ascii="Arial" w:cs="Arial" w:eastAsia="Arial" w:hAnsi="Arial"/>
          <w:sz w:val="22"/>
          <w:szCs w:val="22"/>
          <w:b w:val="1"/>
          <w:bCs w:val="1"/>
          <w:color w:val="FFFFFF"/>
        </w:rPr>
        <w:t xml:space="preserve"> </w:t>
      </w:r>
      <w:r>
        <w:rPr>
          <w:rFonts w:ascii="Arial" w:cs="Arial" w:eastAsia="Arial" w:hAnsi="Arial"/>
          <w:sz w:val="22"/>
          <w:szCs w:val="22"/>
          <w:color w:val="FFFFFF"/>
        </w:rPr>
        <w:t>Strategy, Open University and Cass Business School, U.K.</w:t>
      </w:r>
    </w:p>
    <w:p>
      <w:pPr>
        <w:spacing w:after="0" w:line="220"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Dr. Bradley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taught at the London School of Economics and was the director of the School’s Business Performance Group for more than six years. Dr. Bradley was formerly an adviser to RPH Capital, Canada.</w:t>
      </w:r>
    </w:p>
    <w:p>
      <w:pPr>
        <w:spacing w:after="0" w:line="8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Prior to its merger with Orthofix Medical Inc. (Nasdaq: OFIX) in 2023, Dr. Bradley</w:t>
      </w:r>
      <w:r>
        <w:rPr>
          <w:rFonts w:ascii="Arial" w:cs="Arial" w:eastAsia="Arial" w:hAnsi="Arial"/>
          <w:sz w:val="16"/>
          <w:szCs w:val="16"/>
          <w:b w:val="1"/>
          <w:bCs w:val="1"/>
          <w:color w:val="009845"/>
        </w:rPr>
        <w:t xml:space="preserve"> </w:t>
      </w:r>
      <w:r>
        <w:rPr>
          <w:rFonts w:ascii="Arial" w:cs="Arial" w:eastAsia="Arial" w:hAnsi="Arial"/>
          <w:sz w:val="16"/>
          <w:szCs w:val="16"/>
          <w:color w:val="58595B"/>
        </w:rPr>
        <w:t>was a director of SeaSpine Holdings Corporation from 2015 to 2023.</w:t>
      </w:r>
    </w:p>
    <w:p>
      <w:pPr>
        <w:spacing w:after="0" w:line="47"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Dr. Bradley served as a director and chair of North Star</w:t>
      </w:r>
      <w:r>
        <w:rPr>
          <w:rFonts w:ascii="Arial" w:cs="Arial" w:eastAsia="Arial" w:hAnsi="Arial"/>
          <w:sz w:val="16"/>
          <w:szCs w:val="16"/>
          <w:b w:val="1"/>
          <w:bCs w:val="1"/>
          <w:color w:val="009845"/>
        </w:rPr>
        <w:t xml:space="preserve"> </w:t>
      </w:r>
      <w:r>
        <w:rPr>
          <w:rFonts w:ascii="Arial" w:cs="Arial" w:eastAsia="Arial" w:hAnsi="Arial"/>
          <w:sz w:val="16"/>
          <w:szCs w:val="16"/>
          <w:color w:val="58595B"/>
        </w:rPr>
        <w:t>Capital Management Limited and GRS Financial Solutions Limited. Between 1996 and 2003, he was a director of Highway Insurance plc, an insurance company listed on the London Stock Exchange.</w:t>
      </w:r>
    </w:p>
    <w:p>
      <w:pPr>
        <w:spacing w:after="0" w:line="6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Dr. Bradley received B.A. (Hons) degree from Middlesex University, and M.A. and Ph.D. degrees from the</w:t>
      </w:r>
      <w:r>
        <w:rPr>
          <w:rFonts w:ascii="Arial" w:cs="Arial" w:eastAsia="Arial" w:hAnsi="Arial"/>
          <w:sz w:val="16"/>
          <w:szCs w:val="16"/>
          <w:b w:val="1"/>
          <w:bCs w:val="1"/>
          <w:color w:val="009845"/>
        </w:rPr>
        <w:t xml:space="preserve"> </w:t>
      </w:r>
      <w:r>
        <w:rPr>
          <w:rFonts w:ascii="Arial" w:cs="Arial" w:eastAsia="Arial" w:hAnsi="Arial"/>
          <w:sz w:val="16"/>
          <w:szCs w:val="16"/>
          <w:color w:val="58595B"/>
        </w:rPr>
        <w:t>University of Essex, UK.</w:t>
      </w:r>
    </w:p>
    <w:p>
      <w:pPr>
        <w:spacing w:after="0" w:line="47" w:lineRule="exact"/>
        <w:rPr>
          <w:sz w:val="20"/>
          <w:szCs w:val="20"/>
          <w:color w:val="auto"/>
        </w:rPr>
      </w:pPr>
    </w:p>
    <w:p>
      <w:pPr>
        <w:ind w:right="320"/>
        <w:spacing w:after="0" w:line="328" w:lineRule="auto"/>
        <w:rPr>
          <w:sz w:val="20"/>
          <w:szCs w:val="20"/>
          <w:color w:val="auto"/>
        </w:rPr>
      </w:pPr>
      <w:r>
        <w:rPr>
          <w:rFonts w:ascii="Arial" w:cs="Arial" w:eastAsia="Arial" w:hAnsi="Arial"/>
          <w:sz w:val="16"/>
          <w:szCs w:val="16"/>
          <w:b w:val="1"/>
          <w:bCs w:val="1"/>
          <w:color w:val="009845"/>
        </w:rPr>
        <w:t xml:space="preserve">Key Experience and Qualifications: </w:t>
      </w:r>
      <w:r>
        <w:rPr>
          <w:rFonts w:ascii="Arial" w:cs="Arial" w:eastAsia="Arial" w:hAnsi="Arial"/>
          <w:sz w:val="16"/>
          <w:szCs w:val="16"/>
          <w:color w:val="58595B"/>
        </w:rPr>
        <w:t>We believe Dr. Bradley's qualifications to serve on our Board include his</w:t>
      </w:r>
      <w:r>
        <w:rPr>
          <w:rFonts w:ascii="Arial" w:cs="Arial" w:eastAsia="Arial" w:hAnsi="Arial"/>
          <w:sz w:val="16"/>
          <w:szCs w:val="16"/>
          <w:b w:val="1"/>
          <w:bCs w:val="1"/>
          <w:color w:val="009845"/>
        </w:rPr>
        <w:t xml:space="preserve"> </w:t>
      </w:r>
      <w:r>
        <w:rPr>
          <w:rFonts w:ascii="Arial" w:cs="Arial" w:eastAsia="Arial" w:hAnsi="Arial"/>
          <w:sz w:val="16"/>
          <w:szCs w:val="16"/>
          <w:color w:val="58595B"/>
        </w:rPr>
        <w:t>international experience, extensive business experience in the healthcare and medical device industries, and financial literacy coupled with his more than 30 years of service on the boards of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395605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460"/>
            <w:col w:w="876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354455" cy="2272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5445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53</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2021</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58595B"/>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1915160</wp:posOffset>
            </wp:positionV>
            <wp:extent cx="1097280" cy="1097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654050</wp:posOffset>
            </wp:positionV>
            <wp:extent cx="5631815" cy="231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3181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Shaundra D. Clay – </w:t>
      </w:r>
      <w:r>
        <w:rPr>
          <w:rFonts w:ascii="Arial" w:cs="Arial" w:eastAsia="Arial" w:hAnsi="Arial"/>
          <w:sz w:val="22"/>
          <w:szCs w:val="22"/>
          <w:color w:val="FFFFFF"/>
        </w:rPr>
        <w:t>Global Vice President, Beam Suntory</w:t>
      </w:r>
    </w:p>
    <w:p>
      <w:pPr>
        <w:spacing w:after="0" w:line="27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Since 2021, Ms. Clay has served as the global vice president of finance at Beam Suntory, Inc., a global premium spirits company, where she is responsible for enterprise-wide financial planning and analysis and leads the integration of the short-, mid-, and long-term planning processes to optimize resource deployment. Prior to Beam Suntory, Ms. Clay was a managing director in the commercial banking group at JP Morgan Chase. Ms. Clay also spent 13 years in leadership roles within the healthcare industry in the United States and internationally. She served as chief financial officer for Australia, Canada, and Europe at Eli Lilly and Company and spent a decade at Medtronic in a variety of leadership roles in the U.S. and abroad, including as chief financial officer for the cardiovascular group for Western Europe and Canada. Ms. Clay began her career in accounting and financial analytics at Allstate Insurance Company.</w:t>
      </w:r>
    </w:p>
    <w:p>
      <w:pPr>
        <w:spacing w:after="0" w:line="71" w:lineRule="exact"/>
        <w:rPr>
          <w:sz w:val="20"/>
          <w:szCs w:val="20"/>
          <w:color w:val="auto"/>
        </w:rPr>
      </w:pPr>
    </w:p>
    <w:p>
      <w:pPr>
        <w:ind w:right="200"/>
        <w:spacing w:after="0" w:line="356"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Ms. Clay currently serves on the board of directors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the Executive Leadership Council.</w:t>
      </w:r>
    </w:p>
    <w:p>
      <w:pPr>
        <w:spacing w:after="0" w:line="35"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She earned a Bachelor’s degree in accounting from Clark Atlanta University and her M.B.A. from the</w:t>
      </w:r>
      <w:r>
        <w:rPr>
          <w:rFonts w:ascii="Arial" w:cs="Arial" w:eastAsia="Arial" w:hAnsi="Arial"/>
          <w:sz w:val="16"/>
          <w:szCs w:val="16"/>
          <w:b w:val="1"/>
          <w:bCs w:val="1"/>
          <w:color w:val="009845"/>
        </w:rPr>
        <w:t xml:space="preserve"> </w:t>
      </w:r>
      <w:r>
        <w:rPr>
          <w:rFonts w:ascii="Arial" w:cs="Arial" w:eastAsia="Arial" w:hAnsi="Arial"/>
          <w:sz w:val="16"/>
          <w:szCs w:val="16"/>
          <w:color w:val="58595B"/>
        </w:rPr>
        <w:t>University of Illinois at Chicago. Ms. Clay is an alumna of the Wharton School of the University of Pennsylvania.</w:t>
      </w:r>
    </w:p>
    <w:p>
      <w:pPr>
        <w:spacing w:after="0" w:line="61"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b w:val="1"/>
          <w:bCs w:val="1"/>
          <w:color w:val="009845"/>
        </w:rPr>
        <w:t xml:space="preserve">Key Experience and Qualifications: </w:t>
      </w:r>
      <w:r>
        <w:rPr>
          <w:rFonts w:ascii="Arial" w:cs="Arial" w:eastAsia="Arial" w:hAnsi="Arial"/>
          <w:sz w:val="16"/>
          <w:szCs w:val="16"/>
          <w:color w:val="58595B"/>
        </w:rPr>
        <w:t>We believe Ms. Clay's qualifications to serve on our Board include her record as a</w:t>
      </w:r>
      <w:r>
        <w:rPr>
          <w:rFonts w:ascii="Arial" w:cs="Arial" w:eastAsia="Arial" w:hAnsi="Arial"/>
          <w:sz w:val="16"/>
          <w:szCs w:val="16"/>
          <w:b w:val="1"/>
          <w:bCs w:val="1"/>
          <w:color w:val="009845"/>
        </w:rPr>
        <w:t xml:space="preserve"> </w:t>
      </w:r>
      <w:r>
        <w:rPr>
          <w:rFonts w:ascii="Arial" w:cs="Arial" w:eastAsia="Arial" w:hAnsi="Arial"/>
          <w:sz w:val="16"/>
          <w:szCs w:val="16"/>
          <w:color w:val="58595B"/>
        </w:rPr>
        <w:t>corporate executive coupled with her extensive experience in the fields of finance, the healthcare industry, and international business and her expertise in finance, healthcare, global business management and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845820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1102995</wp:posOffset>
            </wp:positionV>
            <wp:extent cx="5631815"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3181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720"/>
            <w:col w:w="878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1354455" cy="6083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54455" cy="608330"/>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Jan De Witte </w:t>
      </w:r>
      <w:r>
        <w:rPr>
          <w:rFonts w:ascii="Arial" w:cs="Arial" w:eastAsia="Arial" w:hAnsi="Arial"/>
          <w:sz w:val="22"/>
          <w:szCs w:val="22"/>
          <w:color w:val="FFFFFF"/>
        </w:rPr>
        <w:t>– President and Chief Executive Officer</w:t>
      </w:r>
    </w:p>
    <w:p>
      <w:pPr>
        <w:spacing w:after="0" w:line="27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Mr. De Witte is Integra's President and Chief Executive Officer. He commenced service as President and Chief Executive Officer and a director in December 2021. Mr. De Witte has an extensive track record in the global healthcare industry spanning more than two decades. Prior to joining Integra, Mr. De Witte served as chief executive officer of Barco N.V. from 2016 to August 2021. At Barco, he created shareholder value through digital innovation and new product development, commercial acceleration, international market growth and operational excellence. Prior to Barco, Mr. De Witte spent 17 years in senior-level leadership roles at GE, including as president and CEO of GE Global Healthcare IT. Before GE, Mr. De Witte spent five years in strategic consulting at McKinsey and three years in operations at Procter &amp; Gamble.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Mr. De Witte has been a member of the board of directors of ResMed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(NYSE: RMD) since 2019. From 2016 to 2021, Mr. De Witte was a director at Barco, N.V.</w:t>
      </w:r>
    </w:p>
    <w:p>
      <w:pPr>
        <w:spacing w:after="0" w:line="154"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Mr. De Witte has served on the board of directors of the</w:t>
      </w:r>
      <w:r>
        <w:rPr>
          <w:rFonts w:ascii="Arial" w:cs="Arial" w:eastAsia="Arial" w:hAnsi="Arial"/>
          <w:sz w:val="16"/>
          <w:szCs w:val="16"/>
          <w:b w:val="1"/>
          <w:bCs w:val="1"/>
          <w:color w:val="009845"/>
        </w:rPr>
        <w:t xml:space="preserve"> </w:t>
      </w:r>
      <w:r>
        <w:rPr>
          <w:rFonts w:ascii="Arial" w:cs="Arial" w:eastAsia="Arial" w:hAnsi="Arial"/>
          <w:sz w:val="16"/>
          <w:szCs w:val="16"/>
          <w:color w:val="58595B"/>
        </w:rPr>
        <w:t>Advanced Medical Technology Association (AdvaMed) since March 2022. Mr. De Witte has also been an active community leader serving as the chair of Hangar K innovation hub in Belgium from 2018 until 2021 and a board member of Ghent University from 2018 to 2021.</w:t>
      </w:r>
    </w:p>
    <w:p>
      <w:pPr>
        <w:spacing w:after="0" w:line="78"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Mr. De Witte holds a M.S. in electromechanical engineering with greatest distinction from the KU Leuven in</w:t>
      </w:r>
      <w:r>
        <w:rPr>
          <w:rFonts w:ascii="Arial" w:cs="Arial" w:eastAsia="Arial" w:hAnsi="Arial"/>
          <w:sz w:val="16"/>
          <w:szCs w:val="16"/>
          <w:b w:val="1"/>
          <w:bCs w:val="1"/>
          <w:color w:val="009845"/>
        </w:rPr>
        <w:t xml:space="preserve"> </w:t>
      </w:r>
      <w:r>
        <w:rPr>
          <w:rFonts w:ascii="Arial" w:cs="Arial" w:eastAsia="Arial" w:hAnsi="Arial"/>
          <w:sz w:val="16"/>
          <w:szCs w:val="16"/>
          <w:color w:val="58595B"/>
        </w:rPr>
        <w:t>Belgium and a M.B.A. from Harvard University.</w:t>
      </w:r>
    </w:p>
    <w:p>
      <w:pPr>
        <w:spacing w:after="0" w:line="61"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b w:val="1"/>
          <w:bCs w:val="1"/>
          <w:color w:val="009845"/>
        </w:rPr>
        <w:t xml:space="preserve">Key Experience and Qualifications: </w:t>
      </w:r>
      <w:r>
        <w:rPr>
          <w:rFonts w:ascii="Arial" w:cs="Arial" w:eastAsia="Arial" w:hAnsi="Arial"/>
          <w:sz w:val="16"/>
          <w:szCs w:val="16"/>
          <w:color w:val="58595B"/>
        </w:rPr>
        <w:t>We believe Mr. De Witte's qualifications to serve on our Board include his over 20</w:t>
      </w:r>
      <w:r>
        <w:rPr>
          <w:rFonts w:ascii="Arial" w:cs="Arial" w:eastAsia="Arial" w:hAnsi="Arial"/>
          <w:sz w:val="16"/>
          <w:szCs w:val="16"/>
          <w:b w:val="1"/>
          <w:bCs w:val="1"/>
          <w:color w:val="009845"/>
        </w:rPr>
        <w:t xml:space="preserve"> </w:t>
      </w:r>
      <w:r>
        <w:rPr>
          <w:rFonts w:ascii="Arial" w:cs="Arial" w:eastAsia="Arial" w:hAnsi="Arial"/>
          <w:sz w:val="16"/>
          <w:szCs w:val="16"/>
          <w:color w:val="58595B"/>
        </w:rPr>
        <w:t>years of experience in executive management and his history of success in the development and execution of corporate strategy. Moreover, Mr. De Witte has extensive skills and experience in global business operations, commercialization and digital business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323850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720"/>
            <w:col w:w="8780"/>
          </w:cols>
          <w:pgMar w:left="34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1040" w:val="left"/>
        </w:tabs>
        <w:rPr>
          <w:sz w:val="20"/>
          <w:szCs w:val="20"/>
          <w:color w:val="auto"/>
        </w:rPr>
      </w:pPr>
      <w:r>
        <w:rPr>
          <w:rFonts w:ascii="Arial" w:cs="Arial" w:eastAsia="Arial" w:hAnsi="Arial"/>
          <w:sz w:val="13"/>
          <w:szCs w:val="13"/>
          <w:color w:val="58595B"/>
        </w:rPr>
        <w:t>2024 Proxy Statement</w:t>
      </w:r>
      <w:r>
        <w:rPr>
          <w:sz w:val="20"/>
          <w:szCs w:val="20"/>
          <w:color w:val="auto"/>
        </w:rPr>
        <w:tab/>
      </w:r>
      <w:r>
        <w:rPr>
          <w:rFonts w:ascii="Arial" w:cs="Arial" w:eastAsia="Arial" w:hAnsi="Arial"/>
          <w:sz w:val="12"/>
          <w:szCs w:val="12"/>
          <w:b w:val="1"/>
          <w:bCs w:val="1"/>
          <w:color w:val="00984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135255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1354455" cy="2117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5445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62</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1997</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right="1240"/>
        <w:spacing w:after="0" w:line="274" w:lineRule="auto"/>
        <w:rPr>
          <w:sz w:val="20"/>
          <w:szCs w:val="20"/>
          <w:color w:val="auto"/>
        </w:rPr>
      </w:pPr>
      <w:r>
        <w:rPr>
          <w:rFonts w:ascii="Arial" w:cs="Arial" w:eastAsia="Arial" w:hAnsi="Arial"/>
          <w:sz w:val="22"/>
          <w:szCs w:val="22"/>
          <w:b w:val="1"/>
          <w:bCs w:val="1"/>
          <w:color w:val="FFFFFF"/>
        </w:rPr>
        <w:t xml:space="preserve">Stuart M. Essig, Ph.D. </w:t>
      </w:r>
      <w:r>
        <w:rPr>
          <w:rFonts w:ascii="Arial" w:cs="Arial" w:eastAsia="Arial" w:hAnsi="Arial"/>
          <w:sz w:val="22"/>
          <w:szCs w:val="22"/>
          <w:color w:val="FFFFFF"/>
        </w:rPr>
        <w:t>– Executive Chairman, Integra LifeSciences Holdings</w:t>
      </w:r>
      <w:r>
        <w:rPr>
          <w:rFonts w:ascii="Arial" w:cs="Arial" w:eastAsia="Arial" w:hAnsi="Arial"/>
          <w:sz w:val="22"/>
          <w:szCs w:val="22"/>
          <w:b w:val="1"/>
          <w:bCs w:val="1"/>
          <w:color w:val="FFFFFF"/>
        </w:rPr>
        <w:t xml:space="preserve"> </w:t>
      </w:r>
      <w:r>
        <w:rPr>
          <w:rFonts w:ascii="Arial" w:cs="Arial" w:eastAsia="Arial" w:hAnsi="Arial"/>
          <w:sz w:val="22"/>
          <w:szCs w:val="22"/>
          <w:color w:val="FFFFFF"/>
        </w:rPr>
        <w:t>Corporation; Managing Director, Prettybrook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-399415</wp:posOffset>
            </wp:positionV>
            <wp:extent cx="5554980" cy="419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54980" cy="419735"/>
                    </a:xfrm>
                    <a:prstGeom prst="rect">
                      <a:avLst/>
                    </a:prstGeom>
                    <a:noFill/>
                  </pic:spPr>
                </pic:pic>
              </a:graphicData>
            </a:graphic>
          </wp:anchor>
        </w:drawing>
      </w:r>
    </w:p>
    <w:p>
      <w:pPr>
        <w:spacing w:after="0" w:line="200"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Dr. Essig is Integra’s Executive Chairman of the Board of Directors. He has been our Chairman since January 2012 and a director since he joined Integra in 1997. He served as our Chief Executive Officer from 1997 through 2012 and our President from 1997 until 2010. In February 2024, he was appointed as our Executive Chairman of the Board. Prior to joining the Company, he acted as the managing director in mergers and acquisitions for the medical technology practice at Goldman, Sachs &amp; Co. He currently serves as managing director of Prettybrook Partners LLC, a family office dedicated to investing in healthcare companies, which he cofounded in 2012.</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Dr. Essig currently serves on the board of directors of IDEXX Laboratories, Inc.</w:t>
      </w:r>
    </w:p>
    <w:p>
      <w:pPr>
        <w:spacing w:after="0" w:line="59"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58595B"/>
        </w:rPr>
        <w:t>(Nasdaq: IDXX) and Orthofix Medical Inc. (Nasdaq: OFIX). Dr. Essig previously served on the board of directors of SeaSpine Holdings Corporation, from 2014 to 2022, prior to its merger with Orthofix, and St. Jude Medical Corporation (NYSE: STJ) from 1999 to 2017, prior to its sale to Abbott Corporation. From 2013 until 2019 he served on the board of directors of Owens &amp; Minor, Inc., (NYSE: OMI), from 2005 until 2008 he served on the board of directors of Zimmer Holdings, Inc., (NYSE: ZMH), and from 1998 to 2002, he served on the board of directors of Vital Signs, Inc., (NASDAQ: VITL).</w:t>
      </w:r>
    </w:p>
    <w:p>
      <w:pPr>
        <w:spacing w:after="0" w:line="68"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He serves as chairman of the board of directors of</w:t>
      </w:r>
      <w:r>
        <w:rPr>
          <w:rFonts w:ascii="Arial" w:cs="Arial" w:eastAsia="Arial" w:hAnsi="Arial"/>
          <w:sz w:val="16"/>
          <w:szCs w:val="16"/>
          <w:b w:val="1"/>
          <w:bCs w:val="1"/>
          <w:color w:val="009845"/>
        </w:rPr>
        <w:t xml:space="preserve"> </w:t>
      </w:r>
      <w:r>
        <w:rPr>
          <w:rFonts w:ascii="Arial" w:cs="Arial" w:eastAsia="Arial" w:hAnsi="Arial"/>
          <w:sz w:val="16"/>
          <w:szCs w:val="16"/>
          <w:color w:val="58595B"/>
        </w:rPr>
        <w:t>venture backed Mission Bio Inc. He is also the lead director, and former executive chairman of the board of directors, of private-equity backed Breg, Inc., a premium provider of high-value sports medicine products and services that advance patient care in orthopedics. He also serves on the board of managers of Availity, LLC, the nation’s largest real-time health information network. Dr. Essig has also served on the executive committee, nominating and governance committee, and was the treasurer of, ADVAMED, the Advanced Medical Technology Association.</w:t>
      </w:r>
    </w:p>
    <w:p>
      <w:pPr>
        <w:spacing w:after="0" w:line="68"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58595B"/>
        </w:rPr>
        <w:t>Dr. Essig is also involved in several non-profit charitable organizations. From 2012 to 2018, he served on the board of directors of Trenton-area non-profit, Isles, Inc. and since 2006 has served as a volunteer and fundraiser for the Children’s Brain Tumor Foundation. He serves on the Leadership Council of the Princeton University School of Engineering and Applied Sciences, and previously served on the NACD Compensation Committee Chair Advisory Council.</w:t>
      </w:r>
    </w:p>
    <w:p>
      <w:pPr>
        <w:spacing w:after="0" w:line="59"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Dr. Essig received an A.B. degree, and graduated with magna cum laude honors, from the Princeton School</w:t>
      </w:r>
      <w:r>
        <w:rPr>
          <w:rFonts w:ascii="Arial" w:cs="Arial" w:eastAsia="Arial" w:hAnsi="Arial"/>
          <w:sz w:val="16"/>
          <w:szCs w:val="16"/>
          <w:b w:val="1"/>
          <w:bCs w:val="1"/>
          <w:color w:val="009845"/>
        </w:rPr>
        <w:t xml:space="preserve"> </w:t>
      </w:r>
      <w:r>
        <w:rPr>
          <w:rFonts w:ascii="Arial" w:cs="Arial" w:eastAsia="Arial" w:hAnsi="Arial"/>
          <w:sz w:val="16"/>
          <w:szCs w:val="16"/>
          <w:color w:val="58595B"/>
        </w:rPr>
        <w:t>of Public and International Affairs at Princeton University and an M.B.A. and Ph.D. in Financial Economics from the University of Chicago, Graduate School of Business.</w:t>
      </w:r>
    </w:p>
    <w:p>
      <w:pPr>
        <w:spacing w:after="0" w:line="56"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b w:val="1"/>
          <w:bCs w:val="1"/>
          <w:color w:val="009845"/>
        </w:rPr>
        <w:t xml:space="preserve">Key Experience and Qualifications: </w:t>
      </w:r>
      <w:r>
        <w:rPr>
          <w:rFonts w:ascii="Arial" w:cs="Arial" w:eastAsia="Arial" w:hAnsi="Arial"/>
          <w:sz w:val="16"/>
          <w:szCs w:val="16"/>
          <w:color w:val="58595B"/>
        </w:rPr>
        <w:t>We believe Dr. Essig's qualifications to serve on our Board include his broad</w:t>
      </w:r>
      <w:r>
        <w:rPr>
          <w:rFonts w:ascii="Arial" w:cs="Arial" w:eastAsia="Arial" w:hAnsi="Arial"/>
          <w:sz w:val="16"/>
          <w:szCs w:val="16"/>
          <w:b w:val="1"/>
          <w:bCs w:val="1"/>
          <w:color w:val="009845"/>
        </w:rPr>
        <w:t xml:space="preserve"> </w:t>
      </w:r>
      <w:r>
        <w:rPr>
          <w:rFonts w:ascii="Arial" w:cs="Arial" w:eastAsia="Arial" w:hAnsi="Arial"/>
          <w:sz w:val="16"/>
          <w:szCs w:val="16"/>
          <w:color w:val="58595B"/>
        </w:rPr>
        <w:t>experience in the medical device and pharmaceutical industry, executive management and oversight, international business, manufacturing, and accounting fields coupled with his service on the boards of publicly traded companies for over 30 years and his extensive knowledge of the health 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847090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354455" cy="2297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5445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62</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2023</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58595B"/>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1949450</wp:posOffset>
            </wp:positionV>
            <wp:extent cx="1097280" cy="10972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654050</wp:posOffset>
            </wp:positionV>
            <wp:extent cx="5554980"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Jeffrey A. Graves, Ph.D. </w:t>
      </w:r>
      <w:r>
        <w:rPr>
          <w:rFonts w:ascii="Arial" w:cs="Arial" w:eastAsia="Arial" w:hAnsi="Arial"/>
          <w:sz w:val="22"/>
          <w:szCs w:val="22"/>
          <w:color w:val="FFFFFF"/>
        </w:rPr>
        <w:t>– President and CEO, 3D Systems Corporation</w:t>
      </w:r>
    </w:p>
    <w:p>
      <w:pPr>
        <w:spacing w:after="0" w:line="261"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58595B"/>
        </w:rPr>
        <w:t>Dr. Graves is currently President and CEO of 3D Systems Corporation, a leading additive manufacturing solutions provider to industrial and healthcare companies. From 2012 to May 2020, Dr. Graves served as President and Chief Executive Officer and a director of MTS Systems Corporation, a global supplier of test, simulation, and measurement systems. From 2005 until 2012, he served as President and CEO of C&amp;D Technologies, Inc. Dr. Graves also held leadership roles with Kemet Corporation as Chief Operating Officer (2001 to 2003) and CEO (2003 to 2005). Previously he held a number of leadership and technical roles with GE, Rockwell, and Howmet Corporation.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Since May 2020, Dr. Graves has served as a board member of 3D Systems</w:t>
      </w:r>
    </w:p>
    <w:p>
      <w:pPr>
        <w:spacing w:after="0" w:line="59"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Corporation (NYSE: DDD). Dr. Graves has served on the board of Hexcel Corporation (NYSE: HXL) since 2007; Dr. Graves will cease to serve as a member of Hexcel's board in May 2024, following the conclusion of its 2024 annual meeting of stockholders. Dr. Graves previously served as a board member for FARO Technologies, Inc. (Nasdaq: FARO) from 2019 to 2022, MTS Systems Corporation from 2012 to 2020, and Teleflex Incorporated from 2007 to 2019.</w:t>
      </w:r>
    </w:p>
    <w:p>
      <w:pPr>
        <w:spacing w:after="0" w:line="64"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Dr. Graves received a bachelor’s degree in metallurgical engineering from Purdue University and completed</w:t>
      </w:r>
      <w:r>
        <w:rPr>
          <w:rFonts w:ascii="Arial" w:cs="Arial" w:eastAsia="Arial" w:hAnsi="Arial"/>
          <w:sz w:val="16"/>
          <w:szCs w:val="16"/>
          <w:b w:val="1"/>
          <w:bCs w:val="1"/>
          <w:color w:val="009845"/>
        </w:rPr>
        <w:t xml:space="preserve"> </w:t>
      </w:r>
      <w:r>
        <w:rPr>
          <w:rFonts w:ascii="Arial" w:cs="Arial" w:eastAsia="Arial" w:hAnsi="Arial"/>
          <w:sz w:val="16"/>
          <w:szCs w:val="16"/>
          <w:color w:val="58595B"/>
        </w:rPr>
        <w:t>his master’s degree and Ph.D. in metallurgical engineering at the University of Wisconsin.</w:t>
      </w:r>
    </w:p>
    <w:p>
      <w:pPr>
        <w:spacing w:after="0" w:line="35"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b w:val="1"/>
          <w:bCs w:val="1"/>
          <w:color w:val="009845"/>
        </w:rPr>
        <w:t xml:space="preserve">Key Experience and Qualifications: </w:t>
      </w:r>
      <w:r>
        <w:rPr>
          <w:rFonts w:ascii="Arial" w:cs="Arial" w:eastAsia="Arial" w:hAnsi="Arial"/>
          <w:sz w:val="16"/>
          <w:szCs w:val="16"/>
          <w:color w:val="58595B"/>
        </w:rPr>
        <w:t>We believe Dr. Grave's qualifications to serve on our Board include his</w:t>
      </w:r>
      <w:r>
        <w:rPr>
          <w:rFonts w:ascii="Arial" w:cs="Arial" w:eastAsia="Arial" w:hAnsi="Arial"/>
          <w:sz w:val="16"/>
          <w:szCs w:val="16"/>
          <w:b w:val="1"/>
          <w:bCs w:val="1"/>
          <w:color w:val="009845"/>
        </w:rPr>
        <w:t xml:space="preserve"> </w:t>
      </w:r>
      <w:r>
        <w:rPr>
          <w:rFonts w:ascii="Arial" w:cs="Arial" w:eastAsia="Arial" w:hAnsi="Arial"/>
          <w:sz w:val="16"/>
          <w:szCs w:val="16"/>
          <w:color w:val="58595B"/>
        </w:rPr>
        <w:t>management experience, strategic, operational and financial experience and a perspective on strategy and growth for the benefit of our stockholders. In addition, Dr. Graves has extensive experience serving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615315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872490</wp:posOffset>
            </wp:positionV>
            <wp:extent cx="5554980" cy="23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4980"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7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1354455" cy="1465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54455" cy="1465580"/>
                    </a:xfrm>
                    <a:prstGeom prst="rect">
                      <a:avLst/>
                    </a:prstGeom>
                    <a:noFill/>
                  </pic:spPr>
                </pic:pic>
              </a:graphicData>
            </a:graphic>
          </wp:anchor>
        </w:drawing>
      </w:r>
    </w:p>
    <w:p>
      <w:pPr>
        <w:spacing w:after="0" w:line="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2013</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Presiding Director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80"/>
        <w:spacing w:after="0" w:line="356" w:lineRule="auto"/>
        <w:rPr>
          <w:sz w:val="20"/>
          <w:szCs w:val="20"/>
          <w:color w:val="auto"/>
        </w:rPr>
      </w:pPr>
      <w:r>
        <w:rPr>
          <w:rFonts w:ascii="Arial" w:cs="Arial" w:eastAsia="Arial" w:hAnsi="Arial"/>
          <w:sz w:val="16"/>
          <w:szCs w:val="16"/>
          <w:color w:val="58595B"/>
        </w:rPr>
        <w:t>Nominating and Corporate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Barbara B. Hill </w:t>
      </w:r>
      <w:r>
        <w:rPr>
          <w:rFonts w:ascii="Arial" w:cs="Arial" w:eastAsia="Arial" w:hAnsi="Arial"/>
          <w:sz w:val="22"/>
          <w:szCs w:val="22"/>
          <w:color w:val="FFFFFF"/>
        </w:rPr>
        <w:t>– Operating Partner, NexPhase Capital</w:t>
      </w:r>
    </w:p>
    <w:p>
      <w:pPr>
        <w:spacing w:after="0" w:line="27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Ms. Hill is currently an operating partner of 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at Cigna HealthCare, and also served as the CEO of health plans owned by Prudential, Aetna and the Johns Hopkins Health System.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Ms. Hill currently serves as a board member of Omega Healthcare Investors,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58595B"/>
        </w:rPr>
        <w:t>Inc. (NYSE: OHI) and previously as a board member for Owens &amp; Minor Inc. (NYSE: OMI), Revera Inc., and St. Jude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Medical Corporation (NYSE: STJ).</w:t>
      </w:r>
    </w:p>
    <w:p>
      <w:pPr>
        <w:spacing w:after="0" w:line="167" w:lineRule="exact"/>
        <w:rPr>
          <w:sz w:val="20"/>
          <w:szCs w:val="20"/>
          <w:color w:val="auto"/>
        </w:rPr>
      </w:pPr>
    </w:p>
    <w:p>
      <w:pPr>
        <w:ind w:right="840"/>
        <w:spacing w:after="0" w:line="339"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Ms. Hill has been active with the boards and</w:t>
      </w:r>
      <w:r>
        <w:rPr>
          <w:rFonts w:ascii="Arial" w:cs="Arial" w:eastAsia="Arial" w:hAnsi="Arial"/>
          <w:sz w:val="16"/>
          <w:szCs w:val="16"/>
          <w:b w:val="1"/>
          <w:bCs w:val="1"/>
          <w:color w:val="009845"/>
        </w:rPr>
        <w:t xml:space="preserve"> </w:t>
      </w:r>
      <w:r>
        <w:rPr>
          <w:rFonts w:ascii="Arial" w:cs="Arial" w:eastAsia="Arial" w:hAnsi="Arial"/>
          <w:sz w:val="16"/>
          <w:szCs w:val="16"/>
          <w:color w:val="58595B"/>
        </w:rPr>
        <w:t>committees of the Association of Health Insurance Plans and other health insurance industry groups.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Ms. Hill received B.A and M.S. degrees from Johns Hopkins University.</w:t>
      </w:r>
    </w:p>
    <w:p>
      <w:pPr>
        <w:spacing w:after="0" w:line="167"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b w:val="1"/>
          <w:bCs w:val="1"/>
          <w:color w:val="009845"/>
        </w:rPr>
        <w:t xml:space="preserve">Key Qualifications: </w:t>
      </w:r>
      <w:r>
        <w:rPr>
          <w:rFonts w:ascii="Arial" w:cs="Arial" w:eastAsia="Arial" w:hAnsi="Arial"/>
          <w:sz w:val="16"/>
          <w:szCs w:val="16"/>
          <w:color w:val="58595B"/>
        </w:rPr>
        <w:t>We believe Ms. Hill's qualifications to serve on our Board include her management experience,</w:t>
      </w:r>
      <w:r>
        <w:rPr>
          <w:rFonts w:ascii="Arial" w:cs="Arial" w:eastAsia="Arial" w:hAnsi="Arial"/>
          <w:sz w:val="16"/>
          <w:szCs w:val="16"/>
          <w:b w:val="1"/>
          <w:bCs w:val="1"/>
          <w:color w:val="009845"/>
        </w:rPr>
        <w:t xml:space="preserve"> </w:t>
      </w:r>
      <w:r>
        <w:rPr>
          <w:rFonts w:ascii="Arial" w:cs="Arial" w:eastAsia="Arial" w:hAnsi="Arial"/>
          <w:sz w:val="16"/>
          <w:szCs w:val="16"/>
          <w:color w:val="58595B"/>
        </w:rPr>
        <w:t>strategic and operational experience in the managed healthcare and pharmaceutical industries, as well as compliance and manufacturing experience in the healthcare industry, coupled with her experience serving on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255270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520"/>
            <w:col w:w="8720"/>
          </w:cols>
          <w:pgMar w:left="34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1040" w:val="left"/>
        </w:tabs>
        <w:rPr>
          <w:sz w:val="20"/>
          <w:szCs w:val="20"/>
          <w:color w:val="auto"/>
        </w:rPr>
      </w:pPr>
      <w:r>
        <w:rPr>
          <w:rFonts w:ascii="Arial" w:cs="Arial" w:eastAsia="Arial" w:hAnsi="Arial"/>
          <w:sz w:val="13"/>
          <w:szCs w:val="13"/>
          <w:color w:val="58595B"/>
        </w:rPr>
        <w:t>2024 Proxy Statement</w:t>
      </w:r>
      <w:r>
        <w:rPr>
          <w:sz w:val="20"/>
          <w:szCs w:val="20"/>
          <w:color w:val="auto"/>
        </w:rPr>
        <w:tab/>
      </w:r>
      <w:r>
        <w:rPr>
          <w:rFonts w:ascii="Arial" w:cs="Arial" w:eastAsia="Arial" w:hAnsi="Arial"/>
          <w:sz w:val="12"/>
          <w:szCs w:val="12"/>
          <w:b w:val="1"/>
          <w:bCs w:val="1"/>
          <w:color w:val="009845"/>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135255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1354455" cy="2271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5445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43</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2022</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1101090</wp:posOffset>
            </wp:positionV>
            <wp:extent cx="1097280" cy="10972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Renee W. Lo </w:t>
      </w:r>
      <w:r>
        <w:rPr>
          <w:rFonts w:ascii="Arial" w:cs="Arial" w:eastAsia="Arial" w:hAnsi="Arial"/>
          <w:sz w:val="22"/>
          <w:szCs w:val="22"/>
          <w:color w:val="FFFFFF"/>
        </w:rPr>
        <w:t>– Partner CTO, APAC Regional Director, Google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-184785</wp:posOffset>
            </wp:positionV>
            <wp:extent cx="5554980"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58595B"/>
        </w:rPr>
        <w:t>Since September 2022, Ms. Lo has served as partner CTO, APAC Regional Director for Google, responsible for leading the partner technology organization across the Asia Pacific region. From 2019 to September 2022, Ms. Lo was the general manager for Microsoft, leading its data and artificial intelligence business in Asia. Prior to Microsoft, from 2015 to 2019, she built regional technology teams at Amazon Web Services and ran the global business development team for Amazon.com, focusing on telecommunications, consumer hardware devices, and new services. Ms. Lo has more than 13 years of experience in North America, including roles with Microsoft, SAP and Pivotal Software, in addition to Amazon, focusing on collaborative and cloud technologies. She has held leadership roles within product development, commercial, operations, business and corporate strategy.</w:t>
      </w:r>
    </w:p>
    <w:p>
      <w:pPr>
        <w:spacing w:after="0" w:line="71" w:lineRule="exact"/>
        <w:rPr>
          <w:sz w:val="20"/>
          <w:szCs w:val="20"/>
          <w:color w:val="auto"/>
        </w:rPr>
      </w:pPr>
    </w:p>
    <w:p>
      <w:pPr>
        <w:ind w:right="340"/>
        <w:spacing w:after="0" w:line="356"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Ms. Lo received a bachelor’s degree in computer science from the University of British Columbia, and an</w:t>
      </w:r>
      <w:r>
        <w:rPr>
          <w:rFonts w:ascii="Arial" w:cs="Arial" w:eastAsia="Arial" w:hAnsi="Arial"/>
          <w:sz w:val="16"/>
          <w:szCs w:val="16"/>
          <w:b w:val="1"/>
          <w:bCs w:val="1"/>
          <w:color w:val="009845"/>
        </w:rPr>
        <w:t xml:space="preserve"> </w:t>
      </w:r>
      <w:r>
        <w:rPr>
          <w:rFonts w:ascii="Arial" w:cs="Arial" w:eastAsia="Arial" w:hAnsi="Arial"/>
          <w:sz w:val="16"/>
          <w:szCs w:val="16"/>
          <w:color w:val="58595B"/>
        </w:rPr>
        <w:t>M.B.A. from the University of Manchester.</w:t>
      </w:r>
    </w:p>
    <w:p>
      <w:pPr>
        <w:spacing w:after="0" w:line="35"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We believe Ms. Lo's qualifications to serve on our Board include her experience driving digital</w:t>
      </w:r>
      <w:r>
        <w:rPr>
          <w:rFonts w:ascii="Arial" w:cs="Arial" w:eastAsia="Arial" w:hAnsi="Arial"/>
          <w:sz w:val="16"/>
          <w:szCs w:val="16"/>
          <w:b w:val="1"/>
          <w:bCs w:val="1"/>
          <w:color w:val="009845"/>
        </w:rPr>
        <w:t xml:space="preserve"> </w:t>
      </w:r>
      <w:r>
        <w:rPr>
          <w:rFonts w:ascii="Arial" w:cs="Arial" w:eastAsia="Arial" w:hAnsi="Arial"/>
          <w:sz w:val="16"/>
          <w:szCs w:val="16"/>
          <w:color w:val="58595B"/>
        </w:rPr>
        <w:t>transformation across industries, bolstered by her management experience, including leadership roles within product development, commercial, operations, business and corporate strategy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387350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644525</wp:posOffset>
            </wp:positionV>
            <wp:extent cx="5554980" cy="419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54980" cy="41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354455" cy="130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54455" cy="1303020"/>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2009</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59" w:lineRule="exact"/>
        <w:rPr>
          <w:sz w:val="20"/>
          <w:szCs w:val="20"/>
          <w:color w:val="auto"/>
        </w:rPr>
      </w:pPr>
    </w:p>
    <w:p>
      <w:pPr>
        <w:ind w:left="100"/>
        <w:spacing w:after="0" w:line="308" w:lineRule="auto"/>
        <w:rPr>
          <w:sz w:val="20"/>
          <w:szCs w:val="20"/>
          <w:color w:val="auto"/>
        </w:rPr>
      </w:pPr>
      <w:r>
        <w:rPr>
          <w:rFonts w:ascii="Arial" w:cs="Arial" w:eastAsia="Arial" w:hAnsi="Arial"/>
          <w:sz w:val="16"/>
          <w:szCs w:val="16"/>
          <w:color w:val="58595B"/>
        </w:rPr>
        <w:t>Audit, Nominating and Corporate Governance,</w:t>
      </w:r>
    </w:p>
    <w:p>
      <w:pPr>
        <w:ind w:left="100"/>
        <w:spacing w:after="0"/>
        <w:rPr>
          <w:sz w:val="20"/>
          <w:szCs w:val="20"/>
          <w:color w:val="auto"/>
        </w:rPr>
      </w:pPr>
      <w:r>
        <w:rPr>
          <w:rFonts w:ascii="Arial" w:cs="Arial" w:eastAsia="Arial" w:hAnsi="Arial"/>
          <w:sz w:val="16"/>
          <w:szCs w:val="16"/>
          <w:color w:val="58595B"/>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 xml:space="preserve">Raymond G. Murphy – </w:t>
      </w:r>
      <w:r>
        <w:rPr>
          <w:rFonts w:ascii="Arial" w:cs="Arial" w:eastAsia="Arial" w:hAnsi="Arial"/>
          <w:sz w:val="22"/>
          <w:szCs w:val="22"/>
          <w:color w:val="FFFFFF"/>
        </w:rPr>
        <w:t>Retired Senior Vice President &amp; Treasurer, Time Warner, Inc.</w:t>
      </w:r>
    </w:p>
    <w:p>
      <w:pPr>
        <w:spacing w:after="0" w:line="200" w:lineRule="exact"/>
        <w:rPr>
          <w:sz w:val="20"/>
          <w:szCs w:val="20"/>
          <w:color w:val="auto"/>
        </w:rPr>
      </w:pPr>
    </w:p>
    <w:p>
      <w:pPr>
        <w:spacing w:after="0" w:line="209"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Mr. Murphy has held several executive level roles with publicly-traded companies including Time Warner Inc., serving as Senior Vice President &amp; Treasurer of 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He held the position of senior vice president &amp; treasurer of America Online, Inc. and senior vice president, finance &amp; treasurer of Marriott International, Inc.</w:t>
      </w:r>
    </w:p>
    <w:p>
      <w:pPr>
        <w:spacing w:after="0" w:line="73" w:lineRule="exact"/>
        <w:rPr>
          <w:sz w:val="20"/>
          <w:szCs w:val="20"/>
          <w:color w:val="auto"/>
        </w:rPr>
      </w:pPr>
    </w:p>
    <w:p>
      <w:pPr>
        <w:ind w:right="580"/>
        <w:spacing w:after="0" w:line="356"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He previously served as the head of the finance</w:t>
      </w:r>
      <w:r>
        <w:rPr>
          <w:rFonts w:ascii="Arial" w:cs="Arial" w:eastAsia="Arial" w:hAnsi="Arial"/>
          <w:sz w:val="16"/>
          <w:szCs w:val="16"/>
          <w:b w:val="1"/>
          <w:bCs w:val="1"/>
          <w:color w:val="009845"/>
        </w:rPr>
        <w:t xml:space="preserve"> </w:t>
      </w:r>
      <w:r>
        <w:rPr>
          <w:rFonts w:ascii="Arial" w:cs="Arial" w:eastAsia="Arial" w:hAnsi="Arial"/>
          <w:sz w:val="16"/>
          <w:szCs w:val="16"/>
          <w:color w:val="58595B"/>
        </w:rPr>
        <w:t>committee, the executive committee, and the board of The Advertising Council, Inc.</w:t>
      </w:r>
    </w:p>
    <w:p>
      <w:pPr>
        <w:spacing w:after="0" w:line="35" w:lineRule="exact"/>
        <w:rPr>
          <w:sz w:val="20"/>
          <w:szCs w:val="20"/>
          <w:color w:val="auto"/>
        </w:rPr>
      </w:pPr>
    </w:p>
    <w:p>
      <w:pPr>
        <w:ind w:right="400"/>
        <w:spacing w:after="0" w:line="356"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Mr. Murphy received a B.S. from Villanova University and an M.B.A. from Columbia University Graduate</w:t>
      </w:r>
      <w:r>
        <w:rPr>
          <w:rFonts w:ascii="Arial" w:cs="Arial" w:eastAsia="Arial" w:hAnsi="Arial"/>
          <w:sz w:val="16"/>
          <w:szCs w:val="16"/>
          <w:b w:val="1"/>
          <w:bCs w:val="1"/>
          <w:color w:val="009845"/>
        </w:rPr>
        <w:t xml:space="preserve"> </w:t>
      </w:r>
      <w:r>
        <w:rPr>
          <w:rFonts w:ascii="Arial" w:cs="Arial" w:eastAsia="Arial" w:hAnsi="Arial"/>
          <w:sz w:val="16"/>
          <w:szCs w:val="16"/>
          <w:color w:val="58595B"/>
        </w:rPr>
        <w:t>School of Business.</w:t>
      </w:r>
    </w:p>
    <w:p>
      <w:pPr>
        <w:spacing w:after="0" w:line="35"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We believe Mr. Murphy's qualifications to serve on our Board include his extensive senior</w:t>
      </w:r>
      <w:r>
        <w:rPr>
          <w:rFonts w:ascii="Arial" w:cs="Arial" w:eastAsia="Arial" w:hAnsi="Arial"/>
          <w:sz w:val="16"/>
          <w:szCs w:val="16"/>
          <w:b w:val="1"/>
          <w:bCs w:val="1"/>
          <w:color w:val="009845"/>
        </w:rPr>
        <w:t xml:space="preserve"> </w:t>
      </w:r>
      <w:r>
        <w:rPr>
          <w:rFonts w:ascii="Arial" w:cs="Arial" w:eastAsia="Arial" w:hAnsi="Arial"/>
          <w:sz w:val="16"/>
          <w:szCs w:val="16"/>
          <w:color w:val="58595B"/>
        </w:rPr>
        <w:t>executive and leadership experience at other public companies, coupled with financial, accounting, treasury, business development and risk management, public company experience, and leadership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387350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720"/>
            <w:col w:w="870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1354455" cy="24174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544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Age: </w:t>
      </w:r>
      <w:r>
        <w:rPr>
          <w:rFonts w:ascii="Arial" w:cs="Arial" w:eastAsia="Arial" w:hAnsi="Arial"/>
          <w:sz w:val="16"/>
          <w:szCs w:val="16"/>
          <w:color w:val="58595B"/>
        </w:rPr>
        <w:t>63</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 xml:space="preserve">Director since: </w:t>
      </w:r>
      <w:r>
        <w:rPr>
          <w:rFonts w:ascii="Arial" w:cs="Arial" w:eastAsia="Arial" w:hAnsi="Arial"/>
          <w:sz w:val="16"/>
          <w:szCs w:val="16"/>
          <w:color w:val="58595B"/>
        </w:rPr>
        <w:t>2006</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Committees:</w:t>
      </w:r>
    </w:p>
    <w:p>
      <w:pPr>
        <w:spacing w:after="0" w:line="46" w:lineRule="exact"/>
        <w:rPr>
          <w:sz w:val="20"/>
          <w:szCs w:val="20"/>
          <w:color w:val="auto"/>
        </w:rPr>
      </w:pPr>
    </w:p>
    <w:p>
      <w:pPr>
        <w:ind w:left="100" w:right="110"/>
        <w:spacing w:after="0" w:line="356" w:lineRule="auto"/>
        <w:rPr>
          <w:sz w:val="20"/>
          <w:szCs w:val="20"/>
          <w:color w:val="auto"/>
        </w:rPr>
      </w:pPr>
      <w:r>
        <w:rPr>
          <w:rFonts w:ascii="Arial" w:cs="Arial" w:eastAsia="Arial" w:hAnsi="Arial"/>
          <w:sz w:val="16"/>
          <w:szCs w:val="16"/>
          <w:color w:val="58595B"/>
        </w:rPr>
        <w:t>Audit (Chair), Finance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654050</wp:posOffset>
            </wp:positionV>
            <wp:extent cx="5554980"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0"/>
        <w:spacing w:after="0"/>
        <w:rPr>
          <w:sz w:val="20"/>
          <w:szCs w:val="20"/>
          <w:color w:val="auto"/>
        </w:rPr>
      </w:pPr>
      <w:r>
        <w:rPr>
          <w:rFonts w:ascii="Arial" w:cs="Arial" w:eastAsia="Arial" w:hAnsi="Arial"/>
          <w:sz w:val="22"/>
          <w:szCs w:val="22"/>
          <w:b w:val="1"/>
          <w:bCs w:val="1"/>
          <w:color w:val="FFFFFF"/>
        </w:rPr>
        <w:t xml:space="preserve">Christian S. Schade – </w:t>
      </w:r>
      <w:r>
        <w:rPr>
          <w:rFonts w:ascii="Arial" w:cs="Arial" w:eastAsia="Arial" w:hAnsi="Arial"/>
          <w:sz w:val="22"/>
          <w:szCs w:val="22"/>
          <w:color w:val="FFFFFF"/>
        </w:rPr>
        <w:t>Growth Partner, Flagship Pioneering</w:t>
      </w:r>
    </w:p>
    <w:p>
      <w:pPr>
        <w:spacing w:after="0" w:line="274" w:lineRule="exact"/>
        <w:rPr>
          <w:sz w:val="20"/>
          <w:szCs w:val="20"/>
          <w:color w:val="auto"/>
        </w:rPr>
      </w:pPr>
    </w:p>
    <w:p>
      <w:pPr>
        <w:ind w:left="10" w:right="100"/>
        <w:spacing w:after="0" w:line="308" w:lineRule="auto"/>
        <w:rPr>
          <w:sz w:val="20"/>
          <w:szCs w:val="20"/>
          <w:color w:val="auto"/>
        </w:rPr>
      </w:pPr>
      <w:r>
        <w:rPr>
          <w:rFonts w:ascii="Arial" w:cs="Arial" w:eastAsia="Arial" w:hAnsi="Arial"/>
          <w:sz w:val="16"/>
          <w:szCs w:val="16"/>
          <w:color w:val="58595B"/>
        </w:rPr>
        <w:t>Mr. Schade currently serves as a Growth Partner at Flagship Pioneering, a venture capital company that invests in biotechnology, life sciences, health and sustainability companies. Previously, from April 2016 to 2022, he served as the chairman and chief executive officer of Aprea Therapeutics, Inc. Prior to joining Aprea Therapeutics, Mr. Schade was the chief executive officer of Novira Therapeutics, Inc., an antiviral drug discovery company until it was acquired by Johnson</w:t>
      </w:r>
    </w:p>
    <w:p>
      <w:pPr>
        <w:spacing w:after="0" w:line="1" w:lineRule="exact"/>
        <w:rPr>
          <w:sz w:val="20"/>
          <w:szCs w:val="20"/>
          <w:color w:val="auto"/>
        </w:rPr>
      </w:pPr>
    </w:p>
    <w:p>
      <w:pPr>
        <w:jc w:val="both"/>
        <w:ind w:left="10" w:right="180" w:hanging="10"/>
        <w:spacing w:after="0" w:line="305" w:lineRule="auto"/>
        <w:tabs>
          <w:tab w:leader="none" w:pos="163" w:val="left"/>
        </w:tabs>
        <w:numPr>
          <w:ilvl w:val="0"/>
          <w:numId w:val="11"/>
        </w:numPr>
        <w:rPr>
          <w:rFonts w:ascii="Arial" w:cs="Arial" w:eastAsia="Arial" w:hAnsi="Arial"/>
          <w:sz w:val="16"/>
          <w:szCs w:val="16"/>
          <w:color w:val="58595B"/>
        </w:rPr>
      </w:pPr>
      <w:r>
        <w:rPr>
          <w:rFonts w:ascii="Arial" w:cs="Arial" w:eastAsia="Arial" w:hAnsi="Arial"/>
          <w:sz w:val="16"/>
          <w:szCs w:val="16"/>
          <w:color w:val="58595B"/>
        </w:rPr>
        <w:t>Johnson. He also served as executive vice president and chief financial officer of Omthera Pharmaceuticals, Inc., an emerging specialty pharmaceuticals company until it was purchased by AstraZeneca Plc. He previously held executive level positions with other publicly traded companies such as NRG Energy, serving as executive vice president and chief</w:t>
      </w:r>
    </w:p>
    <w:p>
      <w:pPr>
        <w:jc w:val="both"/>
        <w:ind w:left="10" w:right="180"/>
        <w:spacing w:after="0" w:line="328" w:lineRule="auto"/>
        <w:rPr>
          <w:rFonts w:ascii="Arial" w:cs="Arial" w:eastAsia="Arial" w:hAnsi="Arial"/>
          <w:sz w:val="16"/>
          <w:szCs w:val="16"/>
          <w:color w:val="58595B"/>
        </w:rPr>
      </w:pPr>
      <w:r>
        <w:rPr>
          <w:rFonts w:ascii="Arial" w:cs="Arial" w:eastAsia="Arial" w:hAnsi="Arial"/>
          <w:sz w:val="16"/>
          <w:szCs w:val="16"/>
          <w:color w:val="58595B"/>
        </w:rPr>
        <w:t>financial officer and Medarex Inc, as senior vice president administration and chief financial officer. He also held various corporate finance and capital markets positions in New York and London for both Merrill Lynch and JP Morgan Chase &amp; Co.</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9845"/>
        </w:rPr>
        <w:t xml:space="preserve">Other Public Company Directorships: </w:t>
      </w:r>
      <w:r>
        <w:rPr>
          <w:rFonts w:ascii="Arial" w:cs="Arial" w:eastAsia="Arial" w:hAnsi="Arial"/>
          <w:sz w:val="16"/>
          <w:szCs w:val="16"/>
          <w:color w:val="58595B"/>
        </w:rPr>
        <w:t>Mr. Schade currently serves as the chair of the board of Omega Therapeutics</w:t>
      </w:r>
    </w:p>
    <w:p>
      <w:pPr>
        <w:spacing w:after="0" w:line="46" w:lineRule="exact"/>
        <w:rPr>
          <w:sz w:val="20"/>
          <w:szCs w:val="20"/>
          <w:color w:val="auto"/>
        </w:rPr>
      </w:pPr>
    </w:p>
    <w:p>
      <w:pPr>
        <w:ind w:left="10"/>
        <w:spacing w:after="0"/>
        <w:rPr>
          <w:sz w:val="20"/>
          <w:szCs w:val="20"/>
          <w:color w:val="auto"/>
        </w:rPr>
      </w:pPr>
      <w:r>
        <w:rPr>
          <w:rFonts w:ascii="Arial" w:cs="Arial" w:eastAsia="Arial" w:hAnsi="Arial"/>
          <w:sz w:val="16"/>
          <w:szCs w:val="16"/>
          <w:color w:val="58595B"/>
        </w:rPr>
        <w:t>(Nasdaq: OMGA). From 2016 to August 2023, Mr. Schade served on the board of Aprea Therapeutics, Inc. (Nasdaq:</w:t>
      </w:r>
    </w:p>
    <w:p>
      <w:pPr>
        <w:spacing w:after="0" w:line="59" w:lineRule="exact"/>
        <w:rPr>
          <w:sz w:val="20"/>
          <w:szCs w:val="20"/>
          <w:color w:val="auto"/>
        </w:rPr>
      </w:pPr>
    </w:p>
    <w:p>
      <w:pPr>
        <w:ind w:left="10"/>
        <w:spacing w:after="0"/>
        <w:rPr>
          <w:sz w:val="20"/>
          <w:szCs w:val="20"/>
          <w:color w:val="auto"/>
        </w:rPr>
      </w:pPr>
      <w:r>
        <w:rPr>
          <w:rFonts w:ascii="Arial" w:cs="Arial" w:eastAsia="Arial" w:hAnsi="Arial"/>
          <w:sz w:val="16"/>
          <w:szCs w:val="16"/>
          <w:color w:val="58595B"/>
        </w:rPr>
        <w:t>APRE).</w:t>
      </w:r>
    </w:p>
    <w:p>
      <w:pPr>
        <w:spacing w:after="0" w:line="154" w:lineRule="exact"/>
        <w:rPr>
          <w:sz w:val="20"/>
          <w:szCs w:val="20"/>
          <w:color w:val="auto"/>
        </w:rPr>
      </w:pPr>
    </w:p>
    <w:p>
      <w:pPr>
        <w:ind w:left="10" w:right="20"/>
        <w:spacing w:after="0" w:line="339" w:lineRule="auto"/>
        <w:rPr>
          <w:sz w:val="20"/>
          <w:szCs w:val="20"/>
          <w:color w:val="auto"/>
        </w:rPr>
      </w:pPr>
      <w:r>
        <w:rPr>
          <w:rFonts w:ascii="Arial" w:cs="Arial" w:eastAsia="Arial" w:hAnsi="Arial"/>
          <w:sz w:val="16"/>
          <w:szCs w:val="16"/>
          <w:b w:val="1"/>
          <w:bCs w:val="1"/>
          <w:color w:val="009845"/>
        </w:rPr>
        <w:t xml:space="preserve">Other Professional Experience and Community Involvement: </w:t>
      </w:r>
      <w:r>
        <w:rPr>
          <w:rFonts w:ascii="Arial" w:cs="Arial" w:eastAsia="Arial" w:hAnsi="Arial"/>
          <w:sz w:val="16"/>
          <w:szCs w:val="16"/>
          <w:color w:val="58595B"/>
        </w:rPr>
        <w:t>Mr. Schade currently serves on the board of directors of</w:t>
      </w:r>
      <w:r>
        <w:rPr>
          <w:rFonts w:ascii="Arial" w:cs="Arial" w:eastAsia="Arial" w:hAnsi="Arial"/>
          <w:sz w:val="16"/>
          <w:szCs w:val="16"/>
          <w:b w:val="1"/>
          <w:bCs w:val="1"/>
          <w:color w:val="009845"/>
        </w:rPr>
        <w:t xml:space="preserve"> </w:t>
      </w:r>
      <w:r>
        <w:rPr>
          <w:rFonts w:ascii="Arial" w:cs="Arial" w:eastAsia="Arial" w:hAnsi="Arial"/>
          <w:sz w:val="16"/>
          <w:szCs w:val="16"/>
          <w:color w:val="58595B"/>
        </w:rPr>
        <w:t>Alltrna Therapeutics, Ring Therapeutics, and Valo Health.</w:t>
      </w:r>
    </w:p>
    <w:p>
      <w:pPr>
        <w:spacing w:after="0" w:line="61" w:lineRule="exact"/>
        <w:rPr>
          <w:sz w:val="20"/>
          <w:szCs w:val="20"/>
          <w:color w:val="auto"/>
        </w:rPr>
      </w:pPr>
    </w:p>
    <w:p>
      <w:pPr>
        <w:ind w:left="10" w:right="340"/>
        <w:spacing w:after="0" w:line="339" w:lineRule="auto"/>
        <w:rPr>
          <w:sz w:val="20"/>
          <w:szCs w:val="20"/>
          <w:color w:val="auto"/>
        </w:rPr>
      </w:pPr>
      <w:r>
        <w:rPr>
          <w:rFonts w:ascii="Arial" w:cs="Arial" w:eastAsia="Arial" w:hAnsi="Arial"/>
          <w:sz w:val="16"/>
          <w:szCs w:val="16"/>
          <w:b w:val="1"/>
          <w:bCs w:val="1"/>
          <w:color w:val="009845"/>
        </w:rPr>
        <w:t xml:space="preserve">Education: </w:t>
      </w:r>
      <w:r>
        <w:rPr>
          <w:rFonts w:ascii="Arial" w:cs="Arial" w:eastAsia="Arial" w:hAnsi="Arial"/>
          <w:sz w:val="16"/>
          <w:szCs w:val="16"/>
          <w:color w:val="58595B"/>
        </w:rPr>
        <w:t>Mr. Schade received an A.B. degree from Princeton University, and received an M.B.A. from the Wharton</w:t>
      </w:r>
      <w:r>
        <w:rPr>
          <w:rFonts w:ascii="Arial" w:cs="Arial" w:eastAsia="Arial" w:hAnsi="Arial"/>
          <w:sz w:val="16"/>
          <w:szCs w:val="16"/>
          <w:b w:val="1"/>
          <w:bCs w:val="1"/>
          <w:color w:val="009845"/>
        </w:rPr>
        <w:t xml:space="preserve"> </w:t>
      </w:r>
      <w:r>
        <w:rPr>
          <w:rFonts w:ascii="Arial" w:cs="Arial" w:eastAsia="Arial" w:hAnsi="Arial"/>
          <w:sz w:val="16"/>
          <w:szCs w:val="16"/>
          <w:color w:val="58595B"/>
        </w:rPr>
        <w:t>School at the University of Pennsylvania.</w:t>
      </w:r>
    </w:p>
    <w:p>
      <w:pPr>
        <w:spacing w:after="0" w:line="61" w:lineRule="exact"/>
        <w:rPr>
          <w:sz w:val="20"/>
          <w:szCs w:val="20"/>
          <w:color w:val="auto"/>
        </w:rPr>
      </w:pPr>
    </w:p>
    <w:p>
      <w:pPr>
        <w:ind w:left="10" w:right="60"/>
        <w:spacing w:after="0" w:line="313" w:lineRule="auto"/>
        <w:rPr>
          <w:sz w:val="20"/>
          <w:szCs w:val="20"/>
          <w:color w:val="auto"/>
        </w:rPr>
      </w:pPr>
      <w:r>
        <w:rPr>
          <w:rFonts w:ascii="Arial" w:cs="Arial" w:eastAsia="Arial" w:hAnsi="Arial"/>
          <w:sz w:val="16"/>
          <w:szCs w:val="16"/>
          <w:b w:val="1"/>
          <w:bCs w:val="1"/>
          <w:color w:val="009845"/>
        </w:rPr>
        <w:t xml:space="preserve">Primary Qualifications: </w:t>
      </w:r>
      <w:r>
        <w:rPr>
          <w:rFonts w:ascii="Arial" w:cs="Arial" w:eastAsia="Arial" w:hAnsi="Arial"/>
          <w:sz w:val="16"/>
          <w:szCs w:val="16"/>
          <w:color w:val="58595B"/>
        </w:rPr>
        <w:t>We believe Mr. Schade's qualifications to serve on our Board include his wealth of corporate</w:t>
      </w:r>
      <w:r>
        <w:rPr>
          <w:rFonts w:ascii="Arial" w:cs="Arial" w:eastAsia="Arial" w:hAnsi="Arial"/>
          <w:sz w:val="16"/>
          <w:szCs w:val="16"/>
          <w:b w:val="1"/>
          <w:bCs w:val="1"/>
          <w:color w:val="009845"/>
        </w:rPr>
        <w:t xml:space="preserve"> </w:t>
      </w:r>
      <w:r>
        <w:rPr>
          <w:rFonts w:ascii="Arial" w:cs="Arial" w:eastAsia="Arial" w:hAnsi="Arial"/>
          <w:sz w:val="16"/>
          <w:szCs w:val="16"/>
          <w:color w:val="58595B"/>
        </w:rPr>
        <w:t>management, finance, manufacturing, accounting, human resources, business development and risk management skills coupled with his significant knowledge and experience in the life sciences industry. In addition, he has held several senior leadership positions at both private and public companies and has experience serving on the boards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258445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0" w:space="720"/>
            <w:col w:w="873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Information Concerning Meetings, Executive Sessions And Director Independence</w:t>
      </w:r>
    </w:p>
    <w:p>
      <w:pPr>
        <w:spacing w:after="0" w:line="193"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The Board held six regularly scheduled and four special meetings during 2023. The Company’s independent directors meet at least twice a year in executive session without management present. The Board has determined that all of the Company’s directors, except for Mr. De Witte and Dr. Essig, are independent, as defined by the applicable Nasdaq Stock Market listing standards and the rules of the Securities and Exchange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Standing Committees Of The Board Of Directors</w:t>
      </w:r>
    </w:p>
    <w:p>
      <w:pPr>
        <w:spacing w:after="0" w:line="7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58595B"/>
        </w:rPr>
        <w:t>The Corporation has standing Audit, Nominating and Corporate Governance, Compensation and Finance Committees of the Board. Each committee operates pursuant to a written charter. Copies of these charters are available on our website at www.integralife.com through the “Investors” link under the heading “Corporate Governance.” During 2023, each incumbent director attended in person or by teleconference at least 75% of the total number of meetings of the Board and of each committee of the Board on which he or she then served. Our directors are encouraged to attend our annual meetings of stockholders. At the annual meeting of stockholders held in 2023, all eight of the directors standing for re-election, not including Mr. Graves who was appointed to the Board on December 12, 2023, attended the annual meeting. The following chart and narrative set forth the current composition of our committees of the Board, coupled with the number of committee meetings held in 2023 for each standing committee.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Committee Composition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80" w:type="dxa"/>
            <w:vAlign w:val="bottom"/>
            <w:shd w:val="clear" w:color="auto" w:fill="009845"/>
          </w:tcPr>
          <w:p>
            <w:pPr>
              <w:spacing w:after="0"/>
              <w:rPr>
                <w:sz w:val="15"/>
                <w:szCs w:val="15"/>
                <w:color w:val="auto"/>
              </w:rPr>
            </w:pPr>
          </w:p>
        </w:tc>
        <w:tc>
          <w:tcPr>
            <w:tcW w:w="1560" w:type="dxa"/>
            <w:vAlign w:val="bottom"/>
            <w:shd w:val="clear" w:color="auto" w:fill="009845"/>
          </w:tcPr>
          <w:p>
            <w:pPr>
              <w:spacing w:after="0"/>
              <w:rPr>
                <w:sz w:val="15"/>
                <w:szCs w:val="15"/>
                <w:color w:val="auto"/>
              </w:rPr>
            </w:pPr>
          </w:p>
        </w:tc>
        <w:tc>
          <w:tcPr>
            <w:tcW w:w="2520" w:type="dxa"/>
            <w:vAlign w:val="bottom"/>
            <w:shd w:val="clear" w:color="auto" w:fill="009845"/>
          </w:tcPr>
          <w:p>
            <w:pPr>
              <w:jc w:val="center"/>
              <w:ind w:left="85"/>
              <w:spacing w:after="0"/>
              <w:rPr>
                <w:sz w:val="20"/>
                <w:szCs w:val="20"/>
                <w:color w:val="auto"/>
              </w:rPr>
            </w:pPr>
            <w:r>
              <w:rPr>
                <w:rFonts w:ascii="Arial" w:cs="Arial" w:eastAsia="Arial" w:hAnsi="Arial"/>
                <w:sz w:val="14"/>
                <w:szCs w:val="14"/>
                <w:b w:val="1"/>
                <w:bCs w:val="1"/>
                <w:color w:val="FFFFFF"/>
              </w:rPr>
              <w:t>Nominating and Corporate</w:t>
            </w:r>
          </w:p>
        </w:tc>
        <w:tc>
          <w:tcPr>
            <w:tcW w:w="1840" w:type="dxa"/>
            <w:vAlign w:val="bottom"/>
            <w:shd w:val="clear" w:color="auto" w:fill="009845"/>
          </w:tcPr>
          <w:p>
            <w:pPr>
              <w:spacing w:after="0"/>
              <w:rPr>
                <w:sz w:val="15"/>
                <w:szCs w:val="15"/>
                <w:color w:val="auto"/>
              </w:rPr>
            </w:pPr>
          </w:p>
        </w:tc>
        <w:tc>
          <w:tcPr>
            <w:tcW w:w="1840" w:type="dxa"/>
            <w:vAlign w:val="bottom"/>
            <w:shd w:val="clear" w:color="auto" w:fill="009845"/>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560" w:type="dxa"/>
            <w:vAlign w:val="bottom"/>
            <w:shd w:val="clear" w:color="auto" w:fill="009845"/>
          </w:tcPr>
          <w:p>
            <w:pPr>
              <w:jc w:val="center"/>
              <w:ind w:left="284"/>
              <w:spacing w:after="0"/>
              <w:rPr>
                <w:sz w:val="20"/>
                <w:szCs w:val="20"/>
                <w:color w:val="auto"/>
              </w:rPr>
            </w:pPr>
            <w:r>
              <w:rPr>
                <w:rFonts w:ascii="Arial" w:cs="Arial" w:eastAsia="Arial" w:hAnsi="Arial"/>
                <w:sz w:val="14"/>
                <w:szCs w:val="14"/>
                <w:b w:val="1"/>
                <w:bCs w:val="1"/>
                <w:color w:val="FFFFFF"/>
              </w:rPr>
              <w:t>Audit</w:t>
            </w:r>
          </w:p>
        </w:tc>
        <w:tc>
          <w:tcPr>
            <w:tcW w:w="2520" w:type="dxa"/>
            <w:vAlign w:val="bottom"/>
            <w:shd w:val="clear" w:color="auto" w:fill="009845"/>
          </w:tcPr>
          <w:p>
            <w:pPr>
              <w:jc w:val="center"/>
              <w:ind w:left="85"/>
              <w:spacing w:after="0"/>
              <w:rPr>
                <w:sz w:val="20"/>
                <w:szCs w:val="20"/>
                <w:color w:val="auto"/>
              </w:rPr>
            </w:pPr>
            <w:r>
              <w:rPr>
                <w:rFonts w:ascii="Arial" w:cs="Arial" w:eastAsia="Arial" w:hAnsi="Arial"/>
                <w:sz w:val="14"/>
                <w:szCs w:val="14"/>
                <w:b w:val="1"/>
                <w:bCs w:val="1"/>
                <w:color w:val="FFFFFF"/>
              </w:rPr>
              <w:t>Governance</w:t>
            </w:r>
          </w:p>
        </w:tc>
        <w:tc>
          <w:tcPr>
            <w:tcW w:w="1840" w:type="dxa"/>
            <w:vAlign w:val="bottom"/>
            <w:shd w:val="clear" w:color="auto" w:fill="009845"/>
          </w:tcPr>
          <w:p>
            <w:pPr>
              <w:jc w:val="center"/>
              <w:ind w:right="244"/>
              <w:spacing w:after="0"/>
              <w:rPr>
                <w:sz w:val="20"/>
                <w:szCs w:val="20"/>
                <w:color w:val="auto"/>
              </w:rPr>
            </w:pPr>
            <w:r>
              <w:rPr>
                <w:rFonts w:ascii="Arial" w:cs="Arial" w:eastAsia="Arial" w:hAnsi="Arial"/>
                <w:sz w:val="14"/>
                <w:szCs w:val="14"/>
                <w:b w:val="1"/>
                <w:bCs w:val="1"/>
                <w:color w:val="FFFFFF"/>
              </w:rPr>
              <w:t>Compensation</w:t>
            </w:r>
          </w:p>
        </w:tc>
        <w:tc>
          <w:tcPr>
            <w:tcW w:w="1840" w:type="dxa"/>
            <w:vAlign w:val="bottom"/>
            <w:shd w:val="clear" w:color="auto" w:fill="009845"/>
          </w:tcPr>
          <w:p>
            <w:pPr>
              <w:jc w:val="center"/>
              <w:ind w:right="24"/>
              <w:spacing w:after="0"/>
              <w:rPr>
                <w:sz w:val="20"/>
                <w:szCs w:val="20"/>
                <w:color w:val="auto"/>
              </w:rPr>
            </w:pPr>
            <w:r>
              <w:rPr>
                <w:rFonts w:ascii="Arial" w:cs="Arial" w:eastAsia="Arial" w:hAnsi="Arial"/>
                <w:sz w:val="14"/>
                <w:szCs w:val="14"/>
                <w:b w:val="1"/>
                <w:bCs w:val="1"/>
                <w:color w:val="FFFFFF"/>
              </w:rPr>
              <w:t>Finance</w:t>
            </w:r>
          </w:p>
        </w:tc>
        <w:tc>
          <w:tcPr>
            <w:tcW w:w="0" w:type="dxa"/>
            <w:vAlign w:val="bottom"/>
          </w:tcPr>
          <w:p>
            <w:pPr>
              <w:spacing w:after="0"/>
              <w:rPr>
                <w:sz w:val="1"/>
                <w:szCs w:val="1"/>
                <w:color w:val="auto"/>
              </w:rPr>
            </w:pPr>
          </w:p>
        </w:tc>
      </w:tr>
      <w:tr>
        <w:trPr>
          <w:trHeight w:val="70"/>
        </w:trPr>
        <w:tc>
          <w:tcPr>
            <w:tcW w:w="3480" w:type="dxa"/>
            <w:vAlign w:val="bottom"/>
            <w:shd w:val="clear" w:color="auto" w:fill="009845"/>
          </w:tcPr>
          <w:p>
            <w:pPr>
              <w:spacing w:after="0"/>
              <w:rPr>
                <w:sz w:val="6"/>
                <w:szCs w:val="6"/>
                <w:color w:val="auto"/>
              </w:rPr>
            </w:pPr>
          </w:p>
        </w:tc>
        <w:tc>
          <w:tcPr>
            <w:tcW w:w="1560" w:type="dxa"/>
            <w:vAlign w:val="bottom"/>
            <w:shd w:val="clear" w:color="auto" w:fill="009845"/>
          </w:tcPr>
          <w:p>
            <w:pPr>
              <w:spacing w:after="0"/>
              <w:rPr>
                <w:sz w:val="6"/>
                <w:szCs w:val="6"/>
                <w:color w:val="auto"/>
              </w:rPr>
            </w:pPr>
          </w:p>
        </w:tc>
        <w:tc>
          <w:tcPr>
            <w:tcW w:w="2520" w:type="dxa"/>
            <w:vAlign w:val="bottom"/>
            <w:shd w:val="clear" w:color="auto" w:fill="009845"/>
          </w:tcPr>
          <w:p>
            <w:pPr>
              <w:spacing w:after="0"/>
              <w:rPr>
                <w:sz w:val="6"/>
                <w:szCs w:val="6"/>
                <w:color w:val="auto"/>
              </w:rPr>
            </w:pPr>
          </w:p>
        </w:tc>
        <w:tc>
          <w:tcPr>
            <w:tcW w:w="1840" w:type="dxa"/>
            <w:vAlign w:val="bottom"/>
            <w:shd w:val="clear" w:color="auto" w:fill="009845"/>
          </w:tcPr>
          <w:p>
            <w:pPr>
              <w:spacing w:after="0"/>
              <w:rPr>
                <w:sz w:val="6"/>
                <w:szCs w:val="6"/>
                <w:color w:val="auto"/>
              </w:rPr>
            </w:pPr>
          </w:p>
        </w:tc>
        <w:tc>
          <w:tcPr>
            <w:tcW w:w="184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560" w:type="dxa"/>
            <w:vAlign w:val="bottom"/>
            <w:shd w:val="clear" w:color="auto" w:fill="EFEDED"/>
          </w:tcPr>
          <w:p>
            <w:pPr>
              <w:spacing w:after="0"/>
              <w:rPr>
                <w:sz w:val="24"/>
                <w:szCs w:val="24"/>
                <w:color w:val="auto"/>
              </w:rPr>
            </w:pPr>
          </w:p>
        </w:tc>
        <w:tc>
          <w:tcPr>
            <w:tcW w:w="2520" w:type="dxa"/>
            <w:vAlign w:val="bottom"/>
            <w:shd w:val="clear" w:color="auto" w:fill="EFEDED"/>
          </w:tcPr>
          <w:p>
            <w:pPr>
              <w:spacing w:after="0"/>
              <w:rPr>
                <w:sz w:val="24"/>
                <w:szCs w:val="24"/>
                <w:color w:val="auto"/>
              </w:rPr>
            </w:pPr>
          </w:p>
        </w:tc>
        <w:tc>
          <w:tcPr>
            <w:tcW w:w="1840" w:type="dxa"/>
            <w:vAlign w:val="bottom"/>
            <w:shd w:val="clear" w:color="auto" w:fill="EFEDED"/>
          </w:tcPr>
          <w:p>
            <w:pPr>
              <w:spacing w:after="0"/>
              <w:rPr>
                <w:sz w:val="24"/>
                <w:szCs w:val="24"/>
                <w:color w:val="auto"/>
              </w:rPr>
            </w:pPr>
          </w:p>
        </w:tc>
        <w:tc>
          <w:tcPr>
            <w:tcW w:w="18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80" w:type="dxa"/>
            <w:vAlign w:val="bottom"/>
            <w:shd w:val="clear" w:color="auto" w:fill="EFEDED"/>
          </w:tcPr>
          <w:p>
            <w:pPr>
              <w:spacing w:after="0"/>
              <w:rPr>
                <w:sz w:val="7"/>
                <w:szCs w:val="7"/>
                <w:color w:val="auto"/>
              </w:rPr>
            </w:pPr>
          </w:p>
        </w:tc>
        <w:tc>
          <w:tcPr>
            <w:tcW w:w="1560" w:type="dxa"/>
            <w:vAlign w:val="bottom"/>
            <w:shd w:val="clear" w:color="auto" w:fill="EFEDED"/>
          </w:tcPr>
          <w:p>
            <w:pPr>
              <w:spacing w:after="0"/>
              <w:rPr>
                <w:sz w:val="7"/>
                <w:szCs w:val="7"/>
                <w:color w:val="auto"/>
              </w:rPr>
            </w:pPr>
          </w:p>
        </w:tc>
        <w:tc>
          <w:tcPr>
            <w:tcW w:w="2520" w:type="dxa"/>
            <w:vAlign w:val="bottom"/>
            <w:shd w:val="clear" w:color="auto" w:fill="EFEDED"/>
          </w:tcPr>
          <w:p>
            <w:pPr>
              <w:spacing w:after="0"/>
              <w:rPr>
                <w:sz w:val="7"/>
                <w:szCs w:val="7"/>
                <w:color w:val="auto"/>
              </w:rPr>
            </w:pPr>
          </w:p>
        </w:tc>
        <w:tc>
          <w:tcPr>
            <w:tcW w:w="1840" w:type="dxa"/>
            <w:vAlign w:val="bottom"/>
            <w:shd w:val="clear" w:color="auto" w:fill="EFEDED"/>
          </w:tcPr>
          <w:p>
            <w:pPr>
              <w:spacing w:after="0"/>
              <w:rPr>
                <w:sz w:val="7"/>
                <w:szCs w:val="7"/>
                <w:color w:val="auto"/>
              </w:rPr>
            </w:pPr>
          </w:p>
        </w:tc>
        <w:tc>
          <w:tcPr>
            <w:tcW w:w="184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1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34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560" w:type="dxa"/>
            <w:vAlign w:val="bottom"/>
            <w:tcBorders>
              <w:bottom w:val="single" w:sz="8" w:color="EFEDED"/>
            </w:tcBorders>
            <w:shd w:val="clear" w:color="auto" w:fill="EFEDED"/>
          </w:tcPr>
          <w:p>
            <w:pPr>
              <w:spacing w:after="0"/>
              <w:rPr>
                <w:sz w:val="24"/>
                <w:szCs w:val="24"/>
                <w:color w:val="auto"/>
              </w:rPr>
            </w:pPr>
          </w:p>
        </w:tc>
        <w:tc>
          <w:tcPr>
            <w:tcW w:w="2520" w:type="dxa"/>
            <w:vAlign w:val="bottom"/>
            <w:tcBorders>
              <w:bottom w:val="single" w:sz="8" w:color="EFEDED"/>
            </w:tcBorders>
            <w:shd w:val="clear" w:color="auto" w:fill="EFEDED"/>
          </w:tcPr>
          <w:p>
            <w:pPr>
              <w:spacing w:after="0"/>
              <w:rPr>
                <w:sz w:val="24"/>
                <w:szCs w:val="24"/>
                <w:color w:val="auto"/>
              </w:rPr>
            </w:pPr>
          </w:p>
        </w:tc>
        <w:tc>
          <w:tcPr>
            <w:tcW w:w="1840" w:type="dxa"/>
            <w:vAlign w:val="bottom"/>
            <w:tcBorders>
              <w:bottom w:val="single" w:sz="8" w:color="EFEDED"/>
            </w:tcBorders>
            <w:shd w:val="clear" w:color="auto" w:fill="EFEDED"/>
          </w:tcPr>
          <w:p>
            <w:pPr>
              <w:spacing w:after="0"/>
              <w:rPr>
                <w:sz w:val="24"/>
                <w:szCs w:val="24"/>
                <w:color w:val="auto"/>
              </w:rPr>
            </w:pPr>
          </w:p>
        </w:tc>
        <w:tc>
          <w:tcPr>
            <w:tcW w:w="1840" w:type="dxa"/>
            <w:vAlign w:val="bottom"/>
            <w:tcBorders>
              <w:bottom w:val="single" w:sz="8" w:color="EFEDED"/>
            </w:tcBorders>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Jeffrey A. Graves</w:t>
            </w:r>
          </w:p>
        </w:tc>
        <w:tc>
          <w:tcPr>
            <w:tcW w:w="1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34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560" w:type="dxa"/>
            <w:vAlign w:val="bottom"/>
            <w:tcBorders>
              <w:bottom w:val="single" w:sz="8" w:color="EFEDED"/>
            </w:tcBorders>
            <w:shd w:val="clear" w:color="auto" w:fill="EFEDED"/>
          </w:tcPr>
          <w:p>
            <w:pPr>
              <w:spacing w:after="0"/>
              <w:rPr>
                <w:sz w:val="24"/>
                <w:szCs w:val="24"/>
                <w:color w:val="auto"/>
              </w:rPr>
            </w:pPr>
          </w:p>
        </w:tc>
        <w:tc>
          <w:tcPr>
            <w:tcW w:w="2520" w:type="dxa"/>
            <w:vAlign w:val="bottom"/>
            <w:tcBorders>
              <w:bottom w:val="single" w:sz="8" w:color="EFEDED"/>
            </w:tcBorders>
            <w:shd w:val="clear" w:color="auto" w:fill="EFEDED"/>
          </w:tcPr>
          <w:p>
            <w:pPr>
              <w:spacing w:after="0"/>
              <w:rPr>
                <w:sz w:val="24"/>
                <w:szCs w:val="24"/>
                <w:color w:val="auto"/>
              </w:rPr>
            </w:pPr>
          </w:p>
        </w:tc>
        <w:tc>
          <w:tcPr>
            <w:tcW w:w="1840" w:type="dxa"/>
            <w:vAlign w:val="bottom"/>
            <w:tcBorders>
              <w:bottom w:val="single" w:sz="8" w:color="EFEDED"/>
            </w:tcBorders>
            <w:shd w:val="clear" w:color="auto" w:fill="EFEDED"/>
          </w:tcPr>
          <w:p>
            <w:pPr>
              <w:spacing w:after="0"/>
              <w:rPr>
                <w:sz w:val="24"/>
                <w:szCs w:val="24"/>
                <w:color w:val="auto"/>
              </w:rPr>
            </w:pPr>
          </w:p>
        </w:tc>
        <w:tc>
          <w:tcPr>
            <w:tcW w:w="1840" w:type="dxa"/>
            <w:vAlign w:val="bottom"/>
            <w:tcBorders>
              <w:bottom w:val="single" w:sz="8" w:color="EFEDED"/>
            </w:tcBorders>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34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560" w:type="dxa"/>
            <w:vAlign w:val="bottom"/>
            <w:shd w:val="clear" w:color="auto" w:fill="EFEDED"/>
          </w:tcPr>
          <w:p>
            <w:pPr>
              <w:spacing w:after="0"/>
              <w:rPr>
                <w:sz w:val="24"/>
                <w:szCs w:val="24"/>
                <w:color w:val="auto"/>
              </w:rPr>
            </w:pPr>
          </w:p>
        </w:tc>
        <w:tc>
          <w:tcPr>
            <w:tcW w:w="2520" w:type="dxa"/>
            <w:vAlign w:val="bottom"/>
            <w:shd w:val="clear" w:color="auto" w:fill="EFEDED"/>
          </w:tcPr>
          <w:p>
            <w:pPr>
              <w:spacing w:after="0"/>
              <w:rPr>
                <w:sz w:val="24"/>
                <w:szCs w:val="24"/>
                <w:color w:val="auto"/>
              </w:rPr>
            </w:pPr>
          </w:p>
        </w:tc>
        <w:tc>
          <w:tcPr>
            <w:tcW w:w="1840" w:type="dxa"/>
            <w:vAlign w:val="bottom"/>
            <w:shd w:val="clear" w:color="auto" w:fill="EFEDED"/>
          </w:tcPr>
          <w:p>
            <w:pPr>
              <w:spacing w:after="0"/>
              <w:rPr>
                <w:sz w:val="24"/>
                <w:szCs w:val="24"/>
                <w:color w:val="auto"/>
              </w:rPr>
            </w:pPr>
          </w:p>
        </w:tc>
        <w:tc>
          <w:tcPr>
            <w:tcW w:w="18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480" w:type="dxa"/>
            <w:vAlign w:val="bottom"/>
            <w:shd w:val="clear" w:color="auto" w:fill="EFEDED"/>
          </w:tcPr>
          <w:p>
            <w:pPr>
              <w:spacing w:after="0"/>
              <w:rPr>
                <w:sz w:val="7"/>
                <w:szCs w:val="7"/>
                <w:color w:val="auto"/>
              </w:rPr>
            </w:pPr>
          </w:p>
        </w:tc>
        <w:tc>
          <w:tcPr>
            <w:tcW w:w="1560" w:type="dxa"/>
            <w:vAlign w:val="bottom"/>
            <w:shd w:val="clear" w:color="auto" w:fill="EFEDED"/>
          </w:tcPr>
          <w:p>
            <w:pPr>
              <w:spacing w:after="0"/>
              <w:rPr>
                <w:sz w:val="7"/>
                <w:szCs w:val="7"/>
                <w:color w:val="auto"/>
              </w:rPr>
            </w:pPr>
          </w:p>
        </w:tc>
        <w:tc>
          <w:tcPr>
            <w:tcW w:w="2520" w:type="dxa"/>
            <w:vAlign w:val="bottom"/>
            <w:shd w:val="clear" w:color="auto" w:fill="EFEDED"/>
          </w:tcPr>
          <w:p>
            <w:pPr>
              <w:spacing w:after="0"/>
              <w:rPr>
                <w:sz w:val="7"/>
                <w:szCs w:val="7"/>
                <w:color w:val="auto"/>
              </w:rPr>
            </w:pPr>
          </w:p>
        </w:tc>
        <w:tc>
          <w:tcPr>
            <w:tcW w:w="1840" w:type="dxa"/>
            <w:vAlign w:val="bottom"/>
            <w:shd w:val="clear" w:color="auto" w:fill="EFEDED"/>
          </w:tcPr>
          <w:p>
            <w:pPr>
              <w:spacing w:after="0"/>
              <w:rPr>
                <w:sz w:val="7"/>
                <w:szCs w:val="7"/>
                <w:color w:val="auto"/>
              </w:rPr>
            </w:pPr>
          </w:p>
        </w:tc>
        <w:tc>
          <w:tcPr>
            <w:tcW w:w="184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348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5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3480" w:type="dxa"/>
            <w:vAlign w:val="bottom"/>
            <w:tcBorders>
              <w:bottom w:val="single" w:sz="8" w:color="58595B"/>
            </w:tcBorders>
          </w:tcPr>
          <w:p>
            <w:pPr>
              <w:spacing w:after="0"/>
              <w:rPr>
                <w:sz w:val="6"/>
                <w:szCs w:val="6"/>
                <w:color w:val="auto"/>
              </w:rPr>
            </w:pPr>
          </w:p>
        </w:tc>
        <w:tc>
          <w:tcPr>
            <w:tcW w:w="1560" w:type="dxa"/>
            <w:vAlign w:val="bottom"/>
            <w:tcBorders>
              <w:bottom w:val="single" w:sz="8" w:color="58595B"/>
            </w:tcBorders>
          </w:tcPr>
          <w:p>
            <w:pPr>
              <w:spacing w:after="0"/>
              <w:rPr>
                <w:sz w:val="6"/>
                <w:szCs w:val="6"/>
                <w:color w:val="auto"/>
              </w:rPr>
            </w:pPr>
          </w:p>
        </w:tc>
        <w:tc>
          <w:tcPr>
            <w:tcW w:w="2520" w:type="dxa"/>
            <w:vAlign w:val="bottom"/>
            <w:tcBorders>
              <w:bottom w:val="single" w:sz="8" w:color="58595B"/>
            </w:tcBorders>
          </w:tcPr>
          <w:p>
            <w:pPr>
              <w:spacing w:after="0"/>
              <w:rPr>
                <w:sz w:val="6"/>
                <w:szCs w:val="6"/>
                <w:color w:val="auto"/>
              </w:rPr>
            </w:pPr>
          </w:p>
        </w:tc>
        <w:tc>
          <w:tcPr>
            <w:tcW w:w="1840" w:type="dxa"/>
            <w:vAlign w:val="bottom"/>
            <w:tcBorders>
              <w:bottom w:val="single" w:sz="8" w:color="58595B"/>
            </w:tcBorders>
          </w:tcPr>
          <w:p>
            <w:pPr>
              <w:spacing w:after="0"/>
              <w:rPr>
                <w:sz w:val="6"/>
                <w:szCs w:val="6"/>
                <w:color w:val="auto"/>
              </w:rPr>
            </w:pPr>
          </w:p>
        </w:tc>
        <w:tc>
          <w:tcPr>
            <w:tcW w:w="1840" w:type="dxa"/>
            <w:vAlign w:val="bottom"/>
            <w:tcBorders>
              <w:bottom w:val="single" w:sz="8" w:color="58595B"/>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EFEDED"/>
          </w:tcPr>
          <w:p>
            <w:pPr>
              <w:ind w:left="100"/>
              <w:spacing w:after="0"/>
              <w:rPr>
                <w:sz w:val="20"/>
                <w:szCs w:val="20"/>
                <w:color w:val="auto"/>
              </w:rPr>
            </w:pPr>
            <w:r>
              <w:rPr>
                <w:rFonts w:ascii="Arial" w:cs="Arial" w:eastAsia="Arial" w:hAnsi="Arial"/>
                <w:sz w:val="16"/>
                <w:szCs w:val="16"/>
                <w:b w:val="1"/>
                <w:bCs w:val="1"/>
                <w:color w:val="009845"/>
              </w:rPr>
              <w:t>Number of 2023 Meetings</w:t>
            </w:r>
          </w:p>
        </w:tc>
        <w:tc>
          <w:tcPr>
            <w:tcW w:w="1560" w:type="dxa"/>
            <w:vAlign w:val="bottom"/>
            <w:vMerge w:val="restart"/>
            <w:shd w:val="clear" w:color="auto" w:fill="EFEDED"/>
          </w:tcPr>
          <w:p>
            <w:pPr>
              <w:jc w:val="right"/>
              <w:ind w:right="484"/>
              <w:spacing w:after="0"/>
              <w:rPr>
                <w:sz w:val="20"/>
                <w:szCs w:val="20"/>
                <w:color w:val="auto"/>
              </w:rPr>
            </w:pPr>
            <w:r>
              <w:rPr>
                <w:rFonts w:ascii="Arial" w:cs="Arial" w:eastAsia="Arial" w:hAnsi="Arial"/>
                <w:sz w:val="16"/>
                <w:szCs w:val="16"/>
                <w:b w:val="1"/>
                <w:bCs w:val="1"/>
                <w:color w:val="009845"/>
              </w:rPr>
              <w:t>7</w:t>
            </w:r>
          </w:p>
        </w:tc>
        <w:tc>
          <w:tcPr>
            <w:tcW w:w="2520" w:type="dxa"/>
            <w:vAlign w:val="bottom"/>
            <w:vMerge w:val="restart"/>
            <w:shd w:val="clear" w:color="auto" w:fill="EFEDED"/>
          </w:tcPr>
          <w:p>
            <w:pPr>
              <w:jc w:val="center"/>
              <w:ind w:left="85"/>
              <w:spacing w:after="0"/>
              <w:rPr>
                <w:sz w:val="20"/>
                <w:szCs w:val="20"/>
                <w:color w:val="auto"/>
              </w:rPr>
            </w:pPr>
            <w:r>
              <w:rPr>
                <w:rFonts w:ascii="Arial" w:cs="Arial" w:eastAsia="Arial" w:hAnsi="Arial"/>
                <w:sz w:val="16"/>
                <w:szCs w:val="16"/>
                <w:b w:val="1"/>
                <w:bCs w:val="1"/>
                <w:color w:val="009845"/>
                <w:w w:val="89"/>
              </w:rPr>
              <w:t>6</w:t>
            </w:r>
          </w:p>
        </w:tc>
        <w:tc>
          <w:tcPr>
            <w:tcW w:w="1840" w:type="dxa"/>
            <w:vAlign w:val="bottom"/>
            <w:vMerge w:val="restart"/>
            <w:shd w:val="clear" w:color="auto" w:fill="EFEDED"/>
          </w:tcPr>
          <w:p>
            <w:pPr>
              <w:jc w:val="right"/>
              <w:ind w:right="964"/>
              <w:spacing w:after="0"/>
              <w:rPr>
                <w:sz w:val="20"/>
                <w:szCs w:val="20"/>
                <w:color w:val="auto"/>
              </w:rPr>
            </w:pPr>
            <w:r>
              <w:rPr>
                <w:rFonts w:ascii="Arial" w:cs="Arial" w:eastAsia="Arial" w:hAnsi="Arial"/>
                <w:sz w:val="16"/>
                <w:szCs w:val="16"/>
                <w:b w:val="1"/>
                <w:bCs w:val="1"/>
                <w:color w:val="009845"/>
              </w:rPr>
              <w:t>6</w:t>
            </w:r>
          </w:p>
        </w:tc>
        <w:tc>
          <w:tcPr>
            <w:tcW w:w="1840" w:type="dxa"/>
            <w:vAlign w:val="bottom"/>
            <w:vMerge w:val="restart"/>
            <w:shd w:val="clear" w:color="auto" w:fill="EFEDED"/>
          </w:tcPr>
          <w:p>
            <w:pPr>
              <w:jc w:val="right"/>
              <w:ind w:right="844"/>
              <w:spacing w:after="0"/>
              <w:rPr>
                <w:sz w:val="20"/>
                <w:szCs w:val="20"/>
                <w:color w:val="auto"/>
              </w:rPr>
            </w:pPr>
            <w:r>
              <w:rPr>
                <w:rFonts w:ascii="Arial" w:cs="Arial" w:eastAsia="Arial" w:hAnsi="Arial"/>
                <w:sz w:val="16"/>
                <w:szCs w:val="16"/>
                <w:b w:val="1"/>
                <w:bCs w:val="1"/>
                <w:color w:val="009845"/>
              </w:rPr>
              <w:t>3</w:t>
            </w:r>
          </w:p>
        </w:tc>
        <w:tc>
          <w:tcPr>
            <w:tcW w:w="0" w:type="dxa"/>
            <w:vAlign w:val="bottom"/>
          </w:tcPr>
          <w:p>
            <w:pPr>
              <w:spacing w:after="0"/>
              <w:rPr>
                <w:sz w:val="1"/>
                <w:szCs w:val="1"/>
                <w:color w:val="auto"/>
              </w:rPr>
            </w:pPr>
          </w:p>
        </w:tc>
      </w:tr>
      <w:tr>
        <w:trPr>
          <w:trHeight w:val="81"/>
        </w:trPr>
        <w:tc>
          <w:tcPr>
            <w:tcW w:w="3480" w:type="dxa"/>
            <w:vAlign w:val="bottom"/>
            <w:shd w:val="clear" w:color="auto" w:fill="EFEDED"/>
          </w:tcPr>
          <w:p>
            <w:pPr>
              <w:spacing w:after="0"/>
              <w:rPr>
                <w:sz w:val="7"/>
                <w:szCs w:val="7"/>
                <w:color w:val="auto"/>
              </w:rPr>
            </w:pPr>
          </w:p>
        </w:tc>
        <w:tc>
          <w:tcPr>
            <w:tcW w:w="1560" w:type="dxa"/>
            <w:vAlign w:val="bottom"/>
            <w:vMerge w:val="continue"/>
            <w:shd w:val="clear" w:color="auto" w:fill="EFEDED"/>
          </w:tcPr>
          <w:p>
            <w:pPr>
              <w:spacing w:after="0"/>
              <w:rPr>
                <w:sz w:val="7"/>
                <w:szCs w:val="7"/>
                <w:color w:val="auto"/>
              </w:rPr>
            </w:pPr>
          </w:p>
        </w:tc>
        <w:tc>
          <w:tcPr>
            <w:tcW w:w="2520" w:type="dxa"/>
            <w:vAlign w:val="bottom"/>
            <w:vMerge w:val="continue"/>
            <w:shd w:val="clear" w:color="auto" w:fill="EFEDED"/>
          </w:tcPr>
          <w:p>
            <w:pPr>
              <w:spacing w:after="0"/>
              <w:rPr>
                <w:sz w:val="7"/>
                <w:szCs w:val="7"/>
                <w:color w:val="auto"/>
              </w:rPr>
            </w:pPr>
          </w:p>
        </w:tc>
        <w:tc>
          <w:tcPr>
            <w:tcW w:w="1840" w:type="dxa"/>
            <w:vAlign w:val="bottom"/>
            <w:vMerge w:val="continue"/>
            <w:shd w:val="clear" w:color="auto" w:fill="EFEDED"/>
          </w:tcPr>
          <w:p>
            <w:pPr>
              <w:spacing w:after="0"/>
              <w:rPr>
                <w:sz w:val="7"/>
                <w:szCs w:val="7"/>
                <w:color w:val="auto"/>
              </w:rPr>
            </w:pPr>
          </w:p>
        </w:tc>
        <w:tc>
          <w:tcPr>
            <w:tcW w:w="184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58595B"/>
            </w:tcBorders>
            <w:shd w:val="clear" w:color="auto" w:fill="EFEDED"/>
          </w:tcPr>
          <w:p>
            <w:pPr>
              <w:spacing w:after="0"/>
              <w:rPr>
                <w:sz w:val="10"/>
                <w:szCs w:val="10"/>
                <w:color w:val="auto"/>
              </w:rPr>
            </w:pPr>
          </w:p>
        </w:tc>
        <w:tc>
          <w:tcPr>
            <w:tcW w:w="1560" w:type="dxa"/>
            <w:vAlign w:val="bottom"/>
            <w:tcBorders>
              <w:bottom w:val="single" w:sz="8" w:color="58595B"/>
            </w:tcBorders>
            <w:shd w:val="clear" w:color="auto" w:fill="EFEDED"/>
          </w:tcPr>
          <w:p>
            <w:pPr>
              <w:spacing w:after="0"/>
              <w:rPr>
                <w:sz w:val="10"/>
                <w:szCs w:val="10"/>
                <w:color w:val="auto"/>
              </w:rPr>
            </w:pPr>
          </w:p>
        </w:tc>
        <w:tc>
          <w:tcPr>
            <w:tcW w:w="2520" w:type="dxa"/>
            <w:vAlign w:val="bottom"/>
            <w:tcBorders>
              <w:bottom w:val="single" w:sz="8" w:color="58595B"/>
            </w:tcBorders>
            <w:shd w:val="clear" w:color="auto" w:fill="EFEDED"/>
          </w:tcPr>
          <w:p>
            <w:pPr>
              <w:spacing w:after="0"/>
              <w:rPr>
                <w:sz w:val="10"/>
                <w:szCs w:val="10"/>
                <w:color w:val="auto"/>
              </w:rPr>
            </w:pPr>
          </w:p>
        </w:tc>
        <w:tc>
          <w:tcPr>
            <w:tcW w:w="1840" w:type="dxa"/>
            <w:vAlign w:val="bottom"/>
            <w:tcBorders>
              <w:bottom w:val="single" w:sz="8" w:color="58595B"/>
            </w:tcBorders>
            <w:shd w:val="clear" w:color="auto" w:fill="EFEDED"/>
          </w:tcPr>
          <w:p>
            <w:pPr>
              <w:spacing w:after="0"/>
              <w:rPr>
                <w:sz w:val="10"/>
                <w:szCs w:val="10"/>
                <w:color w:val="auto"/>
              </w:rPr>
            </w:pPr>
          </w:p>
        </w:tc>
        <w:tc>
          <w:tcPr>
            <w:tcW w:w="1840" w:type="dxa"/>
            <w:vAlign w:val="bottom"/>
            <w:tcBorders>
              <w:bottom w:val="single" w:sz="8" w:color="58595B"/>
            </w:tcBorders>
            <w:shd w:val="clear" w:color="auto" w:fill="EFED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-2313940</wp:posOffset>
            </wp:positionV>
            <wp:extent cx="20574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-2305685</wp:posOffset>
            </wp:positionV>
            <wp:extent cx="12001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-2313940</wp:posOffset>
            </wp:positionV>
            <wp:extent cx="20574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-2082800</wp:posOffset>
            </wp:positionV>
            <wp:extent cx="20574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-1688465</wp:posOffset>
            </wp:positionV>
            <wp:extent cx="15430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-1456690</wp:posOffset>
            </wp:positionV>
            <wp:extent cx="20574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-1208405</wp:posOffset>
            </wp:positionV>
            <wp:extent cx="15430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-1208405</wp:posOffset>
            </wp:positionV>
            <wp:extent cx="12001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-976630</wp:posOffset>
            </wp:positionV>
            <wp:extent cx="20574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-745490</wp:posOffset>
            </wp:positionV>
            <wp:extent cx="21463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463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-745490</wp:posOffset>
            </wp:positionV>
            <wp:extent cx="20574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-745490</wp:posOffset>
            </wp:positionV>
            <wp:extent cx="20574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1714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-513715</wp:posOffset>
            </wp:positionV>
            <wp:extent cx="12001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-513715</wp:posOffset>
            </wp:positionV>
            <wp:extent cx="12001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sz w:val="1"/>
          <w:szCs w:val="1"/>
          <w:color w:val="auto"/>
        </w:rPr>
        <w:drawing>
          <wp:inline distT="0" distB="0" distL="0" distR="0">
            <wp:extent cx="111125" cy="1111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6"/>
          <w:szCs w:val="16"/>
          <w:color w:val="58595B"/>
        </w:rPr>
        <w:t xml:space="preserve"> = Chairman of the Board </w:t>
      </w:r>
      <w:r>
        <w:rPr>
          <w:sz w:val="1"/>
          <w:szCs w:val="1"/>
          <w:color w:val="auto"/>
        </w:rPr>
        <w:drawing>
          <wp:inline distT="0" distB="0" distL="0" distR="0">
            <wp:extent cx="111760" cy="1111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16"/>
          <w:szCs w:val="16"/>
          <w:color w:val="58595B"/>
        </w:rPr>
        <w:t xml:space="preserve"> = Presiding Director </w:t>
      </w:r>
      <w:r>
        <w:rPr>
          <w:sz w:val="1"/>
          <w:szCs w:val="1"/>
          <w:color w:val="auto"/>
        </w:rPr>
        <w:drawing>
          <wp:inline distT="0" distB="0" distL="0" distR="0">
            <wp:extent cx="85725" cy="1111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11125"/>
                    </a:xfrm>
                    <a:prstGeom prst="rect">
                      <a:avLst/>
                    </a:prstGeom>
                    <a:noFill/>
                    <a:ln>
                      <a:noFill/>
                    </a:ln>
                  </pic:spPr>
                </pic:pic>
              </a:graphicData>
            </a:graphic>
          </wp:inline>
        </w:drawing>
      </w:r>
      <w:r>
        <w:rPr>
          <w:rFonts w:ascii="Arial" w:cs="Arial" w:eastAsia="Arial" w:hAnsi="Arial"/>
          <w:sz w:val="16"/>
          <w:szCs w:val="16"/>
          <w:color w:val="58595B"/>
        </w:rPr>
        <w:t xml:space="preserve"> =Chair </w:t>
      </w:r>
      <w:r>
        <w:rPr>
          <w:sz w:val="1"/>
          <w:szCs w:val="1"/>
          <w:color w:val="auto"/>
        </w:rPr>
        <w:drawing>
          <wp:inline distT="0" distB="0" distL="0" distR="0">
            <wp:extent cx="16256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137160"/>
                    </a:xfrm>
                    <a:prstGeom prst="rect">
                      <a:avLst/>
                    </a:prstGeom>
                    <a:noFill/>
                    <a:ln>
                      <a:noFill/>
                    </a:ln>
                  </pic:spPr>
                </pic:pic>
              </a:graphicData>
            </a:graphic>
          </wp:inline>
        </w:drawing>
      </w:r>
      <w:r>
        <w:rPr>
          <w:rFonts w:ascii="Arial" w:cs="Arial" w:eastAsia="Arial" w:hAnsi="Arial"/>
          <w:sz w:val="16"/>
          <w:szCs w:val="16"/>
          <w:color w:val="58595B"/>
        </w:rPr>
        <w:t>= Member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color w:val="009845"/>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4085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009845"/>
        </w:rPr>
        <w:t>Proposal 1</w:t>
      </w:r>
    </w:p>
    <w:p>
      <w:pPr>
        <w:spacing w:after="0" w:line="1749" w:lineRule="exact"/>
        <w:rPr>
          <w:sz w:val="20"/>
          <w:szCs w:val="20"/>
          <w:color w:val="auto"/>
        </w:rPr>
      </w:pPr>
    </w:p>
    <w:p>
      <w:pPr>
        <w:sectPr>
          <w:pgSz w:w="11900" w:h="16838" w:orient="portrait"/>
          <w:cols w:equalWidth="0" w:num="2">
            <w:col w:w="9880" w:space="720"/>
            <w:col w:w="640"/>
          </w:cols>
          <w:pgMar w:left="320" w:top="121" w:right="339" w:bottom="1440" w:gutter="0" w:footer="0" w:header="0"/>
        </w:sect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Schade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Clay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Murphy</w:t>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13" w:lineRule="exact"/>
        <w:rPr>
          <w:sz w:val="20"/>
          <w:szCs w:val="20"/>
          <w:color w:val="auto"/>
        </w:rPr>
      </w:pPr>
    </w:p>
    <w:p>
      <w:pPr>
        <w:ind w:left="164" w:right="80" w:hanging="164"/>
        <w:spacing w:after="0" w:line="339" w:lineRule="auto"/>
        <w:tabs>
          <w:tab w:leader="none" w:pos="126"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Oversee the Company’s accounting and financial reporting process and the audits of the Company’s financial statements.</w:t>
      </w:r>
    </w:p>
    <w:p>
      <w:pPr>
        <w:spacing w:after="0" w:line="114" w:lineRule="exact"/>
        <w:rPr>
          <w:rFonts w:ascii="Arial" w:cs="Arial" w:eastAsia="Arial" w:hAnsi="Arial"/>
          <w:sz w:val="16"/>
          <w:szCs w:val="16"/>
          <w:color w:val="58595B"/>
        </w:rPr>
      </w:pPr>
    </w:p>
    <w:p>
      <w:pPr>
        <w:ind w:left="164" w:right="120" w:hanging="164"/>
        <w:spacing w:after="0" w:line="319" w:lineRule="auto"/>
        <w:tabs>
          <w:tab w:leader="none" w:pos="126"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Oversee the independence, quality control and work of the Company’s external independent auditor and the appointment and performance evaluation of the internal auditor.</w:t>
      </w:r>
    </w:p>
    <w:p>
      <w:pPr>
        <w:spacing w:after="0" w:line="130" w:lineRule="exact"/>
        <w:rPr>
          <w:rFonts w:ascii="Arial" w:cs="Arial" w:eastAsia="Arial" w:hAnsi="Arial"/>
          <w:sz w:val="16"/>
          <w:szCs w:val="16"/>
          <w:color w:val="58595B"/>
        </w:rPr>
      </w:pPr>
    </w:p>
    <w:p>
      <w:pPr>
        <w:ind w:left="164" w:right="380" w:hanging="164"/>
        <w:spacing w:after="0" w:line="308" w:lineRule="auto"/>
        <w:tabs>
          <w:tab w:leader="none" w:pos="126" w:val="left"/>
        </w:tabs>
        <w:numPr>
          <w:ilvl w:val="0"/>
          <w:numId w:val="12"/>
        </w:numPr>
        <w:rPr>
          <w:rFonts w:ascii="Arial" w:cs="Arial" w:eastAsia="Arial" w:hAnsi="Arial"/>
          <w:sz w:val="16"/>
          <w:szCs w:val="16"/>
          <w:color w:val="58595B"/>
        </w:rPr>
      </w:pPr>
      <w:r>
        <w:rPr>
          <w:rFonts w:ascii="Arial" w:cs="Arial" w:eastAsia="Arial" w:hAnsi="Arial"/>
          <w:sz w:val="16"/>
          <w:szCs w:val="16"/>
          <w:color w:val="58595B"/>
        </w:rPr>
        <w:t>Oversee the Company’s compliance program, including but not limited to the Company’s compliance with the Foreign Corrupt</w:t>
      </w:r>
    </w:p>
    <w:p>
      <w:pPr>
        <w:ind w:left="164"/>
        <w:spacing w:after="0" w:line="339" w:lineRule="auto"/>
        <w:rPr>
          <w:rFonts w:ascii="Arial" w:cs="Arial" w:eastAsia="Arial" w:hAnsi="Arial"/>
          <w:sz w:val="16"/>
          <w:szCs w:val="16"/>
          <w:color w:val="58595B"/>
        </w:rPr>
      </w:pPr>
      <w:r>
        <w:rPr>
          <w:rFonts w:ascii="Arial" w:cs="Arial" w:eastAsia="Arial" w:hAnsi="Arial"/>
          <w:sz w:val="16"/>
          <w:szCs w:val="16"/>
          <w:color w:val="58595B"/>
        </w:rPr>
        <w:t>Practices Act, False Claims Act, Physician Self-Referral Law (Stark) and Anti-Kickback Statute, and similar foreign requirements.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2023 Key Focus Areas</w:t>
      </w:r>
    </w:p>
    <w:p>
      <w:pPr>
        <w:spacing w:after="0" w:line="221" w:lineRule="exact"/>
        <w:rPr>
          <w:sz w:val="20"/>
          <w:szCs w:val="20"/>
          <w:color w:val="auto"/>
        </w:rPr>
      </w:pPr>
    </w:p>
    <w:p>
      <w:pPr>
        <w:ind w:left="169" w:right="1080" w:hanging="169"/>
        <w:spacing w:after="0" w:line="339" w:lineRule="auto"/>
        <w:tabs>
          <w:tab w:leader="none" w:pos="131"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Internal controls and compliance</w:t>
      </w:r>
    </w:p>
    <w:p>
      <w:pPr>
        <w:spacing w:after="0" w:line="114" w:lineRule="exact"/>
        <w:rPr>
          <w:rFonts w:ascii="Arial" w:cs="Arial" w:eastAsia="Arial" w:hAnsi="Arial"/>
          <w:sz w:val="16"/>
          <w:szCs w:val="16"/>
          <w:color w:val="58595B"/>
        </w:rPr>
      </w:pPr>
    </w:p>
    <w:p>
      <w:pPr>
        <w:ind w:left="169" w:right="500" w:hanging="169"/>
        <w:spacing w:after="0" w:line="339" w:lineRule="auto"/>
        <w:tabs>
          <w:tab w:leader="none" w:pos="131"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Continued timely adoption of new accounting standards</w:t>
      </w:r>
    </w:p>
    <w:p>
      <w:pPr>
        <w:spacing w:after="0" w:line="101" w:lineRule="exact"/>
        <w:rPr>
          <w:rFonts w:ascii="Arial" w:cs="Arial" w:eastAsia="Arial" w:hAnsi="Arial"/>
          <w:sz w:val="16"/>
          <w:szCs w:val="16"/>
          <w:color w:val="58595B"/>
        </w:rPr>
      </w:pPr>
    </w:p>
    <w:p>
      <w:pPr>
        <w:ind w:left="129" w:hanging="129"/>
        <w:spacing w:after="0"/>
        <w:tabs>
          <w:tab w:leader="none" w:pos="129"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Global tax strategy</w:t>
      </w:r>
    </w:p>
    <w:p>
      <w:pPr>
        <w:spacing w:after="0" w:line="221" w:lineRule="exact"/>
        <w:rPr>
          <w:rFonts w:ascii="Arial" w:cs="Arial" w:eastAsia="Arial" w:hAnsi="Arial"/>
          <w:sz w:val="16"/>
          <w:szCs w:val="16"/>
          <w:color w:val="58595B"/>
        </w:rPr>
      </w:pPr>
    </w:p>
    <w:p>
      <w:pPr>
        <w:ind w:left="169" w:right="380" w:hanging="169"/>
        <w:spacing w:after="0" w:line="328" w:lineRule="auto"/>
        <w:tabs>
          <w:tab w:leader="none" w:pos="131" w:val="left"/>
        </w:tabs>
        <w:numPr>
          <w:ilvl w:val="0"/>
          <w:numId w:val="13"/>
        </w:numPr>
        <w:rPr>
          <w:rFonts w:ascii="Arial" w:cs="Arial" w:eastAsia="Arial" w:hAnsi="Arial"/>
          <w:sz w:val="16"/>
          <w:szCs w:val="16"/>
          <w:color w:val="58595B"/>
        </w:rPr>
      </w:pPr>
      <w:r>
        <w:rPr>
          <w:rFonts w:ascii="Arial" w:cs="Arial" w:eastAsia="Arial" w:hAnsi="Arial"/>
          <w:sz w:val="16"/>
          <w:szCs w:val="16"/>
          <w:color w:val="58595B"/>
        </w:rPr>
        <w:t>Quality and integrity of data related to climate change and ESG matters</w:t>
      </w:r>
    </w:p>
    <w:p>
      <w:pPr>
        <w:spacing w:after="0" w:line="200" w:lineRule="exact"/>
        <w:rPr>
          <w:sz w:val="20"/>
          <w:szCs w:val="20"/>
          <w:color w:val="auto"/>
        </w:rPr>
      </w:pPr>
    </w:p>
    <w:p>
      <w:pPr>
        <w:sectPr>
          <w:pgSz w:w="11900" w:h="16838" w:orient="portrait"/>
          <w:cols w:equalWidth="0" w:num="3">
            <w:col w:w="2316" w:space="720"/>
            <w:col w:w="5024" w:space="511"/>
            <w:col w:w="2669"/>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i w:val="1"/>
          <w:iCs w:val="1"/>
          <w:color w:val="58595B"/>
        </w:rPr>
        <w:t xml:space="preserve">Audit Committee. </w:t>
      </w:r>
      <w:r>
        <w:rPr>
          <w:rFonts w:ascii="Arial" w:cs="Arial" w:eastAsia="Arial" w:hAnsi="Arial"/>
          <w:sz w:val="16"/>
          <w:szCs w:val="16"/>
          <w:color w:val="58595B"/>
        </w:rPr>
        <w:t>The members of the Audit Committee are Mr. Schade (chair), Ms. Clay, and Mr. Murphy. The Committee met seven times in 2023. The</w:t>
      </w:r>
      <w:r>
        <w:rPr>
          <w:rFonts w:ascii="Arial" w:cs="Arial" w:eastAsia="Arial" w:hAnsi="Arial"/>
          <w:sz w:val="16"/>
          <w:szCs w:val="16"/>
          <w:i w:val="1"/>
          <w:iCs w:val="1"/>
          <w:color w:val="58595B"/>
        </w:rPr>
        <w:t xml:space="preserve"> </w:t>
      </w:r>
      <w:r>
        <w:rPr>
          <w:rFonts w:ascii="Arial" w:cs="Arial" w:eastAsia="Arial" w:hAnsi="Arial"/>
          <w:sz w:val="16"/>
          <w:szCs w:val="16"/>
          <w:color w:val="58595B"/>
        </w:rPr>
        <w:t>purpose of the Audit Committee is to oversee the Company’s accounting and financial reporting process and the audits of the Company’s financial statements. The Board has determined that all the members of the Audit Committee are independent within the meaning of the rules of the SEC and the applicable Nasdaq Stock Market listing standards. The Board also has determined that Ms. Clay, Mr. Murphy and Mr. Schade are “audit committee financial experts,” as defined under Item 407(d) of Regulation S-K, and that each of them is “financially sophisticated” in accordance with Nasdaq Stock Market listing standards.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009845"/>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91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Hill (chair)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Mr. Murphy</w:t>
      </w: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00" w:lineRule="exact"/>
        <w:rPr>
          <w:sz w:val="20"/>
          <w:szCs w:val="20"/>
          <w:color w:val="auto"/>
        </w:rPr>
      </w:pPr>
    </w:p>
    <w:p>
      <w:pPr>
        <w:ind w:left="164" w:right="60" w:hanging="164"/>
        <w:spacing w:after="0" w:line="356" w:lineRule="auto"/>
        <w:tabs>
          <w:tab w:leader="none" w:pos="126"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The identification of qualified candidates to become Board members consistent with criteria approved by the Board.</w:t>
      </w:r>
    </w:p>
    <w:p>
      <w:pPr>
        <w:spacing w:after="0" w:line="88" w:lineRule="exact"/>
        <w:rPr>
          <w:rFonts w:ascii="Arial" w:cs="Arial" w:eastAsia="Arial" w:hAnsi="Arial"/>
          <w:sz w:val="16"/>
          <w:szCs w:val="16"/>
          <w:color w:val="58595B"/>
        </w:rPr>
      </w:pPr>
    </w:p>
    <w:p>
      <w:pPr>
        <w:jc w:val="both"/>
        <w:ind w:left="164" w:hanging="164"/>
        <w:spacing w:after="0" w:line="328" w:lineRule="auto"/>
        <w:tabs>
          <w:tab w:leader="none" w:pos="126"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The selection of nominees for election as directors at the next annual meeting of stockholders (or special meeting of stockholders at which directors are to be elected).</w:t>
      </w:r>
    </w:p>
    <w:p>
      <w:pPr>
        <w:spacing w:after="0" w:line="109" w:lineRule="exact"/>
        <w:rPr>
          <w:rFonts w:ascii="Arial" w:cs="Arial" w:eastAsia="Arial" w:hAnsi="Arial"/>
          <w:sz w:val="16"/>
          <w:szCs w:val="16"/>
          <w:color w:val="58595B"/>
        </w:rPr>
      </w:pPr>
    </w:p>
    <w:p>
      <w:pPr>
        <w:ind w:left="124" w:hanging="124"/>
        <w:spacing w:after="0"/>
        <w:tabs>
          <w:tab w:leader="none" w:pos="124"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The selection of candidates to fill any vacancies on the Board.</w:t>
      </w:r>
    </w:p>
    <w:p>
      <w:pPr>
        <w:spacing w:after="0" w:line="221" w:lineRule="exact"/>
        <w:rPr>
          <w:rFonts w:ascii="Arial" w:cs="Arial" w:eastAsia="Arial" w:hAnsi="Arial"/>
          <w:sz w:val="16"/>
          <w:szCs w:val="16"/>
          <w:color w:val="58595B"/>
        </w:rPr>
      </w:pPr>
    </w:p>
    <w:p>
      <w:pPr>
        <w:ind w:left="164" w:right="280" w:hanging="164"/>
        <w:spacing w:after="0" w:line="319" w:lineRule="auto"/>
        <w:tabs>
          <w:tab w:leader="none" w:pos="126"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The development and recommendation to the Board of a set of corporate governance guidelines and principles applicable to the Corporation.</w:t>
      </w:r>
    </w:p>
    <w:p>
      <w:pPr>
        <w:spacing w:after="0" w:line="130" w:lineRule="exact"/>
        <w:rPr>
          <w:rFonts w:ascii="Arial" w:cs="Arial" w:eastAsia="Arial" w:hAnsi="Arial"/>
          <w:sz w:val="16"/>
          <w:szCs w:val="16"/>
          <w:color w:val="58595B"/>
        </w:rPr>
      </w:pPr>
    </w:p>
    <w:p>
      <w:pPr>
        <w:ind w:left="124" w:hanging="124"/>
        <w:spacing w:after="0"/>
        <w:tabs>
          <w:tab w:leader="none" w:pos="124"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Oversight of the Corporation’s ESG policies and practices.</w:t>
      </w:r>
    </w:p>
    <w:p>
      <w:pPr>
        <w:spacing w:after="0" w:line="207" w:lineRule="exact"/>
        <w:rPr>
          <w:rFonts w:ascii="Arial" w:cs="Arial" w:eastAsia="Arial" w:hAnsi="Arial"/>
          <w:sz w:val="16"/>
          <w:szCs w:val="16"/>
          <w:color w:val="58595B"/>
        </w:rPr>
      </w:pPr>
    </w:p>
    <w:p>
      <w:pPr>
        <w:ind w:left="124" w:hanging="124"/>
        <w:spacing w:after="0"/>
        <w:tabs>
          <w:tab w:leader="none" w:pos="124" w:val="left"/>
        </w:tabs>
        <w:numPr>
          <w:ilvl w:val="0"/>
          <w:numId w:val="14"/>
        </w:numPr>
        <w:rPr>
          <w:rFonts w:ascii="Arial" w:cs="Arial" w:eastAsia="Arial" w:hAnsi="Arial"/>
          <w:sz w:val="16"/>
          <w:szCs w:val="16"/>
          <w:color w:val="58595B"/>
        </w:rPr>
      </w:pPr>
      <w:r>
        <w:rPr>
          <w:rFonts w:ascii="Arial" w:cs="Arial" w:eastAsia="Arial" w:hAnsi="Arial"/>
          <w:sz w:val="16"/>
          <w:szCs w:val="16"/>
          <w:color w:val="58595B"/>
        </w:rPr>
        <w:t>Oversight of the evaluation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2023 Key Focus Areas</w:t>
      </w:r>
    </w:p>
    <w:p>
      <w:pPr>
        <w:spacing w:after="0" w:line="208" w:lineRule="exact"/>
        <w:rPr>
          <w:sz w:val="20"/>
          <w:szCs w:val="20"/>
          <w:color w:val="auto"/>
        </w:rPr>
      </w:pPr>
    </w:p>
    <w:p>
      <w:pPr>
        <w:ind w:left="129" w:hanging="129"/>
        <w:spacing w:after="0"/>
        <w:tabs>
          <w:tab w:leader="none" w:pos="129"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Review of our corporate</w:t>
      </w:r>
    </w:p>
    <w:p>
      <w:pPr>
        <w:spacing w:after="0" w:line="59" w:lineRule="exact"/>
        <w:rPr>
          <w:rFonts w:ascii="Arial" w:cs="Arial" w:eastAsia="Arial" w:hAnsi="Arial"/>
          <w:sz w:val="16"/>
          <w:szCs w:val="16"/>
          <w:color w:val="58595B"/>
        </w:rPr>
      </w:pPr>
    </w:p>
    <w:p>
      <w:pPr>
        <w:ind w:left="169" w:right="760"/>
        <w:spacing w:after="0" w:line="339" w:lineRule="auto"/>
        <w:rPr>
          <w:rFonts w:ascii="Arial" w:cs="Arial" w:eastAsia="Arial" w:hAnsi="Arial"/>
          <w:sz w:val="16"/>
          <w:szCs w:val="16"/>
          <w:color w:val="58595B"/>
        </w:rPr>
      </w:pPr>
      <w:r>
        <w:rPr>
          <w:rFonts w:ascii="Arial" w:cs="Arial" w:eastAsia="Arial" w:hAnsi="Arial"/>
          <w:sz w:val="16"/>
          <w:szCs w:val="16"/>
          <w:color w:val="58595B"/>
        </w:rPr>
        <w:t>governance policies and procedures</w:t>
      </w:r>
    </w:p>
    <w:p>
      <w:pPr>
        <w:spacing w:after="0" w:line="101" w:lineRule="exact"/>
        <w:rPr>
          <w:rFonts w:ascii="Arial" w:cs="Arial" w:eastAsia="Arial" w:hAnsi="Arial"/>
          <w:sz w:val="16"/>
          <w:szCs w:val="16"/>
          <w:color w:val="58595B"/>
        </w:rPr>
      </w:pPr>
    </w:p>
    <w:p>
      <w:pPr>
        <w:ind w:left="169" w:right="420" w:hanging="169"/>
        <w:spacing w:after="0" w:line="356" w:lineRule="auto"/>
        <w:tabs>
          <w:tab w:leader="none" w:pos="131"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Board and committee composition and assessment</w:t>
      </w:r>
    </w:p>
    <w:p>
      <w:pPr>
        <w:spacing w:after="0" w:line="88" w:lineRule="exact"/>
        <w:rPr>
          <w:rFonts w:ascii="Arial" w:cs="Arial" w:eastAsia="Arial" w:hAnsi="Arial"/>
          <w:sz w:val="16"/>
          <w:szCs w:val="16"/>
          <w:color w:val="58595B"/>
        </w:rPr>
      </w:pPr>
    </w:p>
    <w:p>
      <w:pPr>
        <w:ind w:left="129" w:hanging="129"/>
        <w:spacing w:after="0"/>
        <w:tabs>
          <w:tab w:leader="none" w:pos="129" w:val="left"/>
        </w:tabs>
        <w:numPr>
          <w:ilvl w:val="0"/>
          <w:numId w:val="15"/>
        </w:numPr>
        <w:rPr>
          <w:rFonts w:ascii="Arial" w:cs="Arial" w:eastAsia="Arial" w:hAnsi="Arial"/>
          <w:sz w:val="16"/>
          <w:szCs w:val="16"/>
          <w:color w:val="58595B"/>
        </w:rPr>
      </w:pPr>
      <w:r>
        <w:rPr>
          <w:rFonts w:ascii="Arial" w:cs="Arial" w:eastAsia="Arial" w:hAnsi="Arial"/>
          <w:sz w:val="16"/>
          <w:szCs w:val="16"/>
          <w:color w:val="58595B"/>
        </w:rPr>
        <w:t>Overseeing ESG strategic</w:t>
      </w:r>
    </w:p>
    <w:p>
      <w:pPr>
        <w:spacing w:after="0" w:line="59" w:lineRule="exact"/>
        <w:rPr>
          <w:rFonts w:ascii="Arial" w:cs="Arial" w:eastAsia="Arial" w:hAnsi="Arial"/>
          <w:sz w:val="16"/>
          <w:szCs w:val="16"/>
          <w:color w:val="58595B"/>
        </w:rPr>
      </w:pPr>
    </w:p>
    <w:p>
      <w:pPr>
        <w:ind w:left="169" w:right="400"/>
        <w:spacing w:after="0" w:line="319" w:lineRule="auto"/>
        <w:rPr>
          <w:rFonts w:ascii="Arial" w:cs="Arial" w:eastAsia="Arial" w:hAnsi="Arial"/>
          <w:sz w:val="16"/>
          <w:szCs w:val="16"/>
          <w:color w:val="58595B"/>
        </w:rPr>
      </w:pPr>
      <w:r>
        <w:rPr>
          <w:rFonts w:ascii="Arial" w:cs="Arial" w:eastAsia="Arial" w:hAnsi="Arial"/>
          <w:sz w:val="16"/>
          <w:szCs w:val="16"/>
          <w:color w:val="58595B"/>
        </w:rPr>
        <w:t>assessment, identifying initial priorities and targets, and implementing ESG initiatives</w:t>
      </w:r>
    </w:p>
    <w:p>
      <w:pPr>
        <w:spacing w:after="0" w:line="959" w:lineRule="exact"/>
        <w:rPr>
          <w:sz w:val="20"/>
          <w:szCs w:val="20"/>
          <w:color w:val="auto"/>
        </w:rPr>
      </w:pPr>
    </w:p>
    <w:p>
      <w:pPr>
        <w:sectPr>
          <w:pgSz w:w="11900" w:h="16838" w:orient="portrait"/>
          <w:cols w:equalWidth="0" w:num="3">
            <w:col w:w="2316" w:space="720"/>
            <w:col w:w="5064" w:space="471"/>
            <w:col w:w="2669"/>
          </w:cols>
          <w:pgMar w:left="320" w:top="121"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i w:val="1"/>
          <w:iCs w:val="1"/>
          <w:color w:val="58595B"/>
        </w:rPr>
        <w:t xml:space="preserve">Nominating and Corporate Governance Committee. </w:t>
      </w:r>
      <w:r>
        <w:rPr>
          <w:rFonts w:ascii="Arial" w:cs="Arial" w:eastAsia="Arial" w:hAnsi="Arial"/>
          <w:sz w:val="16"/>
          <w:szCs w:val="16"/>
          <w:color w:val="58595B"/>
        </w:rPr>
        <w:t>The members of the Nominating and Corporate Governance Committee are Ms. Hill (chair), Dr. Bradley</w:t>
      </w:r>
      <w:r>
        <w:rPr>
          <w:rFonts w:ascii="Arial" w:cs="Arial" w:eastAsia="Arial" w:hAnsi="Arial"/>
          <w:sz w:val="16"/>
          <w:szCs w:val="16"/>
          <w:i w:val="1"/>
          <w:iCs w:val="1"/>
          <w:color w:val="58595B"/>
        </w:rPr>
        <w:t xml:space="preserve"> </w:t>
      </w:r>
      <w:r>
        <w:rPr>
          <w:rFonts w:ascii="Arial" w:cs="Arial" w:eastAsia="Arial" w:hAnsi="Arial"/>
          <w:sz w:val="16"/>
          <w:szCs w:val="16"/>
          <w:color w:val="58595B"/>
        </w:rPr>
        <w:t>and Mr. Murphy. The Committee met six times in 2023. The purpose of the Nominating and Corporate Governance Committee is to assist the Board in the identification of qualified candidates to become directors, consistent with the criteria approved by the Board, the selection of nominees for election as directors at the annual stockholders meeting, the selection of</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2024 Proxy Statement</w:t>
      </w:r>
      <w:r>
        <w:rPr>
          <w:sz w:val="20"/>
          <w:szCs w:val="20"/>
          <w:color w:val="auto"/>
        </w:rPr>
        <w:tab/>
      </w:r>
      <w:r>
        <w:rPr>
          <w:rFonts w:ascii="Arial" w:cs="Arial" w:eastAsia="Arial" w:hAnsi="Arial"/>
          <w:sz w:val="12"/>
          <w:szCs w:val="12"/>
          <w:b w:val="1"/>
          <w:bCs w:val="1"/>
          <w:color w:val="00984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candidates to fill any vacancies on the Board, the development and recommendation to the Board of a set of corporate governance guidelines and principles applicable to the Company, the oversight of the evaluation of the Board, the oversight of the Company's ESG policies and practices, and otherwise taking a leadership role in shaping the corporate governance of the Company. The Board has determined that all of the members of the Nominating and Corporate Governance Committee are independent, as defined by the applicable Nasdaq Stock Market listing standards.</w:t>
      </w:r>
    </w:p>
    <w:p>
      <w:pPr>
        <w:spacing w:after="0" w:line="132"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provides timely notice of such nomination pursuant to the Company’s bylaws, and such notice includes, among other things: a questionnaire completed by the candidate in the form provided by the Company (which questionnaire shall be provided by the Secretary upon written request) with respect to the background and qualifications of the candidate; a representation and agreement of the candidate in the form provided by the Company (which form shall be provided by the Secretary upon written request) that the nominee will, among other things, comply with all applicable rules and regulations of Nasdaq and each of the Company’s corporate policies applicable to directors;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information regarding any relationships between the candidate and the nominating stockholder within the past three years; represents in the nomination notice an intention to solicit proxies from stockholders representing at least 67% of the voting power of shares entitled to vote on the election of directors; and provides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12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58595B"/>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must be submitted in writing to Integra LifeSciences Holdings Corporation, 1100 Campus Road, Princeton, New Jersey 08540, Attention: Executive Vice President, Chief Legal Officer and Secretary.</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4771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47713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Members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Bradley (chair)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Ms. Renee Lo</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Dr. Jeffrey A. Graves</w:t>
      </w: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58595B"/>
        </w:rPr>
        <w:t>Number of Meetings: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8595B"/>
        </w:rPr>
        <w:t>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58595B"/>
        </w:rPr>
        <w:t>Purpose</w:t>
      </w:r>
    </w:p>
    <w:p>
      <w:pPr>
        <w:spacing w:after="0" w:line="113" w:lineRule="exact"/>
        <w:rPr>
          <w:sz w:val="20"/>
          <w:szCs w:val="20"/>
          <w:color w:val="auto"/>
        </w:rPr>
      </w:pPr>
    </w:p>
    <w:p>
      <w:pPr>
        <w:jc w:val="both"/>
        <w:ind w:left="164" w:hanging="164"/>
        <w:spacing w:after="0" w:line="305" w:lineRule="auto"/>
        <w:tabs>
          <w:tab w:leader="none" w:pos="126"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Discharge the Board’s responsibilities relating to compensation of the Corporation’s executives, including by designing (in consultation with management or the Board), recommending to the Board for approval,</w:t>
      </w:r>
    </w:p>
    <w:p>
      <w:pPr>
        <w:ind w:left="164" w:right="20"/>
        <w:spacing w:after="0" w:line="339" w:lineRule="auto"/>
        <w:rPr>
          <w:rFonts w:ascii="Arial" w:cs="Arial" w:eastAsia="Arial" w:hAnsi="Arial"/>
          <w:sz w:val="16"/>
          <w:szCs w:val="16"/>
          <w:color w:val="58595B"/>
        </w:rPr>
      </w:pPr>
      <w:r>
        <w:rPr>
          <w:rFonts w:ascii="Arial" w:cs="Arial" w:eastAsia="Arial" w:hAnsi="Arial"/>
          <w:sz w:val="16"/>
          <w:szCs w:val="16"/>
          <w:color w:val="58595B"/>
        </w:rPr>
        <w:t>and evaluating the compensation plans, policies and programs of the Corporation applicable to executives.</w:t>
      </w:r>
    </w:p>
    <w:p>
      <w:pPr>
        <w:spacing w:after="0" w:line="114" w:lineRule="exact"/>
        <w:rPr>
          <w:rFonts w:ascii="Arial" w:cs="Arial" w:eastAsia="Arial" w:hAnsi="Arial"/>
          <w:sz w:val="16"/>
          <w:szCs w:val="16"/>
          <w:color w:val="58595B"/>
        </w:rPr>
      </w:pPr>
    </w:p>
    <w:p>
      <w:pPr>
        <w:ind w:left="164" w:right="80" w:hanging="164"/>
        <w:spacing w:after="0" w:line="339" w:lineRule="auto"/>
        <w:tabs>
          <w:tab w:leader="none" w:pos="126" w:val="left"/>
        </w:tabs>
        <w:numPr>
          <w:ilvl w:val="0"/>
          <w:numId w:val="16"/>
        </w:numPr>
        <w:rPr>
          <w:rFonts w:ascii="Arial" w:cs="Arial" w:eastAsia="Arial" w:hAnsi="Arial"/>
          <w:sz w:val="16"/>
          <w:szCs w:val="16"/>
          <w:color w:val="58595B"/>
        </w:rPr>
      </w:pPr>
      <w:r>
        <w:rPr>
          <w:rFonts w:ascii="Arial" w:cs="Arial" w:eastAsia="Arial" w:hAnsi="Arial"/>
          <w:sz w:val="16"/>
          <w:szCs w:val="16"/>
          <w:color w:val="58595B"/>
        </w:rPr>
        <w:t>Produce an annual report on executive compensation for inclusion in the Corporation’s proxy materials.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009845"/>
        </w:rPr>
        <w:t>2023 Key Focus Areas</w:t>
      </w:r>
    </w:p>
    <w:p>
      <w:pPr>
        <w:spacing w:after="0" w:line="221" w:lineRule="exact"/>
        <w:rPr>
          <w:sz w:val="20"/>
          <w:szCs w:val="20"/>
          <w:color w:val="auto"/>
        </w:rPr>
      </w:pPr>
    </w:p>
    <w:p>
      <w:pPr>
        <w:ind w:left="169" w:right="240" w:hanging="169"/>
        <w:spacing w:after="0" w:line="305" w:lineRule="auto"/>
        <w:tabs>
          <w:tab w:leader="none" w:pos="131"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Compensation program design structure, including metrics and goals for the annual bonus</w:t>
      </w:r>
    </w:p>
    <w:p>
      <w:pPr>
        <w:ind w:left="169" w:right="620"/>
        <w:spacing w:after="0" w:line="339" w:lineRule="auto"/>
        <w:rPr>
          <w:rFonts w:ascii="Arial" w:cs="Arial" w:eastAsia="Arial" w:hAnsi="Arial"/>
          <w:sz w:val="16"/>
          <w:szCs w:val="16"/>
          <w:color w:val="58595B"/>
        </w:rPr>
      </w:pPr>
      <w:r>
        <w:rPr>
          <w:rFonts w:ascii="Arial" w:cs="Arial" w:eastAsia="Arial" w:hAnsi="Arial"/>
          <w:sz w:val="16"/>
          <w:szCs w:val="16"/>
          <w:color w:val="58595B"/>
        </w:rPr>
        <w:t>program and performance stock awards</w:t>
      </w:r>
    </w:p>
    <w:p>
      <w:pPr>
        <w:spacing w:after="0" w:line="114" w:lineRule="exact"/>
        <w:rPr>
          <w:rFonts w:ascii="Arial" w:cs="Arial" w:eastAsia="Arial" w:hAnsi="Arial"/>
          <w:sz w:val="16"/>
          <w:szCs w:val="16"/>
          <w:color w:val="58595B"/>
        </w:rPr>
      </w:pPr>
    </w:p>
    <w:p>
      <w:pPr>
        <w:ind w:left="169" w:right="280" w:hanging="169"/>
        <w:spacing w:after="0" w:line="339" w:lineRule="auto"/>
        <w:tabs>
          <w:tab w:leader="none" w:pos="131"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Executive compensation and pay-for-performance alignment</w:t>
      </w:r>
    </w:p>
    <w:p>
      <w:pPr>
        <w:spacing w:after="0" w:line="101" w:lineRule="exact"/>
        <w:rPr>
          <w:rFonts w:ascii="Arial" w:cs="Arial" w:eastAsia="Arial" w:hAnsi="Arial"/>
          <w:sz w:val="16"/>
          <w:szCs w:val="16"/>
          <w:color w:val="58595B"/>
        </w:rPr>
      </w:pPr>
    </w:p>
    <w:p>
      <w:pPr>
        <w:ind w:left="129" w:hanging="129"/>
        <w:spacing w:after="0"/>
        <w:tabs>
          <w:tab w:leader="none" w:pos="129" w:val="left"/>
        </w:tabs>
        <w:numPr>
          <w:ilvl w:val="0"/>
          <w:numId w:val="17"/>
        </w:numPr>
        <w:rPr>
          <w:rFonts w:ascii="Arial" w:cs="Arial" w:eastAsia="Arial" w:hAnsi="Arial"/>
          <w:sz w:val="16"/>
          <w:szCs w:val="16"/>
          <w:color w:val="58595B"/>
        </w:rPr>
      </w:pPr>
      <w:r>
        <w:rPr>
          <w:rFonts w:ascii="Arial" w:cs="Arial" w:eastAsia="Arial" w:hAnsi="Arial"/>
          <w:sz w:val="16"/>
          <w:szCs w:val="16"/>
          <w:color w:val="58595B"/>
        </w:rPr>
        <w:t>Talent recruitment and retention</w:t>
      </w:r>
    </w:p>
    <w:p>
      <w:pPr>
        <w:spacing w:after="0" w:line="200" w:lineRule="exact"/>
        <w:rPr>
          <w:sz w:val="20"/>
          <w:szCs w:val="20"/>
          <w:color w:val="auto"/>
        </w:rPr>
      </w:pPr>
    </w:p>
    <w:p>
      <w:pPr>
        <w:sectPr>
          <w:pgSz w:w="11900" w:h="16838" w:orient="portrait"/>
          <w:cols w:equalWidth="0" w:num="3">
            <w:col w:w="2316" w:space="720"/>
            <w:col w:w="5124" w:space="411"/>
            <w:col w:w="2649"/>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18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i w:val="1"/>
          <w:iCs w:val="1"/>
          <w:color w:val="58595B"/>
        </w:rPr>
        <w:t xml:space="preserve">Compensation Committee. </w:t>
      </w:r>
      <w:r>
        <w:rPr>
          <w:rFonts w:ascii="Arial" w:cs="Arial" w:eastAsia="Arial" w:hAnsi="Arial"/>
          <w:sz w:val="16"/>
          <w:szCs w:val="16"/>
          <w:color w:val="58595B"/>
        </w:rPr>
        <w:t>The members of the Compensation Committee are Dr. Bradley (chair), Ms. Lo and Mr. Graves. Following the conclusion of the</w:t>
      </w:r>
      <w:r>
        <w:rPr>
          <w:rFonts w:ascii="Arial" w:cs="Arial" w:eastAsia="Arial" w:hAnsi="Arial"/>
          <w:sz w:val="16"/>
          <w:szCs w:val="16"/>
          <w:i w:val="1"/>
          <w:iCs w:val="1"/>
          <w:color w:val="58595B"/>
        </w:rPr>
        <w:t xml:space="preserve"> </w:t>
      </w:r>
      <w:r>
        <w:rPr>
          <w:rFonts w:ascii="Arial" w:cs="Arial" w:eastAsia="Arial" w:hAnsi="Arial"/>
          <w:sz w:val="16"/>
          <w:szCs w:val="16"/>
          <w:color w:val="58595B"/>
        </w:rPr>
        <w:t>2023 annual meeting, Ms. Hill served on this Committee until February 20, 2024 at which time Dr. Graves was appointed to the Compensation Committee. The Compensation Committee met six times in 2023.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has determined that each of the members of the Compensation Committee is independent, as defined by the applicable Nasdaq Stock Market listing standards.</w:t>
      </w:r>
    </w:p>
    <w:p>
      <w:pPr>
        <w:spacing w:after="0" w:line="126"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58595B"/>
        </w:rPr>
        <w:t>The Compensation Committee may delegate any or all of its responsibilities to the extent consistent with the Company’s certificate of incorporation, bylaws, Corporate Governance Guidelines and applicable laws and rules of markets in which the Company’s securities then trade.</w:t>
      </w:r>
    </w:p>
    <w:p>
      <w:pPr>
        <w:spacing w:after="0" w:line="89"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Compensation Committee has delegated authority for making equity awards to non-executive officer employees under the Approved Plans to a Special Award Committee, consisting of the Chief Executive Officer, provided, however, that this delegation is limited to grants whose cumulative value in any twelve-month period does not exceed $450,000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11, 2023.</w:t>
      </w:r>
    </w:p>
    <w:p>
      <w:pPr>
        <w:spacing w:after="0" w:line="118"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color w:val="58595B"/>
        </w:rPr>
        <w:t>The Company’s Chief Executive Officer provides significant input on the compensation, including annual merit adjustments and equity awards, of the other executive officers. As discussed below in “Compensation Discussion and Analysis — Compensation Best Practices — Role of the Compensation Committee,” the Compensation Committee approves the compensation of these officers, taking into consideration the recommendations of the Chief Executive Officer.</w:t>
      </w:r>
    </w:p>
    <w:p>
      <w:pPr>
        <w:spacing w:after="0" w:line="13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130"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58595B"/>
        </w:rPr>
        <w:t>During 2024, the Compensation Committee has engaged WTW (f/k/a Willis Towers Watson) to provide consulting services relating to (i) the Compensation Discussion and Analysis and Say on Pay Proposal, (ii) stockholder advisory matters, (iii) compensation arrangements for the Chief Executive Officer and other executive officers for their performance during the 2023 calendar year, (iv) shareholder advisory matters, and (v) the amendment to the Fifth Amended</w:t>
      </w:r>
    </w:p>
    <w:p>
      <w:pPr>
        <w:spacing w:after="0" w:line="1" w:lineRule="exact"/>
        <w:rPr>
          <w:sz w:val="20"/>
          <w:szCs w:val="20"/>
          <w:color w:val="auto"/>
        </w:rPr>
      </w:pPr>
    </w:p>
    <w:p>
      <w:pPr>
        <w:ind w:right="60" w:firstLine="8"/>
        <w:spacing w:after="0" w:line="328" w:lineRule="auto"/>
        <w:tabs>
          <w:tab w:leader="none" w:pos="153" w:val="left"/>
        </w:tabs>
        <w:numPr>
          <w:ilvl w:val="0"/>
          <w:numId w:val="18"/>
        </w:numPr>
        <w:rPr>
          <w:rFonts w:ascii="Arial" w:cs="Arial" w:eastAsia="Arial" w:hAnsi="Arial"/>
          <w:sz w:val="16"/>
          <w:szCs w:val="16"/>
          <w:color w:val="58595B"/>
        </w:rPr>
      </w:pPr>
      <w:r>
        <w:rPr>
          <w:rFonts w:ascii="Arial" w:cs="Arial" w:eastAsia="Arial" w:hAnsi="Arial"/>
          <w:sz w:val="16"/>
          <w:szCs w:val="16"/>
          <w:color w:val="58595B"/>
        </w:rPr>
        <w:t>Restated 2003 Equity Incentive Plan . During 2023, the Compensation Committee engaged WTW to provide consulting services relating to (i) the Compensation Discussion and Analysis and Say on Pay Proposal, (ii) stockholder advisory matters, (iii) compensation arrangements for the Chief Executive Officer and other executive officers for their performance during the 2022 calendar year, and (iv) shareholder advisory matters.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19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482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389" w:lineRule="exact"/>
        <w:rPr>
          <w:sz w:val="20"/>
          <w:szCs w:val="20"/>
          <w:color w:val="auto"/>
        </w:rPr>
      </w:pPr>
    </w:p>
    <w:p>
      <w:pPr>
        <w:ind w:left="240"/>
        <w:spacing w:after="0"/>
        <w:tabs>
          <w:tab w:leader="none" w:pos="3020" w:val="left"/>
          <w:tab w:leader="none" w:pos="8560" w:val="left"/>
        </w:tabs>
        <w:rPr>
          <w:sz w:val="20"/>
          <w:szCs w:val="20"/>
          <w:color w:val="auto"/>
        </w:rPr>
      </w:pPr>
      <w:r>
        <w:rPr>
          <w:rFonts w:ascii="Arial" w:cs="Arial" w:eastAsia="Arial" w:hAnsi="Arial"/>
          <w:sz w:val="16"/>
          <w:szCs w:val="16"/>
          <w:b w:val="1"/>
          <w:bCs w:val="1"/>
          <w:color w:val="58595B"/>
        </w:rPr>
        <w:t>Members</w:t>
      </w:r>
      <w:r>
        <w:rPr>
          <w:sz w:val="20"/>
          <w:szCs w:val="20"/>
          <w:color w:val="auto"/>
        </w:rPr>
        <w:tab/>
      </w:r>
      <w:r>
        <w:rPr>
          <w:rFonts w:ascii="Arial" w:cs="Arial" w:eastAsia="Arial" w:hAnsi="Arial"/>
          <w:sz w:val="16"/>
          <w:szCs w:val="16"/>
          <w:b w:val="1"/>
          <w:bCs w:val="1"/>
          <w:color w:val="58595B"/>
        </w:rPr>
        <w:t>Purpose</w:t>
      </w:r>
      <w:r>
        <w:rPr>
          <w:sz w:val="20"/>
          <w:szCs w:val="20"/>
          <w:color w:val="auto"/>
        </w:rPr>
        <w:tab/>
      </w:r>
      <w:r>
        <w:rPr>
          <w:rFonts w:ascii="Arial" w:cs="Arial" w:eastAsia="Arial" w:hAnsi="Arial"/>
          <w:sz w:val="16"/>
          <w:szCs w:val="16"/>
          <w:b w:val="1"/>
          <w:bCs w:val="1"/>
          <w:color w:val="009845"/>
        </w:rPr>
        <w:t>2023 Key Focus Areas</w:t>
      </w:r>
    </w:p>
    <w:p>
      <w:pPr>
        <w:spacing w:after="0" w:line="59"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2440" w:type="dxa"/>
            <w:vAlign w:val="bottom"/>
          </w:tcPr>
          <w:p>
            <w:pPr>
              <w:ind w:left="20"/>
              <w:spacing w:after="0"/>
              <w:rPr>
                <w:sz w:val="20"/>
                <w:szCs w:val="20"/>
                <w:color w:val="auto"/>
              </w:rPr>
            </w:pPr>
            <w:r>
              <w:rPr>
                <w:rFonts w:ascii="Arial" w:cs="Arial" w:eastAsia="Arial" w:hAnsi="Arial"/>
                <w:sz w:val="16"/>
                <w:szCs w:val="16"/>
                <w:color w:val="58595B"/>
              </w:rPr>
              <w:t>Mr. Schade (chair)</w:t>
            </w:r>
          </w:p>
        </w:tc>
        <w:tc>
          <w:tcPr>
            <w:tcW w:w="360" w:type="dxa"/>
            <w:vAlign w:val="bottom"/>
          </w:tcPr>
          <w:p>
            <w:pPr>
              <w:spacing w:after="0"/>
              <w:rPr>
                <w:sz w:val="18"/>
                <w:szCs w:val="18"/>
                <w:color w:val="auto"/>
              </w:rPr>
            </w:pPr>
          </w:p>
        </w:tc>
        <w:tc>
          <w:tcPr>
            <w:tcW w:w="5200" w:type="dxa"/>
            <w:vAlign w:val="bottom"/>
            <w:vMerge w:val="restart"/>
          </w:tcPr>
          <w:p>
            <w:pPr>
              <w:ind w:left="20"/>
              <w:spacing w:after="0"/>
              <w:rPr>
                <w:sz w:val="20"/>
                <w:szCs w:val="20"/>
                <w:color w:val="auto"/>
              </w:rPr>
            </w:pPr>
            <w:r>
              <w:rPr>
                <w:rFonts w:ascii="Arial" w:cs="Arial" w:eastAsia="Arial" w:hAnsi="Arial"/>
                <w:sz w:val="16"/>
                <w:szCs w:val="16"/>
                <w:color w:val="58595B"/>
              </w:rPr>
              <w:t>• Provide advice to management on matters related to financing</w:t>
            </w:r>
          </w:p>
        </w:tc>
        <w:tc>
          <w:tcPr>
            <w:tcW w:w="2360" w:type="dxa"/>
            <w:vAlign w:val="bottom"/>
            <w:vMerge w:val="restart"/>
          </w:tcPr>
          <w:p>
            <w:pPr>
              <w:ind w:left="360"/>
              <w:spacing w:after="0"/>
              <w:rPr>
                <w:sz w:val="20"/>
                <w:szCs w:val="20"/>
                <w:color w:val="auto"/>
              </w:rPr>
            </w:pPr>
            <w:r>
              <w:rPr>
                <w:rFonts w:ascii="Arial" w:cs="Arial" w:eastAsia="Arial" w:hAnsi="Arial"/>
                <w:sz w:val="16"/>
                <w:szCs w:val="16"/>
                <w:color w:val="58595B"/>
              </w:rPr>
              <w:t>• Capital allocation, debt</w:t>
            </w: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Dr. Bradley</w:t>
            </w:r>
          </w:p>
        </w:tc>
        <w:tc>
          <w:tcPr>
            <w:tcW w:w="36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0" w:type="dxa"/>
            <w:vAlign w:val="bottom"/>
            <w:vMerge w:val="restart"/>
          </w:tcPr>
          <w:p>
            <w:pPr>
              <w:ind w:left="180"/>
              <w:spacing w:after="0"/>
              <w:rPr>
                <w:sz w:val="20"/>
                <w:szCs w:val="20"/>
                <w:color w:val="auto"/>
              </w:rPr>
            </w:pPr>
            <w:r>
              <w:rPr>
                <w:rFonts w:ascii="Arial" w:cs="Arial" w:eastAsia="Arial" w:hAnsi="Arial"/>
                <w:sz w:val="16"/>
                <w:szCs w:val="16"/>
                <w:color w:val="58595B"/>
              </w:rPr>
              <w:t>strategy, as well as the Corporation's capital structure and capital</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2360" w:type="dxa"/>
            <w:vAlign w:val="bottom"/>
            <w:vMerge w:val="restart"/>
          </w:tcPr>
          <w:p>
            <w:pPr>
              <w:ind w:left="520"/>
              <w:spacing w:after="0"/>
              <w:rPr>
                <w:sz w:val="20"/>
                <w:szCs w:val="20"/>
                <w:color w:val="auto"/>
              </w:rPr>
            </w:pPr>
            <w:r>
              <w:rPr>
                <w:rFonts w:ascii="Arial" w:cs="Arial" w:eastAsia="Arial" w:hAnsi="Arial"/>
                <w:sz w:val="16"/>
                <w:szCs w:val="16"/>
                <w:color w:val="58595B"/>
              </w:rPr>
              <w:t>structure and liquidity</w:t>
            </w:r>
          </w:p>
        </w:tc>
        <w:tc>
          <w:tcPr>
            <w:tcW w:w="0" w:type="dxa"/>
            <w:vAlign w:val="bottom"/>
          </w:tcPr>
          <w:p>
            <w:pPr>
              <w:spacing w:after="0"/>
              <w:rPr>
                <w:sz w:val="1"/>
                <w:szCs w:val="1"/>
                <w:color w:val="auto"/>
              </w:rPr>
            </w:pPr>
          </w:p>
        </w:tc>
      </w:tr>
      <w:tr>
        <w:trPr>
          <w:trHeight w:val="54"/>
        </w:trPr>
        <w:tc>
          <w:tcPr>
            <w:tcW w:w="2440" w:type="dxa"/>
            <w:vAlign w:val="bottom"/>
            <w:vMerge w:val="restart"/>
          </w:tcPr>
          <w:p>
            <w:pPr>
              <w:ind w:left="20"/>
              <w:spacing w:after="0"/>
              <w:rPr>
                <w:sz w:val="20"/>
                <w:szCs w:val="20"/>
                <w:color w:val="auto"/>
              </w:rPr>
            </w:pPr>
            <w:r>
              <w:rPr>
                <w:rFonts w:ascii="Arial" w:cs="Arial" w:eastAsia="Arial" w:hAnsi="Arial"/>
                <w:sz w:val="16"/>
                <w:szCs w:val="16"/>
                <w:color w:val="58595B"/>
              </w:rPr>
              <w:t>Mr. Murphy</w:t>
            </w:r>
          </w:p>
        </w:tc>
        <w:tc>
          <w:tcPr>
            <w:tcW w:w="36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200" w:type="dxa"/>
            <w:vAlign w:val="bottom"/>
            <w:vMerge w:val="restart"/>
          </w:tcPr>
          <w:p>
            <w:pPr>
              <w:ind w:left="180"/>
              <w:spacing w:after="0"/>
              <w:rPr>
                <w:sz w:val="20"/>
                <w:szCs w:val="20"/>
                <w:color w:val="auto"/>
              </w:rPr>
            </w:pPr>
            <w:r>
              <w:rPr>
                <w:rFonts w:ascii="Arial" w:cs="Arial" w:eastAsia="Arial" w:hAnsi="Arial"/>
                <w:sz w:val="16"/>
                <w:szCs w:val="16"/>
                <w:color w:val="58595B"/>
              </w:rPr>
              <w:t>allocation initiatives</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0" w:type="dxa"/>
            <w:vAlign w:val="bottom"/>
            <w:vMerge w:val="continue"/>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40" w:type="dxa"/>
            <w:vAlign w:val="bottom"/>
            <w:tcBorders>
              <w:bottom w:val="single" w:sz="8" w:color="58595B"/>
            </w:tcBorders>
          </w:tcPr>
          <w:p>
            <w:pPr>
              <w:spacing w:after="0"/>
              <w:rPr>
                <w:sz w:val="14"/>
                <w:szCs w:val="14"/>
                <w:color w:val="auto"/>
              </w:rPr>
            </w:pPr>
          </w:p>
        </w:tc>
        <w:tc>
          <w:tcPr>
            <w:tcW w:w="360" w:type="dxa"/>
            <w:vAlign w:val="bottom"/>
            <w:tcBorders>
              <w:bottom w:val="single" w:sz="8" w:color="EFEDED"/>
            </w:tcBorders>
            <w:shd w:val="clear" w:color="auto" w:fill="EFEDED"/>
          </w:tcPr>
          <w:p>
            <w:pPr>
              <w:spacing w:after="0"/>
              <w:rPr>
                <w:sz w:val="14"/>
                <w:szCs w:val="14"/>
                <w:color w:val="auto"/>
              </w:rPr>
            </w:pPr>
          </w:p>
        </w:tc>
        <w:tc>
          <w:tcPr>
            <w:tcW w:w="5200" w:type="dxa"/>
            <w:vAlign w:val="bottom"/>
          </w:tcPr>
          <w:p>
            <w:pPr>
              <w:spacing w:after="0"/>
              <w:rPr>
                <w:sz w:val="14"/>
                <w:szCs w:val="14"/>
                <w:color w:val="auto"/>
              </w:rPr>
            </w:pPr>
          </w:p>
        </w:tc>
        <w:tc>
          <w:tcPr>
            <w:tcW w:w="2360" w:type="dxa"/>
            <w:vAlign w:val="bottom"/>
            <w:vMerge w:val="restart"/>
          </w:tcPr>
          <w:p>
            <w:pPr>
              <w:ind w:left="360"/>
              <w:spacing w:after="0"/>
              <w:rPr>
                <w:sz w:val="20"/>
                <w:szCs w:val="20"/>
                <w:color w:val="auto"/>
              </w:rPr>
            </w:pPr>
            <w:r>
              <w:rPr>
                <w:rFonts w:ascii="Arial" w:cs="Arial" w:eastAsia="Arial" w:hAnsi="Arial"/>
                <w:sz w:val="16"/>
                <w:szCs w:val="16"/>
                <w:color w:val="58595B"/>
              </w:rPr>
              <w:t>• Interest rate exposure and</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360" w:type="dxa"/>
            <w:vAlign w:val="bottom"/>
            <w:shd w:val="clear" w:color="auto" w:fill="EFEDED"/>
          </w:tcPr>
          <w:p>
            <w:pPr>
              <w:spacing w:after="0"/>
              <w:rPr>
                <w:sz w:val="8"/>
                <w:szCs w:val="8"/>
                <w:color w:val="auto"/>
              </w:rPr>
            </w:pPr>
          </w:p>
        </w:tc>
        <w:tc>
          <w:tcPr>
            <w:tcW w:w="52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58595B"/>
              </w:rPr>
              <w:t>Number of Meetings:</w:t>
            </w:r>
          </w:p>
        </w:tc>
        <w:tc>
          <w:tcPr>
            <w:tcW w:w="360" w:type="dxa"/>
            <w:vAlign w:val="bottom"/>
            <w:shd w:val="clear" w:color="auto" w:fill="EFEDED"/>
          </w:tcPr>
          <w:p>
            <w:pPr>
              <w:spacing w:after="0"/>
              <w:rPr>
                <w:sz w:val="19"/>
                <w:szCs w:val="19"/>
                <w:color w:val="auto"/>
              </w:rPr>
            </w:pPr>
          </w:p>
        </w:tc>
        <w:tc>
          <w:tcPr>
            <w:tcW w:w="5200" w:type="dxa"/>
            <w:vAlign w:val="bottom"/>
          </w:tcPr>
          <w:p>
            <w:pPr>
              <w:spacing w:after="0"/>
              <w:rPr>
                <w:sz w:val="19"/>
                <w:szCs w:val="19"/>
                <w:color w:val="auto"/>
              </w:rPr>
            </w:pPr>
          </w:p>
        </w:tc>
        <w:tc>
          <w:tcPr>
            <w:tcW w:w="2360" w:type="dxa"/>
            <w:vAlign w:val="bottom"/>
          </w:tcPr>
          <w:p>
            <w:pPr>
              <w:ind w:left="520"/>
              <w:spacing w:after="0"/>
              <w:rPr>
                <w:sz w:val="20"/>
                <w:szCs w:val="20"/>
                <w:color w:val="auto"/>
              </w:rPr>
            </w:pPr>
            <w:r>
              <w:rPr>
                <w:rFonts w:ascii="Arial" w:cs="Arial" w:eastAsia="Arial" w:hAnsi="Arial"/>
                <w:sz w:val="16"/>
                <w:szCs w:val="16"/>
                <w:color w:val="58595B"/>
              </w:rPr>
              <w:t>hedging activity</w:t>
            </w:r>
          </w:p>
        </w:tc>
        <w:tc>
          <w:tcPr>
            <w:tcW w:w="0" w:type="dxa"/>
            <w:vAlign w:val="bottom"/>
          </w:tcPr>
          <w:p>
            <w:pPr>
              <w:spacing w:after="0"/>
              <w:rPr>
                <w:sz w:val="1"/>
                <w:szCs w:val="1"/>
                <w:color w:val="auto"/>
              </w:rPr>
            </w:pPr>
          </w:p>
        </w:tc>
      </w:tr>
      <w:tr>
        <w:trPr>
          <w:trHeight w:val="62"/>
        </w:trPr>
        <w:tc>
          <w:tcPr>
            <w:tcW w:w="2440" w:type="dxa"/>
            <w:vAlign w:val="bottom"/>
            <w:vMerge w:val="continue"/>
          </w:tcPr>
          <w:p>
            <w:pPr>
              <w:spacing w:after="0"/>
              <w:rPr>
                <w:sz w:val="5"/>
                <w:szCs w:val="5"/>
                <w:color w:val="auto"/>
              </w:rPr>
            </w:pPr>
          </w:p>
        </w:tc>
        <w:tc>
          <w:tcPr>
            <w:tcW w:w="360" w:type="dxa"/>
            <w:vAlign w:val="bottom"/>
            <w:shd w:val="clear" w:color="auto" w:fill="EFEDED"/>
          </w:tcPr>
          <w:p>
            <w:pPr>
              <w:spacing w:after="0"/>
              <w:rPr>
                <w:sz w:val="5"/>
                <w:szCs w:val="5"/>
                <w:color w:val="auto"/>
              </w:rPr>
            </w:pPr>
          </w:p>
        </w:tc>
        <w:tc>
          <w:tcPr>
            <w:tcW w:w="52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20"/>
              <w:spacing w:after="0"/>
              <w:rPr>
                <w:sz w:val="20"/>
                <w:szCs w:val="20"/>
                <w:color w:val="auto"/>
              </w:rPr>
            </w:pPr>
            <w:r>
              <w:rPr>
                <w:rFonts w:ascii="Arial" w:cs="Arial" w:eastAsia="Arial" w:hAnsi="Arial"/>
                <w:sz w:val="16"/>
                <w:szCs w:val="16"/>
                <w:color w:val="58595B"/>
              </w:rPr>
              <w:t>3</w:t>
            </w:r>
          </w:p>
        </w:tc>
        <w:tc>
          <w:tcPr>
            <w:tcW w:w="360" w:type="dxa"/>
            <w:vAlign w:val="bottom"/>
            <w:shd w:val="clear" w:color="auto" w:fill="EFEDED"/>
          </w:tcPr>
          <w:p>
            <w:pPr>
              <w:spacing w:after="0"/>
              <w:rPr>
                <w:sz w:val="20"/>
                <w:szCs w:val="20"/>
                <w:color w:val="auto"/>
              </w:rPr>
            </w:pPr>
          </w:p>
        </w:tc>
        <w:tc>
          <w:tcPr>
            <w:tcW w:w="5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440" w:type="dxa"/>
            <w:vAlign w:val="bottom"/>
          </w:tcPr>
          <w:p>
            <w:pPr>
              <w:spacing w:after="0"/>
              <w:rPr>
                <w:sz w:val="24"/>
                <w:szCs w:val="24"/>
                <w:color w:val="auto"/>
              </w:rPr>
            </w:pPr>
          </w:p>
        </w:tc>
        <w:tc>
          <w:tcPr>
            <w:tcW w:w="360" w:type="dxa"/>
            <w:vAlign w:val="bottom"/>
            <w:shd w:val="clear" w:color="auto" w:fill="EFEDED"/>
          </w:tcPr>
          <w:p>
            <w:pPr>
              <w:spacing w:after="0"/>
              <w:rPr>
                <w:sz w:val="24"/>
                <w:szCs w:val="24"/>
                <w:color w:val="auto"/>
              </w:rPr>
            </w:pPr>
          </w:p>
        </w:tc>
        <w:tc>
          <w:tcPr>
            <w:tcW w:w="5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i w:val="1"/>
          <w:iCs w:val="1"/>
          <w:color w:val="58595B"/>
        </w:rPr>
        <w:t xml:space="preserve">Finance Committee. </w:t>
      </w:r>
      <w:r>
        <w:rPr>
          <w:rFonts w:ascii="Arial" w:cs="Arial" w:eastAsia="Arial" w:hAnsi="Arial"/>
          <w:sz w:val="16"/>
          <w:szCs w:val="16"/>
          <w:color w:val="58595B"/>
        </w:rPr>
        <w:t>The members of the Finance Committee are Mr. Schade (chair), Dr. Bradley and Mr. Murphy. The Committee met three times in 2023.</w:t>
      </w:r>
      <w:r>
        <w:rPr>
          <w:rFonts w:ascii="Arial" w:cs="Arial" w:eastAsia="Arial" w:hAnsi="Arial"/>
          <w:sz w:val="16"/>
          <w:szCs w:val="16"/>
          <w:i w:val="1"/>
          <w:iCs w:val="1"/>
          <w:color w:val="58595B"/>
        </w:rPr>
        <w:t xml:space="preserve"> </w:t>
      </w:r>
      <w:r>
        <w:rPr>
          <w:rFonts w:ascii="Arial" w:cs="Arial" w:eastAsia="Arial" w:hAnsi="Arial"/>
          <w:sz w:val="16"/>
          <w:szCs w:val="16"/>
          <w:color w:val="58595B"/>
        </w:rPr>
        <w:t>The purpose of the Finance Committee is to advise management on matters related to financing strategy, as well as the Company’s capital structure and capital allocation initiatives. The Board has determined that each of the members of the Finance Committee is independent, as defined by the applicable Nasdaq Stock Market listing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Board Evaluations And Succession Planning</w:t>
      </w:r>
    </w:p>
    <w:p>
      <w:pPr>
        <w:spacing w:after="0" w:line="72"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58595B"/>
        </w:rPr>
        <w:t>The Board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In evaluating candidates for Board membership, the Board and the Nominating and Corporate Governance Committee consider many factors based on the specific needs of the business and what is in the best interests of the Company’s stockholders. These factors include diversity of professional experience, race, ethnicity, gender, age and cultural background. In addition, the Board and the Nominating and Corporate Governance Committee focus on how the experiences and skill sets of each Director nominee complement those of fellow Director nominees to create a balanced Board with diverse viewpoints and deep expertise.</w:t>
      </w:r>
    </w:p>
    <w:p>
      <w:pPr>
        <w:spacing w:after="0" w:line="142" w:lineRule="exact"/>
        <w:rPr>
          <w:sz w:val="20"/>
          <w:szCs w:val="20"/>
          <w:color w:val="auto"/>
        </w:rPr>
      </w:pPr>
    </w:p>
    <w:p>
      <w:pPr>
        <w:spacing w:after="0" w:line="319" w:lineRule="auto"/>
        <w:rPr>
          <w:sz w:val="20"/>
          <w:szCs w:val="20"/>
          <w:color w:val="auto"/>
        </w:rPr>
      </w:pPr>
      <w:r>
        <w:rPr>
          <w:rFonts w:ascii="Arial" w:cs="Arial" w:eastAsia="Arial" w:hAnsi="Arial"/>
          <w:sz w:val="16"/>
          <w:szCs w:val="16"/>
          <w:color w:val="58595B"/>
        </w:rPr>
        <w:t>Our Board is committed to ensuring that it serves the best interests of its stockholders and positions the Company for future success. Accordingly, the Board,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color w:val="009845"/>
        </w:rPr>
        <w:t>Board Leadership Structure</w:t>
      </w:r>
    </w:p>
    <w:p>
      <w:pPr>
        <w:spacing w:after="0" w:line="193" w:lineRule="exact"/>
        <w:rPr>
          <w:sz w:val="20"/>
          <w:szCs w:val="20"/>
          <w:color w:val="auto"/>
        </w:rPr>
      </w:pPr>
    </w:p>
    <w:p>
      <w:pPr>
        <w:jc w:val="both"/>
        <w:ind w:right="400"/>
        <w:spacing w:after="0" w:line="328" w:lineRule="auto"/>
        <w:rPr>
          <w:sz w:val="20"/>
          <w:szCs w:val="20"/>
          <w:color w:val="auto"/>
        </w:rPr>
      </w:pPr>
      <w:r>
        <w:rPr>
          <w:rFonts w:ascii="Arial" w:cs="Arial" w:eastAsia="Arial" w:hAnsi="Arial"/>
          <w:sz w:val="16"/>
          <w:szCs w:val="16"/>
          <w:color w:val="58595B"/>
        </w:rPr>
        <w:t>The Board recognizes that one of its key responsibilities is to evaluate and determine the optimal leadership structure to best serve the interests of our stockholders. Given the dynamic and competitive environment in which we operate, the optimal size and structure of the Board may vary with changing internal and competitive circumstances.</w:t>
      </w:r>
    </w:p>
    <w:p>
      <w:pPr>
        <w:spacing w:after="0" w:line="110"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The Company currently has nine members of the Board, who will serve until the conclusion of the Annual Meeting and until their successors are duly elected and qualified. The current directors are Keith Bradley, Ph.D., Shaundra D. Clay, Jan De Witte, Stuart M. Essig, Ph.D., Jeffrey A. Graves, Ph.D., Barbara B. Hill, Renee W. Lo, Raymond G. Murphy, and Christian S. Schade. All current members of the Board are nominees for election to the Board at the Annual Meeting. Following the conclusion of the Annual Meeting, assuming all of the nominees for election are duly elected by our stockholders, the Board will consist of nine members.</w:t>
      </w:r>
    </w:p>
    <w:p>
      <w:pPr>
        <w:spacing w:after="0" w:line="118"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58595B"/>
        </w:rPr>
        <w:t>As indicated above, Mr. De Witte has served as both President and Chief Executive Officer and as a director of the Company since December 2021. His position is separate from that of the Chairman of the Board. We view having the Chairman position separate from the Chief Executive Officer as a good governance practice because it puts the Board in the best position to oversee all executives of the Company and set a pro-stockholder agenda without presenting potential conflicts that having the two positions combined might pose, thus resulting in a more effective Board.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58595B"/>
        </w:rPr>
        <w:t>Stuart M. Essig, Ph.D. has served as the Executive Chairman of the Board since February 2024 and has been a director since 1997. He served as Non-Executive Chairman of the Board from June 2012 to February 2024 and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the Company and whose interests are strongly aligned with those of our stockholders. We believe his experience and knowledge of the Company will enhance our ability to drive improved shareholder value and facilitate a seamless transition process.</w:t>
      </w:r>
    </w:p>
    <w:p>
      <w:pPr>
        <w:spacing w:after="0" w:line="12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58595B"/>
        </w:rPr>
        <w:t>Barbara B. Hill has served as Presiding Director since September 2018 and she has been a director since 2013. Ms. Hill has significant experience with, and knowledge of, the Company, its operations, products and history. We believe the Company significantly benefits from having a Presiding Director with deep knowledge of the Company. In addition, the presence of an active and independent Presiding Director ensures independent oversight of the Board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w:t>
      </w:r>
    </w:p>
    <w:p>
      <w:pPr>
        <w:spacing w:after="0" w:line="125" w:lineRule="exact"/>
        <w:rPr>
          <w:sz w:val="20"/>
          <w:szCs w:val="20"/>
          <w:color w:val="auto"/>
        </w:rPr>
      </w:pPr>
    </w:p>
    <w:p>
      <w:pPr>
        <w:jc w:val="both"/>
        <w:ind w:right="300"/>
        <w:spacing w:after="0" w:line="324" w:lineRule="auto"/>
        <w:rPr>
          <w:sz w:val="20"/>
          <w:szCs w:val="20"/>
          <w:color w:val="auto"/>
        </w:rPr>
      </w:pPr>
      <w:r>
        <w:rPr>
          <w:rFonts w:ascii="Arial" w:cs="Arial" w:eastAsia="Arial" w:hAnsi="Arial"/>
          <w:sz w:val="16"/>
          <w:szCs w:val="16"/>
          <w:color w:val="58595B"/>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8595B"/>
        </w:rPr>
        <w:t>In addition, we believe the current size of the Board and Board Committees is appropriate, given the size, nature, structure and complexity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The Board continues, however, to monitor and evaluate the optimal size and composition of the Board to ensure an optimal leadership structure.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Accordingly, we believe our Board leadership structure is appropriate at this time.</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color w:val="009845"/>
        </w:rPr>
        <w:t>The Board’s Role In Risk Oversight</w:t>
      </w:r>
    </w:p>
    <w:p>
      <w:pPr>
        <w:spacing w:after="0" w:line="207"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58595B"/>
        </w:rPr>
        <w:t>The Board has overall responsibility for the oversight of risk management at the Company, which includes overseeing our process for identifying, assessing and mitigating significant financial, operational, strategic, cybersecurity and other risks that may affect the Company. A fundamental part of risk oversight is understanding the risks that Integra faces, the steps management is taking to manage those risks, and assessing the Company's appetite for risk. The risk assessment process also considers whether risks are short-, medium-, or long-term, such that the management of significant risks can be prioritized, in part, based on the timeframe of such risks. Risk management systems, including our internal auditing procedures, internal control over financial reporting and corporate compliance programs, are designed in part to inform management about our material risks. Our Board receives regular reports from management on matters relating to strategic and operational initiatives, financial performance, cybersecurity and legal developments, including the related enterprise-risk exposures. The involvement of the Board in the oversight of our strategic planning process is a key part of its assessment of the risks inherent in our corporate strategy.</w:t>
      </w:r>
    </w:p>
    <w:p>
      <w:pPr>
        <w:spacing w:after="0" w:line="129"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The Board has delegated responsibility for the oversight of certain areas of risk management to the standing Committees of the Board, as described below. Each standing Board committee reports to the full Board following each committee meeting. In performing this function, each committee meets in executive session with key management personnel and representatives of outside advisors as needed and has full access to management, as well as the ability to engage advisors. The Board believes that delegating certain responsibilities and oversight functions to its committees, as described below, allows for more nuanced oversight process, reflecting the technical expertise and subject matter focus of the Board's individual committees, and is also more conducive to a proactive oversight of management's actions. Summarized below are the specific risk areas of focus for each standing committee.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21</w:t>
            </w:r>
          </w:p>
        </w:tc>
      </w:tr>
      <w:tr>
        <w:trPr>
          <w:trHeight w:val="217"/>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661035</wp:posOffset>
            </wp:positionV>
            <wp:extent cx="7132320" cy="2940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9400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1489710</wp:posOffset>
            </wp:positionV>
            <wp:extent cx="1242695" cy="1697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4269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1242695" cy="12515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4269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spacing w:after="0" w:line="314" w:lineRule="auto"/>
        <w:rPr>
          <w:sz w:val="20"/>
          <w:szCs w:val="20"/>
          <w:color w:val="auto"/>
        </w:rPr>
      </w:pPr>
      <w:r>
        <w:rPr>
          <w:rFonts w:ascii="Arial" w:cs="Arial" w:eastAsia="Arial" w:hAnsi="Arial"/>
          <w:sz w:val="14"/>
          <w:szCs w:val="14"/>
          <w:b w:val="1"/>
          <w:bCs w:val="1"/>
          <w:color w:val="FFFFFF"/>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1242695" cy="643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426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Finance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9845"/>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360" w:hanging="160"/>
        <w:spacing w:after="0" w:line="339" w:lineRule="auto"/>
        <w:tabs>
          <w:tab w:leader="none" w:pos="122"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risks relating to the accounting and financial reporting process of the Company and audits of the Company’s financial statements</w:t>
      </w:r>
    </w:p>
    <w:p>
      <w:pPr>
        <w:spacing w:after="0" w:line="114" w:lineRule="exact"/>
        <w:rPr>
          <w:rFonts w:ascii="Arial" w:cs="Arial" w:eastAsia="Arial" w:hAnsi="Arial"/>
          <w:sz w:val="16"/>
          <w:szCs w:val="16"/>
          <w:color w:val="58595B"/>
        </w:rPr>
      </w:pPr>
    </w:p>
    <w:p>
      <w:pPr>
        <w:ind w:left="160" w:hanging="160"/>
        <w:spacing w:after="0" w:line="328" w:lineRule="auto"/>
        <w:tabs>
          <w:tab w:leader="none" w:pos="122"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Meets regularly with management to review and discuss the financial risk management processes, including compliance with Sarbanes-Oxley and related internal controls and procedures, disclosure controls and procedures and accounting and reporting compliance, as well as tax, treasury and compliance matters</w:t>
      </w:r>
    </w:p>
    <w:p>
      <w:pPr>
        <w:spacing w:after="0" w:line="109" w:lineRule="exact"/>
        <w:rPr>
          <w:rFonts w:ascii="Arial" w:cs="Arial" w:eastAsia="Arial" w:hAnsi="Arial"/>
          <w:sz w:val="16"/>
          <w:szCs w:val="16"/>
          <w:color w:val="58595B"/>
        </w:rPr>
      </w:pPr>
    </w:p>
    <w:p>
      <w:pPr>
        <w:ind w:left="160" w:right="100" w:hanging="160"/>
        <w:spacing w:after="0" w:line="308" w:lineRule="auto"/>
        <w:tabs>
          <w:tab w:leader="none" w:pos="122"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Receives periodic reports from the internal audit team, which is responsible for providing an annual audit assessment of the Company’s processes and controls; developing an annual audit plan using risk-based methodology; implementing the</w:t>
      </w:r>
    </w:p>
    <w:p>
      <w:pPr>
        <w:ind w:left="160" w:right="40"/>
        <w:spacing w:after="0" w:line="328" w:lineRule="auto"/>
        <w:rPr>
          <w:rFonts w:ascii="Arial" w:cs="Arial" w:eastAsia="Arial" w:hAnsi="Arial"/>
          <w:sz w:val="16"/>
          <w:szCs w:val="16"/>
          <w:color w:val="58595B"/>
        </w:rPr>
      </w:pPr>
      <w:r>
        <w:rPr>
          <w:rFonts w:ascii="Arial" w:cs="Arial" w:eastAsia="Arial" w:hAnsi="Arial"/>
          <w:sz w:val="16"/>
          <w:szCs w:val="16"/>
          <w:color w:val="58595B"/>
        </w:rPr>
        <w:t>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w:t>
      </w:r>
    </w:p>
    <w:p>
      <w:pPr>
        <w:spacing w:after="0" w:line="109"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Provides oversight for the Company's major technology initiatives in conjunction with the internal audit team</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Regularly discusses liquidity, capital, funding needs and other financial matters with management</w:t>
      </w:r>
    </w:p>
    <w:p>
      <w:pPr>
        <w:spacing w:after="0" w:line="221" w:lineRule="exact"/>
        <w:rPr>
          <w:rFonts w:ascii="Arial" w:cs="Arial" w:eastAsia="Arial" w:hAnsi="Arial"/>
          <w:sz w:val="16"/>
          <w:szCs w:val="16"/>
          <w:color w:val="58595B"/>
        </w:rPr>
      </w:pPr>
    </w:p>
    <w:p>
      <w:pPr>
        <w:ind w:left="160" w:right="520" w:hanging="160"/>
        <w:spacing w:after="0" w:line="339" w:lineRule="auto"/>
        <w:tabs>
          <w:tab w:leader="none" w:pos="122"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risks relating to the quality and integrity of the Company's data relating to climate change and similar ESG matters</w:t>
      </w:r>
    </w:p>
    <w:p>
      <w:pPr>
        <w:spacing w:after="0" w:line="200" w:lineRule="exact"/>
        <w:rPr>
          <w:rFonts w:ascii="Arial" w:cs="Arial" w:eastAsia="Arial" w:hAnsi="Arial"/>
          <w:sz w:val="16"/>
          <w:szCs w:val="16"/>
          <w:color w:val="58595B"/>
        </w:rPr>
      </w:pPr>
    </w:p>
    <w:p>
      <w:pPr>
        <w:spacing w:after="0" w:line="373"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risks relating to executive compensation and other incentive programs in the Company</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Considers risks during its deliberations on the design of the Company’s executive compensation programs with the goal of</w:t>
      </w:r>
    </w:p>
    <w:p>
      <w:pPr>
        <w:spacing w:after="0" w:line="59" w:lineRule="exact"/>
        <w:rPr>
          <w:rFonts w:ascii="Arial" w:cs="Arial" w:eastAsia="Arial" w:hAnsi="Arial"/>
          <w:sz w:val="16"/>
          <w:szCs w:val="16"/>
          <w:color w:val="58595B"/>
        </w:rPr>
      </w:pPr>
    </w:p>
    <w:p>
      <w:pPr>
        <w:ind w:left="160" w:right="20"/>
        <w:spacing w:after="0" w:line="339" w:lineRule="auto"/>
        <w:rPr>
          <w:rFonts w:ascii="Arial" w:cs="Arial" w:eastAsia="Arial" w:hAnsi="Arial"/>
          <w:sz w:val="16"/>
          <w:szCs w:val="16"/>
          <w:color w:val="58595B"/>
        </w:rPr>
      </w:pPr>
      <w:r>
        <w:rPr>
          <w:rFonts w:ascii="Arial" w:cs="Arial" w:eastAsia="Arial" w:hAnsi="Arial"/>
          <w:sz w:val="16"/>
          <w:szCs w:val="16"/>
          <w:color w:val="58595B"/>
        </w:rPr>
        <w:t>appropriately balancing short-term objectives and long-term performance without encouraging excessive and unnecessary risk-taking behaviors</w:t>
      </w:r>
    </w:p>
    <w:p>
      <w:pPr>
        <w:spacing w:after="0" w:line="114"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Reviews and evaluates management reports on the Company’s incentive compensation programs</w:t>
      </w:r>
    </w:p>
    <w:p>
      <w:pPr>
        <w:spacing w:after="0" w:line="207" w:lineRule="exact"/>
        <w:rPr>
          <w:rFonts w:ascii="Arial" w:cs="Arial" w:eastAsia="Arial" w:hAnsi="Arial"/>
          <w:sz w:val="16"/>
          <w:szCs w:val="16"/>
          <w:color w:val="58595B"/>
        </w:rPr>
      </w:pPr>
    </w:p>
    <w:p>
      <w:pPr>
        <w:ind w:left="160" w:right="520" w:hanging="160"/>
        <w:spacing w:after="0" w:line="339" w:lineRule="auto"/>
        <w:tabs>
          <w:tab w:leader="none" w:pos="122"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Assesses how executive compensation practices may impact the Company's reputation through Say-on-Pay among shareholders, employees, customers and the public</w:t>
      </w:r>
    </w:p>
    <w:p>
      <w:pPr>
        <w:spacing w:after="0" w:line="200" w:lineRule="exact"/>
        <w:rPr>
          <w:rFonts w:ascii="Arial" w:cs="Arial" w:eastAsia="Arial" w:hAnsi="Arial"/>
          <w:sz w:val="16"/>
          <w:szCs w:val="16"/>
          <w:color w:val="58595B"/>
        </w:rPr>
      </w:pPr>
    </w:p>
    <w:p>
      <w:pPr>
        <w:spacing w:after="0" w:line="387"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risks relating to the Company’s governance structures and processes</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corporate governance matters, including the annual evaluations of the Board, its Committees and members</w:t>
      </w:r>
    </w:p>
    <w:p>
      <w:pPr>
        <w:spacing w:after="0" w:line="221"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Establishes policies and procedures for good corporate governance</w:t>
      </w:r>
    </w:p>
    <w:p>
      <w:pPr>
        <w:spacing w:after="0" w:line="207" w:lineRule="exact"/>
        <w:rPr>
          <w:rFonts w:ascii="Arial" w:cs="Arial" w:eastAsia="Arial" w:hAnsi="Arial"/>
          <w:sz w:val="16"/>
          <w:szCs w:val="16"/>
          <w:color w:val="58595B"/>
        </w:rPr>
      </w:pPr>
    </w:p>
    <w:p>
      <w:pPr>
        <w:ind w:left="120" w:hanging="120"/>
        <w:spacing w:after="0"/>
        <w:tabs>
          <w:tab w:leader="none" w:pos="120"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the Company's ESG policies and practices, including material risk assessment and goal tracking and reporting</w:t>
      </w:r>
    </w:p>
    <w:p>
      <w:pPr>
        <w:spacing w:after="0" w:line="200" w:lineRule="exact"/>
        <w:rPr>
          <w:rFonts w:ascii="Arial" w:cs="Arial" w:eastAsia="Arial" w:hAnsi="Arial"/>
          <w:sz w:val="16"/>
          <w:szCs w:val="16"/>
          <w:color w:val="58595B"/>
        </w:rPr>
      </w:pPr>
    </w:p>
    <w:p>
      <w:pPr>
        <w:spacing w:after="0" w:line="200" w:lineRule="exact"/>
        <w:rPr>
          <w:rFonts w:ascii="Arial" w:cs="Arial" w:eastAsia="Arial" w:hAnsi="Arial"/>
          <w:sz w:val="16"/>
          <w:szCs w:val="16"/>
          <w:color w:val="58595B"/>
        </w:rPr>
      </w:pPr>
    </w:p>
    <w:p>
      <w:pPr>
        <w:spacing w:after="0" w:line="293" w:lineRule="exact"/>
        <w:rPr>
          <w:rFonts w:ascii="Arial" w:cs="Arial" w:eastAsia="Arial" w:hAnsi="Arial"/>
          <w:sz w:val="16"/>
          <w:szCs w:val="16"/>
          <w:color w:val="58595B"/>
        </w:rPr>
      </w:pPr>
    </w:p>
    <w:p>
      <w:pPr>
        <w:ind w:left="160" w:right="680" w:hanging="160"/>
        <w:spacing w:after="0" w:line="339" w:lineRule="auto"/>
        <w:tabs>
          <w:tab w:leader="none" w:pos="122" w:val="left"/>
        </w:tabs>
        <w:numPr>
          <w:ilvl w:val="0"/>
          <w:numId w:val="19"/>
        </w:numPr>
        <w:rPr>
          <w:rFonts w:ascii="Arial" w:cs="Arial" w:eastAsia="Arial" w:hAnsi="Arial"/>
          <w:sz w:val="16"/>
          <w:szCs w:val="16"/>
          <w:color w:val="58595B"/>
        </w:rPr>
      </w:pPr>
      <w:r>
        <w:rPr>
          <w:rFonts w:ascii="Arial" w:cs="Arial" w:eastAsia="Arial" w:hAnsi="Arial"/>
          <w:sz w:val="16"/>
          <w:szCs w:val="16"/>
          <w:color w:val="58595B"/>
        </w:rPr>
        <w:t>Oversees matters relating to the Company’s financing strategy, as well as the Company’s capital structure, capital allocation initiatives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-3517900</wp:posOffset>
            </wp:positionV>
            <wp:extent cx="5803265" cy="3711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0326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3"/>
          <w:szCs w:val="13"/>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143510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20" w:space="360"/>
            <w:col w:w="8940"/>
          </w:cols>
          <w:pgMar w:left="320" w:top="121" w:right="35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diversity and sustainability goals, are addressed by the Board and Board committees.</w:t>
      </w:r>
    </w:p>
    <w:p>
      <w:pPr>
        <w:spacing w:after="0" w:line="132"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The Company has also implemented an Enterprise Risk Management (“ERM”) program to further enhance its oversight of risks inherent to the business. This ERM program allows the Board and management to gain a greater understanding and awareness of risks facing the business and the efforts being undertaken to mitigate those risks. Additionally, the executive leadership team’s individual performance objectives are aligned with the top risks identified in the annual ERM process.</w:t>
      </w:r>
    </w:p>
    <w:p>
      <w:pPr>
        <w:spacing w:after="0" w:line="118"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spacing w:after="0" w:line="8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58595B"/>
        </w:rPr>
        <w:t>Our President and Chief Executive Officer, who functions as our chief risk officer, is supported in this role by both our Chief Legal Officer and our Chief Compliance Officer, who reports to our Chief Legal Officer. As chief risk officer, our President and Chief Executive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sustainability, ESG risks and opportunities, corporate development, operations and sales, marketing and cybersecurity. Both formal reports and less formal communications between the Board and our President and Chief Executive Officer derive from a continual flow of communication throughout the Company regarding risk and compliance. We believe our Board and senior management team promote a culture that actively identifies and manages risk.</w:t>
      </w:r>
    </w:p>
    <w:p>
      <w:pPr>
        <w:spacing w:after="0" w:line="140" w:lineRule="exact"/>
        <w:rPr>
          <w:sz w:val="20"/>
          <w:szCs w:val="20"/>
          <w:color w:val="auto"/>
        </w:rPr>
      </w:pPr>
    </w:p>
    <w:p>
      <w:pPr>
        <w:jc w:val="both"/>
        <w:ind w:right="60"/>
        <w:spacing w:after="0" w:line="319" w:lineRule="auto"/>
        <w:rPr>
          <w:sz w:val="20"/>
          <w:szCs w:val="20"/>
          <w:color w:val="auto"/>
        </w:rPr>
      </w:pPr>
      <w:r>
        <w:rPr>
          <w:rFonts w:ascii="Arial" w:cs="Arial" w:eastAsia="Arial" w:hAnsi="Arial"/>
          <w:sz w:val="16"/>
          <w:szCs w:val="16"/>
          <w:color w:val="58595B"/>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color w:val="009845"/>
        </w:rPr>
        <w:t>Compensation Committee Interlocks and Insider Participation</w:t>
      </w:r>
    </w:p>
    <w:p>
      <w:pPr>
        <w:spacing w:after="0" w:line="139"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Dr. Bradley (chair), Ms. Lo and Dr. Graves are the current members of the Compensation Committee. Following the conclusion of our 2023 Annual Meeting of Stockholders, Ms. Hill had served as a member of the Compensation Committee until the appointment of Dr. Graves to the Compensation Committee on February 21, 2024. None of our Compensation Committee members currently serves, nor did they ever serve, as an officer or employee or former officer of the Company or had any relationship requiring disclosure herein pursuant to SEC regulations. No executive officer of the Company served as a member of a Compensation Committee or a director of another entity under circumstances requiring disclosure under SEC regulations.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845"/>
        </w:rPr>
        <w:t>Environmental, Social and Governance (ESG) Initiatives</w:t>
      </w:r>
    </w:p>
    <w:p>
      <w:pPr>
        <w:spacing w:after="0" w:line="207"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At Integra, our company purpose and values have long guided our global sustainability priorities—improving our environment, maintaining the health and safety of our colleagues, building a more diverse and inclusive workplace, sharing our time and talents with the communities in which we work and live, and complying with applicable laws and regulations while meeting the highest ethical standards. Our sustainability strategy is simple. We focus on a core set of areas that span across our business to enable Integra to meet or exceed our responsibilities to our colleagues, customers, and the communities in which we operate, while also creating long-term value for our stockholders.</w:t>
      </w:r>
    </w:p>
    <w:p>
      <w:pPr>
        <w:spacing w:after="0" w:line="137"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color w:val="58595B"/>
        </w:rPr>
        <w:t>We view our ESG strategy as an extension of our company strategy, driving our success and the positive impact we strive to make in the lives of every patient and healthcare professional who encounter an Integra product, service or employee</w:t>
      </w:r>
    </w:p>
    <w:p>
      <w:pPr>
        <w:spacing w:after="0" w:line="101"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During 2022, we finalized our ESG strategy and began to implement many of the initiatives we had identified through our ESG strategy assessment. In 2023, we both further refined our previously identified priorities and continued the process of implementing important initiatives. The following roadmap highlights our ESG achievements in Years 1 and 2 and establishes the near and long-term goals for the future we have developed through our ESG strategic development. The projects and goals identified in Year 3 below represent the goals against which we will be measuring ourselves in the coming years: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20" w:right="100"/>
        <w:spacing w:after="0" w:line="318" w:lineRule="auto"/>
        <w:rPr>
          <w:sz w:val="20"/>
          <w:szCs w:val="20"/>
          <w:color w:val="auto"/>
        </w:rPr>
      </w:pPr>
      <w:r>
        <w:rPr>
          <w:rFonts w:ascii="Arial" w:cs="Arial" w:eastAsia="Arial" w:hAnsi="Arial"/>
          <w:sz w:val="16"/>
          <w:szCs w:val="16"/>
          <w:color w:val="58595B"/>
        </w:rPr>
        <w:t>In our first year of formal ESG assessment and reporting, we focused on engaging internal and external stakeholders to identify and prioritize ESG issues that are high impact, strategic priorities. We put tremendous effort into understanding our current state and developing a clear path forward to drive sustainable growth. We disclosed our achievements to date, educated our executive leadership team and members of our Board on our ESG priorities and the ways in which ESG would be integrated into our strategic business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-267335</wp:posOffset>
            </wp:positionV>
            <wp:extent cx="642620" cy="771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009845"/>
        </w:rPr>
        <w:t>Year 1 highlights included:</w:t>
      </w:r>
    </w:p>
    <w:p>
      <w:pPr>
        <w:spacing w:after="0" w:line="289" w:lineRule="exact"/>
        <w:rPr>
          <w:sz w:val="20"/>
          <w:szCs w:val="20"/>
          <w:color w:val="auto"/>
        </w:rPr>
      </w:pPr>
    </w:p>
    <w:p>
      <w:pPr>
        <w:ind w:left="1740" w:hanging="162"/>
        <w:spacing w:after="0" w:line="339" w:lineRule="auto"/>
        <w:tabs>
          <w:tab w:leader="none" w:pos="1702"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Engaged stakeholders in Integra's ESG development strategy</w:t>
      </w:r>
    </w:p>
    <w:p>
      <w:pPr>
        <w:spacing w:after="0" w:line="222" w:lineRule="exact"/>
        <w:rPr>
          <w:rFonts w:ascii="Arial" w:cs="Arial" w:eastAsia="Arial" w:hAnsi="Arial"/>
          <w:sz w:val="16"/>
          <w:szCs w:val="16"/>
          <w:color w:val="58595B"/>
        </w:rPr>
      </w:pPr>
    </w:p>
    <w:p>
      <w:pPr>
        <w:ind w:left="1700" w:hanging="122"/>
        <w:spacing w:after="0"/>
        <w:tabs>
          <w:tab w:leader="none" w:pos="1700" w:val="left"/>
        </w:tabs>
        <w:numPr>
          <w:ilvl w:val="0"/>
          <w:numId w:val="20"/>
        </w:numPr>
        <w:rPr>
          <w:rFonts w:ascii="Arial" w:cs="Arial" w:eastAsia="Arial" w:hAnsi="Arial"/>
          <w:sz w:val="16"/>
          <w:szCs w:val="16"/>
          <w:color w:val="58595B"/>
        </w:rPr>
      </w:pPr>
      <w:r>
        <w:rPr>
          <w:rFonts w:ascii="Arial" w:cs="Arial" w:eastAsia="Arial" w:hAnsi="Arial"/>
          <w:sz w:val="16"/>
          <w:szCs w:val="16"/>
          <w:color w:val="58595B"/>
        </w:rPr>
        <w:t>Updated our Environmental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61" w:right="100" w:hanging="161"/>
        <w:spacing w:after="0" w:line="275" w:lineRule="auto"/>
        <w:tabs>
          <w:tab w:leader="none" w:pos="123"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Developed a formal process for integrating ESG into our governance structures</w:t>
      </w:r>
    </w:p>
    <w:p>
      <w:pPr>
        <w:spacing w:after="0" w:line="150" w:lineRule="exact"/>
        <w:rPr>
          <w:rFonts w:ascii="Arial" w:cs="Arial" w:eastAsia="Arial" w:hAnsi="Arial"/>
          <w:sz w:val="16"/>
          <w:szCs w:val="16"/>
          <w:color w:val="58595B"/>
        </w:rPr>
      </w:pPr>
    </w:p>
    <w:p>
      <w:pPr>
        <w:ind w:left="121" w:hanging="121"/>
        <w:spacing w:after="0"/>
        <w:tabs>
          <w:tab w:leader="none" w:pos="121" w:val="left"/>
        </w:tabs>
        <w:numPr>
          <w:ilvl w:val="0"/>
          <w:numId w:val="21"/>
        </w:numPr>
        <w:rPr>
          <w:rFonts w:ascii="Arial" w:cs="Arial" w:eastAsia="Arial" w:hAnsi="Arial"/>
          <w:sz w:val="16"/>
          <w:szCs w:val="16"/>
          <w:color w:val="58595B"/>
        </w:rPr>
      </w:pPr>
      <w:r>
        <w:rPr>
          <w:rFonts w:ascii="Arial" w:cs="Arial" w:eastAsia="Arial" w:hAnsi="Arial"/>
          <w:sz w:val="16"/>
          <w:szCs w:val="16"/>
          <w:color w:val="58595B"/>
        </w:rPr>
        <w:t>Published our first ESG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226695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61" w:right="80" w:hanging="161"/>
        <w:spacing w:after="0" w:line="275" w:lineRule="auto"/>
        <w:tabs>
          <w:tab w:leader="none" w:pos="123" w:val="left"/>
        </w:tabs>
        <w:numPr>
          <w:ilvl w:val="0"/>
          <w:numId w:val="22"/>
        </w:numPr>
        <w:rPr>
          <w:rFonts w:ascii="Arial" w:cs="Arial" w:eastAsia="Arial" w:hAnsi="Arial"/>
          <w:sz w:val="16"/>
          <w:szCs w:val="16"/>
          <w:color w:val="58595B"/>
        </w:rPr>
      </w:pPr>
      <w:r>
        <w:rPr>
          <w:rFonts w:ascii="Arial" w:cs="Arial" w:eastAsia="Arial" w:hAnsi="Arial"/>
          <w:sz w:val="16"/>
          <w:szCs w:val="16"/>
          <w:color w:val="58595B"/>
        </w:rPr>
        <w:t>Calculated and disclosed our Scope 1 &amp; Scope 2 greenhouse gas emissions ("GHG")</w:t>
      </w:r>
    </w:p>
    <w:p>
      <w:pPr>
        <w:spacing w:after="0" w:line="150" w:lineRule="exact"/>
        <w:rPr>
          <w:rFonts w:ascii="Arial" w:cs="Arial" w:eastAsia="Arial" w:hAnsi="Arial"/>
          <w:sz w:val="16"/>
          <w:szCs w:val="16"/>
          <w:color w:val="58595B"/>
        </w:rPr>
      </w:pPr>
    </w:p>
    <w:p>
      <w:pPr>
        <w:ind w:left="121" w:hanging="121"/>
        <w:spacing w:after="0"/>
        <w:tabs>
          <w:tab w:leader="none" w:pos="121" w:val="left"/>
        </w:tabs>
        <w:numPr>
          <w:ilvl w:val="0"/>
          <w:numId w:val="22"/>
        </w:numPr>
        <w:rPr>
          <w:rFonts w:ascii="Arial" w:cs="Arial" w:eastAsia="Arial" w:hAnsi="Arial"/>
          <w:sz w:val="16"/>
          <w:szCs w:val="16"/>
          <w:color w:val="58595B"/>
        </w:rPr>
      </w:pPr>
      <w:r>
        <w:rPr>
          <w:rFonts w:ascii="Arial" w:cs="Arial" w:eastAsia="Arial" w:hAnsi="Arial"/>
          <w:sz w:val="16"/>
          <w:szCs w:val="16"/>
          <w:color w:val="58595B"/>
        </w:rPr>
        <w:t>Updated our Code of Conduct</w:t>
      </w:r>
    </w:p>
    <w:p>
      <w:pPr>
        <w:spacing w:after="0" w:line="200" w:lineRule="exact"/>
        <w:rPr>
          <w:sz w:val="20"/>
          <w:szCs w:val="20"/>
          <w:color w:val="auto"/>
        </w:rPr>
      </w:pPr>
    </w:p>
    <w:p>
      <w:pPr>
        <w:sectPr>
          <w:pgSz w:w="11900" w:h="16838" w:orient="portrait"/>
          <w:cols w:equalWidth="0" w:num="3">
            <w:col w:w="4540" w:space="319"/>
            <w:col w:w="2881" w:space="399"/>
            <w:col w:w="3081"/>
          </w:cols>
          <w:pgMar w:left="320" w:top="121" w:right="35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1420" w:right="240"/>
        <w:spacing w:after="0" w:line="318" w:lineRule="auto"/>
        <w:rPr>
          <w:sz w:val="20"/>
          <w:szCs w:val="20"/>
          <w:color w:val="auto"/>
        </w:rPr>
      </w:pPr>
      <w:r>
        <w:rPr>
          <w:rFonts w:ascii="Arial" w:cs="Arial" w:eastAsia="Arial" w:hAnsi="Arial"/>
          <w:sz w:val="16"/>
          <w:szCs w:val="16"/>
          <w:color w:val="58595B"/>
        </w:rPr>
        <w:t>In Year 2, we turned our focus toward further integrating ESG into our policies, procedures and initiatives with a focus on change management, making additional progress on our priorities and expanding our governance. We broadened disclosure on key material issues while deepening reporting, including taking additional measures to strengthen performance and enhance transparency. We will monitor and remain responsive to expectations from our stakeholders.</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009845"/>
        </w:rPr>
        <w:t>Year 2 priorities included:</w:t>
      </w:r>
    </w:p>
    <w:p>
      <w:pPr>
        <w:sectPr>
          <w:pgSz w:w="11900" w:h="16838" w:orient="portrait"/>
          <w:cols w:equalWidth="0" w:num="1">
            <w:col w:w="11220"/>
          </w:cols>
          <w:pgMar w:left="320" w:top="121" w:right="359" w:bottom="1440" w:gutter="0" w:footer="0" w:header="0"/>
          <w:type w:val="continuous"/>
        </w:sectPr>
      </w:pPr>
    </w:p>
    <w:p>
      <w:pPr>
        <w:spacing w:after="0" w:line="275" w:lineRule="exact"/>
        <w:rPr>
          <w:sz w:val="20"/>
          <w:szCs w:val="20"/>
          <w:color w:val="auto"/>
        </w:rPr>
      </w:pPr>
    </w:p>
    <w:p>
      <w:pPr>
        <w:jc w:val="both"/>
        <w:ind w:left="1740" w:right="160" w:hanging="162"/>
        <w:spacing w:after="0" w:line="319" w:lineRule="auto"/>
        <w:tabs>
          <w:tab w:leader="none" w:pos="1702"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Developed decarbonization strategy to execute on GHG emissions reduction plan</w:t>
      </w:r>
    </w:p>
    <w:p>
      <w:pPr>
        <w:spacing w:after="0" w:line="170" w:lineRule="exact"/>
        <w:rPr>
          <w:rFonts w:ascii="Arial" w:cs="Arial" w:eastAsia="Arial" w:hAnsi="Arial"/>
          <w:sz w:val="16"/>
          <w:szCs w:val="16"/>
          <w:color w:val="58595B"/>
        </w:rPr>
      </w:pPr>
    </w:p>
    <w:p>
      <w:pPr>
        <w:ind w:left="1740" w:hanging="162"/>
        <w:spacing w:after="0" w:line="286" w:lineRule="auto"/>
        <w:tabs>
          <w:tab w:leader="none" w:pos="1702" w:val="left"/>
        </w:tabs>
        <w:numPr>
          <w:ilvl w:val="0"/>
          <w:numId w:val="23"/>
        </w:numPr>
        <w:rPr>
          <w:rFonts w:ascii="Arial" w:cs="Arial" w:eastAsia="Arial" w:hAnsi="Arial"/>
          <w:sz w:val="16"/>
          <w:szCs w:val="16"/>
          <w:color w:val="58595B"/>
        </w:rPr>
      </w:pPr>
      <w:r>
        <w:rPr>
          <w:rFonts w:ascii="Arial" w:cs="Arial" w:eastAsia="Arial" w:hAnsi="Arial"/>
          <w:sz w:val="16"/>
          <w:szCs w:val="16"/>
          <w:color w:val="58595B"/>
        </w:rPr>
        <w:t>Refined Scope 1 and Scope 2 emissions disclosures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61" w:hanging="161"/>
        <w:spacing w:after="0" w:line="266" w:lineRule="auto"/>
        <w:tabs>
          <w:tab w:leader="none" w:pos="123"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Implemented improved environmental, health, safety, and security management system</w:t>
      </w:r>
    </w:p>
    <w:p>
      <w:pPr>
        <w:spacing w:after="0" w:line="306" w:lineRule="exact"/>
        <w:rPr>
          <w:rFonts w:ascii="Arial" w:cs="Arial" w:eastAsia="Arial" w:hAnsi="Arial"/>
          <w:sz w:val="16"/>
          <w:szCs w:val="16"/>
          <w:color w:val="58595B"/>
        </w:rPr>
      </w:pPr>
    </w:p>
    <w:p>
      <w:pPr>
        <w:ind w:left="161" w:right="560" w:hanging="161"/>
        <w:spacing w:after="0" w:line="286" w:lineRule="auto"/>
        <w:tabs>
          <w:tab w:leader="none" w:pos="123" w:val="left"/>
        </w:tabs>
        <w:numPr>
          <w:ilvl w:val="0"/>
          <w:numId w:val="24"/>
        </w:numPr>
        <w:rPr>
          <w:rFonts w:ascii="Arial" w:cs="Arial" w:eastAsia="Arial" w:hAnsi="Arial"/>
          <w:sz w:val="16"/>
          <w:szCs w:val="16"/>
          <w:color w:val="58595B"/>
        </w:rPr>
      </w:pPr>
      <w:r>
        <w:rPr>
          <w:rFonts w:ascii="Arial" w:cs="Arial" w:eastAsia="Arial" w:hAnsi="Arial"/>
          <w:sz w:val="16"/>
          <w:szCs w:val="16"/>
          <w:color w:val="58595B"/>
        </w:rPr>
        <w:t>Formalized and strengthen green procurement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167640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61" w:right="360" w:hanging="161"/>
        <w:spacing w:after="0" w:line="286" w:lineRule="auto"/>
        <w:tabs>
          <w:tab w:leader="none" w:pos="123" w:val="left"/>
        </w:tabs>
        <w:numPr>
          <w:ilvl w:val="0"/>
          <w:numId w:val="25"/>
        </w:numPr>
        <w:rPr>
          <w:rFonts w:ascii="Arial" w:cs="Arial" w:eastAsia="Arial" w:hAnsi="Arial"/>
          <w:sz w:val="16"/>
          <w:szCs w:val="16"/>
          <w:color w:val="58595B"/>
        </w:rPr>
      </w:pPr>
      <w:r>
        <w:rPr>
          <w:rFonts w:ascii="Arial" w:cs="Arial" w:eastAsia="Arial" w:hAnsi="Arial"/>
          <w:sz w:val="16"/>
          <w:szCs w:val="16"/>
          <w:color w:val="58595B"/>
        </w:rPr>
        <w:t>Conducted Scope 3 GHG emissions footprinting</w:t>
      </w:r>
    </w:p>
    <w:p>
      <w:pPr>
        <w:spacing w:after="0" w:line="200" w:lineRule="exact"/>
        <w:rPr>
          <w:rFonts w:ascii="Arial" w:cs="Arial" w:eastAsia="Arial" w:hAnsi="Arial"/>
          <w:sz w:val="16"/>
          <w:szCs w:val="16"/>
          <w:color w:val="58595B"/>
        </w:rPr>
      </w:pPr>
    </w:p>
    <w:p>
      <w:pPr>
        <w:spacing w:after="0" w:line="279" w:lineRule="exact"/>
        <w:rPr>
          <w:rFonts w:ascii="Arial" w:cs="Arial" w:eastAsia="Arial" w:hAnsi="Arial"/>
          <w:sz w:val="16"/>
          <w:szCs w:val="16"/>
          <w:color w:val="58595B"/>
        </w:rPr>
      </w:pPr>
    </w:p>
    <w:p>
      <w:pPr>
        <w:ind w:left="161" w:right="80" w:hanging="161"/>
        <w:spacing w:after="0" w:line="286" w:lineRule="auto"/>
        <w:tabs>
          <w:tab w:leader="none" w:pos="123" w:val="left"/>
        </w:tabs>
        <w:numPr>
          <w:ilvl w:val="0"/>
          <w:numId w:val="25"/>
        </w:numPr>
        <w:rPr>
          <w:rFonts w:ascii="Arial" w:cs="Arial" w:eastAsia="Arial" w:hAnsi="Arial"/>
          <w:sz w:val="16"/>
          <w:szCs w:val="16"/>
          <w:color w:val="58595B"/>
        </w:rPr>
      </w:pPr>
      <w:r>
        <w:rPr>
          <w:rFonts w:ascii="Arial" w:cs="Arial" w:eastAsia="Arial" w:hAnsi="Arial"/>
          <w:sz w:val="16"/>
          <w:szCs w:val="16"/>
          <w:color w:val="58595B"/>
        </w:rPr>
        <w:t>Implemented ESG management system technology</w:t>
      </w:r>
    </w:p>
    <w:p>
      <w:pPr>
        <w:spacing w:after="0" w:line="200" w:lineRule="exact"/>
        <w:rPr>
          <w:sz w:val="20"/>
          <w:szCs w:val="20"/>
          <w:color w:val="auto"/>
        </w:rPr>
      </w:pPr>
    </w:p>
    <w:p>
      <w:pPr>
        <w:sectPr>
          <w:pgSz w:w="11900" w:h="16838" w:orient="portrait"/>
          <w:cols w:equalWidth="0" w:num="3">
            <w:col w:w="4620" w:space="239"/>
            <w:col w:w="3061" w:space="219"/>
            <w:col w:w="3081"/>
          </w:cols>
          <w:pgMar w:left="320" w:top="121" w:right="359" w:bottom="1440" w:gutter="0" w:footer="0" w:header="0"/>
          <w:type w:val="continuous"/>
        </w:sectPr>
      </w:pPr>
    </w:p>
    <w:p>
      <w:pPr>
        <w:spacing w:after="0" w:line="374" w:lineRule="exact"/>
        <w:rPr>
          <w:sz w:val="20"/>
          <w:szCs w:val="20"/>
          <w:color w:val="auto"/>
        </w:rPr>
      </w:pPr>
    </w:p>
    <w:p>
      <w:pPr>
        <w:ind w:left="1420" w:right="320"/>
        <w:spacing w:after="0" w:line="328" w:lineRule="auto"/>
        <w:rPr>
          <w:sz w:val="20"/>
          <w:szCs w:val="20"/>
          <w:color w:val="auto"/>
        </w:rPr>
      </w:pPr>
      <w:r>
        <w:rPr>
          <w:rFonts w:ascii="Arial" w:cs="Arial" w:eastAsia="Arial" w:hAnsi="Arial"/>
          <w:sz w:val="16"/>
          <w:szCs w:val="16"/>
          <w:color w:val="58595B"/>
        </w:rPr>
        <w:t>In Year 3, we will continue to develop and report on environmental activities and further progress our green procurement policies and disclosures. We will also continue to monitor and remain responsive to expectations from our stakeholders against a backdrop of evolving ESG frameworks and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1270</wp:posOffset>
            </wp:positionV>
            <wp:extent cx="642620" cy="7715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2620" cy="771525"/>
                    </a:xfrm>
                    <a:prstGeom prst="rect">
                      <a:avLst/>
                    </a:prstGeom>
                    <a:noFill/>
                  </pic:spPr>
                </pic:pic>
              </a:graphicData>
            </a:graphic>
          </wp:anchor>
        </w:drawing>
      </w:r>
    </w:p>
    <w:p>
      <w:pPr>
        <w:spacing w:after="0" w:line="90"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160" w:type="dxa"/>
            <w:vAlign w:val="bottom"/>
          </w:tcPr>
          <w:p>
            <w:pPr>
              <w:spacing w:after="0"/>
              <w:rPr>
                <w:sz w:val="20"/>
                <w:szCs w:val="20"/>
                <w:color w:val="auto"/>
              </w:rPr>
            </w:pPr>
            <w:r>
              <w:rPr>
                <w:rFonts w:ascii="Arial" w:cs="Arial" w:eastAsia="Arial" w:hAnsi="Arial"/>
                <w:sz w:val="16"/>
                <w:szCs w:val="16"/>
                <w:b w:val="1"/>
                <w:bCs w:val="1"/>
                <w:color w:val="009845"/>
              </w:rPr>
              <w:t>Year 3 priorities include:</w:t>
            </w:r>
          </w:p>
        </w:tc>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3160" w:type="dxa"/>
            <w:vAlign w:val="bottom"/>
          </w:tcPr>
          <w:p>
            <w:pPr>
              <w:ind w:left="160"/>
              <w:spacing w:after="0"/>
              <w:rPr>
                <w:sz w:val="20"/>
                <w:szCs w:val="20"/>
                <w:color w:val="auto"/>
              </w:rPr>
            </w:pPr>
            <w:r>
              <w:rPr>
                <w:rFonts w:ascii="Arial" w:cs="Arial" w:eastAsia="Arial" w:hAnsi="Arial"/>
                <w:sz w:val="16"/>
                <w:szCs w:val="16"/>
                <w:color w:val="58595B"/>
              </w:rPr>
              <w:t>• Continue internal and external</w:t>
            </w:r>
          </w:p>
        </w:tc>
        <w:tc>
          <w:tcPr>
            <w:tcW w:w="3300" w:type="dxa"/>
            <w:vAlign w:val="bottom"/>
          </w:tcPr>
          <w:p>
            <w:pPr>
              <w:ind w:left="280"/>
              <w:spacing w:after="0"/>
              <w:rPr>
                <w:sz w:val="20"/>
                <w:szCs w:val="20"/>
                <w:color w:val="auto"/>
              </w:rPr>
            </w:pPr>
            <w:r>
              <w:rPr>
                <w:rFonts w:ascii="Arial" w:cs="Arial" w:eastAsia="Arial" w:hAnsi="Arial"/>
                <w:sz w:val="16"/>
                <w:szCs w:val="16"/>
                <w:color w:val="58595B"/>
              </w:rPr>
              <w:t>• Enhance green procurement policies</w:t>
            </w:r>
          </w:p>
        </w:tc>
        <w:tc>
          <w:tcPr>
            <w:tcW w:w="3160" w:type="dxa"/>
            <w:vAlign w:val="bottom"/>
          </w:tcPr>
          <w:p>
            <w:pPr>
              <w:ind w:left="260"/>
              <w:spacing w:after="0"/>
              <w:rPr>
                <w:sz w:val="20"/>
                <w:szCs w:val="20"/>
                <w:color w:val="auto"/>
              </w:rPr>
            </w:pPr>
            <w:r>
              <w:rPr>
                <w:rFonts w:ascii="Arial" w:cs="Arial" w:eastAsia="Arial" w:hAnsi="Arial"/>
                <w:sz w:val="16"/>
                <w:szCs w:val="16"/>
                <w:color w:val="58595B"/>
              </w:rPr>
              <w:t>• Disclosure on abatement activities and</w:t>
            </w:r>
          </w:p>
        </w:tc>
        <w:tc>
          <w:tcPr>
            <w:tcW w:w="0" w:type="dxa"/>
            <w:vAlign w:val="bottom"/>
          </w:tcPr>
          <w:p>
            <w:pPr>
              <w:spacing w:after="0"/>
              <w:rPr>
                <w:sz w:val="1"/>
                <w:szCs w:val="1"/>
                <w:color w:val="auto"/>
              </w:rPr>
            </w:pPr>
          </w:p>
        </w:tc>
      </w:tr>
      <w:tr>
        <w:trPr>
          <w:trHeight w:val="189"/>
        </w:trPr>
        <w:tc>
          <w:tcPr>
            <w:tcW w:w="3160" w:type="dxa"/>
            <w:vAlign w:val="bottom"/>
            <w:vMerge w:val="restart"/>
          </w:tcPr>
          <w:p>
            <w:pPr>
              <w:ind w:left="320"/>
              <w:spacing w:after="0"/>
              <w:rPr>
                <w:sz w:val="20"/>
                <w:szCs w:val="20"/>
                <w:color w:val="auto"/>
              </w:rPr>
            </w:pPr>
            <w:r>
              <w:rPr>
                <w:rFonts w:ascii="Arial" w:cs="Arial" w:eastAsia="Arial" w:hAnsi="Arial"/>
                <w:sz w:val="16"/>
                <w:szCs w:val="16"/>
                <w:color w:val="58595B"/>
              </w:rPr>
              <w:t>stakeholder involvement</w:t>
            </w:r>
          </w:p>
        </w:tc>
        <w:tc>
          <w:tcPr>
            <w:tcW w:w="3300" w:type="dxa"/>
            <w:vAlign w:val="bottom"/>
          </w:tcPr>
          <w:p>
            <w:pPr>
              <w:spacing w:after="0"/>
              <w:rPr>
                <w:sz w:val="16"/>
                <w:szCs w:val="16"/>
                <w:color w:val="auto"/>
              </w:rPr>
            </w:pPr>
          </w:p>
        </w:tc>
        <w:tc>
          <w:tcPr>
            <w:tcW w:w="3160" w:type="dxa"/>
            <w:vAlign w:val="bottom"/>
          </w:tcPr>
          <w:p>
            <w:pPr>
              <w:ind w:left="420"/>
              <w:spacing w:after="0"/>
              <w:rPr>
                <w:sz w:val="20"/>
                <w:szCs w:val="20"/>
                <w:color w:val="auto"/>
              </w:rPr>
            </w:pPr>
            <w:r>
              <w:rPr>
                <w:rFonts w:ascii="Arial" w:cs="Arial" w:eastAsia="Arial" w:hAnsi="Arial"/>
                <w:sz w:val="16"/>
                <w:szCs w:val="16"/>
                <w:color w:val="58595B"/>
              </w:rPr>
              <w:t>GHG emission reductions across all</w:t>
            </w:r>
          </w:p>
        </w:tc>
        <w:tc>
          <w:tcPr>
            <w:tcW w:w="0" w:type="dxa"/>
            <w:vAlign w:val="bottom"/>
          </w:tcPr>
          <w:p>
            <w:pPr>
              <w:spacing w:after="0"/>
              <w:rPr>
                <w:sz w:val="1"/>
                <w:szCs w:val="1"/>
                <w:color w:val="auto"/>
              </w:rPr>
            </w:pPr>
          </w:p>
        </w:tc>
      </w:tr>
      <w:tr>
        <w:trPr>
          <w:trHeight w:val="80"/>
        </w:trPr>
        <w:tc>
          <w:tcPr>
            <w:tcW w:w="3160" w:type="dxa"/>
            <w:vAlign w:val="bottom"/>
            <w:vMerge w:val="continue"/>
          </w:tcPr>
          <w:p>
            <w:pPr>
              <w:spacing w:after="0"/>
              <w:rPr>
                <w:sz w:val="6"/>
                <w:szCs w:val="6"/>
                <w:color w:val="auto"/>
              </w:rPr>
            </w:pPr>
          </w:p>
        </w:tc>
        <w:tc>
          <w:tcPr>
            <w:tcW w:w="3300" w:type="dxa"/>
            <w:vAlign w:val="bottom"/>
          </w:tcPr>
          <w:p>
            <w:pPr>
              <w:spacing w:after="0"/>
              <w:rPr>
                <w:sz w:val="6"/>
                <w:szCs w:val="6"/>
                <w:color w:val="auto"/>
              </w:rPr>
            </w:pPr>
          </w:p>
        </w:tc>
        <w:tc>
          <w:tcPr>
            <w:tcW w:w="3160" w:type="dxa"/>
            <w:vAlign w:val="bottom"/>
            <w:vMerge w:val="restart"/>
          </w:tcPr>
          <w:p>
            <w:pPr>
              <w:ind w:left="420"/>
              <w:spacing w:after="0"/>
              <w:rPr>
                <w:sz w:val="20"/>
                <w:szCs w:val="20"/>
                <w:color w:val="auto"/>
              </w:rPr>
            </w:pPr>
            <w:r>
              <w:rPr>
                <w:rFonts w:ascii="Arial" w:cs="Arial" w:eastAsia="Arial" w:hAnsi="Arial"/>
                <w:sz w:val="16"/>
                <w:szCs w:val="16"/>
                <w:color w:val="58595B"/>
              </w:rPr>
              <w:t>scopes</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3160" w:type="dxa"/>
            <w:vAlign w:val="bottom"/>
          </w:tcPr>
          <w:p>
            <w:pPr>
              <w:ind w:left="160"/>
              <w:spacing w:after="0"/>
              <w:rPr>
                <w:sz w:val="20"/>
                <w:szCs w:val="20"/>
                <w:color w:val="auto"/>
              </w:rPr>
            </w:pPr>
            <w:r>
              <w:rPr>
                <w:rFonts w:ascii="Arial" w:cs="Arial" w:eastAsia="Arial" w:hAnsi="Arial"/>
                <w:sz w:val="16"/>
                <w:szCs w:val="16"/>
                <w:color w:val="58595B"/>
              </w:rPr>
              <w:t>• Disclose to the Carbon Disclosure</w:t>
            </w:r>
          </w:p>
        </w:tc>
        <w:tc>
          <w:tcPr>
            <w:tcW w:w="3300" w:type="dxa"/>
            <w:vAlign w:val="bottom"/>
          </w:tcPr>
          <w:p>
            <w:pPr>
              <w:ind w:left="280"/>
              <w:spacing w:after="0"/>
              <w:rPr>
                <w:sz w:val="20"/>
                <w:szCs w:val="20"/>
                <w:color w:val="auto"/>
              </w:rPr>
            </w:pPr>
            <w:r>
              <w:rPr>
                <w:rFonts w:ascii="Arial" w:cs="Arial" w:eastAsia="Arial" w:hAnsi="Arial"/>
                <w:sz w:val="16"/>
                <w:szCs w:val="16"/>
                <w:color w:val="58595B"/>
              </w:rPr>
              <w:t>• Enhance Social and Governance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Arial" w:cs="Arial" w:eastAsia="Arial" w:hAnsi="Arial"/>
                <w:sz w:val="16"/>
                <w:szCs w:val="16"/>
                <w:color w:val="58595B"/>
              </w:rPr>
              <w:t>Project and Task-Force for Climate-</w:t>
            </w:r>
          </w:p>
        </w:tc>
        <w:tc>
          <w:tcPr>
            <w:tcW w:w="3300" w:type="dxa"/>
            <w:vAlign w:val="bottom"/>
          </w:tcPr>
          <w:p>
            <w:pPr>
              <w:ind w:left="440"/>
              <w:spacing w:after="0"/>
              <w:rPr>
                <w:sz w:val="20"/>
                <w:szCs w:val="20"/>
                <w:color w:val="auto"/>
              </w:rPr>
            </w:pPr>
            <w:r>
              <w:rPr>
                <w:rFonts w:ascii="Arial" w:cs="Arial" w:eastAsia="Arial" w:hAnsi="Arial"/>
                <w:sz w:val="16"/>
                <w:szCs w:val="16"/>
                <w:color w:val="58595B"/>
              </w:rPr>
              <w:t>disclosures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60" w:type="dxa"/>
            <w:vAlign w:val="bottom"/>
          </w:tcPr>
          <w:p>
            <w:pPr>
              <w:ind w:left="320"/>
              <w:spacing w:after="0"/>
              <w:rPr>
                <w:sz w:val="20"/>
                <w:szCs w:val="20"/>
                <w:color w:val="auto"/>
              </w:rPr>
            </w:pPr>
            <w:r>
              <w:rPr>
                <w:rFonts w:ascii="Arial" w:cs="Arial" w:eastAsia="Arial" w:hAnsi="Arial"/>
                <w:sz w:val="16"/>
                <w:szCs w:val="16"/>
                <w:color w:val="58595B"/>
              </w:rPr>
              <w:t>Related Financial Disclosures</w:t>
            </w:r>
          </w:p>
        </w:tc>
        <w:tc>
          <w:tcPr>
            <w:tcW w:w="3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58595B"/>
        </w:rPr>
        <w:t>As part as our strategic ESG assessment, we engaged colleagues, customers, suppliers, and investors through interviews and surveys to gather input and insights into the most critical ESG-related issues and opportunities driving Integra’s long-term performance. Through this comprehensive process, we established a set of 12 material ESG priorities for Integra and ranked these based on the feedback from both our internal and external stakeholders. As described in more detail in our ESG Report, we used these interactions to develop a materiality map to illustrate our alignment on priorities with our external stakeholders. Based on our interactions with the foregoing groups, we identified product safety, customer well-being, and employee health and safety paramount to Integra’s long-term success and continued positive global impact. In 2023, we continued discussions with our external stakeholders and conducted a comprehensive review of our initial findings. The results of this process confirmed the results from our initial strategic assessment and will continue to inform our ESG priorities so that they remain well aligned with our external stakeholders so as to maximize value for our external stakeholders and promote our long-term success.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328" w:lineRule="auto"/>
        <w:rPr>
          <w:sz w:val="20"/>
          <w:szCs w:val="20"/>
          <w:color w:val="auto"/>
        </w:rPr>
      </w:pPr>
      <w:r>
        <w:rPr>
          <w:rFonts w:ascii="Arial" w:cs="Arial" w:eastAsia="Arial" w:hAnsi="Arial"/>
          <w:sz w:val="16"/>
          <w:szCs w:val="16"/>
          <w:color w:val="58595B"/>
        </w:rPr>
        <w:t>The Company recognizes its responsibility to be a good corporate citizen, guided by high moral and ethical standards in its interactions with customers, stockholders, employees and the community in which we operate. Our company purpose and values have long guided our Corporate Responsibility priorities. Such efforts include the following:</w:t>
      </w:r>
    </w:p>
    <w:p>
      <w:pPr>
        <w:spacing w:after="0" w:line="11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58595B"/>
        </w:rPr>
        <w:t xml:space="preserve">Community &amp; Philanthropy: </w:t>
      </w:r>
      <w:r>
        <w:rPr>
          <w:rFonts w:ascii="Arial" w:cs="Arial" w:eastAsia="Arial" w:hAnsi="Arial"/>
          <w:sz w:val="16"/>
          <w:szCs w:val="16"/>
          <w:color w:val="58595B"/>
        </w:rPr>
        <w:t>Integra’s commitment to limiting uncertainty goes beyond the walls of the operating room and extends to the global</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communities in which the Company participates. Integra has an extensive history of partnering with patients and working alongside organizations such as Wounded Warriors, the Children’s Brain Tumor Foundation, the Phoenix Burn Society, and the Hydrocephalus Association, among many others. The Company works closely with the Integra Foundation, a 501(c)(3) organization which offers grants to organizations that support people affected by diseases and other conditions. Each year Integra colleagues have the opportunity to connect with their communities and volunteer their time for community improvement projects such as supporting disaster relief efforts.</w:t>
      </w:r>
    </w:p>
    <w:p>
      <w:pPr>
        <w:spacing w:after="0" w:line="13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color w:val="58595B"/>
        </w:rPr>
        <w:t xml:space="preserve">Compliance &amp; Ethics: </w:t>
      </w:r>
      <w:r>
        <w:rPr>
          <w:rFonts w:ascii="Arial" w:cs="Arial" w:eastAsia="Arial" w:hAnsi="Arial"/>
          <w:sz w:val="16"/>
          <w:szCs w:val="16"/>
          <w:color w:val="58595B"/>
        </w:rPr>
        <w:t>Integra is committed to its Code of Conduct and to holding the Company accountable as a leader in the medical technology industry.</w:t>
      </w:r>
      <w:r>
        <w:rPr>
          <w:rFonts w:ascii="Arial" w:cs="Arial" w:eastAsia="Arial" w:hAnsi="Arial"/>
          <w:sz w:val="16"/>
          <w:szCs w:val="16"/>
          <w:b w:val="1"/>
          <w:bCs w:val="1"/>
          <w:color w:val="58595B"/>
        </w:rPr>
        <w:t xml:space="preserve"> </w:t>
      </w:r>
      <w:r>
        <w:rPr>
          <w:rFonts w:ascii="Arial" w:cs="Arial" w:eastAsia="Arial" w:hAnsi="Arial"/>
          <w:sz w:val="16"/>
          <w:szCs w:val="16"/>
          <w:color w:val="58595B"/>
        </w:rPr>
        <w:t>The Company operates a comprehensive compliance program, which is supported by a training program led by Integra’s Chief Compliance Officer. Our comprehensive Code of Conduct reflects our expectation of compliance with laws, regulations, and codes of ethics relevant to our industry around the world. This Code of Conduct is on the Integra website and applies to all individuals and organizations that are suppliers to or third-party intermediaries for Integra. It establishes minimum requirements and expectations for the conduct of Integra’s business partners, and Integra encourages its partners to establish stricter or more extensive requirements where appropriate. Consistent with this policy, Integra will not tolerate any forms of slavery, servitude, forced labor and human trafficking, and business partners must not engage in any practice that constitutes any form of modern slavery.</w:t>
      </w:r>
    </w:p>
    <w:p>
      <w:pPr>
        <w:spacing w:after="0" w:line="127"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58595B"/>
        </w:rPr>
        <w:t xml:space="preserve">People: </w:t>
      </w:r>
      <w:r>
        <w:rPr>
          <w:rFonts w:ascii="Arial" w:cs="Arial" w:eastAsia="Arial" w:hAnsi="Arial"/>
          <w:sz w:val="16"/>
          <w:szCs w:val="16"/>
          <w:color w:val="58595B"/>
        </w:rPr>
        <w:t>Integra believes its colleagues are its greatest assets and understands that the work we do every day makes a significant, positive difference in</w:t>
      </w:r>
      <w:r>
        <w:rPr>
          <w:rFonts w:ascii="Arial" w:cs="Arial" w:eastAsia="Arial" w:hAnsi="Arial"/>
          <w:sz w:val="16"/>
          <w:szCs w:val="16"/>
          <w:b w:val="1"/>
          <w:bCs w:val="1"/>
          <w:color w:val="58595B"/>
        </w:rPr>
        <w:t xml:space="preserve"> </w:t>
      </w:r>
      <w:r>
        <w:rPr>
          <w:rFonts w:ascii="Arial" w:cs="Arial" w:eastAsia="Arial" w:hAnsi="Arial"/>
          <w:sz w:val="16"/>
          <w:szCs w:val="16"/>
          <w:color w:val="58595B"/>
        </w:rPr>
        <w:t>improving patients’ lives. Attracting and retaining key talent is a high priority for our management team and our Board. We value diversity and inclusion and are committed to leveraging our different ideas, backgrounds, interests, and beliefs to make Integra a stronger, higher performing company and a place our colleagues, partners, and potential employees want to work. We offer a variety of opportunities for our employees to learn and grow. Continued learning and development is a critical component of employee job satisfaction, retention, and career advancement—and ultimately, a driver of business success. We regularly seek employee feedback and sentiment about our workplace through global engagement surveys conducted on a bi-annual basis and we are committed to improving the quality of life of our employees and their families by offering numerous wellbeing programs and initiatives.</w:t>
      </w:r>
    </w:p>
    <w:p>
      <w:pPr>
        <w:spacing w:after="0" w:line="124" w:lineRule="exact"/>
        <w:rPr>
          <w:sz w:val="20"/>
          <w:szCs w:val="20"/>
          <w:color w:val="auto"/>
        </w:rPr>
      </w:pPr>
    </w:p>
    <w:p>
      <w:pPr>
        <w:ind w:right="480"/>
        <w:spacing w:after="0" w:line="328" w:lineRule="auto"/>
        <w:rPr>
          <w:sz w:val="20"/>
          <w:szCs w:val="20"/>
          <w:color w:val="auto"/>
        </w:rPr>
      </w:pPr>
      <w:r>
        <w:rPr>
          <w:rFonts w:ascii="Arial" w:cs="Arial" w:eastAsia="Arial" w:hAnsi="Arial"/>
          <w:sz w:val="16"/>
          <w:szCs w:val="16"/>
          <w:b w:val="1"/>
          <w:bCs w:val="1"/>
          <w:color w:val="58595B"/>
        </w:rPr>
        <w:t xml:space="preserve">Diversity &amp; Inclusion (“D&amp;I”): </w:t>
      </w:r>
      <w:r>
        <w:rPr>
          <w:rFonts w:ascii="Arial" w:cs="Arial" w:eastAsia="Arial" w:hAnsi="Arial"/>
          <w:sz w:val="16"/>
          <w:szCs w:val="16"/>
          <w:color w:val="58595B"/>
        </w:rPr>
        <w:t>A diverse workforce and an inclusive culture is a business priority and key to the Company’s long-term success. The</w:t>
      </w:r>
      <w:r>
        <w:rPr>
          <w:rFonts w:ascii="Arial" w:cs="Arial" w:eastAsia="Arial" w:hAnsi="Arial"/>
          <w:sz w:val="16"/>
          <w:szCs w:val="16"/>
          <w:b w:val="1"/>
          <w:bCs w:val="1"/>
          <w:color w:val="58595B"/>
        </w:rPr>
        <w:t xml:space="preserve"> </w:t>
      </w:r>
      <w:r>
        <w:rPr>
          <w:rFonts w:ascii="Arial" w:cs="Arial" w:eastAsia="Arial" w:hAnsi="Arial"/>
          <w:sz w:val="16"/>
          <w:szCs w:val="16"/>
          <w:color w:val="58595B"/>
        </w:rPr>
        <w:t>Company’s commitment to D&amp;I starts at the top with our Board and Chief Executive Officer. At all levels of the Company, Integra focuses on attracting, retaining, and developing our diverse talent. A few of the Company’s notable D&amp;I advancement measures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788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D&amp;I Through Learning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1663065" cy="1534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6306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Gender Diversity</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right="100"/>
        <w:spacing w:after="0" w:line="328" w:lineRule="auto"/>
        <w:rPr>
          <w:sz w:val="20"/>
          <w:szCs w:val="20"/>
          <w:color w:val="auto"/>
        </w:rPr>
      </w:pPr>
      <w:r>
        <w:rPr>
          <w:rFonts w:ascii="Arial" w:cs="Arial" w:eastAsia="Arial" w:hAnsi="Arial"/>
          <w:sz w:val="16"/>
          <w:szCs w:val="16"/>
          <w:color w:val="58595B"/>
        </w:rPr>
        <w:t>Upon joining Integra, colleagues globally participate in two programs to promote inclusion: Introduction to Managing Unconscious Bias, a course that creates awareness of unconscious biases in the workplaces and tools to build-bias breaking skills; and Practicing Inclusion, which examines what practicing inclusion in the workplace looks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250190</wp:posOffset>
            </wp:positionV>
            <wp:extent cx="5383530" cy="1534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83530" cy="1534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58595B"/>
        </w:rPr>
        <w:t>Through mentorship, sponsorship, recruitment efforts, and development programs the Company looks to continue to grow its population of females in leadership roles at Integra. Currently, 33% of the Board, 38% of our executive leaders and 43% of senior leaders (non-executive vice presidents) are female. In partnership with 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60% of the program’s graduates being promoted into roles with increased responsibility.</w:t>
      </w:r>
    </w:p>
    <w:p>
      <w:pPr>
        <w:spacing w:after="0" w:line="200" w:lineRule="exact"/>
        <w:rPr>
          <w:sz w:val="20"/>
          <w:szCs w:val="20"/>
          <w:color w:val="auto"/>
        </w:rPr>
      </w:pPr>
    </w:p>
    <w:p>
      <w:pPr>
        <w:sectPr>
          <w:pgSz w:w="11900" w:h="16838" w:orient="portrait"/>
          <w:cols w:equalWidth="0" w:num="2">
            <w:col w:w="2600" w:space="260"/>
            <w:col w:w="83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2"/>
          <w:szCs w:val="12"/>
          <w:b w:val="1"/>
          <w:bCs w:val="1"/>
          <w:color w:val="009845"/>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729615</wp:posOffset>
            </wp:positionV>
            <wp:extent cx="7132320" cy="13887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Employee Resource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1663065" cy="12344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6306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Commitment to</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Advancement of D&amp;I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1663065" cy="1234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6306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Diversity in Early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color w:val="58595B"/>
        </w:rPr>
        <w:t>The Company maintains a growing number of employee resource groups totaling 7 in 2023. These include employee resource groups such as the Women of Integra Network, Integra Black &amp; African American Employee Resource Group, PRIDE (LGBTQ+ Employee Resource Group), Asian American and Pacific Islander Network, Indian American Employee Resource Group and Integra Veterans Employee Resource Group. In 2023, UNIDOS (Hispanic and Latinx Employee Resource Group) was established. These resource groups encourage awareness and inclusion and provide opportunities for employees to provide feedback to our executive team about how we can do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414655</wp:posOffset>
            </wp:positionV>
            <wp:extent cx="5383530" cy="1234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8353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In 2021, the Company hired a Chief Diversity &amp; Inclusion Officer and in 2022 we continued to advance and implement our D&amp;I strategy through a robust approach to human capital management. The Company also reinforces its commitment to diversity by partnering with other organizations focused on driving inclusion in the work place including the CEO Action for Diversity &amp; Inclusion, the largest CEO-driven business commitment to advance D&amp;I in the work place and the Healthcare Businesswomen’s Association, an association dedicated to further the advancement and impact of women in the business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257810</wp:posOffset>
            </wp:positionV>
            <wp:extent cx="5383530" cy="1234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83530" cy="123444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58595B"/>
        </w:rPr>
        <w:t>In 2023, we formally launched our Early Talent and University Relations program. As part of this effort, we formed partnerships with several universities and colleges across the United States, including minority serving institutions. Our employees and leaders participated in career workshops, job fairs and helped to mentor the next generation of talent. In addition, the Company launched a pilot cohort of early talent associates which enabled 5 recent college graduates the chance to kick start their careers at Integra while also being provided with leadership development support.</w:t>
      </w:r>
    </w:p>
    <w:p>
      <w:pPr>
        <w:spacing w:after="0" w:line="200" w:lineRule="exact"/>
        <w:rPr>
          <w:sz w:val="20"/>
          <w:szCs w:val="20"/>
          <w:color w:val="auto"/>
        </w:rPr>
      </w:pPr>
    </w:p>
    <w:p>
      <w:pPr>
        <w:sectPr>
          <w:pgSz w:w="11900" w:h="16838" w:orient="portrait"/>
          <w:cols w:equalWidth="0" w:num="2">
            <w:col w:w="2140" w:space="720"/>
            <w:col w:w="8380"/>
          </w:cols>
          <w:pgMar w:left="320" w:top="121"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color w:val="58595B"/>
        </w:rPr>
        <w:t xml:space="preserve">Environmental Health &amp; Safety: </w:t>
      </w:r>
      <w:r>
        <w:rPr>
          <w:rFonts w:ascii="Arial" w:cs="Arial" w:eastAsia="Arial" w:hAnsi="Arial"/>
          <w:sz w:val="16"/>
          <w:szCs w:val="16"/>
          <w:color w:val="58595B"/>
        </w:rPr>
        <w:t>Integra is committed to providing a safe environment for all employees and visitors. We rely on our environmental, health</w:t>
      </w:r>
      <w:r>
        <w:rPr>
          <w:rFonts w:ascii="Arial" w:cs="Arial" w:eastAsia="Arial" w:hAnsi="Arial"/>
          <w:sz w:val="16"/>
          <w:szCs w:val="16"/>
          <w:b w:val="1"/>
          <w:bCs w:val="1"/>
          <w:color w:val="58595B"/>
        </w:rPr>
        <w:t xml:space="preserve"> </w:t>
      </w:r>
      <w:r>
        <w:rPr>
          <w:rFonts w:ascii="Arial" w:cs="Arial" w:eastAsia="Arial" w:hAnsi="Arial"/>
          <w:sz w:val="16"/>
          <w:szCs w:val="16"/>
          <w:color w:val="58595B"/>
        </w:rPr>
        <w:t>and safety management systems as well as entrusting our managers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Our Environmental Health and Safety ("EH&amp;S") organizational structure incorporates both workplace EH&amp;S coordinators and compliance teams. We have developed an Incident Procedure Policy and General Safety Rules that guide our colleagues to improve our workplace environment, improve safety, and reduce risk and costs.</w:t>
      </w:r>
    </w:p>
    <w:p>
      <w:pPr>
        <w:spacing w:after="0" w:line="127"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color w:val="58595B"/>
        </w:rPr>
        <w:t>For more information regarding Integra’s corporate responsibility efforts, including specific policies and programs, please visit https://www.integralife.com/csr. Information on that website is updated periodically and believed to be true at the time it is posted. References to our website throughout this proxy statement are provided for convenience only and the content on our website does not constitute a part of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Risk Assessment Regarding Compensation Policies And Practices</w:t>
      </w:r>
    </w:p>
    <w:p>
      <w:pPr>
        <w:spacing w:after="0" w:line="193" w:lineRule="exact"/>
        <w:rPr>
          <w:sz w:val="20"/>
          <w:szCs w:val="20"/>
          <w:color w:val="auto"/>
        </w:rPr>
      </w:pPr>
    </w:p>
    <w:p>
      <w:pPr>
        <w:ind w:right="300"/>
        <w:spacing w:after="0" w:line="318" w:lineRule="auto"/>
        <w:rPr>
          <w:sz w:val="20"/>
          <w:szCs w:val="20"/>
          <w:color w:val="auto"/>
        </w:rPr>
      </w:pPr>
      <w:r>
        <w:rPr>
          <w:rFonts w:ascii="Arial" w:cs="Arial" w:eastAsia="Arial" w:hAnsi="Arial"/>
          <w:sz w:val="16"/>
          <w:szCs w:val="16"/>
          <w:color w:val="58595B"/>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at its meeting in February 2024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3"/>
          <w:szCs w:val="13"/>
          <w:b w:val="1"/>
          <w:bCs w:val="1"/>
          <w:color w:val="009845"/>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58595B"/>
        </w:rPr>
        <w:t>management’s report on the review and assessment of such compensation programs and approved these conclusions. In conducting this review, we considered the following attributes of our programs:</w:t>
      </w:r>
    </w:p>
    <w:p>
      <w:pPr>
        <w:spacing w:after="0" w:line="115" w:lineRule="exact"/>
        <w:rPr>
          <w:sz w:val="20"/>
          <w:szCs w:val="20"/>
          <w:color w:val="auto"/>
        </w:rPr>
      </w:pPr>
    </w:p>
    <w:p>
      <w:pPr>
        <w:ind w:left="620" w:hanging="126"/>
        <w:spacing w:after="0"/>
        <w:tabs>
          <w:tab w:leader="none" w:pos="620"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Mix of base salary, annual bonus opportunities and long-term equity compensation;</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Balance between annual and long-term performance opportunities;</w:t>
      </w:r>
    </w:p>
    <w:p>
      <w:pPr>
        <w:spacing w:after="0" w:line="221" w:lineRule="exact"/>
        <w:rPr>
          <w:rFonts w:ascii="Arial" w:cs="Arial" w:eastAsia="Arial" w:hAnsi="Arial"/>
          <w:sz w:val="16"/>
          <w:szCs w:val="16"/>
          <w:color w:val="58595B"/>
        </w:rPr>
      </w:pPr>
    </w:p>
    <w:p>
      <w:pPr>
        <w:ind w:left="660" w:right="520" w:hanging="166"/>
        <w:spacing w:after="0" w:line="339" w:lineRule="auto"/>
        <w:tabs>
          <w:tab w:leader="none" w:pos="622"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Alignment of annual and long-term incentives to ensure that the awards encourage consistent behaviors and achievable performance results, without encouraging excessive or unnecessary risk-taking;</w:t>
      </w:r>
    </w:p>
    <w:p>
      <w:pPr>
        <w:spacing w:after="0" w:line="101" w:lineRule="exact"/>
        <w:rPr>
          <w:rFonts w:ascii="Arial" w:cs="Arial" w:eastAsia="Arial" w:hAnsi="Arial"/>
          <w:sz w:val="16"/>
          <w:szCs w:val="16"/>
          <w:color w:val="58595B"/>
        </w:rPr>
      </w:pPr>
    </w:p>
    <w:p>
      <w:pPr>
        <w:ind w:left="620" w:hanging="126"/>
        <w:spacing w:after="0"/>
        <w:tabs>
          <w:tab w:leader="none" w:pos="620"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Ability to use non-financial and other qualitative performance factors in determining actual compensation payouts;</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Use of equity awards that vest over time, discouraging excessive or unnecessary risk-taking by senior leadership;</w:t>
      </w:r>
    </w:p>
    <w:p>
      <w:pPr>
        <w:spacing w:after="0" w:line="207" w:lineRule="exact"/>
        <w:rPr>
          <w:rFonts w:ascii="Arial" w:cs="Arial" w:eastAsia="Arial" w:hAnsi="Arial"/>
          <w:sz w:val="16"/>
          <w:szCs w:val="16"/>
          <w:color w:val="58595B"/>
        </w:rPr>
      </w:pPr>
    </w:p>
    <w:p>
      <w:pPr>
        <w:ind w:left="660" w:right="320" w:hanging="166"/>
        <w:spacing w:after="0" w:line="356" w:lineRule="auto"/>
        <w:tabs>
          <w:tab w:leader="none" w:pos="622"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The provision of senior executives with long-term equity-based compensation on an annual basis. We believe as executives accumulate awards over a period of time, they are encouraged to take actions that promote the long-term sustainability of our business;</w:t>
      </w:r>
    </w:p>
    <w:p>
      <w:pPr>
        <w:spacing w:after="0" w:line="88" w:lineRule="exact"/>
        <w:rPr>
          <w:rFonts w:ascii="Arial" w:cs="Arial" w:eastAsia="Arial" w:hAnsi="Arial"/>
          <w:sz w:val="16"/>
          <w:szCs w:val="16"/>
          <w:color w:val="58595B"/>
        </w:rPr>
      </w:pPr>
    </w:p>
    <w:p>
      <w:pPr>
        <w:ind w:left="660" w:right="740" w:hanging="166"/>
        <w:spacing w:after="0" w:line="339" w:lineRule="auto"/>
        <w:tabs>
          <w:tab w:leader="none" w:pos="622"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spacing w:after="0" w:line="114" w:lineRule="exact"/>
        <w:rPr>
          <w:rFonts w:ascii="Arial" w:cs="Arial" w:eastAsia="Arial" w:hAnsi="Arial"/>
          <w:sz w:val="16"/>
          <w:szCs w:val="16"/>
          <w:color w:val="58595B"/>
        </w:rPr>
      </w:pPr>
    </w:p>
    <w:p>
      <w:pPr>
        <w:ind w:left="620" w:hanging="126"/>
        <w:spacing w:after="0"/>
        <w:tabs>
          <w:tab w:leader="none" w:pos="620" w:val="left"/>
        </w:tabs>
        <w:numPr>
          <w:ilvl w:val="0"/>
          <w:numId w:val="26"/>
        </w:numPr>
        <w:rPr>
          <w:rFonts w:ascii="Arial" w:cs="Arial" w:eastAsia="Arial" w:hAnsi="Arial"/>
          <w:sz w:val="16"/>
          <w:szCs w:val="16"/>
          <w:color w:val="58595B"/>
        </w:rPr>
      </w:pPr>
      <w:r>
        <w:rPr>
          <w:rFonts w:ascii="Arial" w:cs="Arial" w:eastAsia="Arial" w:hAnsi="Arial"/>
          <w:sz w:val="16"/>
          <w:szCs w:val="16"/>
          <w:color w:val="58595B"/>
        </w:rPr>
        <w:t>Systems and processes in place to identify and assess risk.</w:t>
      </w:r>
    </w:p>
    <w:p>
      <w:pPr>
        <w:spacing w:after="0" w:line="208"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58595B"/>
        </w:rPr>
        <w:t>Our Compensation Committee considered the implications of our compensation practices during its deliberations on the design of our 2024 executive compensation programs, with the goal of appropriately balancing short-term incentives and long-term performance, in order to appropriately address risk.</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9845"/>
        </w:rPr>
        <w:t>Director Attendance At Annual Meetings</w:t>
      </w:r>
    </w:p>
    <w:p>
      <w:pPr>
        <w:spacing w:after="0" w:line="193"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8595B"/>
        </w:rPr>
        <w:t>It is our policy to encourage our directors to attend the annual meeting of stockholders. All of our directors who served at the time of the prior year’s annual meeting of stockholders, and who were also director nominees at such meeting, attended last year’s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009845"/>
        </w:rPr>
        <w:t>Communications With The Board</w:t>
      </w:r>
    </w:p>
    <w:p>
      <w:pPr>
        <w:spacing w:after="0" w:line="19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Stockholders may communicate with our Board, any of its constituent committees or any member thereof by means of a letter addressed to the Board,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36"/>
          <w:szCs w:val="36"/>
          <w:color w:val="009845"/>
        </w:rPr>
        <w:t>DIRECTOR COMPENSATION</w:t>
      </w:r>
    </w:p>
    <w:p>
      <w:pPr>
        <w:spacing w:after="0" w:line="200" w:lineRule="exact"/>
        <w:rPr>
          <w:sz w:val="20"/>
          <w:szCs w:val="20"/>
          <w:color w:val="auto"/>
        </w:rPr>
      </w:pPr>
    </w:p>
    <w:p>
      <w:pPr>
        <w:spacing w:after="0" w:line="22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58595B"/>
        </w:rPr>
        <w:t>The Board believes that providing competitive compensation is necessary to attract and retain qualified non-employee directors. The key components of non-employee director compensation are an annual equity grant and an annual retainer.</w:t>
      </w:r>
    </w:p>
    <w:p>
      <w:pPr>
        <w:spacing w:after="0" w:line="115"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58595B"/>
        </w:rPr>
        <w:t>The compensation of directors during 2023 was for the compensation payable during the period beginning with the Company’s 2023 Annual Meeting of Stockholders on May 12, 2023 and ending with the Company’s 2024 Annual Meeting of Stockholders on May 9, 2024.</w:t>
      </w:r>
    </w:p>
    <w:p>
      <w:pPr>
        <w:spacing w:after="0" w:line="115"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The Compensation Committee annually reviews compensation paid to non-employee directors and makes adjustments, as appropriate. In December 2022, the Compensation Committee reviewed the compensation structure for non-employee directors, considered advice from its independent compensation consultant and approved: (i) an increase to the annual equity grant to all independent directors by $15,000 (from $205,000 to $220,000), (ii) an increase to the cash retainer paid to all non-executive directors by $5,000 (from $75,000 to $80,000) and (iii) an increase to the cash fee paid to the Presiding Director by $5,000 (from $25,000 to $30,000). These increases, which took effect for the compensation period beginning with the Company's 2023 Annual Meeting of Stockholders, were designed to elevate total director remuneration from below the market median to a level more closely aligned with the market median for the peer group of the Company.</w:t>
      </w:r>
    </w:p>
    <w:p>
      <w:pPr>
        <w:spacing w:after="0" w:line="127"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As compensation for their service during the period beginning with the Company’s 2023 Annual Meeting of Stockholders, non-employee directors received an annual equity grant in the form of restricted stock with a fair market value on the date of grant of $220,000 (or $270,000 for the Chairman). Directors were slated to receive an annual retainer of $80,000,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$30,000 for the Presiding Director and (6) $75,000 for the Chairman.</w:t>
      </w:r>
    </w:p>
    <w:p>
      <w:pPr>
        <w:spacing w:after="0" w:line="135"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58595B"/>
        </w:rPr>
        <w:t>The Company pays reasonable travel and out-of-pocket expenses incurred by non-employee directors in connection with attendance at meetings to transact business of the Company or attendance at meetings of the Board or any committee thereof.</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details of the total compensation for non-employee directors in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shd w:val="clear" w:color="auto" w:fill="009845"/>
          </w:tcPr>
          <w:p>
            <w:pPr>
              <w:spacing w:after="0"/>
              <w:rPr>
                <w:sz w:val="16"/>
                <w:szCs w:val="16"/>
                <w:color w:val="auto"/>
              </w:rPr>
            </w:pPr>
          </w:p>
        </w:tc>
        <w:tc>
          <w:tcPr>
            <w:tcW w:w="1460" w:type="dxa"/>
            <w:vAlign w:val="bottom"/>
            <w:shd w:val="clear" w:color="auto" w:fill="009845"/>
          </w:tcPr>
          <w:p>
            <w:pPr>
              <w:ind w:left="180"/>
              <w:spacing w:after="0"/>
              <w:rPr>
                <w:sz w:val="20"/>
                <w:szCs w:val="20"/>
                <w:color w:val="auto"/>
              </w:rPr>
            </w:pPr>
            <w:r>
              <w:rPr>
                <w:rFonts w:ascii="Arial" w:cs="Arial" w:eastAsia="Arial" w:hAnsi="Arial"/>
                <w:sz w:val="14"/>
                <w:szCs w:val="14"/>
                <w:b w:val="1"/>
                <w:bCs w:val="1"/>
                <w:color w:val="FFFFFF"/>
              </w:rPr>
              <w:t>Fees Earned or</w:t>
            </w:r>
          </w:p>
        </w:tc>
        <w:tc>
          <w:tcPr>
            <w:tcW w:w="1340" w:type="dxa"/>
            <w:vAlign w:val="bottom"/>
            <w:shd w:val="clear" w:color="auto" w:fill="009845"/>
          </w:tcPr>
          <w:p>
            <w:pPr>
              <w:ind w:left="440"/>
              <w:spacing w:after="0"/>
              <w:rPr>
                <w:sz w:val="20"/>
                <w:szCs w:val="20"/>
                <w:color w:val="auto"/>
              </w:rPr>
            </w:pPr>
            <w:r>
              <w:rPr>
                <w:rFonts w:ascii="Arial" w:cs="Arial" w:eastAsia="Arial" w:hAnsi="Arial"/>
                <w:sz w:val="14"/>
                <w:szCs w:val="14"/>
                <w:b w:val="1"/>
                <w:bCs w:val="1"/>
                <w:color w:val="FFFFFF"/>
              </w:rPr>
              <w:t>Stock</w:t>
            </w:r>
          </w:p>
        </w:tc>
        <w:tc>
          <w:tcPr>
            <w:tcW w:w="1380" w:type="dxa"/>
            <w:vAlign w:val="bottom"/>
            <w:shd w:val="clear" w:color="auto" w:fill="009845"/>
          </w:tcPr>
          <w:p>
            <w:pPr>
              <w:ind w:left="480"/>
              <w:spacing w:after="0"/>
              <w:rPr>
                <w:sz w:val="20"/>
                <w:szCs w:val="20"/>
                <w:color w:val="auto"/>
              </w:rPr>
            </w:pPr>
            <w:r>
              <w:rPr>
                <w:rFonts w:ascii="Arial" w:cs="Arial" w:eastAsia="Arial" w:hAnsi="Arial"/>
                <w:sz w:val="14"/>
                <w:szCs w:val="14"/>
                <w:b w:val="1"/>
                <w:bCs w:val="1"/>
                <w:color w:val="FFFFFF"/>
              </w:rPr>
              <w:t>Option</w:t>
            </w:r>
          </w:p>
        </w:tc>
        <w:tc>
          <w:tcPr>
            <w:tcW w:w="1560" w:type="dxa"/>
            <w:vAlign w:val="bottom"/>
            <w:shd w:val="clear" w:color="auto" w:fill="009845"/>
          </w:tcPr>
          <w:p>
            <w:pPr>
              <w:jc w:val="center"/>
              <w:ind w:right="28"/>
              <w:spacing w:after="0"/>
              <w:rPr>
                <w:sz w:val="20"/>
                <w:szCs w:val="20"/>
                <w:color w:val="auto"/>
              </w:rPr>
            </w:pPr>
            <w:r>
              <w:rPr>
                <w:rFonts w:ascii="Arial" w:cs="Arial" w:eastAsia="Arial" w:hAnsi="Arial"/>
                <w:sz w:val="14"/>
                <w:szCs w:val="14"/>
                <w:b w:val="1"/>
                <w:bCs w:val="1"/>
                <w:color w:val="FFFFFF"/>
              </w:rPr>
              <w:t>All Other</w:t>
            </w:r>
          </w:p>
        </w:tc>
        <w:tc>
          <w:tcPr>
            <w:tcW w:w="1280" w:type="dxa"/>
            <w:vAlign w:val="bottom"/>
            <w:vMerge w:val="restart"/>
            <w:shd w:val="clear" w:color="auto" w:fill="009845"/>
          </w:tcPr>
          <w:p>
            <w:pPr>
              <w:ind w:left="4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4100" w:type="dxa"/>
            <w:vAlign w:val="bottom"/>
            <w:shd w:val="clear" w:color="auto" w:fill="009845"/>
          </w:tcPr>
          <w:p>
            <w:pPr>
              <w:spacing w:after="0"/>
              <w:rPr>
                <w:sz w:val="14"/>
                <w:szCs w:val="14"/>
                <w:color w:val="auto"/>
              </w:rPr>
            </w:pPr>
          </w:p>
        </w:tc>
        <w:tc>
          <w:tcPr>
            <w:tcW w:w="1460" w:type="dxa"/>
            <w:vAlign w:val="bottom"/>
            <w:shd w:val="clear" w:color="auto" w:fill="009845"/>
          </w:tcPr>
          <w:p>
            <w:pPr>
              <w:ind w:left="160"/>
              <w:spacing w:after="0"/>
              <w:rPr>
                <w:sz w:val="20"/>
                <w:szCs w:val="20"/>
                <w:color w:val="auto"/>
              </w:rPr>
            </w:pPr>
            <w:r>
              <w:rPr>
                <w:rFonts w:ascii="Arial" w:cs="Arial" w:eastAsia="Arial" w:hAnsi="Arial"/>
                <w:sz w:val="14"/>
                <w:szCs w:val="14"/>
                <w:b w:val="1"/>
                <w:bCs w:val="1"/>
                <w:color w:val="FFFFFF"/>
              </w:rPr>
              <w:t>Paid in Cash(1)</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Awards(2)(3)</w:t>
            </w:r>
          </w:p>
        </w:tc>
        <w:tc>
          <w:tcPr>
            <w:tcW w:w="13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Awards(4)(5)</w:t>
            </w:r>
          </w:p>
        </w:tc>
        <w:tc>
          <w:tcPr>
            <w:tcW w:w="156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Compensation</w:t>
            </w:r>
          </w:p>
        </w:tc>
        <w:tc>
          <w:tcPr>
            <w:tcW w:w="1280" w:type="dxa"/>
            <w:vAlign w:val="bottom"/>
            <w:vMerge w:val="continue"/>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w w:val="93"/>
              </w:rPr>
              <w:t>($)</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09845"/>
          </w:tcPr>
          <w:p>
            <w:pPr>
              <w:jc w:val="center"/>
              <w:ind w:right="28"/>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9"/>
        </w:trPr>
        <w:tc>
          <w:tcPr>
            <w:tcW w:w="4100" w:type="dxa"/>
            <w:vAlign w:val="bottom"/>
            <w:shd w:val="clear" w:color="auto" w:fill="009845"/>
          </w:tcPr>
          <w:p>
            <w:pPr>
              <w:spacing w:after="0"/>
              <w:rPr>
                <w:sz w:val="6"/>
                <w:szCs w:val="6"/>
                <w:color w:val="auto"/>
              </w:rPr>
            </w:pPr>
          </w:p>
        </w:tc>
        <w:tc>
          <w:tcPr>
            <w:tcW w:w="1460" w:type="dxa"/>
            <w:vAlign w:val="bottom"/>
            <w:shd w:val="clear" w:color="auto" w:fill="009845"/>
          </w:tcPr>
          <w:p>
            <w:pPr>
              <w:spacing w:after="0"/>
              <w:rPr>
                <w:sz w:val="6"/>
                <w:szCs w:val="6"/>
                <w:color w:val="auto"/>
              </w:rPr>
            </w:pPr>
          </w:p>
        </w:tc>
        <w:tc>
          <w:tcPr>
            <w:tcW w:w="1340" w:type="dxa"/>
            <w:vAlign w:val="bottom"/>
            <w:shd w:val="clear" w:color="auto" w:fill="009845"/>
          </w:tcPr>
          <w:p>
            <w:pPr>
              <w:spacing w:after="0"/>
              <w:rPr>
                <w:sz w:val="6"/>
                <w:szCs w:val="6"/>
                <w:color w:val="auto"/>
              </w:rPr>
            </w:pPr>
          </w:p>
        </w:tc>
        <w:tc>
          <w:tcPr>
            <w:tcW w:w="1380" w:type="dxa"/>
            <w:vAlign w:val="bottom"/>
            <w:shd w:val="clear" w:color="auto" w:fill="009845"/>
          </w:tcPr>
          <w:p>
            <w:pPr>
              <w:spacing w:after="0"/>
              <w:rPr>
                <w:sz w:val="6"/>
                <w:szCs w:val="6"/>
                <w:color w:val="auto"/>
              </w:rPr>
            </w:pPr>
          </w:p>
        </w:tc>
        <w:tc>
          <w:tcPr>
            <w:tcW w:w="1560" w:type="dxa"/>
            <w:vAlign w:val="bottom"/>
            <w:shd w:val="clear" w:color="auto" w:fill="009845"/>
          </w:tcPr>
          <w:p>
            <w:pPr>
              <w:spacing w:after="0"/>
              <w:rPr>
                <w:sz w:val="6"/>
                <w:szCs w:val="6"/>
                <w:color w:val="auto"/>
              </w:rPr>
            </w:pPr>
          </w:p>
        </w:tc>
        <w:tc>
          <w:tcPr>
            <w:tcW w:w="128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4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46,250</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260,063</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306,313</w:t>
            </w:r>
          </w:p>
        </w:tc>
        <w:tc>
          <w:tcPr>
            <w:tcW w:w="0" w:type="dxa"/>
            <w:vAlign w:val="bottom"/>
          </w:tcPr>
          <w:p>
            <w:pPr>
              <w:spacing w:after="0"/>
              <w:rPr>
                <w:sz w:val="1"/>
                <w:szCs w:val="1"/>
                <w:color w:val="auto"/>
              </w:rPr>
            </w:pPr>
          </w:p>
        </w:tc>
      </w:tr>
      <w:tr>
        <w:trPr>
          <w:trHeight w:val="222"/>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460" w:type="dxa"/>
            <w:vAlign w:val="bottom"/>
          </w:tcPr>
          <w:p>
            <w:pPr>
              <w:jc w:val="center"/>
              <w:spacing w:after="0"/>
              <w:rPr>
                <w:sz w:val="20"/>
                <w:szCs w:val="20"/>
                <w:color w:val="auto"/>
              </w:rPr>
            </w:pPr>
            <w:r>
              <w:rPr>
                <w:rFonts w:ascii="Arial" w:cs="Arial" w:eastAsia="Arial" w:hAnsi="Arial"/>
                <w:sz w:val="14"/>
                <w:szCs w:val="14"/>
                <w:color w:val="58595B"/>
              </w:rPr>
              <w:t>40,000</w:t>
            </w:r>
          </w:p>
        </w:tc>
        <w:tc>
          <w:tcPr>
            <w:tcW w:w="1340" w:type="dxa"/>
            <w:vAlign w:val="bottom"/>
          </w:tcPr>
          <w:p>
            <w:pPr>
              <w:jc w:val="center"/>
              <w:spacing w:after="0"/>
              <w:rPr>
                <w:sz w:val="20"/>
                <w:szCs w:val="20"/>
                <w:color w:val="auto"/>
              </w:rPr>
            </w:pPr>
            <w:r>
              <w:rPr>
                <w:rFonts w:ascii="Arial" w:cs="Arial" w:eastAsia="Arial" w:hAnsi="Arial"/>
                <w:sz w:val="14"/>
                <w:szCs w:val="14"/>
                <w:color w:val="58595B"/>
              </w:rPr>
              <w:t>220,038</w:t>
            </w:r>
          </w:p>
        </w:tc>
        <w:tc>
          <w:tcPr>
            <w:tcW w:w="1380" w:type="dxa"/>
            <w:vAlign w:val="bottom"/>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tcPr>
          <w:p>
            <w:pPr>
              <w:jc w:val="center"/>
              <w:ind w:right="48"/>
              <w:spacing w:after="0"/>
              <w:rPr>
                <w:sz w:val="20"/>
                <w:szCs w:val="20"/>
                <w:color w:val="auto"/>
              </w:rPr>
            </w:pPr>
            <w:r>
              <w:rPr>
                <w:rFonts w:ascii="Arial" w:cs="Arial" w:eastAsia="Arial" w:hAnsi="Arial"/>
                <w:sz w:val="14"/>
                <w:szCs w:val="14"/>
                <w:color w:val="58595B"/>
              </w:rPr>
              <w:t>260,038</w:t>
            </w:r>
          </w:p>
        </w:tc>
        <w:tc>
          <w:tcPr>
            <w:tcW w:w="0" w:type="dxa"/>
            <w:vAlign w:val="bottom"/>
          </w:tcPr>
          <w:p>
            <w:pPr>
              <w:spacing w:after="0"/>
              <w:rPr>
                <w:sz w:val="1"/>
                <w:szCs w:val="1"/>
                <w:color w:val="auto"/>
              </w:rPr>
            </w:pPr>
          </w:p>
        </w:tc>
      </w:tr>
      <w:tr>
        <w:trPr>
          <w:trHeight w:val="237"/>
        </w:trPr>
        <w:tc>
          <w:tcPr>
            <w:tcW w:w="41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14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152,500</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270,020</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422,520</w:t>
            </w:r>
          </w:p>
        </w:tc>
        <w:tc>
          <w:tcPr>
            <w:tcW w:w="0" w:type="dxa"/>
            <w:vAlign w:val="bottom"/>
          </w:tcPr>
          <w:p>
            <w:pPr>
              <w:spacing w:after="0"/>
              <w:rPr>
                <w:sz w:val="1"/>
                <w:szCs w:val="1"/>
                <w:color w:val="auto"/>
              </w:rPr>
            </w:pPr>
          </w:p>
        </w:tc>
      </w:tr>
      <w:tr>
        <w:trPr>
          <w:trHeight w:val="222"/>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Jeffrey A. Graves, Ph.D. (6)</w:t>
            </w:r>
          </w:p>
        </w:tc>
        <w:tc>
          <w:tcPr>
            <w:tcW w:w="1460" w:type="dxa"/>
            <w:vAlign w:val="bottom"/>
          </w:tcPr>
          <w:p>
            <w:pPr>
              <w:jc w:val="center"/>
              <w:spacing w:after="0"/>
              <w:rPr>
                <w:sz w:val="20"/>
                <w:szCs w:val="20"/>
                <w:color w:val="auto"/>
              </w:rPr>
            </w:pPr>
            <w:r>
              <w:rPr>
                <w:rFonts w:ascii="Arial" w:cs="Arial" w:eastAsia="Arial" w:hAnsi="Arial"/>
                <w:sz w:val="14"/>
                <w:szCs w:val="14"/>
                <w:color w:val="58595B"/>
              </w:rPr>
              <w:t>—</w:t>
            </w:r>
          </w:p>
        </w:tc>
        <w:tc>
          <w:tcPr>
            <w:tcW w:w="1340" w:type="dxa"/>
            <w:vAlign w:val="bottom"/>
          </w:tcPr>
          <w:p>
            <w:pPr>
              <w:jc w:val="center"/>
              <w:spacing w:after="0"/>
              <w:rPr>
                <w:sz w:val="20"/>
                <w:szCs w:val="20"/>
                <w:color w:val="auto"/>
              </w:rPr>
            </w:pPr>
            <w:r>
              <w:rPr>
                <w:rFonts w:ascii="Arial" w:cs="Arial" w:eastAsia="Arial" w:hAnsi="Arial"/>
                <w:sz w:val="14"/>
                <w:szCs w:val="14"/>
                <w:color w:val="58595B"/>
              </w:rPr>
              <w:t>90,679</w:t>
            </w:r>
          </w:p>
        </w:tc>
        <w:tc>
          <w:tcPr>
            <w:tcW w:w="1380" w:type="dxa"/>
            <w:vAlign w:val="bottom"/>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tcPr>
          <w:p>
            <w:pPr>
              <w:jc w:val="center"/>
              <w:ind w:right="48"/>
              <w:spacing w:after="0"/>
              <w:rPr>
                <w:sz w:val="20"/>
                <w:szCs w:val="20"/>
                <w:color w:val="auto"/>
              </w:rPr>
            </w:pPr>
            <w:r>
              <w:rPr>
                <w:rFonts w:ascii="Arial" w:cs="Arial" w:eastAsia="Arial" w:hAnsi="Arial"/>
                <w:sz w:val="14"/>
                <w:szCs w:val="14"/>
                <w:color w:val="58595B"/>
              </w:rPr>
              <w:t>90,679</w:t>
            </w:r>
          </w:p>
        </w:tc>
        <w:tc>
          <w:tcPr>
            <w:tcW w:w="0" w:type="dxa"/>
            <w:vAlign w:val="bottom"/>
          </w:tcPr>
          <w:p>
            <w:pPr>
              <w:spacing w:after="0"/>
              <w:rPr>
                <w:sz w:val="1"/>
                <w:szCs w:val="1"/>
                <w:color w:val="auto"/>
              </w:rPr>
            </w:pPr>
          </w:p>
        </w:tc>
      </w:tr>
      <w:tr>
        <w:trPr>
          <w:trHeight w:val="237"/>
        </w:trPr>
        <w:tc>
          <w:tcPr>
            <w:tcW w:w="41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Barbara B. Hill</w:t>
            </w:r>
          </w:p>
        </w:tc>
        <w:tc>
          <w:tcPr>
            <w:tcW w:w="14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42,500</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300,039</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342,539</w:t>
            </w:r>
          </w:p>
        </w:tc>
        <w:tc>
          <w:tcPr>
            <w:tcW w:w="0" w:type="dxa"/>
            <w:vAlign w:val="bottom"/>
          </w:tcPr>
          <w:p>
            <w:pPr>
              <w:spacing w:after="0"/>
              <w:rPr>
                <w:sz w:val="1"/>
                <w:szCs w:val="1"/>
                <w:color w:val="auto"/>
              </w:rPr>
            </w:pPr>
          </w:p>
        </w:tc>
      </w:tr>
      <w:tr>
        <w:trPr>
          <w:trHeight w:val="222"/>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Renee W. Lo</w:t>
            </w:r>
          </w:p>
        </w:tc>
        <w:tc>
          <w:tcPr>
            <w:tcW w:w="1460" w:type="dxa"/>
            <w:vAlign w:val="bottom"/>
          </w:tcPr>
          <w:p>
            <w:pPr>
              <w:jc w:val="center"/>
              <w:spacing w:after="0"/>
              <w:rPr>
                <w:sz w:val="20"/>
                <w:szCs w:val="20"/>
                <w:color w:val="auto"/>
              </w:rPr>
            </w:pPr>
            <w:r>
              <w:rPr>
                <w:rFonts w:ascii="Arial" w:cs="Arial" w:eastAsia="Arial" w:hAnsi="Arial"/>
                <w:sz w:val="14"/>
                <w:szCs w:val="14"/>
                <w:color w:val="58595B"/>
              </w:rPr>
              <w:t>77,500</w:t>
            </w:r>
          </w:p>
        </w:tc>
        <w:tc>
          <w:tcPr>
            <w:tcW w:w="1340" w:type="dxa"/>
            <w:vAlign w:val="bottom"/>
          </w:tcPr>
          <w:p>
            <w:pPr>
              <w:jc w:val="center"/>
              <w:spacing w:after="0"/>
              <w:rPr>
                <w:sz w:val="20"/>
                <w:szCs w:val="20"/>
                <w:color w:val="auto"/>
              </w:rPr>
            </w:pPr>
            <w:r>
              <w:rPr>
                <w:rFonts w:ascii="Arial" w:cs="Arial" w:eastAsia="Arial" w:hAnsi="Arial"/>
                <w:sz w:val="14"/>
                <w:szCs w:val="14"/>
                <w:color w:val="58595B"/>
              </w:rPr>
              <w:t>220,038</w:t>
            </w:r>
          </w:p>
        </w:tc>
        <w:tc>
          <w:tcPr>
            <w:tcW w:w="1380" w:type="dxa"/>
            <w:vAlign w:val="bottom"/>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tcPr>
          <w:p>
            <w:pPr>
              <w:jc w:val="center"/>
              <w:ind w:right="48"/>
              <w:spacing w:after="0"/>
              <w:rPr>
                <w:sz w:val="20"/>
                <w:szCs w:val="20"/>
                <w:color w:val="auto"/>
              </w:rPr>
            </w:pPr>
            <w:r>
              <w:rPr>
                <w:rFonts w:ascii="Arial" w:cs="Arial" w:eastAsia="Arial" w:hAnsi="Arial"/>
                <w:sz w:val="14"/>
                <w:szCs w:val="14"/>
                <w:color w:val="58595B"/>
              </w:rPr>
              <w:t>297,538</w:t>
            </w:r>
          </w:p>
        </w:tc>
        <w:tc>
          <w:tcPr>
            <w:tcW w:w="0" w:type="dxa"/>
            <w:vAlign w:val="bottom"/>
          </w:tcPr>
          <w:p>
            <w:pPr>
              <w:spacing w:after="0"/>
              <w:rPr>
                <w:sz w:val="1"/>
                <w:szCs w:val="1"/>
                <w:color w:val="auto"/>
              </w:rPr>
            </w:pPr>
          </w:p>
        </w:tc>
      </w:tr>
      <w:tr>
        <w:trPr>
          <w:trHeight w:val="237"/>
        </w:trPr>
        <w:tc>
          <w:tcPr>
            <w:tcW w:w="41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4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77,500</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220,038</w:t>
            </w:r>
          </w:p>
        </w:tc>
        <w:tc>
          <w:tcPr>
            <w:tcW w:w="138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shd w:val="clear" w:color="auto" w:fill="EFEDED"/>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297,538</w:t>
            </w:r>
          </w:p>
        </w:tc>
        <w:tc>
          <w:tcPr>
            <w:tcW w:w="0" w:type="dxa"/>
            <w:vAlign w:val="bottom"/>
          </w:tcPr>
          <w:p>
            <w:pPr>
              <w:spacing w:after="0"/>
              <w:rPr>
                <w:sz w:val="1"/>
                <w:szCs w:val="1"/>
                <w:color w:val="auto"/>
              </w:rPr>
            </w:pPr>
          </w:p>
        </w:tc>
      </w:tr>
      <w:tr>
        <w:trPr>
          <w:trHeight w:val="222"/>
        </w:trPr>
        <w:tc>
          <w:tcPr>
            <w:tcW w:w="4100" w:type="dxa"/>
            <w:vAlign w:val="bottom"/>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460" w:type="dxa"/>
            <w:vAlign w:val="bottom"/>
          </w:tcPr>
          <w:p>
            <w:pPr>
              <w:jc w:val="center"/>
              <w:spacing w:after="0"/>
              <w:rPr>
                <w:sz w:val="20"/>
                <w:szCs w:val="20"/>
                <w:color w:val="auto"/>
              </w:rPr>
            </w:pPr>
            <w:r>
              <w:rPr>
                <w:rFonts w:ascii="Arial" w:cs="Arial" w:eastAsia="Arial" w:hAnsi="Arial"/>
                <w:sz w:val="14"/>
                <w:szCs w:val="14"/>
                <w:color w:val="58595B"/>
              </w:rPr>
              <w:t>73,242</w:t>
            </w:r>
          </w:p>
        </w:tc>
        <w:tc>
          <w:tcPr>
            <w:tcW w:w="1340" w:type="dxa"/>
            <w:vAlign w:val="bottom"/>
          </w:tcPr>
          <w:p>
            <w:pPr>
              <w:jc w:val="center"/>
              <w:spacing w:after="0"/>
              <w:rPr>
                <w:sz w:val="20"/>
                <w:szCs w:val="20"/>
                <w:color w:val="auto"/>
              </w:rPr>
            </w:pPr>
            <w:r>
              <w:rPr>
                <w:rFonts w:ascii="Arial" w:cs="Arial" w:eastAsia="Arial" w:hAnsi="Arial"/>
                <w:sz w:val="14"/>
                <w:szCs w:val="14"/>
                <w:color w:val="58595B"/>
              </w:rPr>
              <w:t>220,038</w:t>
            </w:r>
          </w:p>
        </w:tc>
        <w:tc>
          <w:tcPr>
            <w:tcW w:w="1380" w:type="dxa"/>
            <w:vAlign w:val="bottom"/>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tcPr>
          <w:p>
            <w:pPr>
              <w:jc w:val="center"/>
              <w:ind w:right="48"/>
              <w:spacing w:after="0"/>
              <w:rPr>
                <w:sz w:val="20"/>
                <w:szCs w:val="20"/>
                <w:color w:val="auto"/>
              </w:rPr>
            </w:pPr>
            <w:r>
              <w:rPr>
                <w:rFonts w:ascii="Arial" w:cs="Arial" w:eastAsia="Arial" w:hAnsi="Arial"/>
                <w:sz w:val="14"/>
                <w:szCs w:val="14"/>
                <w:color w:val="58595B"/>
              </w:rPr>
              <w:t>293,280</w:t>
            </w:r>
          </w:p>
        </w:tc>
        <w:tc>
          <w:tcPr>
            <w:tcW w:w="0" w:type="dxa"/>
            <w:vAlign w:val="bottom"/>
          </w:tcPr>
          <w:p>
            <w:pPr>
              <w:spacing w:after="0"/>
              <w:rPr>
                <w:sz w:val="1"/>
                <w:szCs w:val="1"/>
                <w:color w:val="auto"/>
              </w:rPr>
            </w:pPr>
          </w:p>
        </w:tc>
      </w:tr>
      <w:tr>
        <w:trPr>
          <w:trHeight w:val="231"/>
        </w:trPr>
        <w:tc>
          <w:tcPr>
            <w:tcW w:w="410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Donald E. Morel, Jr., Ph.D. (7)</w:t>
            </w:r>
          </w:p>
        </w:tc>
        <w:tc>
          <w:tcPr>
            <w:tcW w:w="14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45,000</w:t>
            </w:r>
          </w:p>
        </w:tc>
        <w:tc>
          <w:tcPr>
            <w:tcW w:w="134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38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9"/>
              </w:rPr>
              <w:t>—</w:t>
            </w:r>
          </w:p>
        </w:tc>
        <w:tc>
          <w:tcPr>
            <w:tcW w:w="1560" w:type="dxa"/>
            <w:vAlign w:val="bottom"/>
            <w:tcBorders>
              <w:bottom w:val="single" w:sz="8" w:color="58595B"/>
            </w:tcBorders>
            <w:shd w:val="clear" w:color="auto" w:fill="EFEDED"/>
          </w:tcPr>
          <w:p>
            <w:pPr>
              <w:jc w:val="center"/>
              <w:ind w:right="28"/>
              <w:spacing w:after="0"/>
              <w:rPr>
                <w:sz w:val="20"/>
                <w:szCs w:val="20"/>
                <w:color w:val="auto"/>
              </w:rPr>
            </w:pPr>
            <w:r>
              <w:rPr>
                <w:rFonts w:ascii="Arial" w:cs="Arial" w:eastAsia="Arial" w:hAnsi="Arial"/>
                <w:sz w:val="14"/>
                <w:szCs w:val="14"/>
                <w:color w:val="58595B"/>
                <w:w w:val="99"/>
              </w:rPr>
              <w:t>—</w:t>
            </w:r>
          </w:p>
        </w:tc>
        <w:tc>
          <w:tcPr>
            <w:tcW w:w="1280" w:type="dxa"/>
            <w:vAlign w:val="bottom"/>
            <w:tcBorders>
              <w:bottom w:val="single" w:sz="8" w:color="58595B"/>
            </w:tcBorders>
            <w:shd w:val="clear" w:color="auto" w:fill="EFEDED"/>
          </w:tcPr>
          <w:p>
            <w:pPr>
              <w:jc w:val="center"/>
              <w:ind w:right="48"/>
              <w:spacing w:after="0"/>
              <w:rPr>
                <w:sz w:val="20"/>
                <w:szCs w:val="20"/>
                <w:color w:val="auto"/>
              </w:rPr>
            </w:pPr>
            <w:r>
              <w:rPr>
                <w:rFonts w:ascii="Arial" w:cs="Arial" w:eastAsia="Arial" w:hAnsi="Arial"/>
                <w:sz w:val="14"/>
                <w:szCs w:val="14"/>
                <w:color w:val="58595B"/>
              </w:rPr>
              <w:t>45,000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0" w:hanging="332"/>
        <w:spacing w:after="0" w:line="285"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Fees earned or paid in cash includes the annual retainer awarded to directors. The annual retainer is payable in one of three ways, at the election of each director: (1) in cash, (2) in restricted stock, or (3) one half in cash and one half in restricted stock.</w:t>
      </w:r>
    </w:p>
    <w:p>
      <w:pPr>
        <w:spacing w:after="0" w:line="9" w:lineRule="exact"/>
        <w:rPr>
          <w:rFonts w:ascii="Arial" w:cs="Arial" w:eastAsia="Arial" w:hAnsi="Arial"/>
          <w:sz w:val="14"/>
          <w:szCs w:val="14"/>
          <w:color w:val="auto"/>
        </w:rPr>
      </w:pPr>
    </w:p>
    <w:p>
      <w:pPr>
        <w:ind w:left="340" w:hanging="332"/>
        <w:spacing w:after="0" w:line="305"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28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009845"/>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400" w:hanging="332"/>
        <w:spacing w:after="0" w:line="281"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Stock awards outstanding as of December 31, 2023 for each incumbent director consisted of restricted shares of common stock, as follows: Keith Bradley — 5,302; Shaundra D. Clay — 4,486; Stuart M. Essig — 5,505; Jeffrey A. Graves — 2,216; Barbara B. Hill — 6,117; Renee W. Lo — 4,486; Raymond G. Murphy — 4,486; and Christian S. Schade — 4,486.</w:t>
      </w:r>
    </w:p>
    <w:p>
      <w:pPr>
        <w:spacing w:after="0" w:line="1" w:lineRule="exact"/>
        <w:rPr>
          <w:rFonts w:ascii="Arial" w:cs="Arial" w:eastAsia="Arial" w:hAnsi="Arial"/>
          <w:sz w:val="14"/>
          <w:szCs w:val="14"/>
          <w:color w:val="auto"/>
        </w:rPr>
      </w:pPr>
    </w:p>
    <w:p>
      <w:pPr>
        <w:ind w:left="340" w:right="40" w:hanging="332"/>
        <w:spacing w:after="0" w:line="283"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9, “Stock-Based Compensation,” to our consolidated financial statements included in our Annual Report on Form 10-K for the year ended December 31, 2023.</w:t>
      </w:r>
    </w:p>
    <w:p>
      <w:pPr>
        <w:spacing w:after="0" w:line="10"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December 31, 2023, there were no outstanding stock option awards held by any of our directors.</w:t>
      </w:r>
    </w:p>
    <w:p>
      <w:pPr>
        <w:spacing w:after="0" w:line="68" w:lineRule="exact"/>
        <w:rPr>
          <w:rFonts w:ascii="Arial" w:cs="Arial" w:eastAsia="Arial" w:hAnsi="Arial"/>
          <w:sz w:val="14"/>
          <w:szCs w:val="14"/>
          <w:color w:val="auto"/>
        </w:rPr>
      </w:pPr>
    </w:p>
    <w:p>
      <w:pPr>
        <w:ind w:left="340" w:right="380" w:hanging="332"/>
        <w:spacing w:after="0" w:line="285"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Graves was appointed to the Board on December 12, 2023. The amounts above includes the payment to Mr. Graves of the 2023 annual retainer and 2023 annual equity grant, pro-rated, in each case, based on his appointment as of December 12, 2023.</w:t>
      </w:r>
    </w:p>
    <w:p>
      <w:pPr>
        <w:spacing w:after="0" w:line="9" w:lineRule="exact"/>
        <w:rPr>
          <w:rFonts w:ascii="Arial" w:cs="Arial" w:eastAsia="Arial" w:hAnsi="Arial"/>
          <w:sz w:val="14"/>
          <w:szCs w:val="14"/>
          <w:color w:val="auto"/>
        </w:rPr>
      </w:pPr>
    </w:p>
    <w:p>
      <w:pPr>
        <w:ind w:left="340" w:right="60" w:hanging="332"/>
        <w:spacing w:after="0" w:line="305"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Dr. Morel was a member of our Board from 2013 through May 2023. Dr. Morel did not stand for re-election at the 2023 annual meeting of stockholders and ceased to serve as a director following the conclusion of such meeting.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29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36"/>
          <w:szCs w:val="36"/>
          <w:color w:val="009845"/>
        </w:rPr>
        <w:t>INFORMATION ABOUT EXECUTIVE OFFICERS</w:t>
      </w:r>
    </w:p>
    <w:p>
      <w:pPr>
        <w:spacing w:after="0" w:line="200" w:lineRule="exact"/>
        <w:rPr>
          <w:sz w:val="20"/>
          <w:szCs w:val="20"/>
          <w:color w:val="auto"/>
        </w:rPr>
      </w:pPr>
    </w:p>
    <w:p>
      <w:pPr>
        <w:spacing w:after="0" w:line="220"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Executive officers are chosen by and serve at the discretion of the Board. Set forth below is the name, age, position, along with certain biographical information for our executive officers, not including Jan De Witte, our President and Chief Executive Officer and Dr. Essig, our Executive Chairman. For Mr. De Witte's biographical information, please see page 11 of this proxy statement. For Dr. Essig's biographical information, please see page 12 of this proxy statement.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009845"/>
          </w:tcPr>
          <w:p>
            <w:pPr>
              <w:jc w:val="center"/>
              <w:ind w:left="28"/>
              <w:spacing w:after="0"/>
              <w:rPr>
                <w:sz w:val="20"/>
                <w:szCs w:val="20"/>
                <w:color w:val="auto"/>
              </w:rPr>
            </w:pPr>
            <w:r>
              <w:rPr>
                <w:rFonts w:ascii="Arial" w:cs="Arial" w:eastAsia="Arial" w:hAnsi="Arial"/>
                <w:sz w:val="14"/>
                <w:szCs w:val="14"/>
                <w:b w:val="1"/>
                <w:bCs w:val="1"/>
                <w:color w:val="FFFFFF"/>
                <w:w w:val="98"/>
              </w:rPr>
              <w:t>Age</w:t>
            </w:r>
          </w:p>
        </w:tc>
        <w:tc>
          <w:tcPr>
            <w:tcW w:w="79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r>
      <w:tr>
        <w:trPr>
          <w:trHeight w:val="67"/>
        </w:trPr>
        <w:tc>
          <w:tcPr>
            <w:tcW w:w="2760" w:type="dxa"/>
            <w:vAlign w:val="bottom"/>
            <w:shd w:val="clear" w:color="auto" w:fill="009845"/>
          </w:tcPr>
          <w:p>
            <w:pPr>
              <w:spacing w:after="0"/>
              <w:rPr>
                <w:sz w:val="5"/>
                <w:szCs w:val="5"/>
                <w:color w:val="auto"/>
              </w:rPr>
            </w:pPr>
          </w:p>
        </w:tc>
        <w:tc>
          <w:tcPr>
            <w:tcW w:w="560" w:type="dxa"/>
            <w:vAlign w:val="bottom"/>
            <w:shd w:val="clear" w:color="auto" w:fill="009845"/>
          </w:tcPr>
          <w:p>
            <w:pPr>
              <w:spacing w:after="0"/>
              <w:rPr>
                <w:sz w:val="5"/>
                <w:szCs w:val="5"/>
                <w:color w:val="auto"/>
              </w:rPr>
            </w:pPr>
          </w:p>
        </w:tc>
        <w:tc>
          <w:tcPr>
            <w:tcW w:w="7920" w:type="dxa"/>
            <w:vAlign w:val="bottom"/>
            <w:shd w:val="clear" w:color="auto" w:fill="009845"/>
          </w:tcPr>
          <w:p>
            <w:pPr>
              <w:spacing w:after="0"/>
              <w:rPr>
                <w:sz w:val="5"/>
                <w:szCs w:val="5"/>
                <w:color w:val="auto"/>
              </w:rPr>
            </w:pP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65</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President, Tissue Technologies</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Jan De Witte</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59</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President and Chief Executive Officer and Director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Stuart M. Essig, Ph.D.</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62</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Chairman</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Lea Knight</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52</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and Chief Financial Officer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Michael McBreen</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58</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President, Codman Specialty Surgical</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Jeffrey Mosebrook</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47</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Senior Vice President, Finance and Principal Accounting Officer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58595B"/>
              </w:rPr>
              <w:t>Eric I. Schwartz</w:t>
            </w:r>
          </w:p>
        </w:tc>
        <w:tc>
          <w:tcPr>
            <w:tcW w:w="560" w:type="dxa"/>
            <w:vAlign w:val="bottom"/>
          </w:tcPr>
          <w:p>
            <w:pPr>
              <w:jc w:val="center"/>
              <w:ind w:left="8"/>
              <w:spacing w:after="0"/>
              <w:rPr>
                <w:sz w:val="20"/>
                <w:szCs w:val="20"/>
                <w:color w:val="auto"/>
              </w:rPr>
            </w:pPr>
            <w:r>
              <w:rPr>
                <w:rFonts w:ascii="Arial" w:cs="Arial" w:eastAsia="Arial" w:hAnsi="Arial"/>
                <w:sz w:val="14"/>
                <w:szCs w:val="14"/>
                <w:color w:val="58595B"/>
              </w:rPr>
              <w:t>55</w:t>
            </w:r>
          </w:p>
        </w:tc>
        <w:tc>
          <w:tcPr>
            <w:tcW w:w="7920" w:type="dxa"/>
            <w:vAlign w:val="bottom"/>
          </w:tcPr>
          <w:p>
            <w:pPr>
              <w:ind w:left="100"/>
              <w:spacing w:after="0"/>
              <w:rPr>
                <w:sz w:val="20"/>
                <w:szCs w:val="20"/>
                <w:color w:val="auto"/>
              </w:rPr>
            </w:pPr>
            <w:r>
              <w:rPr>
                <w:rFonts w:ascii="Arial" w:cs="Arial" w:eastAsia="Arial" w:hAnsi="Arial"/>
                <w:sz w:val="14"/>
                <w:szCs w:val="14"/>
                <w:color w:val="58595B"/>
              </w:rPr>
              <w:t>Executive Vice President, Chief Legal Officer and Secretary</w:t>
            </w:r>
          </w:p>
        </w:tc>
      </w:tr>
      <w:tr>
        <w:trPr>
          <w:trHeight w:val="237"/>
        </w:trPr>
        <w:tc>
          <w:tcPr>
            <w:tcW w:w="2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Harvinder Singh</w:t>
            </w:r>
          </w:p>
        </w:tc>
        <w:tc>
          <w:tcPr>
            <w:tcW w:w="560" w:type="dxa"/>
            <w:vAlign w:val="bottom"/>
            <w:shd w:val="clear" w:color="auto" w:fill="EFEDED"/>
          </w:tcPr>
          <w:p>
            <w:pPr>
              <w:jc w:val="center"/>
              <w:ind w:left="8"/>
              <w:spacing w:after="0"/>
              <w:rPr>
                <w:sz w:val="20"/>
                <w:szCs w:val="20"/>
                <w:color w:val="auto"/>
              </w:rPr>
            </w:pPr>
            <w:r>
              <w:rPr>
                <w:rFonts w:ascii="Arial" w:cs="Arial" w:eastAsia="Arial" w:hAnsi="Arial"/>
                <w:sz w:val="14"/>
                <w:szCs w:val="14"/>
                <w:color w:val="58595B"/>
              </w:rPr>
              <w:t>57</w:t>
            </w:r>
          </w:p>
        </w:tc>
        <w:tc>
          <w:tcPr>
            <w:tcW w:w="79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Executive Vice President &amp; President, International</w:t>
            </w:r>
          </w:p>
        </w:tc>
      </w:tr>
      <w:tr>
        <w:trPr>
          <w:trHeight w:val="223"/>
        </w:trPr>
        <w:tc>
          <w:tcPr>
            <w:tcW w:w="27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Chantal Veillon</w:t>
            </w:r>
          </w:p>
        </w:tc>
        <w:tc>
          <w:tcPr>
            <w:tcW w:w="560" w:type="dxa"/>
            <w:vAlign w:val="bottom"/>
            <w:tcBorders>
              <w:bottom w:val="single" w:sz="8" w:color="58595B"/>
            </w:tcBorders>
          </w:tcPr>
          <w:p>
            <w:pPr>
              <w:jc w:val="center"/>
              <w:ind w:left="8"/>
              <w:spacing w:after="0"/>
              <w:rPr>
                <w:sz w:val="20"/>
                <w:szCs w:val="20"/>
                <w:color w:val="auto"/>
              </w:rPr>
            </w:pPr>
            <w:r>
              <w:rPr>
                <w:rFonts w:ascii="Arial" w:cs="Arial" w:eastAsia="Arial" w:hAnsi="Arial"/>
                <w:sz w:val="14"/>
                <w:szCs w:val="14"/>
                <w:color w:val="58595B"/>
              </w:rPr>
              <w:t>54</w:t>
            </w:r>
          </w:p>
        </w:tc>
        <w:tc>
          <w:tcPr>
            <w:tcW w:w="792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Executive Vice President and Chief Human Resources Officer</w:t>
            </w:r>
          </w:p>
        </w:tc>
      </w:tr>
    </w:tbl>
    <w:p>
      <w:pPr>
        <w:spacing w:after="0" w:line="200" w:lineRule="exact"/>
        <w:rPr>
          <w:sz w:val="20"/>
          <w:szCs w:val="20"/>
          <w:color w:val="auto"/>
        </w:rPr>
      </w:pPr>
    </w:p>
    <w:p>
      <w:pPr>
        <w:spacing w:after="0" w:line="312" w:lineRule="exact"/>
        <w:rPr>
          <w:sz w:val="20"/>
          <w:szCs w:val="20"/>
          <w:color w:val="auto"/>
        </w:rPr>
      </w:pPr>
    </w:p>
    <w:p>
      <w:pPr>
        <w:ind w:left="2520" w:right="60"/>
        <w:spacing w:after="0" w:line="310" w:lineRule="auto"/>
        <w:rPr>
          <w:sz w:val="20"/>
          <w:szCs w:val="20"/>
          <w:color w:val="auto"/>
        </w:rPr>
      </w:pPr>
      <w:r>
        <w:rPr>
          <w:rFonts w:ascii="Arial" w:cs="Arial" w:eastAsia="Arial" w:hAnsi="Arial"/>
          <w:sz w:val="16"/>
          <w:szCs w:val="16"/>
          <w:b w:val="1"/>
          <w:bCs w:val="1"/>
          <w:color w:val="009845"/>
        </w:rPr>
        <w:t xml:space="preserve">Robert T. Davis, Jr. </w:t>
      </w:r>
      <w:r>
        <w:rPr>
          <w:rFonts w:ascii="Arial" w:cs="Arial" w:eastAsia="Arial" w:hAnsi="Arial"/>
          <w:sz w:val="16"/>
          <w:szCs w:val="16"/>
          <w:color w:val="58595B"/>
        </w:rPr>
        <w:t>is Integra’s Executive Vice President, President, Tissue Technologies. Mr. Davis is responsible for</w:t>
      </w:r>
      <w:r>
        <w:rPr>
          <w:rFonts w:ascii="Arial" w:cs="Arial" w:eastAsia="Arial" w:hAnsi="Arial"/>
          <w:sz w:val="16"/>
          <w:szCs w:val="16"/>
          <w:b w:val="1"/>
          <w:bCs w:val="1"/>
          <w:color w:val="009845"/>
        </w:rPr>
        <w:t xml:space="preserve"> </w:t>
      </w:r>
      <w:r>
        <w:rPr>
          <w:rFonts w:ascii="Arial" w:cs="Arial" w:eastAsia="Arial" w:hAnsi="Arial"/>
          <w:sz w:val="16"/>
          <w:szCs w:val="16"/>
          <w:color w:val="58595B"/>
        </w:rPr>
        <w:t>the management of the Tissue Technologies’ global division. His responsibilities include leadership of sales, commercial operations, marketing and strategy, product development, regulatory affairs, quality assurance, manufacturing services and repair, business development of the regenerative tissue portfolio of products.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-1014095</wp:posOffset>
            </wp:positionV>
            <wp:extent cx="1097280" cy="10972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23" w:lineRule="exact"/>
        <w:rPr>
          <w:sz w:val="20"/>
          <w:szCs w:val="20"/>
          <w:color w:val="auto"/>
        </w:rPr>
      </w:pPr>
    </w:p>
    <w:p>
      <w:pPr>
        <w:ind w:left="2520" w:right="840"/>
        <w:spacing w:after="0" w:line="339" w:lineRule="auto"/>
        <w:rPr>
          <w:sz w:val="20"/>
          <w:szCs w:val="20"/>
          <w:color w:val="auto"/>
        </w:rPr>
      </w:pPr>
      <w:r>
        <w:rPr>
          <w:rFonts w:ascii="Arial" w:cs="Arial" w:eastAsia="Arial" w:hAnsi="Arial"/>
          <w:sz w:val="16"/>
          <w:szCs w:val="16"/>
          <w:color w:val="58595B"/>
        </w:rPr>
        <w:t>Mr. Davis earned his B.S. in Sports Medicine from the University of Delaware, a Master’s degree in Exercise &amp; Cardiovascular Physiology from Temple University, and an M.B.A. from Drexel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20" w:right="80"/>
        <w:spacing w:after="0" w:line="310" w:lineRule="auto"/>
        <w:rPr>
          <w:sz w:val="20"/>
          <w:szCs w:val="20"/>
          <w:color w:val="auto"/>
        </w:rPr>
      </w:pPr>
      <w:r>
        <w:rPr>
          <w:rFonts w:ascii="Arial" w:cs="Arial" w:eastAsia="Arial" w:hAnsi="Arial"/>
          <w:sz w:val="16"/>
          <w:szCs w:val="16"/>
          <w:b w:val="1"/>
          <w:bCs w:val="1"/>
          <w:color w:val="009845"/>
        </w:rPr>
        <w:t xml:space="preserve">Lea Knight </w:t>
      </w:r>
      <w:r>
        <w:rPr>
          <w:rFonts w:ascii="Arial" w:cs="Arial" w:eastAsia="Arial" w:hAnsi="Arial"/>
          <w:sz w:val="16"/>
          <w:szCs w:val="16"/>
          <w:color w:val="58595B"/>
        </w:rPr>
        <w:t>is Integra’s Executive Vice President and Chief Financial Officer. Ms. Knight joined Integra in June 2023 and</w:t>
      </w:r>
      <w:r>
        <w:rPr>
          <w:rFonts w:ascii="Arial" w:cs="Arial" w:eastAsia="Arial" w:hAnsi="Arial"/>
          <w:sz w:val="16"/>
          <w:szCs w:val="16"/>
          <w:b w:val="1"/>
          <w:bCs w:val="1"/>
          <w:color w:val="009845"/>
        </w:rPr>
        <w:t xml:space="preserve"> </w:t>
      </w:r>
      <w:r>
        <w:rPr>
          <w:rFonts w:ascii="Arial" w:cs="Arial" w:eastAsia="Arial" w:hAnsi="Arial"/>
          <w:sz w:val="16"/>
          <w:szCs w:val="16"/>
          <w:color w:val="58595B"/>
        </w:rPr>
        <w:t>is responsible for overseeing accounting and financial reporting, budgeting, internal audit, tax, treasury, investor relations and information systems. Prior to joining Integra, Ms. Knight served as the executive vice president of business finance for Booz Allen Hamilton from September 2022 until June 2023, where she was responsible for providing strategic and financial leadership to their business sectors. Prior to her role at Booz Allen Hamilton, Ms. Knight worked for Johnson &amp; Johnson for over 18 years, where she held various financial roles of increasing responsibility, including the chief financial officer of Johnson and Johnson’s North America pharmaceuticals business from September 2021 through July 2022. Ms. Knight started her career in public accounting at Arthur Andersen LLP where she managed audit engagements and helped to stand-up the firm’s Healthcare Consulting and Mergers &amp; Acquisitions practices for the Philadelphia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-662940</wp:posOffset>
            </wp:positionV>
            <wp:extent cx="1088390" cy="10883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23" w:lineRule="exact"/>
        <w:rPr>
          <w:sz w:val="20"/>
          <w:szCs w:val="20"/>
          <w:color w:val="auto"/>
        </w:rPr>
      </w:pPr>
    </w:p>
    <w:p>
      <w:pPr>
        <w:ind w:left="2520" w:right="160"/>
        <w:spacing w:after="0" w:line="319" w:lineRule="auto"/>
        <w:rPr>
          <w:sz w:val="20"/>
          <w:szCs w:val="20"/>
          <w:color w:val="auto"/>
        </w:rPr>
      </w:pPr>
      <w:r>
        <w:rPr>
          <w:rFonts w:ascii="Arial" w:cs="Arial" w:eastAsia="Arial" w:hAnsi="Arial"/>
          <w:sz w:val="16"/>
          <w:szCs w:val="16"/>
          <w:color w:val="58595B"/>
        </w:rPr>
        <w:t>Ms. Knight is a board trustee of Thomas Jefferson University and Health System. She is also a member of the Philadelphia Forum of Executive Women and a former member and chair of the board of directors for the Public Interest Law Center.</w:t>
      </w:r>
    </w:p>
    <w:p>
      <w:pPr>
        <w:spacing w:after="0" w:line="130" w:lineRule="exact"/>
        <w:rPr>
          <w:sz w:val="20"/>
          <w:szCs w:val="20"/>
          <w:color w:val="auto"/>
        </w:rPr>
      </w:pPr>
    </w:p>
    <w:p>
      <w:pPr>
        <w:ind w:left="2520" w:right="140"/>
        <w:spacing w:after="0" w:line="319" w:lineRule="auto"/>
        <w:rPr>
          <w:sz w:val="20"/>
          <w:szCs w:val="20"/>
          <w:color w:val="auto"/>
        </w:rPr>
      </w:pPr>
      <w:r>
        <w:rPr>
          <w:rFonts w:ascii="Arial" w:cs="Arial" w:eastAsia="Arial" w:hAnsi="Arial"/>
          <w:sz w:val="16"/>
          <w:szCs w:val="16"/>
          <w:color w:val="58595B"/>
        </w:rPr>
        <w:t>Ms. Knight earned an undergraduate degree in accounting from the University of Virginia and holds an M.B.A. in finance and strategic management from the Wharton School, University of Pennsylvania. She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20" w:right="40"/>
        <w:spacing w:after="0" w:line="310" w:lineRule="auto"/>
        <w:rPr>
          <w:sz w:val="20"/>
          <w:szCs w:val="20"/>
          <w:color w:val="auto"/>
        </w:rPr>
      </w:pPr>
      <w:r>
        <w:rPr>
          <w:rFonts w:ascii="Arial" w:cs="Arial" w:eastAsia="Arial" w:hAnsi="Arial"/>
          <w:sz w:val="16"/>
          <w:szCs w:val="16"/>
          <w:b w:val="1"/>
          <w:bCs w:val="1"/>
          <w:color w:val="009845"/>
        </w:rPr>
        <w:t xml:space="preserve">Michael McBreen </w:t>
      </w:r>
      <w:r>
        <w:rPr>
          <w:rFonts w:ascii="Arial" w:cs="Arial" w:eastAsia="Arial" w:hAnsi="Arial"/>
          <w:sz w:val="16"/>
          <w:szCs w:val="16"/>
          <w:color w:val="58595B"/>
        </w:rPr>
        <w:t>is Integra’s Executive Vice President, President, Codman Specialty Surgical. His responsibilities within</w:t>
      </w:r>
      <w:r>
        <w:rPr>
          <w:rFonts w:ascii="Arial" w:cs="Arial" w:eastAsia="Arial" w:hAnsi="Arial"/>
          <w:sz w:val="16"/>
          <w:szCs w:val="16"/>
          <w:b w:val="1"/>
          <w:bCs w:val="1"/>
          <w:color w:val="009845"/>
        </w:rPr>
        <w:t xml:space="preserve"> </w:t>
      </w:r>
      <w:r>
        <w:rPr>
          <w:rFonts w:ascii="Arial" w:cs="Arial" w:eastAsia="Arial" w:hAnsi="Arial"/>
          <w:sz w:val="16"/>
          <w:szCs w:val="16"/>
          <w:color w:val="58595B"/>
        </w:rPr>
        <w:t>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 Mr. McBreen has over 30 years of experience in the medical technology field, including holding various executive level positions in sales, marketing and general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-1091565</wp:posOffset>
            </wp:positionV>
            <wp:extent cx="1097280" cy="10972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09"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McBreen completed his bachelor’s degree in business administration at Providence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520" w:right="40"/>
        <w:spacing w:after="0" w:line="312" w:lineRule="auto"/>
        <w:rPr>
          <w:sz w:val="20"/>
          <w:szCs w:val="20"/>
          <w:color w:val="auto"/>
        </w:rPr>
      </w:pPr>
      <w:r>
        <w:rPr>
          <w:rFonts w:ascii="Arial" w:cs="Arial" w:eastAsia="Arial" w:hAnsi="Arial"/>
          <w:sz w:val="16"/>
          <w:szCs w:val="16"/>
          <w:b w:val="1"/>
          <w:bCs w:val="1"/>
          <w:color w:val="009845"/>
        </w:rPr>
        <w:t xml:space="preserve">Jeffrey Mosebrook </w:t>
      </w:r>
      <w:r>
        <w:rPr>
          <w:rFonts w:ascii="Arial" w:cs="Arial" w:eastAsia="Arial" w:hAnsi="Arial"/>
          <w:sz w:val="16"/>
          <w:szCs w:val="16"/>
          <w:color w:val="58595B"/>
        </w:rPr>
        <w:t>is Integra’s Senior Vice President, Finance. Mr. Mosebrook also serves as Integra's Principal</w:t>
      </w:r>
      <w:r>
        <w:rPr>
          <w:rFonts w:ascii="Arial" w:cs="Arial" w:eastAsia="Arial" w:hAnsi="Arial"/>
          <w:sz w:val="16"/>
          <w:szCs w:val="16"/>
          <w:b w:val="1"/>
          <w:bCs w:val="1"/>
          <w:color w:val="009845"/>
        </w:rPr>
        <w:t xml:space="preserve"> </w:t>
      </w:r>
      <w:r>
        <w:rPr>
          <w:rFonts w:ascii="Arial" w:cs="Arial" w:eastAsia="Arial" w:hAnsi="Arial"/>
          <w:sz w:val="16"/>
          <w:szCs w:val="16"/>
          <w:color w:val="58595B"/>
        </w:rPr>
        <w:t>Accounting Officer. He was appointed Principal Accounting Officer in October 2017. From February 2023 to June 2023, Mr. Mosebrook also served as our Principal Financial Officer.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US, LLP) in various accounting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-948055</wp:posOffset>
            </wp:positionV>
            <wp:extent cx="1097280" cy="10972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05" w:lineRule="exact"/>
        <w:rPr>
          <w:sz w:val="20"/>
          <w:szCs w:val="20"/>
          <w:color w:val="auto"/>
        </w:rPr>
      </w:pPr>
    </w:p>
    <w:p>
      <w:pPr>
        <w:ind w:left="2520" w:right="840"/>
        <w:spacing w:after="0" w:line="356" w:lineRule="auto"/>
        <w:rPr>
          <w:sz w:val="20"/>
          <w:szCs w:val="20"/>
          <w:color w:val="auto"/>
        </w:rPr>
      </w:pPr>
      <w:r>
        <w:rPr>
          <w:rFonts w:ascii="Arial" w:cs="Arial" w:eastAsia="Arial" w:hAnsi="Arial"/>
          <w:sz w:val="16"/>
          <w:szCs w:val="16"/>
          <w:color w:val="58595B"/>
        </w:rPr>
        <w:t>Mr. Mosebrook received a B.S. in accounting from York College and is a certified public accountant licensed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009845"/>
        </w:rPr>
        <w:t>Information About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20" w:right="40"/>
        <w:spacing w:after="0" w:line="312" w:lineRule="auto"/>
        <w:rPr>
          <w:sz w:val="20"/>
          <w:szCs w:val="20"/>
          <w:color w:val="auto"/>
        </w:rPr>
      </w:pPr>
      <w:r>
        <w:rPr>
          <w:rFonts w:ascii="Arial" w:cs="Arial" w:eastAsia="Arial" w:hAnsi="Arial"/>
          <w:sz w:val="16"/>
          <w:szCs w:val="16"/>
          <w:b w:val="1"/>
          <w:bCs w:val="1"/>
          <w:color w:val="009845"/>
        </w:rPr>
        <w:t xml:space="preserve">Eric I. Schwartz </w:t>
      </w:r>
      <w:r>
        <w:rPr>
          <w:rFonts w:ascii="Arial" w:cs="Arial" w:eastAsia="Arial" w:hAnsi="Arial"/>
          <w:sz w:val="16"/>
          <w:szCs w:val="16"/>
          <w:color w:val="58595B"/>
        </w:rPr>
        <w:t>is Integra’s Executive Vice President, Chief Legal Officer and Secretary. Mr. Schwartz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November 2018. 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CardioVIP,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-948055</wp:posOffset>
            </wp:positionV>
            <wp:extent cx="1097280" cy="10972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05" w:lineRule="exact"/>
        <w:rPr>
          <w:sz w:val="20"/>
          <w:szCs w:val="20"/>
          <w:color w:val="auto"/>
        </w:rPr>
      </w:pPr>
    </w:p>
    <w:p>
      <w:pPr>
        <w:ind w:left="2520" w:right="220"/>
        <w:spacing w:after="0" w:line="356" w:lineRule="auto"/>
        <w:rPr>
          <w:sz w:val="20"/>
          <w:szCs w:val="20"/>
          <w:color w:val="auto"/>
        </w:rPr>
      </w:pPr>
      <w:r>
        <w:rPr>
          <w:rFonts w:ascii="Arial" w:cs="Arial" w:eastAsia="Arial" w:hAnsi="Arial"/>
          <w:sz w:val="16"/>
          <w:szCs w:val="16"/>
          <w:color w:val="58595B"/>
        </w:rPr>
        <w:t>Mr. Schwartz received his B.A. and J.D. from the University of Virginia. He also received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520" w:right="40"/>
        <w:spacing w:after="0" w:line="310" w:lineRule="auto"/>
        <w:rPr>
          <w:sz w:val="20"/>
          <w:szCs w:val="20"/>
          <w:color w:val="auto"/>
        </w:rPr>
      </w:pPr>
      <w:r>
        <w:rPr>
          <w:rFonts w:ascii="Arial" w:cs="Arial" w:eastAsia="Arial" w:hAnsi="Arial"/>
          <w:sz w:val="16"/>
          <w:szCs w:val="16"/>
          <w:b w:val="1"/>
          <w:bCs w:val="1"/>
          <w:color w:val="009845"/>
        </w:rPr>
        <w:t xml:space="preserve">Harvinder Singh </w:t>
      </w:r>
      <w:r>
        <w:rPr>
          <w:rFonts w:ascii="Arial" w:cs="Arial" w:eastAsia="Arial" w:hAnsi="Arial"/>
          <w:sz w:val="16"/>
          <w:szCs w:val="16"/>
          <w:color w:val="58595B"/>
        </w:rPr>
        <w:t>is Integra's Executive Vice President and President, International Business. Mr. Singh joined Integra in</w:t>
      </w:r>
      <w:r>
        <w:rPr>
          <w:rFonts w:ascii="Arial" w:cs="Arial" w:eastAsia="Arial" w:hAnsi="Arial"/>
          <w:sz w:val="16"/>
          <w:szCs w:val="16"/>
          <w:b w:val="1"/>
          <w:bCs w:val="1"/>
          <w:color w:val="009845"/>
        </w:rPr>
        <w:t xml:space="preserve"> </w:t>
      </w:r>
      <w:r>
        <w:rPr>
          <w:rFonts w:ascii="Arial" w:cs="Arial" w:eastAsia="Arial" w:hAnsi="Arial"/>
          <w:sz w:val="16"/>
          <w:szCs w:val="16"/>
          <w:color w:val="58595B"/>
        </w:rPr>
        <w:t>October 2022. Prior to joining Integra, Mr. Singh was at Abbott Laboratories for more than 20 years. Over this period, Mr. Singh served in increasing positions of responsibility, most recently as corporate officer and vice president of global commercial operations for the vascular business. Before joining Abbott, he worked for Guidant Corporation and Eli Lilly in sales, marketing, strategy and general management roles. He lived and worked in India, Hong Kong, Shanghai, Tokyo, Singapore, and the United States. Mr. Singh served as a member on the board of APACMed, the industry association of medical device companies in Japan and the Asia Pacific region. He was also a board member of the American Medical Devices and Diagnostics Manufacturers’ Association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-940435</wp:posOffset>
            </wp:positionV>
            <wp:extent cx="1097280" cy="10972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117"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Mr. Singh graduated with a bachelor’s degree in chemistry and biology from Punjab University and received his M.B.A.</w:t>
      </w:r>
    </w:p>
    <w:p>
      <w:pPr>
        <w:spacing w:after="0" w:line="46" w:lineRule="exact"/>
        <w:rPr>
          <w:sz w:val="20"/>
          <w:szCs w:val="20"/>
          <w:color w:val="auto"/>
        </w:rPr>
      </w:pPr>
    </w:p>
    <w:p>
      <w:pPr>
        <w:ind w:left="2520"/>
        <w:spacing w:after="0"/>
        <w:rPr>
          <w:sz w:val="20"/>
          <w:szCs w:val="20"/>
          <w:color w:val="auto"/>
        </w:rPr>
      </w:pPr>
      <w:r>
        <w:rPr>
          <w:rFonts w:ascii="Arial" w:cs="Arial" w:eastAsia="Arial" w:hAnsi="Arial"/>
          <w:sz w:val="16"/>
          <w:szCs w:val="16"/>
          <w:color w:val="58595B"/>
        </w:rPr>
        <w:t>from University of Indore, India. He is an alumnus of the Harvard Business School’s Advanced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520" w:right="40"/>
        <w:spacing w:after="0" w:line="314" w:lineRule="auto"/>
        <w:rPr>
          <w:sz w:val="20"/>
          <w:szCs w:val="20"/>
          <w:color w:val="auto"/>
        </w:rPr>
      </w:pPr>
      <w:r>
        <w:rPr>
          <w:rFonts w:ascii="Arial" w:cs="Arial" w:eastAsia="Arial" w:hAnsi="Arial"/>
          <w:sz w:val="16"/>
          <w:szCs w:val="16"/>
          <w:b w:val="1"/>
          <w:bCs w:val="1"/>
          <w:color w:val="009845"/>
        </w:rPr>
        <w:t xml:space="preserve">Chantal Veillon </w:t>
      </w:r>
      <w:r>
        <w:rPr>
          <w:rFonts w:ascii="Arial" w:cs="Arial" w:eastAsia="Arial" w:hAnsi="Arial"/>
          <w:sz w:val="16"/>
          <w:szCs w:val="16"/>
          <w:color w:val="58595B"/>
        </w:rPr>
        <w:t>is Integra’s Executive Vice President and Chief Human Resources Officer. Ms. Veillon, who has served</w:t>
      </w:r>
      <w:r>
        <w:rPr>
          <w:rFonts w:ascii="Arial" w:cs="Arial" w:eastAsia="Arial" w:hAnsi="Arial"/>
          <w:sz w:val="16"/>
          <w:szCs w:val="16"/>
          <w:b w:val="1"/>
          <w:bCs w:val="1"/>
          <w:color w:val="009845"/>
        </w:rPr>
        <w:t xml:space="preserve"> </w:t>
      </w:r>
      <w:r>
        <w:rPr>
          <w:rFonts w:ascii="Arial" w:cs="Arial" w:eastAsia="Arial" w:hAnsi="Arial"/>
          <w:sz w:val="16"/>
          <w:szCs w:val="16"/>
          <w:color w:val="58595B"/>
        </w:rPr>
        <w:t>in this role since joining the Company in August 2023, is responsible for providing leadership in developing and executing human resources strategy in support of the overall business plan and strategic direction of the organization. Ms.Veillon brings significant global Human Resources leadership experience. Prior to joining Integra, Ms. Veillon worked at Bristol Myers Squibb for over 10 years and held senior human resources leadership roles of increasing responsibility, supporting research and development, manufacturing, supply chain, commercial operations, corporate functions globally and regionally in the United States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-597535</wp:posOffset>
            </wp:positionV>
            <wp:extent cx="1088390" cy="10883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04" w:lineRule="exact"/>
        <w:rPr>
          <w:sz w:val="20"/>
          <w:szCs w:val="20"/>
          <w:color w:val="auto"/>
        </w:rPr>
      </w:pPr>
    </w:p>
    <w:p>
      <w:pPr>
        <w:jc w:val="both"/>
        <w:ind w:left="2520" w:right="240"/>
        <w:spacing w:after="0" w:line="328" w:lineRule="auto"/>
        <w:rPr>
          <w:sz w:val="20"/>
          <w:szCs w:val="20"/>
          <w:color w:val="auto"/>
        </w:rPr>
      </w:pPr>
      <w:r>
        <w:rPr>
          <w:rFonts w:ascii="Arial" w:cs="Arial" w:eastAsia="Arial" w:hAnsi="Arial"/>
          <w:sz w:val="16"/>
          <w:szCs w:val="16"/>
          <w:color w:val="58595B"/>
        </w:rPr>
        <w:t>Ms. Veillon also held various global human resources leadership roles at Honeywell and GE Healthcare prior to joining BMS. She started her career at Vivendi Games as its in-house lawyer with international responsibilities and during her tenure, she expanded her scope to include the HR function.</w:t>
      </w:r>
    </w:p>
    <w:p>
      <w:pPr>
        <w:spacing w:after="0" w:line="110" w:lineRule="exact"/>
        <w:rPr>
          <w:sz w:val="20"/>
          <w:szCs w:val="20"/>
          <w:color w:val="auto"/>
        </w:rPr>
      </w:pPr>
    </w:p>
    <w:p>
      <w:pPr>
        <w:ind w:left="2520" w:right="20"/>
        <w:spacing w:after="0" w:line="356" w:lineRule="auto"/>
        <w:rPr>
          <w:sz w:val="20"/>
          <w:szCs w:val="20"/>
          <w:color w:val="auto"/>
        </w:rPr>
      </w:pPr>
      <w:r>
        <w:rPr>
          <w:rFonts w:ascii="Arial" w:cs="Arial" w:eastAsia="Arial" w:hAnsi="Arial"/>
          <w:sz w:val="16"/>
          <w:szCs w:val="16"/>
          <w:color w:val="58595B"/>
        </w:rPr>
        <w:t>Ms. Veillon received both her J.D. and M.B.A. in international commercial law from Université Paris 1 Panthéon-Sorbonne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36"/>
          <w:szCs w:val="36"/>
          <w:color w:val="009845"/>
        </w:rPr>
        <w:t>COMPENSATION DISCUSSION AND ANALYSIS</w:t>
      </w:r>
    </w:p>
    <w:p>
      <w:pPr>
        <w:spacing w:after="0" w:line="200" w:lineRule="exact"/>
        <w:rPr>
          <w:sz w:val="20"/>
          <w:szCs w:val="20"/>
          <w:color w:val="auto"/>
        </w:rPr>
      </w:pPr>
    </w:p>
    <w:p>
      <w:pPr>
        <w:spacing w:after="0" w:line="220"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As a world leader in medical technologies, Integra is driven by our purpose of restoring patients’ lives. We innovate treatment pathways to advance patient outcomes and set new standards of surgical, neurologic and regenerative care. We are guided by our integrated growth strategy, which will enable us to capitalize on the favorable market dynamics, achieve profitable growth acceleration and create shareholder value now and into the foreseeable future. Delivering this strategy requires a team of highly engaged and skilled leaders who are rewarded for the performance they deliver.</w:t>
      </w:r>
    </w:p>
    <w:p>
      <w:pPr>
        <w:spacing w:after="0" w:line="132"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58595B"/>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2228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40"/>
        <w:spacing w:after="0"/>
        <w:rPr>
          <w:sz w:val="20"/>
          <w:szCs w:val="20"/>
          <w:color w:val="auto"/>
        </w:rPr>
      </w:pPr>
      <w:r>
        <w:rPr>
          <w:rFonts w:ascii="Arial" w:cs="Arial" w:eastAsia="Arial" w:hAnsi="Arial"/>
          <w:sz w:val="25"/>
          <w:szCs w:val="25"/>
          <w:color w:val="2E8D52"/>
        </w:rPr>
        <w:t>Our Executive Compensation Philosophy</w:t>
      </w:r>
    </w:p>
    <w:p>
      <w:pPr>
        <w:spacing w:after="0" w:line="193" w:lineRule="exact"/>
        <w:rPr>
          <w:sz w:val="20"/>
          <w:szCs w:val="20"/>
          <w:color w:val="auto"/>
        </w:rPr>
      </w:pPr>
    </w:p>
    <w:p>
      <w:pPr>
        <w:ind w:left="240" w:right="1200"/>
        <w:spacing w:after="0" w:line="275" w:lineRule="auto"/>
        <w:rPr>
          <w:sz w:val="20"/>
          <w:szCs w:val="20"/>
          <w:color w:val="auto"/>
        </w:rPr>
      </w:pPr>
      <w:r>
        <w:rPr>
          <w:rFonts w:ascii="Arial" w:cs="Arial" w:eastAsia="Arial" w:hAnsi="Arial"/>
          <w:sz w:val="22"/>
          <w:szCs w:val="22"/>
          <w:b w:val="1"/>
          <w:bCs w:val="1"/>
          <w:color w:val="58595B"/>
        </w:rPr>
        <w:t>Our executive compensation programs are based on a pay-for-performance philosophy and are designed to...</w:t>
      </w:r>
    </w:p>
    <w:p>
      <w:pPr>
        <w:spacing w:after="0" w:line="2" w:lineRule="exact"/>
        <w:rPr>
          <w:sz w:val="20"/>
          <w:szCs w:val="20"/>
          <w:color w:val="auto"/>
        </w:rPr>
      </w:pPr>
    </w:p>
    <w:p>
      <w:pPr>
        <w:ind w:left="360" w:hanging="118"/>
        <w:spacing w:after="0"/>
        <w:tabs>
          <w:tab w:leader="none" w:pos="360"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Attract, motivate and retain talented executives who have the skills to drive our continued profitability, growth and success;</w:t>
      </w:r>
    </w:p>
    <w:p>
      <w:pPr>
        <w:spacing w:after="0" w:line="221" w:lineRule="exact"/>
        <w:rPr>
          <w:rFonts w:ascii="Arial" w:cs="Arial" w:eastAsia="Arial" w:hAnsi="Arial"/>
          <w:sz w:val="16"/>
          <w:szCs w:val="16"/>
          <w:color w:val="58595B"/>
        </w:rPr>
      </w:pPr>
    </w:p>
    <w:p>
      <w:pPr>
        <w:ind w:left="400" w:right="840" w:hanging="158"/>
        <w:spacing w:after="0" w:line="339" w:lineRule="auto"/>
        <w:tabs>
          <w:tab w:leader="none" w:pos="362"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Connect executive compensation with our short- and long-term corporate goals with an appropriate balance across pay programs prioritizing performance while discouraging unnecessary or excessive risk-taking;</w:t>
      </w:r>
    </w:p>
    <w:p>
      <w:pPr>
        <w:spacing w:after="0" w:line="101" w:lineRule="exact"/>
        <w:rPr>
          <w:rFonts w:ascii="Arial" w:cs="Arial" w:eastAsia="Arial" w:hAnsi="Arial"/>
          <w:sz w:val="16"/>
          <w:szCs w:val="16"/>
          <w:color w:val="58595B"/>
        </w:rPr>
      </w:pPr>
    </w:p>
    <w:p>
      <w:pPr>
        <w:ind w:left="360" w:hanging="118"/>
        <w:spacing w:after="0"/>
        <w:tabs>
          <w:tab w:leader="none" w:pos="360"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Align the interests of our executives with those of our stockholders; and</w:t>
      </w:r>
    </w:p>
    <w:p>
      <w:pPr>
        <w:spacing w:after="0" w:line="221" w:lineRule="exact"/>
        <w:rPr>
          <w:rFonts w:ascii="Arial" w:cs="Arial" w:eastAsia="Arial" w:hAnsi="Arial"/>
          <w:sz w:val="16"/>
          <w:szCs w:val="16"/>
          <w:color w:val="58595B"/>
        </w:rPr>
      </w:pPr>
    </w:p>
    <w:p>
      <w:pPr>
        <w:ind w:left="360" w:hanging="118"/>
        <w:spacing w:after="0"/>
        <w:tabs>
          <w:tab w:leader="none" w:pos="360" w:val="left"/>
        </w:tabs>
        <w:numPr>
          <w:ilvl w:val="0"/>
          <w:numId w:val="29"/>
        </w:numPr>
        <w:rPr>
          <w:rFonts w:ascii="Arial" w:cs="Arial" w:eastAsia="Arial" w:hAnsi="Arial"/>
          <w:sz w:val="16"/>
          <w:szCs w:val="16"/>
          <w:color w:val="58595B"/>
        </w:rPr>
      </w:pPr>
      <w:r>
        <w:rPr>
          <w:rFonts w:ascii="Arial" w:cs="Arial" w:eastAsia="Arial" w:hAnsi="Arial"/>
          <w:sz w:val="16"/>
          <w:szCs w:val="16"/>
          <w:color w:val="58595B"/>
        </w:rPr>
        <w:t>Reward executives for exceptional performance that improves patient outcomes and drives stockholder value (pay-for performance).</w:t>
      </w:r>
    </w:p>
    <w:p>
      <w:pPr>
        <w:spacing w:after="0" w:line="200" w:lineRule="exact"/>
        <w:rPr>
          <w:sz w:val="20"/>
          <w:szCs w:val="20"/>
          <w:color w:val="auto"/>
        </w:rPr>
      </w:pPr>
    </w:p>
    <w:p>
      <w:pPr>
        <w:spacing w:after="0" w:line="39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This Compensation Discussion and Analysis (“CD&amp;A”) describes the 2023 compensation of our named executive officers ("NEOs") listed below. It also provides an overview of our executive compensation program, which we continue to refine based on stockholder feedback, competitive market practice, and Company performance.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474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Role</w:t>
            </w:r>
          </w:p>
        </w:tc>
        <w:tc>
          <w:tcPr>
            <w:tcW w:w="3560" w:type="dxa"/>
            <w:vAlign w:val="bottom"/>
            <w:shd w:val="clear" w:color="auto" w:fill="009845"/>
          </w:tcPr>
          <w:p>
            <w:pPr>
              <w:ind w:left="640"/>
              <w:spacing w:after="0"/>
              <w:rPr>
                <w:sz w:val="20"/>
                <w:szCs w:val="20"/>
                <w:color w:val="auto"/>
              </w:rPr>
            </w:pPr>
            <w:r>
              <w:rPr>
                <w:rFonts w:ascii="Arial" w:cs="Arial" w:eastAsia="Arial" w:hAnsi="Arial"/>
                <w:sz w:val="14"/>
                <w:szCs w:val="14"/>
                <w:b w:val="1"/>
                <w:bCs w:val="1"/>
                <w:color w:val="FFFFFF"/>
              </w:rPr>
              <w:t>2023 Time In Role</w:t>
            </w:r>
          </w:p>
        </w:tc>
      </w:tr>
      <w:tr>
        <w:trPr>
          <w:trHeight w:val="67"/>
        </w:trPr>
        <w:tc>
          <w:tcPr>
            <w:tcW w:w="2780" w:type="dxa"/>
            <w:vAlign w:val="bottom"/>
            <w:shd w:val="clear" w:color="auto" w:fill="009845"/>
          </w:tcPr>
          <w:p>
            <w:pPr>
              <w:spacing w:after="0"/>
              <w:rPr>
                <w:sz w:val="5"/>
                <w:szCs w:val="5"/>
                <w:color w:val="auto"/>
              </w:rPr>
            </w:pPr>
          </w:p>
        </w:tc>
        <w:tc>
          <w:tcPr>
            <w:tcW w:w="4740" w:type="dxa"/>
            <w:vAlign w:val="bottom"/>
            <w:shd w:val="clear" w:color="auto" w:fill="009845"/>
          </w:tcPr>
          <w:p>
            <w:pPr>
              <w:spacing w:after="0"/>
              <w:rPr>
                <w:sz w:val="5"/>
                <w:szCs w:val="5"/>
                <w:color w:val="auto"/>
              </w:rPr>
            </w:pPr>
          </w:p>
        </w:tc>
        <w:tc>
          <w:tcPr>
            <w:tcW w:w="3560" w:type="dxa"/>
            <w:vAlign w:val="bottom"/>
            <w:shd w:val="clear" w:color="auto" w:fill="009845"/>
          </w:tcPr>
          <w:p>
            <w:pPr>
              <w:spacing w:after="0"/>
              <w:rPr>
                <w:sz w:val="5"/>
                <w:szCs w:val="5"/>
                <w:color w:val="auto"/>
              </w:rPr>
            </w:pPr>
          </w:p>
        </w:tc>
      </w:tr>
      <w:tr>
        <w:trPr>
          <w:trHeight w:val="222"/>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Jan De Witte</w:t>
            </w:r>
          </w:p>
        </w:tc>
        <w:tc>
          <w:tcPr>
            <w:tcW w:w="4740" w:type="dxa"/>
            <w:vAlign w:val="bottom"/>
          </w:tcPr>
          <w:p>
            <w:pPr>
              <w:ind w:left="20"/>
              <w:spacing w:after="0"/>
              <w:rPr>
                <w:sz w:val="20"/>
                <w:szCs w:val="20"/>
                <w:color w:val="auto"/>
              </w:rPr>
            </w:pPr>
            <w:r>
              <w:rPr>
                <w:rFonts w:ascii="Arial" w:cs="Arial" w:eastAsia="Arial" w:hAnsi="Arial"/>
                <w:sz w:val="14"/>
                <w:szCs w:val="14"/>
                <w:color w:val="58595B"/>
              </w:rPr>
              <w:t>President and Chief Executive Officer (CEO)</w:t>
            </w:r>
          </w:p>
        </w:tc>
        <w:tc>
          <w:tcPr>
            <w:tcW w:w="3560" w:type="dxa"/>
            <w:vAlign w:val="bottom"/>
          </w:tcPr>
          <w:p>
            <w:pPr>
              <w:ind w:left="640"/>
              <w:spacing w:after="0"/>
              <w:rPr>
                <w:sz w:val="20"/>
                <w:szCs w:val="20"/>
                <w:color w:val="auto"/>
              </w:rPr>
            </w:pPr>
            <w:r>
              <w:rPr>
                <w:rFonts w:ascii="Arial" w:cs="Arial" w:eastAsia="Arial" w:hAnsi="Arial"/>
                <w:sz w:val="14"/>
                <w:szCs w:val="14"/>
                <w:color w:val="58595B"/>
              </w:rPr>
              <w:t>Full Year</w:t>
            </w:r>
          </w:p>
        </w:tc>
      </w:tr>
      <w:tr>
        <w:trPr>
          <w:trHeight w:val="237"/>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Ms. Lea Knight</w:t>
            </w:r>
          </w:p>
        </w:tc>
        <w:tc>
          <w:tcPr>
            <w:tcW w:w="474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and Chief Financial Officer (CFO)</w:t>
            </w:r>
          </w:p>
        </w:tc>
        <w:tc>
          <w:tcPr>
            <w:tcW w:w="3560" w:type="dxa"/>
            <w:vAlign w:val="bottom"/>
            <w:shd w:val="clear" w:color="auto" w:fill="EFEDED"/>
          </w:tcPr>
          <w:p>
            <w:pPr>
              <w:ind w:left="640"/>
              <w:spacing w:after="0"/>
              <w:rPr>
                <w:sz w:val="20"/>
                <w:szCs w:val="20"/>
                <w:color w:val="auto"/>
              </w:rPr>
            </w:pPr>
            <w:r>
              <w:rPr>
                <w:rFonts w:ascii="Arial" w:cs="Arial" w:eastAsia="Arial" w:hAnsi="Arial"/>
                <w:sz w:val="14"/>
                <w:szCs w:val="14"/>
                <w:color w:val="58595B"/>
              </w:rPr>
              <w:t>Beginning June 28, 2023</w:t>
            </w:r>
          </w:p>
        </w:tc>
      </w:tr>
      <w:tr>
        <w:trPr>
          <w:trHeight w:val="208"/>
        </w:trPr>
        <w:tc>
          <w:tcPr>
            <w:tcW w:w="278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58595B"/>
              </w:rPr>
              <w:t>Senior Vice President, Finance &amp; Principal Accounting Officer</w:t>
            </w:r>
          </w:p>
        </w:tc>
        <w:tc>
          <w:tcPr>
            <w:tcW w:w="3560" w:type="dxa"/>
            <w:vAlign w:val="bottom"/>
          </w:tcPr>
          <w:p>
            <w:pPr>
              <w:ind w:left="640"/>
              <w:spacing w:after="0"/>
              <w:rPr>
                <w:sz w:val="20"/>
                <w:szCs w:val="20"/>
                <w:color w:val="auto"/>
              </w:rPr>
            </w:pPr>
            <w:r>
              <w:rPr>
                <w:rFonts w:ascii="Arial" w:cs="Arial" w:eastAsia="Arial" w:hAnsi="Arial"/>
                <w:sz w:val="14"/>
                <w:szCs w:val="14"/>
                <w:color w:val="58595B"/>
              </w:rPr>
              <w:t>Full Year</w:t>
            </w:r>
          </w:p>
        </w:tc>
      </w:tr>
      <w:tr>
        <w:trPr>
          <w:trHeight w:val="209"/>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Jeffrey Mosebrook</w:t>
            </w:r>
          </w:p>
        </w:tc>
        <w:tc>
          <w:tcPr>
            <w:tcW w:w="474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0"/>
        </w:trPr>
        <w:tc>
          <w:tcPr>
            <w:tcW w:w="278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58595B"/>
              </w:rPr>
              <w:t>Interim Principal Financial Officer (PFO)</w:t>
            </w:r>
          </w:p>
        </w:tc>
        <w:tc>
          <w:tcPr>
            <w:tcW w:w="3560" w:type="dxa"/>
            <w:vAlign w:val="bottom"/>
          </w:tcPr>
          <w:p>
            <w:pPr>
              <w:ind w:left="640"/>
              <w:spacing w:after="0"/>
              <w:rPr>
                <w:sz w:val="20"/>
                <w:szCs w:val="20"/>
                <w:color w:val="auto"/>
              </w:rPr>
            </w:pPr>
            <w:r>
              <w:rPr>
                <w:rFonts w:ascii="Arial" w:cs="Arial" w:eastAsia="Arial" w:hAnsi="Arial"/>
                <w:sz w:val="14"/>
                <w:szCs w:val="14"/>
                <w:color w:val="58595B"/>
              </w:rPr>
              <w:t>February 2 to June 28, 2023</w:t>
            </w:r>
          </w:p>
        </w:tc>
      </w:tr>
      <w:tr>
        <w:trPr>
          <w:trHeight w:val="22"/>
        </w:trPr>
        <w:tc>
          <w:tcPr>
            <w:tcW w:w="2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0"/>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Mr. Robert T. Davis, Jr.</w:t>
            </w:r>
          </w:p>
        </w:tc>
        <w:tc>
          <w:tcPr>
            <w:tcW w:w="474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President, Tissue Technologies</w:t>
            </w:r>
          </w:p>
        </w:tc>
        <w:tc>
          <w:tcPr>
            <w:tcW w:w="3560" w:type="dxa"/>
            <w:vAlign w:val="bottom"/>
            <w:shd w:val="clear" w:color="auto" w:fill="EFEDED"/>
          </w:tcPr>
          <w:p>
            <w:pPr>
              <w:ind w:left="640"/>
              <w:spacing w:after="0"/>
              <w:rPr>
                <w:sz w:val="20"/>
                <w:szCs w:val="20"/>
                <w:color w:val="auto"/>
              </w:rPr>
            </w:pPr>
            <w:r>
              <w:rPr>
                <w:rFonts w:ascii="Arial" w:cs="Arial" w:eastAsia="Arial" w:hAnsi="Arial"/>
                <w:sz w:val="14"/>
                <w:szCs w:val="14"/>
                <w:color w:val="58595B"/>
              </w:rPr>
              <w:t>Full Year</w:t>
            </w:r>
          </w:p>
        </w:tc>
      </w:tr>
      <w:tr>
        <w:trPr>
          <w:trHeight w:val="222"/>
        </w:trPr>
        <w:tc>
          <w:tcPr>
            <w:tcW w:w="2780" w:type="dxa"/>
            <w:vAlign w:val="bottom"/>
          </w:tcPr>
          <w:p>
            <w:pPr>
              <w:ind w:left="100"/>
              <w:spacing w:after="0"/>
              <w:rPr>
                <w:sz w:val="20"/>
                <w:szCs w:val="20"/>
                <w:color w:val="auto"/>
              </w:rPr>
            </w:pPr>
            <w:r>
              <w:rPr>
                <w:rFonts w:ascii="Arial" w:cs="Arial" w:eastAsia="Arial" w:hAnsi="Arial"/>
                <w:sz w:val="14"/>
                <w:szCs w:val="14"/>
                <w:b w:val="1"/>
                <w:bCs w:val="1"/>
                <w:color w:val="58595B"/>
              </w:rPr>
              <w:t>Mr. Michael J. McBreen</w:t>
            </w:r>
          </w:p>
        </w:tc>
        <w:tc>
          <w:tcPr>
            <w:tcW w:w="4740" w:type="dxa"/>
            <w:vAlign w:val="bottom"/>
          </w:tcPr>
          <w:p>
            <w:pPr>
              <w:ind w:left="20"/>
              <w:spacing w:after="0"/>
              <w:rPr>
                <w:sz w:val="20"/>
                <w:szCs w:val="20"/>
                <w:color w:val="auto"/>
              </w:rPr>
            </w:pPr>
            <w:r>
              <w:rPr>
                <w:rFonts w:ascii="Arial" w:cs="Arial" w:eastAsia="Arial" w:hAnsi="Arial"/>
                <w:sz w:val="14"/>
                <w:szCs w:val="14"/>
                <w:color w:val="58595B"/>
              </w:rPr>
              <w:t>Executive Vice President, President, Codman Specialty Surgical</w:t>
            </w:r>
          </w:p>
        </w:tc>
        <w:tc>
          <w:tcPr>
            <w:tcW w:w="3560" w:type="dxa"/>
            <w:vAlign w:val="bottom"/>
          </w:tcPr>
          <w:p>
            <w:pPr>
              <w:ind w:left="640"/>
              <w:spacing w:after="0"/>
              <w:rPr>
                <w:sz w:val="20"/>
                <w:szCs w:val="20"/>
                <w:color w:val="auto"/>
              </w:rPr>
            </w:pPr>
            <w:r>
              <w:rPr>
                <w:rFonts w:ascii="Arial" w:cs="Arial" w:eastAsia="Arial" w:hAnsi="Arial"/>
                <w:sz w:val="14"/>
                <w:szCs w:val="14"/>
                <w:color w:val="58595B"/>
              </w:rPr>
              <w:t>Full Year</w:t>
            </w:r>
          </w:p>
        </w:tc>
      </w:tr>
      <w:tr>
        <w:trPr>
          <w:trHeight w:val="237"/>
        </w:trPr>
        <w:tc>
          <w:tcPr>
            <w:tcW w:w="2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Mr. Eric I. Schwartz</w:t>
            </w:r>
          </w:p>
        </w:tc>
        <w:tc>
          <w:tcPr>
            <w:tcW w:w="4740" w:type="dxa"/>
            <w:vAlign w:val="bottom"/>
            <w:shd w:val="clear" w:color="auto" w:fill="EFEDED"/>
          </w:tcPr>
          <w:p>
            <w:pPr>
              <w:ind w:left="20"/>
              <w:spacing w:after="0"/>
              <w:rPr>
                <w:sz w:val="20"/>
                <w:szCs w:val="20"/>
                <w:color w:val="auto"/>
              </w:rPr>
            </w:pPr>
            <w:r>
              <w:rPr>
                <w:rFonts w:ascii="Arial" w:cs="Arial" w:eastAsia="Arial" w:hAnsi="Arial"/>
                <w:sz w:val="14"/>
                <w:szCs w:val="14"/>
                <w:color w:val="58595B"/>
              </w:rPr>
              <w:t>Executive Vice President, Chief Legal Officer and Secretary</w:t>
            </w:r>
          </w:p>
        </w:tc>
        <w:tc>
          <w:tcPr>
            <w:tcW w:w="3560" w:type="dxa"/>
            <w:vAlign w:val="bottom"/>
            <w:shd w:val="clear" w:color="auto" w:fill="EFEDED"/>
          </w:tcPr>
          <w:p>
            <w:pPr>
              <w:ind w:left="640"/>
              <w:spacing w:after="0"/>
              <w:rPr>
                <w:sz w:val="20"/>
                <w:szCs w:val="20"/>
                <w:color w:val="auto"/>
              </w:rPr>
            </w:pPr>
            <w:r>
              <w:rPr>
                <w:rFonts w:ascii="Arial" w:cs="Arial" w:eastAsia="Arial" w:hAnsi="Arial"/>
                <w:sz w:val="14"/>
                <w:szCs w:val="14"/>
                <w:color w:val="58595B"/>
              </w:rPr>
              <w:t>Full Year</w:t>
            </w:r>
          </w:p>
        </w:tc>
      </w:tr>
      <w:tr>
        <w:trPr>
          <w:trHeight w:val="230"/>
        </w:trPr>
        <w:tc>
          <w:tcPr>
            <w:tcW w:w="278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Ms. Carrie Anderson</w:t>
            </w:r>
            <w:r>
              <w:rPr>
                <w:rFonts w:ascii="Arial" w:cs="Arial" w:eastAsia="Arial" w:hAnsi="Arial"/>
                <w:sz w:val="18"/>
                <w:szCs w:val="18"/>
                <w:b w:val="1"/>
                <w:bCs w:val="1"/>
                <w:color w:val="58595B"/>
                <w:vertAlign w:val="superscript"/>
              </w:rPr>
              <w:t>1</w:t>
            </w:r>
          </w:p>
        </w:tc>
        <w:tc>
          <w:tcPr>
            <w:tcW w:w="4740" w:type="dxa"/>
            <w:vAlign w:val="bottom"/>
            <w:tcBorders>
              <w:bottom w:val="single" w:sz="8" w:color="58595B"/>
            </w:tcBorders>
          </w:tcPr>
          <w:p>
            <w:pPr>
              <w:ind w:left="20"/>
              <w:spacing w:after="0"/>
              <w:rPr>
                <w:sz w:val="20"/>
                <w:szCs w:val="20"/>
                <w:color w:val="auto"/>
              </w:rPr>
            </w:pPr>
            <w:r>
              <w:rPr>
                <w:rFonts w:ascii="Arial" w:cs="Arial" w:eastAsia="Arial" w:hAnsi="Arial"/>
                <w:sz w:val="14"/>
                <w:szCs w:val="14"/>
                <w:color w:val="58595B"/>
              </w:rPr>
              <w:t>Executive Vice President and Chief Financial Officer (CFO)</w:t>
            </w:r>
          </w:p>
        </w:tc>
        <w:tc>
          <w:tcPr>
            <w:tcW w:w="3560" w:type="dxa"/>
            <w:vAlign w:val="bottom"/>
            <w:tcBorders>
              <w:bottom w:val="single" w:sz="8" w:color="58595B"/>
            </w:tcBorders>
          </w:tcPr>
          <w:p>
            <w:pPr>
              <w:ind w:left="640"/>
              <w:spacing w:after="0"/>
              <w:rPr>
                <w:sz w:val="20"/>
                <w:szCs w:val="20"/>
                <w:color w:val="auto"/>
              </w:rPr>
            </w:pPr>
            <w:r>
              <w:rPr>
                <w:rFonts w:ascii="Arial" w:cs="Arial" w:eastAsia="Arial" w:hAnsi="Arial"/>
                <w:sz w:val="14"/>
                <w:szCs w:val="14"/>
                <w:color w:val="58595B"/>
              </w:rPr>
              <w:t>January 1 to February 2, 2023</w:t>
            </w:r>
          </w:p>
        </w:tc>
      </w:tr>
    </w:tbl>
    <w:p>
      <w:pPr>
        <w:spacing w:after="0" w:line="13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Effective February 2, 2023, Ms. Anderson resigned as Chief Financial Officer.</w:t>
      </w:r>
    </w:p>
    <w:p>
      <w:pPr>
        <w:spacing w:after="0" w:line="293"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color w:val="58595B"/>
        </w:rPr>
        <w:t>Mr. Mosebrook's compensation was established in respect of his role throughout the year as our Senior Vice President, Finance and Principal Accounting Officer. As a result, the discussion of how we establish the compensation for the NEOs does not apply to him. Mr. Mosebrook is an NEO for disclosure purposes only because he served as our interim principal financial officer for part of 2023.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9845"/>
        </w:rPr>
        <w:t>Summary of Our 2023 Decisions</w:t>
      </w:r>
    </w:p>
    <w:p>
      <w:pPr>
        <w:spacing w:after="0" w:line="178"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The Compensation Committee makes decisions regarding NEO total compensation (base salary, annual bonus objectives and payments, and annual equity grants) in connection with our annual performance review process. The table below summarizes the Compensation Committee’s decisions and provides information on updates to the compensation programs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8942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894205"/>
                    </a:xfrm>
                    <a:prstGeom prst="rect">
                      <a:avLst/>
                    </a:prstGeom>
                    <a:noFill/>
                  </pic:spPr>
                </pic:pic>
              </a:graphicData>
            </a:graphic>
          </wp:anchor>
        </w:drawing>
      </w:r>
    </w:p>
    <w:p>
      <w:pPr>
        <w:sectPr>
          <w:pgSz w:w="11900" w:h="16838" w:orient="portrait"/>
          <w:cols w:equalWidth="0" w:num="1">
            <w:col w:w="11220"/>
          </w:cols>
          <w:pgMar w:left="320" w:top="122" w:right="359" w:bottom="4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Factors That Guided</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Total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1423035" cy="59061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23035" cy="5906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Our executive compensation philosophy</w:t>
      </w:r>
    </w:p>
    <w:p>
      <w:pPr>
        <w:spacing w:after="0" w:line="113"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Degree of achievement of key strategic financial and operational goals</w:t>
      </w:r>
    </w:p>
    <w:p>
      <w:pPr>
        <w:spacing w:after="0" w:line="99"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Individual performance</w:t>
      </w:r>
    </w:p>
    <w:p>
      <w:pPr>
        <w:spacing w:after="0" w:line="113"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Advancement of our diversity and inclusion strategy</w:t>
      </w:r>
    </w:p>
    <w:p>
      <w:pPr>
        <w:spacing w:after="0" w:line="99"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Recommendations of our President and CEO (other than with respect to his own compensation)</w:t>
      </w:r>
    </w:p>
    <w:p>
      <w:pPr>
        <w:spacing w:after="0" w:line="99"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Advice of an independent compensation consultant</w:t>
      </w:r>
    </w:p>
    <w:p>
      <w:pPr>
        <w:spacing w:after="0" w:line="113"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Stockholder input</w:t>
      </w:r>
    </w:p>
    <w:p>
      <w:pPr>
        <w:spacing w:after="0" w:line="99"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Market pay practices</w:t>
      </w:r>
    </w:p>
    <w:p>
      <w:pPr>
        <w:spacing w:after="0" w:line="99" w:lineRule="exact"/>
        <w:rPr>
          <w:rFonts w:ascii="Arial" w:cs="Arial" w:eastAsia="Arial" w:hAnsi="Arial"/>
          <w:sz w:val="16"/>
          <w:szCs w:val="16"/>
          <w:color w:val="58595B"/>
        </w:rPr>
      </w:pPr>
    </w:p>
    <w:p>
      <w:pPr>
        <w:ind w:left="116" w:hanging="116"/>
        <w:spacing w:after="0"/>
        <w:tabs>
          <w:tab w:leader="none" w:pos="116" w:val="left"/>
        </w:tabs>
        <w:numPr>
          <w:ilvl w:val="0"/>
          <w:numId w:val="31"/>
        </w:numPr>
        <w:rPr>
          <w:rFonts w:ascii="Arial" w:cs="Arial" w:eastAsia="Arial" w:hAnsi="Arial"/>
          <w:sz w:val="16"/>
          <w:szCs w:val="16"/>
          <w:color w:val="58595B"/>
        </w:rPr>
      </w:pPr>
      <w:r>
        <w:rPr>
          <w:rFonts w:ascii="Arial" w:cs="Arial" w:eastAsia="Arial" w:hAnsi="Arial"/>
          <w:sz w:val="16"/>
          <w:szCs w:val="16"/>
          <w:color w:val="58595B"/>
        </w:rPr>
        <w:t>Current and historical Integra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252095</wp:posOffset>
            </wp:positionV>
            <wp:extent cx="5623560" cy="59061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23560" cy="59061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364"/>
            <w:col w:w="8656"/>
          </w:cols>
          <w:pgMar w:left="320" w:top="122" w:right="359" w:bottom="4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Key 2023</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Compensation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Decisions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(See Pages 42 – 48</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For More Information)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8595B"/>
        </w:rPr>
        <w:t>Base Salary Decisions</w:t>
      </w:r>
    </w:p>
    <w:p>
      <w:pPr>
        <w:spacing w:after="0" w:line="221" w:lineRule="exact"/>
        <w:rPr>
          <w:sz w:val="20"/>
          <w:szCs w:val="20"/>
          <w:color w:val="auto"/>
        </w:rPr>
      </w:pPr>
    </w:p>
    <w:p>
      <w:pPr>
        <w:ind w:left="40" w:right="200"/>
        <w:spacing w:after="0" w:line="318"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All NEOs including Mr. Mosebrook received an increase aligned to our 2023 global merit budget with the exception of Mr. McBreen who received a 6.1% merit increase to reflect his 2022 performance and a 12.9% market increase to remain competitive with our peer group.</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color w:val="58595B"/>
        </w:rPr>
        <w:t>Ms. Knight's 2023 base salary was set when she joined the Company in June 2023.</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8595B"/>
        </w:rPr>
        <w:t>Cash Bonus Decisions</w:t>
      </w:r>
    </w:p>
    <w:p>
      <w:pPr>
        <w:spacing w:after="0" w:line="208" w:lineRule="exact"/>
        <w:rPr>
          <w:sz w:val="20"/>
          <w:szCs w:val="20"/>
          <w:color w:val="auto"/>
        </w:rPr>
      </w:pPr>
    </w:p>
    <w:p>
      <w:pPr>
        <w:ind w:left="40" w:right="320"/>
        <w:spacing w:after="0" w:line="339" w:lineRule="auto"/>
        <w:rPr>
          <w:sz w:val="20"/>
          <w:szCs w:val="20"/>
          <w:color w:val="auto"/>
        </w:rPr>
      </w:pPr>
      <w:r>
        <w:rPr>
          <w:rFonts w:ascii="Arial" w:cs="Arial" w:eastAsia="Arial" w:hAnsi="Arial"/>
          <w:sz w:val="16"/>
          <w:szCs w:val="16"/>
          <w:color w:val="58595B"/>
        </w:rPr>
        <w:t>In February 2023, the Compensation Committee approved the short-term incentive design, metrics and performance goals for NEOs, which cascades more broadly to all plan participants.</w:t>
      </w:r>
    </w:p>
    <w:p>
      <w:pPr>
        <w:spacing w:after="0" w:line="115" w:lineRule="exact"/>
        <w:rPr>
          <w:sz w:val="20"/>
          <w:szCs w:val="20"/>
          <w:color w:val="auto"/>
        </w:rPr>
      </w:pPr>
    </w:p>
    <w:p>
      <w:pPr>
        <w:ind w:left="40" w:right="20"/>
        <w:spacing w:after="0" w:line="328" w:lineRule="auto"/>
        <w:rPr>
          <w:sz w:val="20"/>
          <w:szCs w:val="20"/>
          <w:color w:val="auto"/>
        </w:rPr>
      </w:pPr>
      <w:r>
        <w:rPr>
          <w:rFonts w:ascii="Arial" w:cs="Arial" w:eastAsia="Arial" w:hAnsi="Arial"/>
          <w:sz w:val="16"/>
          <w:szCs w:val="16"/>
          <w:color w:val="58595B"/>
        </w:rPr>
        <w:t>As a result of business performance goals in 2023, the overall annual bonus pool was funded at 0% of target. The Compensation Committee considered this funding appropriate based on the Company results. The NEOs did not receive a cash bonus for 2023 performance.</w:t>
      </w:r>
    </w:p>
    <w:p>
      <w:pPr>
        <w:spacing w:after="0" w:line="110" w:lineRule="exact"/>
        <w:rPr>
          <w:sz w:val="20"/>
          <w:szCs w:val="20"/>
          <w:color w:val="auto"/>
        </w:rPr>
      </w:pPr>
    </w:p>
    <w:p>
      <w:pPr>
        <w:ind w:left="40" w:right="80"/>
        <w:spacing w:after="0" w:line="328" w:lineRule="auto"/>
        <w:rPr>
          <w:sz w:val="20"/>
          <w:szCs w:val="20"/>
          <w:color w:val="auto"/>
        </w:rPr>
      </w:pPr>
      <w:r>
        <w:rPr>
          <w:rFonts w:ascii="Arial" w:cs="Arial" w:eastAsia="Arial" w:hAnsi="Arial"/>
          <w:sz w:val="16"/>
          <w:szCs w:val="16"/>
          <w:color w:val="58595B"/>
        </w:rPr>
        <w:t>Mr. Mosebrook served as interim Principal Financial Officer from February 2 through June 28, 2023. As a senior vice president, Mr. Mosebrook was eligible for a bonus payment consistent with other non-NEO employees at the senior vice president level and the general employee population.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8595B"/>
        </w:rPr>
        <w:t>Equity Grant Decisions</w:t>
      </w:r>
    </w:p>
    <w:p>
      <w:pPr>
        <w:spacing w:after="0" w:line="221" w:lineRule="exact"/>
        <w:rPr>
          <w:sz w:val="20"/>
          <w:szCs w:val="20"/>
          <w:color w:val="auto"/>
        </w:rPr>
      </w:pPr>
    </w:p>
    <w:p>
      <w:pPr>
        <w:ind w:left="40" w:right="160"/>
        <w:spacing w:after="0" w:line="339" w:lineRule="auto"/>
        <w:rPr>
          <w:sz w:val="20"/>
          <w:szCs w:val="20"/>
          <w:color w:val="auto"/>
        </w:rPr>
      </w:pPr>
      <w:r>
        <w:rPr>
          <w:rFonts w:ascii="Arial" w:cs="Arial" w:eastAsia="Arial" w:hAnsi="Arial"/>
          <w:sz w:val="16"/>
          <w:szCs w:val="16"/>
          <w:color w:val="58595B"/>
        </w:rPr>
        <w:t>On March 10, 2023, Mr. De Witte received an annual equity grant with a fair market value of $5,500,089. Grants for the other NEOs ranged in value from $260,120 to $2,218,875.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328" w:lineRule="auto"/>
        <w:rPr>
          <w:sz w:val="20"/>
          <w:szCs w:val="20"/>
          <w:color w:val="auto"/>
        </w:rPr>
      </w:pPr>
      <w:r>
        <w:rPr>
          <w:rFonts w:ascii="Arial" w:cs="Arial" w:eastAsia="Arial" w:hAnsi="Arial"/>
          <w:sz w:val="16"/>
          <w:szCs w:val="16"/>
          <w:color w:val="58595B"/>
        </w:rPr>
        <w:t>Equity grants consist of 50% performance stock units (PSUs) and stock options and restricted stock (RSUs for Mr. De Witte) each weighted at 25%. Mr. Mosebrook's equity grants consists of 50% PSUs and 50% restricted stock consistent with the annual equity grants awarded to other non-NEO US senior vice presidents.</w:t>
      </w:r>
    </w:p>
    <w:p>
      <w:pPr>
        <w:spacing w:after="0" w:line="123"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58595B"/>
        </w:rPr>
        <w:t>The 2023 PSU target level goal increased to 5.7% annual organic revenue growth. The PSU's maximum level of performance is 7% annual organic revenue growth and the vesting percentage opportunity for this award is 150% when this exceptional performance is achieved or surpassed.</w:t>
      </w:r>
    </w:p>
    <w:p>
      <w:pPr>
        <w:spacing w:after="0" w:line="200" w:lineRule="exact"/>
        <w:rPr>
          <w:sz w:val="20"/>
          <w:szCs w:val="20"/>
          <w:color w:val="auto"/>
        </w:rPr>
      </w:pPr>
    </w:p>
    <w:p>
      <w:pPr>
        <w:sectPr>
          <w:pgSz w:w="11900" w:h="16838" w:orient="portrait"/>
          <w:cols w:equalWidth="0" w:num="2">
            <w:col w:w="1800" w:space="720"/>
            <w:col w:w="8700"/>
          </w:cols>
          <w:pgMar w:left="320" w:top="122" w:right="359" w:bottom="448" w:gutter="0" w:footer="0" w:header="0"/>
          <w:type w:val="continuous"/>
        </w:sectPr>
      </w:pPr>
    </w:p>
    <w:p>
      <w:pPr>
        <w:spacing w:after="0" w:line="3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448" w:gutter="0" w:footer="0" w:header="0"/>
          <w:type w:val="continuous"/>
        </w:sectPr>
      </w:pPr>
    </w:p>
    <w:bookmarkStart w:id="39" w:name="page40"/>
    <w:bookmarkEnd w:id="39"/>
    <w:p>
      <w:pPr>
        <w:ind w:left="8820"/>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32320" cy="2940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294068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Key 2023</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Compensation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Decisions</w:t>
      </w:r>
    </w:p>
    <w:p>
      <w:pPr>
        <w:spacing w:after="0" w:line="1" w:lineRule="exact"/>
        <w:rPr>
          <w:sz w:val="20"/>
          <w:szCs w:val="20"/>
          <w:color w:val="auto"/>
        </w:rPr>
      </w:pPr>
    </w:p>
    <w:p>
      <w:pPr>
        <w:ind w:left="80" w:right="360"/>
        <w:spacing w:after="0" w:line="293" w:lineRule="auto"/>
        <w:rPr>
          <w:sz w:val="20"/>
          <w:szCs w:val="20"/>
          <w:color w:val="auto"/>
        </w:rPr>
      </w:pPr>
      <w:r>
        <w:rPr>
          <w:rFonts w:ascii="Arial" w:cs="Arial" w:eastAsia="Arial" w:hAnsi="Arial"/>
          <w:sz w:val="14"/>
          <w:szCs w:val="14"/>
          <w:b w:val="1"/>
          <w:bCs w:val="1"/>
          <w:color w:val="FFFFFF"/>
        </w:rPr>
        <w:t>(See Pages 42– 48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1230630</wp:posOffset>
            </wp:positionV>
            <wp:extent cx="1423035" cy="942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230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Say-On-Pay Results</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And Stockholder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58595B"/>
        </w:rPr>
        <w:t>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58595B"/>
        </w:rPr>
        <w:t>In consideration for serving as interim PFO while retaining his Senior Vice President, Finance and PAO role for the full year, Mr. Mosebrook was given a restricted stock award valued at $500,000 with a two-year cliff vest.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New Hire Decisions</w:t>
      </w:r>
    </w:p>
    <w:p>
      <w:pPr>
        <w:spacing w:after="0" w:line="208" w:lineRule="exact"/>
        <w:rPr>
          <w:sz w:val="20"/>
          <w:szCs w:val="20"/>
          <w:color w:val="auto"/>
        </w:rPr>
      </w:pPr>
    </w:p>
    <w:p>
      <w:pPr>
        <w:ind w:right="560"/>
        <w:spacing w:after="0" w:line="356" w:lineRule="auto"/>
        <w:rPr>
          <w:sz w:val="20"/>
          <w:szCs w:val="20"/>
          <w:color w:val="auto"/>
        </w:rPr>
      </w:pPr>
      <w:r>
        <w:rPr>
          <w:rFonts w:ascii="Arial" w:cs="Arial" w:eastAsia="Arial" w:hAnsi="Arial"/>
          <w:sz w:val="16"/>
          <w:szCs w:val="16"/>
          <w:color w:val="58595B"/>
        </w:rPr>
        <w:t>In consideration of Ms. Knight’s repayment of a cash sign-on received from her prior employer, the Compensation Committee awarded Ms. Knight a one-time payment of $350,000 in June 2023 when she joined the Company.</w:t>
      </w:r>
    </w:p>
    <w:p>
      <w:pPr>
        <w:spacing w:after="0" w:line="89"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Ms. Knight received a one-time restricted stock award in the amount of $1,000,000 granted on July 1, 2023, largely in consideration of her forfeiture of unvested equity from her prior employer. Her award was provided in two grants as follows: $750,000 in restricted stock award which vests in three equal installments on the anniversary dates of the grant for the forfeiture of unvested equity and 2023 bonus from her previous employer and $250,000 in restricted stock which vests on the third anniversary of the grant date for sign-on attraction.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PSU Vesting Decisions</w:t>
      </w:r>
    </w:p>
    <w:p>
      <w:pPr>
        <w:spacing w:after="0" w:line="208"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In February 2024, the Compensation Committee reviewed the annual organic revenue growth goal for 2023 performance as it relates to the vesting of 2021, 2022 and 2023 PSU grants. Based on the Company's performance, PSUs tied to the 2023 performance year vested at 0% of target for the 2021, 2022 and 2023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250190</wp:posOffset>
            </wp:positionV>
            <wp:extent cx="5623560" cy="942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23560" cy="94297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340"/>
        <w:spacing w:after="0" w:line="318" w:lineRule="auto"/>
        <w:rPr>
          <w:sz w:val="20"/>
          <w:szCs w:val="20"/>
          <w:color w:val="auto"/>
        </w:rPr>
      </w:pPr>
      <w:r>
        <w:rPr>
          <w:rFonts w:ascii="Arial" w:cs="Arial" w:eastAsia="Arial" w:hAnsi="Arial"/>
          <w:sz w:val="16"/>
          <w:szCs w:val="16"/>
          <w:color w:val="58595B"/>
        </w:rPr>
        <w:t>The Company continues to receive high levels of Say-on-Pay support, with 98.8% of votes cast in favor at our 2023 annual meeting of stockholders. The Compensation Committee believes this support, coupled with positive feedback from stockholders, to be an endorsement of our current program, which is considered as part of the Compensation Committee’s annual review.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009845"/>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143510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600"/>
            <w:col w:w="8680"/>
          </w:cols>
          <w:pgMar w:left="34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009845"/>
        </w:rPr>
        <w:t>Supporting Our Pay-For-Performance Philosophy</w:t>
      </w:r>
    </w:p>
    <w:p>
      <w:pPr>
        <w:spacing w:after="0" w:line="340"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In support of our pay-for-performance philosophy and achievement of strong Company performance, the majority of the total compensation opportunity that our President and CEO and other NEOs receive is “at-risk” and dependent upon future performance. Market-competitive base salaries are established to provide our NEOs with a stable and secure source of income with “at-risk” pay aligned to driving our four strategy pillars.</w:t>
      </w:r>
    </w:p>
    <w:p>
      <w:pPr>
        <w:spacing w:after="0" w:line="199" w:lineRule="exact"/>
        <w:rPr>
          <w:sz w:val="20"/>
          <w:szCs w:val="20"/>
          <w:color w:val="auto"/>
        </w:rPr>
      </w:pPr>
    </w:p>
    <w:p>
      <w:pPr>
        <w:ind w:left="20"/>
        <w:spacing w:after="0" w:line="310" w:lineRule="auto"/>
        <w:rPr>
          <w:sz w:val="20"/>
          <w:szCs w:val="20"/>
          <w:color w:val="auto"/>
        </w:rPr>
      </w:pPr>
      <w:r>
        <w:rPr>
          <w:rFonts w:ascii="Arial" w:cs="Arial" w:eastAsia="Arial" w:hAnsi="Arial"/>
          <w:sz w:val="16"/>
          <w:szCs w:val="16"/>
          <w:color w:val="58595B"/>
        </w:rPr>
        <w:t>Consistent with the Company’s overall executive compensation philosophy, NEOs are rewarded for their strong leadership and individual performance and provided with equity incentives to ensure alignment of their interests with those of our stockholders. For Mr. De Witte, 88% of his on-going target total direct compensation opportunity is at-risk, as shown below. On average, the target total direct compensation for our NEOs other than Mr. De Witte that is at-risk is 75%. Given the nature and intent of the award, Ms. Knight's $1,000,000 equity award granted in July 2023 is excluded from the average on-going target total direct compensation for our other NEOs. Mr. Mosebrook served as our interim Principal Financial Officer from February 2, 2023 to June 28, 2023 until Ms. Knight was appointed as our Chief Financial Officer. Mr. Mosebrook's compensation was established in respect of his role throughout the year as our Senior Vice President, Finance and Principal Accounting Officer. As a result, discussion of the compensation for our NEOs, including the components and targets thereof, does not apply to him. For this reason, Mr. Mosebrook is excluded from the average on-going target total direct compensation for our other NEOs appearing below.</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Aligning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114300</wp:posOffset>
            </wp:positionV>
            <wp:extent cx="5966460" cy="18427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184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20"/>
        <w:spacing w:after="0" w:line="276" w:lineRule="auto"/>
        <w:rPr>
          <w:sz w:val="20"/>
          <w:szCs w:val="20"/>
          <w:color w:val="auto"/>
        </w:rPr>
      </w:pPr>
      <w:r>
        <w:rPr>
          <w:rFonts w:ascii="Arial" w:cs="Arial" w:eastAsia="Arial" w:hAnsi="Arial"/>
          <w:sz w:val="17"/>
          <w:szCs w:val="17"/>
          <w:color w:val="009845"/>
        </w:rPr>
        <w:t xml:space="preserve">The majority of </w:t>
      </w:r>
      <w:r>
        <w:rPr>
          <w:rFonts w:ascii="Arial" w:cs="Arial" w:eastAsia="Arial" w:hAnsi="Arial"/>
          <w:sz w:val="17"/>
          <w:szCs w:val="17"/>
          <w:b w:val="1"/>
          <w:bCs w:val="1"/>
          <w:color w:val="009845"/>
        </w:rPr>
        <w:t>total direct</w:t>
      </w:r>
      <w:r>
        <w:rPr>
          <w:rFonts w:ascii="Arial" w:cs="Arial" w:eastAsia="Arial" w:hAnsi="Arial"/>
          <w:sz w:val="17"/>
          <w:szCs w:val="17"/>
          <w:color w:val="009845"/>
        </w:rPr>
        <w:t xml:space="preserve"> </w:t>
      </w:r>
      <w:r>
        <w:rPr>
          <w:rFonts w:ascii="Arial" w:cs="Arial" w:eastAsia="Arial" w:hAnsi="Arial"/>
          <w:sz w:val="17"/>
          <w:szCs w:val="17"/>
          <w:b w:val="1"/>
          <w:bCs w:val="1"/>
          <w:color w:val="009845"/>
        </w:rPr>
        <w:t xml:space="preserve">compensation </w:t>
      </w:r>
      <w:r>
        <w:rPr>
          <w:rFonts w:ascii="Arial" w:cs="Arial" w:eastAsia="Arial" w:hAnsi="Arial"/>
          <w:sz w:val="17"/>
          <w:szCs w:val="17"/>
          <w:color w:val="009845"/>
        </w:rPr>
        <w:t>for our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-1198880</wp:posOffset>
            </wp:positionV>
            <wp:extent cx="2125980" cy="2974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25980" cy="2974340"/>
                    </a:xfrm>
                    <a:prstGeom prst="rect">
                      <a:avLst/>
                    </a:prstGeom>
                    <a:noFill/>
                  </pic:spPr>
                </pic:pic>
              </a:graphicData>
            </a:graphic>
          </wp:anchor>
        </w:drawing>
      </w:r>
    </w:p>
    <w:p>
      <w:pPr>
        <w:ind w:right="320"/>
        <w:spacing w:after="0" w:line="253" w:lineRule="auto"/>
        <w:rPr>
          <w:sz w:val="20"/>
          <w:szCs w:val="20"/>
          <w:color w:val="auto"/>
        </w:rPr>
      </w:pPr>
      <w:r>
        <w:rPr>
          <w:rFonts w:ascii="Arial" w:cs="Arial" w:eastAsia="Arial" w:hAnsi="Arial"/>
          <w:sz w:val="18"/>
          <w:szCs w:val="18"/>
          <w:b w:val="1"/>
          <w:bCs w:val="1"/>
          <w:color w:val="009845"/>
        </w:rPr>
        <w:t xml:space="preserve">88% for our President and CEO and an average of 75% for our other NEOs — is “at-risk” </w:t>
      </w:r>
      <w:r>
        <w:rPr>
          <w:rFonts w:ascii="Arial" w:cs="Arial" w:eastAsia="Arial" w:hAnsi="Arial"/>
          <w:sz w:val="18"/>
          <w:szCs w:val="18"/>
          <w:color w:val="009845"/>
        </w:rPr>
        <w:t>based</w:t>
      </w:r>
      <w:r>
        <w:rPr>
          <w:rFonts w:ascii="Arial" w:cs="Arial" w:eastAsia="Arial" w:hAnsi="Arial"/>
          <w:sz w:val="18"/>
          <w:szCs w:val="18"/>
          <w:b w:val="1"/>
          <w:bCs w:val="1"/>
          <w:color w:val="009845"/>
        </w:rPr>
        <w:t xml:space="preserve"> </w:t>
      </w:r>
      <w:r>
        <w:rPr>
          <w:rFonts w:ascii="Arial" w:cs="Arial" w:eastAsia="Arial" w:hAnsi="Arial"/>
          <w:sz w:val="18"/>
          <w:szCs w:val="18"/>
          <w:color w:val="009845"/>
        </w:rPr>
        <w:t>on the 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943610</wp:posOffset>
            </wp:positionV>
            <wp:extent cx="2125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302" w:lineRule="exact"/>
        <w:rPr>
          <w:sz w:val="20"/>
          <w:szCs w:val="20"/>
          <w:color w:val="auto"/>
        </w:rPr>
      </w:pPr>
    </w:p>
    <w:p>
      <w:pPr>
        <w:sectPr>
          <w:pgSz w:w="11900" w:h="16838" w:orient="portrait"/>
          <w:cols w:equalWidth="0" w:num="2">
            <w:col w:w="7500" w:space="660"/>
            <w:col w:w="306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319" w:lineRule="auto"/>
        <w:rPr>
          <w:sz w:val="20"/>
          <w:szCs w:val="20"/>
          <w:color w:val="auto"/>
        </w:rPr>
      </w:pPr>
      <w:r>
        <w:rPr>
          <w:rFonts w:ascii="Arial" w:cs="Arial" w:eastAsia="Arial" w:hAnsi="Arial"/>
          <w:sz w:val="16"/>
          <w:szCs w:val="16"/>
          <w:color w:val="58595B"/>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2023, the performance-based components of our executive compensation program were designed as follows:</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ind w:left="8840"/>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440" w:type="dxa"/>
            <w:vAlign w:val="bottom"/>
          </w:tcPr>
          <w:p>
            <w:pPr>
              <w:spacing w:after="0"/>
              <w:rPr>
                <w:sz w:val="22"/>
                <w:szCs w:val="22"/>
                <w:color w:val="auto"/>
              </w:rPr>
            </w:pPr>
          </w:p>
        </w:tc>
        <w:tc>
          <w:tcPr>
            <w:tcW w:w="3160" w:type="dxa"/>
            <w:vAlign w:val="bottom"/>
          </w:tcPr>
          <w:p>
            <w:pPr>
              <w:ind w:left="680"/>
              <w:spacing w:after="0"/>
              <w:rPr>
                <w:sz w:val="20"/>
                <w:szCs w:val="20"/>
                <w:color w:val="auto"/>
              </w:rPr>
            </w:pPr>
            <w:r>
              <w:rPr>
                <w:rFonts w:ascii="Arial" w:cs="Arial" w:eastAsia="Arial" w:hAnsi="Arial"/>
                <w:sz w:val="18"/>
                <w:szCs w:val="18"/>
                <w:b w:val="1"/>
                <w:bCs w:val="1"/>
                <w:color w:val="009845"/>
              </w:rPr>
              <w:t>Short-Term Incentive</w:t>
            </w:r>
          </w:p>
        </w:tc>
        <w:tc>
          <w:tcPr>
            <w:tcW w:w="3620" w:type="dxa"/>
            <w:vAlign w:val="bottom"/>
          </w:tcPr>
          <w:p>
            <w:pPr>
              <w:ind w:left="920"/>
              <w:spacing w:after="0"/>
              <w:rPr>
                <w:sz w:val="20"/>
                <w:szCs w:val="20"/>
                <w:color w:val="auto"/>
              </w:rPr>
            </w:pPr>
            <w:r>
              <w:rPr>
                <w:rFonts w:ascii="Arial" w:cs="Arial" w:eastAsia="Arial" w:hAnsi="Arial"/>
                <w:sz w:val="18"/>
                <w:szCs w:val="18"/>
                <w:b w:val="1"/>
                <w:bCs w:val="1"/>
                <w:color w:val="009845"/>
              </w:rPr>
              <w:t>Long-Term Incentive</w:t>
            </w:r>
          </w:p>
        </w:tc>
        <w:tc>
          <w:tcPr>
            <w:tcW w:w="3020" w:type="dxa"/>
            <w:vAlign w:val="bottom"/>
          </w:tcPr>
          <w:p>
            <w:pPr>
              <w:ind w:left="620"/>
              <w:spacing w:after="0"/>
              <w:rPr>
                <w:sz w:val="20"/>
                <w:szCs w:val="20"/>
                <w:color w:val="auto"/>
              </w:rPr>
            </w:pPr>
            <w:r>
              <w:rPr>
                <w:rFonts w:ascii="Arial" w:cs="Arial" w:eastAsia="Arial" w:hAnsi="Arial"/>
                <w:sz w:val="18"/>
                <w:szCs w:val="18"/>
                <w:b w:val="1"/>
                <w:bCs w:val="1"/>
                <w:color w:val="009845"/>
              </w:rPr>
              <w:t>Long-Term Incentive</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160" w:type="dxa"/>
            <w:vAlign w:val="bottom"/>
            <w:tcBorders>
              <w:right w:val="single" w:sz="8" w:color="009845"/>
            </w:tcBorders>
            <w:shd w:val="clear" w:color="auto" w:fill="009845"/>
          </w:tcPr>
          <w:p>
            <w:pPr>
              <w:ind w:left="1080"/>
              <w:spacing w:after="0"/>
              <w:rPr>
                <w:sz w:val="20"/>
                <w:szCs w:val="20"/>
                <w:color w:val="auto"/>
              </w:rPr>
            </w:pPr>
            <w:r>
              <w:rPr>
                <w:rFonts w:ascii="Arial" w:cs="Arial" w:eastAsia="Arial" w:hAnsi="Arial"/>
                <w:sz w:val="14"/>
                <w:szCs w:val="14"/>
                <w:b w:val="1"/>
                <w:bCs w:val="1"/>
                <w:color w:val="FFFFFF"/>
              </w:rPr>
              <w:t>Annual Bonus</w:t>
            </w:r>
          </w:p>
        </w:tc>
        <w:tc>
          <w:tcPr>
            <w:tcW w:w="3620" w:type="dxa"/>
            <w:vAlign w:val="bottom"/>
            <w:tcBorders>
              <w:right w:val="single" w:sz="8" w:color="009845"/>
            </w:tcBorders>
            <w:shd w:val="clear" w:color="auto" w:fill="009845"/>
          </w:tcPr>
          <w:p>
            <w:pPr>
              <w:ind w:left="880"/>
              <w:spacing w:after="0"/>
              <w:rPr>
                <w:sz w:val="20"/>
                <w:szCs w:val="20"/>
                <w:color w:val="auto"/>
              </w:rPr>
            </w:pPr>
            <w:r>
              <w:rPr>
                <w:rFonts w:ascii="Arial" w:cs="Arial" w:eastAsia="Arial" w:hAnsi="Arial"/>
                <w:sz w:val="14"/>
                <w:szCs w:val="14"/>
                <w:b w:val="1"/>
                <w:bCs w:val="1"/>
                <w:color w:val="FFFFFF"/>
              </w:rPr>
              <w:t>Performance-based Equity</w:t>
            </w:r>
          </w:p>
        </w:tc>
        <w:tc>
          <w:tcPr>
            <w:tcW w:w="3020" w:type="dxa"/>
            <w:vAlign w:val="bottom"/>
            <w:shd w:val="clear" w:color="auto" w:fill="009845"/>
          </w:tcPr>
          <w:p>
            <w:pPr>
              <w:ind w:left="860"/>
              <w:spacing w:after="0"/>
              <w:rPr>
                <w:sz w:val="20"/>
                <w:szCs w:val="20"/>
                <w:color w:val="auto"/>
              </w:rPr>
            </w:pPr>
            <w:r>
              <w:rPr>
                <w:rFonts w:ascii="Arial" w:cs="Arial" w:eastAsia="Arial" w:hAnsi="Arial"/>
                <w:sz w:val="14"/>
                <w:szCs w:val="14"/>
                <w:b w:val="1"/>
                <w:bCs w:val="1"/>
                <w:color w:val="FFFFFF"/>
              </w:rPr>
              <w:t>Time-based Equity</w:t>
            </w:r>
          </w:p>
        </w:tc>
        <w:tc>
          <w:tcPr>
            <w:tcW w:w="0" w:type="dxa"/>
            <w:vAlign w:val="bottom"/>
          </w:tcPr>
          <w:p>
            <w:pPr>
              <w:spacing w:after="0"/>
              <w:rPr>
                <w:sz w:val="1"/>
                <w:szCs w:val="1"/>
                <w:color w:val="auto"/>
              </w:rPr>
            </w:pPr>
          </w:p>
        </w:tc>
      </w:tr>
      <w:tr>
        <w:trPr>
          <w:trHeight w:val="193"/>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Objective</w:t>
            </w:r>
          </w:p>
        </w:tc>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Reward achievement of short-term (annual)</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Reward exceptional long-term financial results and</w:t>
            </w:r>
          </w:p>
        </w:tc>
        <w:tc>
          <w:tcPr>
            <w:tcW w:w="3020" w:type="dxa"/>
            <w:vAlign w:val="bottom"/>
          </w:tcPr>
          <w:p>
            <w:pPr>
              <w:ind w:left="100"/>
              <w:spacing w:after="0"/>
              <w:rPr>
                <w:sz w:val="20"/>
                <w:szCs w:val="20"/>
                <w:color w:val="auto"/>
              </w:rPr>
            </w:pPr>
            <w:r>
              <w:rPr>
                <w:rFonts w:ascii="Arial" w:cs="Arial" w:eastAsia="Arial" w:hAnsi="Arial"/>
                <w:sz w:val="14"/>
                <w:szCs w:val="14"/>
                <w:color w:val="58595B"/>
              </w:rPr>
              <w:t>Reinforce ownership in the Company with a</w:t>
            </w: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009845"/>
          </w:tcPr>
          <w:p>
            <w:pPr>
              <w:spacing w:after="0"/>
              <w:rPr>
                <w:sz w:val="7"/>
                <w:szCs w:val="7"/>
                <w:color w:val="auto"/>
              </w:rPr>
            </w:pPr>
          </w:p>
        </w:tc>
        <w:tc>
          <w:tcPr>
            <w:tcW w:w="3160" w:type="dxa"/>
            <w:vAlign w:val="bottom"/>
            <w:tcBorders>
              <w:right w:val="single" w:sz="8" w:color="58595B"/>
            </w:tcBorders>
            <w:vMerge w:val="continue"/>
          </w:tcPr>
          <w:p>
            <w:pPr>
              <w:spacing w:after="0"/>
              <w:rPr>
                <w:sz w:val="7"/>
                <w:szCs w:val="7"/>
                <w:color w:val="auto"/>
              </w:rPr>
            </w:pPr>
          </w:p>
        </w:tc>
        <w:tc>
          <w:tcPr>
            <w:tcW w:w="3620" w:type="dxa"/>
            <w:vAlign w:val="bottom"/>
            <w:tcBorders>
              <w:right w:val="single" w:sz="8" w:color="58595B"/>
            </w:tcBorders>
            <w:vMerge w:val="continue"/>
          </w:tcPr>
          <w:p>
            <w:pPr>
              <w:spacing w:after="0"/>
              <w:rPr>
                <w:sz w:val="7"/>
                <w:szCs w:val="7"/>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focus to increase stockholder value over the</w:t>
            </w:r>
          </w:p>
        </w:tc>
        <w:tc>
          <w:tcPr>
            <w:tcW w:w="0" w:type="dxa"/>
            <w:vAlign w:val="bottom"/>
          </w:tcPr>
          <w:p>
            <w:pPr>
              <w:spacing w:after="0"/>
              <w:rPr>
                <w:sz w:val="1"/>
                <w:szCs w:val="1"/>
                <w:color w:val="auto"/>
              </w:rPr>
            </w:pPr>
          </w:p>
        </w:tc>
      </w:tr>
      <w:tr>
        <w:trPr>
          <w:trHeight w:val="94"/>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corporate performance goals</w:t>
            </w:r>
          </w:p>
        </w:tc>
        <w:tc>
          <w:tcPr>
            <w:tcW w:w="3620" w:type="dxa"/>
            <w:vAlign w:val="bottom"/>
            <w:tcBorders>
              <w:right w:val="single" w:sz="8" w:color="58595B"/>
            </w:tcBorders>
            <w:vMerge w:val="restart"/>
          </w:tcPr>
          <w:p>
            <w:pPr>
              <w:ind w:left="100"/>
              <w:spacing w:after="0"/>
              <w:rPr>
                <w:sz w:val="20"/>
                <w:szCs w:val="20"/>
                <w:color w:val="auto"/>
              </w:rPr>
            </w:pPr>
            <w:r>
              <w:rPr>
                <w:rFonts w:ascii="Arial" w:cs="Arial" w:eastAsia="Arial" w:hAnsi="Arial"/>
                <w:sz w:val="14"/>
                <w:szCs w:val="14"/>
                <w:color w:val="58595B"/>
              </w:rPr>
              <w:t>drive stockholder value creation</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continue"/>
          </w:tcPr>
          <w:p>
            <w:pPr>
              <w:spacing w:after="0"/>
              <w:rPr>
                <w:sz w:val="8"/>
                <w:szCs w:val="8"/>
                <w:color w:val="auto"/>
              </w:rPr>
            </w:pPr>
          </w:p>
        </w:tc>
        <w:tc>
          <w:tcPr>
            <w:tcW w:w="3620" w:type="dxa"/>
            <w:vAlign w:val="bottom"/>
            <w:tcBorders>
              <w:right w:val="single" w:sz="8" w:color="58595B"/>
            </w:tcBorders>
            <w:vMerge w:val="continue"/>
          </w:tcPr>
          <w:p>
            <w:pPr>
              <w:spacing w:after="0"/>
              <w:rPr>
                <w:sz w:val="8"/>
                <w:szCs w:val="8"/>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58595B"/>
              </w:rPr>
              <w:t>long term and support retention of executives</w:t>
            </w:r>
          </w:p>
        </w:tc>
        <w:tc>
          <w:tcPr>
            <w:tcW w:w="0" w:type="dxa"/>
            <w:vAlign w:val="bottom"/>
          </w:tcPr>
          <w:p>
            <w:pPr>
              <w:spacing w:after="0"/>
              <w:rPr>
                <w:sz w:val="1"/>
                <w:szCs w:val="1"/>
                <w:color w:val="auto"/>
              </w:rPr>
            </w:pPr>
          </w:p>
        </w:tc>
      </w:tr>
      <w:tr>
        <w:trPr>
          <w:trHeight w:val="98"/>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tcPr>
          <w:p>
            <w:pPr>
              <w:spacing w:after="0"/>
              <w:rPr>
                <w:sz w:val="8"/>
                <w:szCs w:val="8"/>
                <w:color w:val="auto"/>
              </w:rPr>
            </w:pPr>
          </w:p>
        </w:tc>
        <w:tc>
          <w:tcPr>
            <w:tcW w:w="3620" w:type="dxa"/>
            <w:vAlign w:val="bottom"/>
            <w:tcBorders>
              <w:right w:val="single" w:sz="8" w:color="58595B"/>
            </w:tcBorders>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440" w:type="dxa"/>
            <w:vAlign w:val="bottom"/>
            <w:shd w:val="clear" w:color="auto" w:fill="009845"/>
          </w:tcPr>
          <w:p>
            <w:pPr>
              <w:spacing w:after="0"/>
              <w:rPr>
                <w:sz w:val="17"/>
                <w:szCs w:val="17"/>
                <w:color w:val="auto"/>
              </w:rPr>
            </w:pPr>
          </w:p>
        </w:tc>
        <w:tc>
          <w:tcPr>
            <w:tcW w:w="3160" w:type="dxa"/>
            <w:vAlign w:val="bottom"/>
            <w:tcBorders>
              <w:right w:val="single" w:sz="8" w:color="58595B"/>
            </w:tcBorders>
            <w:shd w:val="clear" w:color="auto" w:fill="EFEDED"/>
          </w:tcPr>
          <w:p>
            <w:pPr>
              <w:spacing w:after="0"/>
              <w:rPr>
                <w:sz w:val="17"/>
                <w:szCs w:val="17"/>
                <w:color w:val="auto"/>
              </w:rPr>
            </w:pP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Performance Stock Units (PSUs) (50%)</w:t>
            </w:r>
          </w:p>
        </w:tc>
        <w:tc>
          <w:tcPr>
            <w:tcW w:w="30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Restricted Stock Units (RSUs) (25%) for</w:t>
            </w:r>
          </w:p>
        </w:tc>
        <w:tc>
          <w:tcPr>
            <w:tcW w:w="0" w:type="dxa"/>
            <w:vAlign w:val="bottom"/>
          </w:tcPr>
          <w:p>
            <w:pPr>
              <w:spacing w:after="0"/>
              <w:rPr>
                <w:sz w:val="1"/>
                <w:szCs w:val="1"/>
                <w:color w:val="auto"/>
              </w:rPr>
            </w:pPr>
          </w:p>
        </w:tc>
      </w:tr>
      <w:tr>
        <w:trPr>
          <w:trHeight w:val="162"/>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Form</w:t>
            </w: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Cash</w:t>
            </w:r>
          </w:p>
        </w:tc>
        <w:tc>
          <w:tcPr>
            <w:tcW w:w="3620" w:type="dxa"/>
            <w:vAlign w:val="bottom"/>
            <w:tcBorders>
              <w:right w:val="single" w:sz="8" w:color="58595B"/>
            </w:tcBorders>
            <w:vMerge w:val="continue"/>
            <w:shd w:val="clear" w:color="auto" w:fill="EFEDED"/>
          </w:tcPr>
          <w:p>
            <w:pPr>
              <w:spacing w:after="0"/>
              <w:rPr>
                <w:sz w:val="14"/>
                <w:szCs w:val="14"/>
                <w:color w:val="auto"/>
              </w:rPr>
            </w:pPr>
          </w:p>
        </w:tc>
        <w:tc>
          <w:tcPr>
            <w:tcW w:w="3020" w:type="dxa"/>
            <w:vAlign w:val="bottom"/>
            <w:shd w:val="clear" w:color="auto" w:fill="EFEDED"/>
          </w:tcPr>
          <w:p>
            <w:pPr>
              <w:ind w:left="100"/>
              <w:spacing w:after="0"/>
              <w:rPr>
                <w:sz w:val="20"/>
                <w:szCs w:val="20"/>
                <w:color w:val="auto"/>
              </w:rPr>
            </w:pPr>
            <w:r>
              <w:rPr>
                <w:rFonts w:ascii="Arial" w:cs="Arial" w:eastAsia="Arial" w:hAnsi="Arial"/>
                <w:sz w:val="14"/>
                <w:szCs w:val="14"/>
                <w:color w:val="58595B"/>
              </w:rPr>
              <w:t>CEO only</w:t>
            </w:r>
          </w:p>
        </w:tc>
        <w:tc>
          <w:tcPr>
            <w:tcW w:w="0" w:type="dxa"/>
            <w:vAlign w:val="bottom"/>
          </w:tcPr>
          <w:p>
            <w:pPr>
              <w:spacing w:after="0"/>
              <w:rPr>
                <w:sz w:val="1"/>
                <w:szCs w:val="1"/>
                <w:color w:val="auto"/>
              </w:rPr>
            </w:pPr>
          </w:p>
        </w:tc>
      </w:tr>
      <w:tr>
        <w:trPr>
          <w:trHeight w:val="115"/>
        </w:trPr>
        <w:tc>
          <w:tcPr>
            <w:tcW w:w="1440" w:type="dxa"/>
            <w:vAlign w:val="bottom"/>
            <w:vMerge w:val="continue"/>
            <w:shd w:val="clear" w:color="auto" w:fill="009845"/>
          </w:tcPr>
          <w:p>
            <w:pPr>
              <w:spacing w:after="0"/>
              <w:rPr>
                <w:sz w:val="10"/>
                <w:szCs w:val="10"/>
                <w:color w:val="auto"/>
              </w:rPr>
            </w:pPr>
          </w:p>
        </w:tc>
        <w:tc>
          <w:tcPr>
            <w:tcW w:w="3160" w:type="dxa"/>
            <w:vAlign w:val="bottom"/>
            <w:tcBorders>
              <w:right w:val="single" w:sz="8" w:color="58595B"/>
            </w:tcBorders>
            <w:vMerge w:val="continue"/>
            <w:shd w:val="clear" w:color="auto" w:fill="EFEDED"/>
          </w:tcPr>
          <w:p>
            <w:pPr>
              <w:spacing w:after="0"/>
              <w:rPr>
                <w:sz w:val="10"/>
                <w:szCs w:val="10"/>
                <w:color w:val="auto"/>
              </w:rPr>
            </w:pP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Non-qualified Stock Options (25%)</w:t>
            </w: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Restricted Stock (25%) for all other named</w:t>
            </w:r>
          </w:p>
        </w:tc>
        <w:tc>
          <w:tcPr>
            <w:tcW w:w="0" w:type="dxa"/>
            <w:vAlign w:val="bottom"/>
          </w:tcPr>
          <w:p>
            <w:pPr>
              <w:spacing w:after="0"/>
              <w:rPr>
                <w:sz w:val="1"/>
                <w:szCs w:val="1"/>
                <w:color w:val="auto"/>
              </w:rPr>
            </w:pPr>
          </w:p>
        </w:tc>
      </w:tr>
      <w:tr>
        <w:trPr>
          <w:trHeight w:val="60"/>
        </w:trPr>
        <w:tc>
          <w:tcPr>
            <w:tcW w:w="1440" w:type="dxa"/>
            <w:vAlign w:val="bottom"/>
            <w:shd w:val="clear" w:color="auto" w:fill="009845"/>
          </w:tcPr>
          <w:p>
            <w:pPr>
              <w:spacing w:after="0"/>
              <w:rPr>
                <w:sz w:val="5"/>
                <w:szCs w:val="5"/>
                <w:color w:val="auto"/>
              </w:rPr>
            </w:pPr>
          </w:p>
        </w:tc>
        <w:tc>
          <w:tcPr>
            <w:tcW w:w="3160" w:type="dxa"/>
            <w:vAlign w:val="bottom"/>
            <w:tcBorders>
              <w:right w:val="single" w:sz="8" w:color="58595B"/>
            </w:tcBorders>
            <w:shd w:val="clear" w:color="auto" w:fill="EFEDED"/>
          </w:tcPr>
          <w:p>
            <w:pPr>
              <w:spacing w:after="0"/>
              <w:rPr>
                <w:sz w:val="5"/>
                <w:szCs w:val="5"/>
                <w:color w:val="auto"/>
              </w:rPr>
            </w:pPr>
          </w:p>
        </w:tc>
        <w:tc>
          <w:tcPr>
            <w:tcW w:w="3620" w:type="dxa"/>
            <w:vAlign w:val="bottom"/>
            <w:tcBorders>
              <w:right w:val="single" w:sz="8" w:color="58595B"/>
            </w:tcBorders>
            <w:vMerge w:val="continue"/>
            <w:shd w:val="clear" w:color="auto" w:fill="EFEDED"/>
          </w:tcPr>
          <w:p>
            <w:pPr>
              <w:spacing w:after="0"/>
              <w:rPr>
                <w:sz w:val="5"/>
                <w:szCs w:val="5"/>
                <w:color w:val="auto"/>
              </w:rPr>
            </w:pPr>
          </w:p>
        </w:tc>
        <w:tc>
          <w:tcPr>
            <w:tcW w:w="302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009845"/>
            </w:tcBorders>
            <w:shd w:val="clear" w:color="auto" w:fill="009845"/>
          </w:tcPr>
          <w:p>
            <w:pPr>
              <w:spacing w:after="0"/>
              <w:rPr>
                <w:sz w:val="16"/>
                <w:szCs w:val="16"/>
                <w:color w:val="auto"/>
              </w:rPr>
            </w:pPr>
          </w:p>
        </w:tc>
        <w:tc>
          <w:tcPr>
            <w:tcW w:w="3160" w:type="dxa"/>
            <w:vAlign w:val="bottom"/>
            <w:tcBorders>
              <w:bottom w:val="single" w:sz="8" w:color="EFEDED"/>
              <w:right w:val="single" w:sz="8" w:color="58595B"/>
            </w:tcBorders>
            <w:shd w:val="clear" w:color="auto" w:fill="EFEDED"/>
          </w:tcPr>
          <w:p>
            <w:pPr>
              <w:spacing w:after="0"/>
              <w:rPr>
                <w:sz w:val="16"/>
                <w:szCs w:val="16"/>
                <w:color w:val="auto"/>
              </w:rPr>
            </w:pPr>
          </w:p>
        </w:tc>
        <w:tc>
          <w:tcPr>
            <w:tcW w:w="3620" w:type="dxa"/>
            <w:vAlign w:val="bottom"/>
            <w:tcBorders>
              <w:bottom w:val="single" w:sz="8" w:color="EFEDED"/>
              <w:right w:val="single" w:sz="8" w:color="58595B"/>
            </w:tcBorders>
            <w:shd w:val="clear" w:color="auto" w:fill="EFEDED"/>
          </w:tcPr>
          <w:p>
            <w:pPr>
              <w:spacing w:after="0"/>
              <w:rPr>
                <w:sz w:val="16"/>
                <w:szCs w:val="16"/>
                <w:color w:val="auto"/>
              </w:rPr>
            </w:pPr>
          </w:p>
        </w:tc>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executive officers</w:t>
            </w:r>
          </w:p>
        </w:tc>
        <w:tc>
          <w:tcPr>
            <w:tcW w:w="0" w:type="dxa"/>
            <w:vAlign w:val="bottom"/>
          </w:tcPr>
          <w:p>
            <w:pPr>
              <w:spacing w:after="0"/>
              <w:rPr>
                <w:sz w:val="1"/>
                <w:szCs w:val="1"/>
                <w:color w:val="auto"/>
              </w:rPr>
            </w:pPr>
          </w:p>
        </w:tc>
      </w:tr>
      <w:tr>
        <w:trPr>
          <w:trHeight w:val="257"/>
        </w:trPr>
        <w:tc>
          <w:tcPr>
            <w:tcW w:w="144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Time Horizon</w:t>
            </w:r>
          </w:p>
        </w:tc>
        <w:tc>
          <w:tcPr>
            <w:tcW w:w="316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1 Year</w:t>
            </w:r>
          </w:p>
        </w:tc>
        <w:tc>
          <w:tcPr>
            <w:tcW w:w="3620" w:type="dxa"/>
            <w:vAlign w:val="bottom"/>
            <w:tcBorders>
              <w:right w:val="single" w:sz="8" w:color="58595B"/>
            </w:tcBorders>
          </w:tcPr>
          <w:p>
            <w:pPr>
              <w:ind w:left="100"/>
              <w:spacing w:after="0"/>
              <w:rPr>
                <w:sz w:val="20"/>
                <w:szCs w:val="20"/>
                <w:color w:val="auto"/>
              </w:rPr>
            </w:pPr>
            <w:r>
              <w:rPr>
                <w:rFonts w:ascii="Arial" w:cs="Arial" w:eastAsia="Arial" w:hAnsi="Arial"/>
                <w:sz w:val="14"/>
                <w:szCs w:val="14"/>
                <w:color w:val="58595B"/>
              </w:rPr>
              <w:t>3 Years (PSU)</w:t>
            </w:r>
          </w:p>
        </w:tc>
        <w:tc>
          <w:tcPr>
            <w:tcW w:w="3020" w:type="dxa"/>
            <w:vAlign w:val="bottom"/>
          </w:tcPr>
          <w:p>
            <w:pPr>
              <w:ind w:left="100"/>
              <w:spacing w:after="0"/>
              <w:rPr>
                <w:sz w:val="20"/>
                <w:szCs w:val="20"/>
                <w:color w:val="auto"/>
              </w:rPr>
            </w:pPr>
            <w:r>
              <w:rPr>
                <w:rFonts w:ascii="Arial" w:cs="Arial" w:eastAsia="Arial" w:hAnsi="Arial"/>
                <w:sz w:val="14"/>
                <w:szCs w:val="14"/>
                <w:color w:val="58595B"/>
              </w:rPr>
              <w:t>3 Years</w:t>
            </w:r>
            <w:r>
              <w:rPr>
                <w:rFonts w:ascii="Arial" w:cs="Arial" w:eastAsia="Arial" w:hAnsi="Arial"/>
                <w:sz w:val="18"/>
                <w:szCs w:val="18"/>
                <w:color w:val="58595B"/>
                <w:vertAlign w:val="superscript"/>
              </w:rPr>
              <w:t>1</w:t>
            </w:r>
          </w:p>
        </w:tc>
        <w:tc>
          <w:tcPr>
            <w:tcW w:w="0" w:type="dxa"/>
            <w:vAlign w:val="bottom"/>
          </w:tcPr>
          <w:p>
            <w:pPr>
              <w:spacing w:after="0"/>
              <w:rPr>
                <w:sz w:val="1"/>
                <w:szCs w:val="1"/>
                <w:color w:val="auto"/>
              </w:rPr>
            </w:pPr>
          </w:p>
        </w:tc>
      </w:tr>
      <w:tr>
        <w:trPr>
          <w:trHeight w:val="148"/>
        </w:trPr>
        <w:tc>
          <w:tcPr>
            <w:tcW w:w="1440" w:type="dxa"/>
            <w:vAlign w:val="bottom"/>
            <w:shd w:val="clear" w:color="auto" w:fill="009845"/>
          </w:tcPr>
          <w:p>
            <w:pPr>
              <w:spacing w:after="0"/>
              <w:rPr>
                <w:sz w:val="12"/>
                <w:szCs w:val="12"/>
                <w:color w:val="auto"/>
              </w:rPr>
            </w:pPr>
          </w:p>
        </w:tc>
        <w:tc>
          <w:tcPr>
            <w:tcW w:w="3160" w:type="dxa"/>
            <w:vAlign w:val="bottom"/>
            <w:tcBorders>
              <w:right w:val="single" w:sz="8" w:color="58595B"/>
            </w:tcBorders>
          </w:tcPr>
          <w:p>
            <w:pPr>
              <w:spacing w:after="0"/>
              <w:rPr>
                <w:sz w:val="12"/>
                <w:szCs w:val="12"/>
                <w:color w:val="auto"/>
              </w:rPr>
            </w:pPr>
          </w:p>
        </w:tc>
        <w:tc>
          <w:tcPr>
            <w:tcW w:w="3620" w:type="dxa"/>
            <w:vAlign w:val="bottom"/>
            <w:tcBorders>
              <w:right w:val="single" w:sz="8" w:color="58595B"/>
            </w:tcBorders>
          </w:tcPr>
          <w:p>
            <w:pPr>
              <w:ind w:left="100"/>
              <w:spacing w:after="0" w:line="149" w:lineRule="exact"/>
              <w:rPr>
                <w:sz w:val="20"/>
                <w:szCs w:val="20"/>
                <w:color w:val="auto"/>
              </w:rPr>
            </w:pPr>
            <w:r>
              <w:rPr>
                <w:rFonts w:ascii="Arial" w:cs="Arial" w:eastAsia="Arial" w:hAnsi="Arial"/>
                <w:sz w:val="14"/>
                <w:szCs w:val="14"/>
                <w:color w:val="58595B"/>
              </w:rPr>
              <w:t>4 Years (Stock Options)</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40" w:type="dxa"/>
            <w:vAlign w:val="bottom"/>
            <w:shd w:val="clear" w:color="auto" w:fill="009845"/>
          </w:tcPr>
          <w:p>
            <w:pPr>
              <w:spacing w:after="0"/>
              <w:rPr>
                <w:sz w:val="16"/>
                <w:szCs w:val="16"/>
                <w:color w:val="auto"/>
              </w:rPr>
            </w:pPr>
          </w:p>
        </w:tc>
        <w:tc>
          <w:tcPr>
            <w:tcW w:w="3160" w:type="dxa"/>
            <w:vAlign w:val="bottom"/>
            <w:tcBorders>
              <w:right w:val="single" w:sz="8" w:color="58595B"/>
            </w:tcBorders>
            <w:shd w:val="clear" w:color="auto" w:fill="EFEDED"/>
          </w:tcPr>
          <w:p>
            <w:pPr>
              <w:ind w:left="100"/>
              <w:spacing w:after="0"/>
              <w:rPr>
                <w:sz w:val="20"/>
                <w:szCs w:val="20"/>
                <w:color w:val="auto"/>
              </w:rPr>
            </w:pPr>
            <w:r>
              <w:rPr>
                <w:rFonts w:ascii="Arial" w:cs="Arial" w:eastAsia="Arial" w:hAnsi="Arial"/>
                <w:sz w:val="14"/>
                <w:szCs w:val="14"/>
                <w:color w:val="58595B"/>
              </w:rPr>
              <w:t>Revenue — 40% weighting</w:t>
            </w:r>
          </w:p>
        </w:tc>
        <w:tc>
          <w:tcPr>
            <w:tcW w:w="3620" w:type="dxa"/>
            <w:vAlign w:val="bottom"/>
            <w:tcBorders>
              <w:right w:val="single" w:sz="8" w:color="58595B"/>
            </w:tcBorders>
            <w:shd w:val="clear" w:color="auto" w:fill="EFEDED"/>
          </w:tcPr>
          <w:p>
            <w:pPr>
              <w:ind w:left="100"/>
              <w:spacing w:after="0" w:line="191" w:lineRule="exact"/>
              <w:rPr>
                <w:sz w:val="20"/>
                <w:szCs w:val="20"/>
                <w:color w:val="auto"/>
              </w:rPr>
            </w:pPr>
            <w:r>
              <w:rPr>
                <w:rFonts w:ascii="Arial" w:cs="Arial" w:eastAsia="Arial" w:hAnsi="Arial"/>
                <w:sz w:val="14"/>
                <w:szCs w:val="14"/>
                <w:color w:val="58595B"/>
              </w:rPr>
              <w:t>Annual organic revenue growth</w:t>
            </w:r>
            <w:r>
              <w:rPr>
                <w:rFonts w:ascii="Arial" w:cs="Arial" w:eastAsia="Arial" w:hAnsi="Arial"/>
                <w:sz w:val="18"/>
                <w:szCs w:val="18"/>
                <w:color w:val="58595B"/>
                <w:vertAlign w:val="superscript"/>
              </w:rPr>
              <w:t>3</w:t>
            </w: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Stock price appreciation</w:t>
            </w:r>
          </w:p>
        </w:tc>
        <w:tc>
          <w:tcPr>
            <w:tcW w:w="0" w:type="dxa"/>
            <w:vAlign w:val="bottom"/>
          </w:tcPr>
          <w:p>
            <w:pPr>
              <w:spacing w:after="0"/>
              <w:rPr>
                <w:sz w:val="1"/>
                <w:szCs w:val="1"/>
                <w:color w:val="auto"/>
              </w:rPr>
            </w:pPr>
          </w:p>
        </w:tc>
      </w:tr>
      <w:tr>
        <w:trPr>
          <w:trHeight w:val="83"/>
        </w:trPr>
        <w:tc>
          <w:tcPr>
            <w:tcW w:w="14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Metrics</w:t>
            </w:r>
          </w:p>
        </w:tc>
        <w:tc>
          <w:tcPr>
            <w:tcW w:w="3160" w:type="dxa"/>
            <w:vAlign w:val="bottom"/>
            <w:tcBorders>
              <w:right w:val="single" w:sz="8" w:color="58595B"/>
            </w:tcBorders>
            <w:vMerge w:val="restart"/>
            <w:shd w:val="clear" w:color="auto" w:fill="EFEDED"/>
          </w:tcPr>
          <w:p>
            <w:pPr>
              <w:ind w:left="100"/>
              <w:spacing w:after="0" w:line="178" w:lineRule="exact"/>
              <w:rPr>
                <w:sz w:val="20"/>
                <w:szCs w:val="20"/>
                <w:color w:val="auto"/>
              </w:rPr>
            </w:pPr>
            <w:r>
              <w:rPr>
                <w:rFonts w:ascii="Arial" w:cs="Arial" w:eastAsia="Arial" w:hAnsi="Arial"/>
                <w:sz w:val="14"/>
                <w:szCs w:val="14"/>
                <w:color w:val="58595B"/>
              </w:rPr>
              <w:t>Adjusted EBITDA</w:t>
            </w:r>
            <w:r>
              <w:rPr>
                <w:rFonts w:ascii="Arial" w:cs="Arial" w:eastAsia="Arial" w:hAnsi="Arial"/>
                <w:sz w:val="18"/>
                <w:szCs w:val="18"/>
                <w:color w:val="58595B"/>
                <w:vertAlign w:val="superscript"/>
              </w:rPr>
              <w:t>2</w:t>
            </w:r>
            <w:r>
              <w:rPr>
                <w:rFonts w:ascii="Arial" w:cs="Arial" w:eastAsia="Arial" w:hAnsi="Arial"/>
                <w:sz w:val="14"/>
                <w:szCs w:val="14"/>
                <w:color w:val="58595B"/>
              </w:rPr>
              <w:t xml:space="preserve"> — 40% weighting</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Stock price appreciation</w:t>
            </w:r>
          </w:p>
        </w:tc>
        <w:tc>
          <w:tcPr>
            <w:tcW w:w="30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shd w:val="clear" w:color="auto" w:fill="009845"/>
          </w:tcPr>
          <w:p>
            <w:pPr>
              <w:spacing w:after="0"/>
              <w:rPr>
                <w:sz w:val="8"/>
                <w:szCs w:val="8"/>
                <w:color w:val="auto"/>
              </w:rPr>
            </w:pPr>
          </w:p>
        </w:tc>
        <w:tc>
          <w:tcPr>
            <w:tcW w:w="3160" w:type="dxa"/>
            <w:vAlign w:val="bottom"/>
            <w:tcBorders>
              <w:right w:val="single" w:sz="8" w:color="58595B"/>
            </w:tcBorders>
            <w:vMerge w:val="continue"/>
            <w:shd w:val="clear" w:color="auto" w:fill="EFEDED"/>
          </w:tcPr>
          <w:p>
            <w:pPr>
              <w:spacing w:after="0"/>
              <w:rPr>
                <w:sz w:val="8"/>
                <w:szCs w:val="8"/>
                <w:color w:val="auto"/>
              </w:rPr>
            </w:pPr>
          </w:p>
        </w:tc>
        <w:tc>
          <w:tcPr>
            <w:tcW w:w="3620" w:type="dxa"/>
            <w:vAlign w:val="bottom"/>
            <w:tcBorders>
              <w:right w:val="single" w:sz="8" w:color="58595B"/>
            </w:tcBorders>
            <w:vMerge w:val="continue"/>
            <w:shd w:val="clear" w:color="auto" w:fill="EFEDED"/>
          </w:tcPr>
          <w:p>
            <w:pPr>
              <w:spacing w:after="0"/>
              <w:rPr>
                <w:sz w:val="8"/>
                <w:szCs w:val="8"/>
                <w:color w:val="auto"/>
              </w:rPr>
            </w:pPr>
          </w:p>
        </w:tc>
        <w:tc>
          <w:tcPr>
            <w:tcW w:w="3020" w:type="dxa"/>
            <w:vAlign w:val="bottom"/>
            <w:vMerge w:val="restart"/>
            <w:shd w:val="clear" w:color="auto" w:fill="EFEDED"/>
          </w:tcPr>
          <w:p>
            <w:pPr>
              <w:ind w:left="100"/>
              <w:spacing w:after="0"/>
              <w:rPr>
                <w:sz w:val="20"/>
                <w:szCs w:val="20"/>
                <w:color w:val="auto"/>
              </w:rPr>
            </w:pPr>
            <w:r>
              <w:rPr>
                <w:rFonts w:ascii="Arial" w:cs="Arial" w:eastAsia="Arial" w:hAnsi="Arial"/>
                <w:sz w:val="14"/>
                <w:szCs w:val="14"/>
                <w:color w:val="58595B"/>
              </w:rPr>
              <w:t>Continued employment</w:t>
            </w:r>
          </w:p>
        </w:tc>
        <w:tc>
          <w:tcPr>
            <w:tcW w:w="0" w:type="dxa"/>
            <w:vAlign w:val="bottom"/>
          </w:tcPr>
          <w:p>
            <w:pPr>
              <w:spacing w:after="0"/>
              <w:rPr>
                <w:sz w:val="1"/>
                <w:szCs w:val="1"/>
                <w:color w:val="auto"/>
              </w:rPr>
            </w:pPr>
          </w:p>
        </w:tc>
      </w:tr>
      <w:tr>
        <w:trPr>
          <w:trHeight w:val="96"/>
        </w:trPr>
        <w:tc>
          <w:tcPr>
            <w:tcW w:w="1440" w:type="dxa"/>
            <w:vAlign w:val="bottom"/>
            <w:shd w:val="clear" w:color="auto" w:fill="009845"/>
          </w:tcPr>
          <w:p>
            <w:pPr>
              <w:spacing w:after="0"/>
              <w:rPr>
                <w:sz w:val="8"/>
                <w:szCs w:val="8"/>
                <w:color w:val="auto"/>
              </w:rPr>
            </w:pPr>
          </w:p>
        </w:tc>
        <w:tc>
          <w:tcPr>
            <w:tcW w:w="316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Operating cash flow — 20% weighting</w:t>
            </w:r>
          </w:p>
        </w:tc>
        <w:tc>
          <w:tcPr>
            <w:tcW w:w="3620" w:type="dxa"/>
            <w:vAlign w:val="bottom"/>
            <w:tcBorders>
              <w:right w:val="single" w:sz="8" w:color="58595B"/>
            </w:tcBorders>
            <w:vMerge w:val="restart"/>
            <w:shd w:val="clear" w:color="auto" w:fill="EFEDED"/>
          </w:tcPr>
          <w:p>
            <w:pPr>
              <w:ind w:left="100"/>
              <w:spacing w:after="0"/>
              <w:rPr>
                <w:sz w:val="20"/>
                <w:szCs w:val="20"/>
                <w:color w:val="auto"/>
              </w:rPr>
            </w:pPr>
            <w:r>
              <w:rPr>
                <w:rFonts w:ascii="Arial" w:cs="Arial" w:eastAsia="Arial" w:hAnsi="Arial"/>
                <w:sz w:val="14"/>
                <w:szCs w:val="14"/>
                <w:color w:val="58595B"/>
              </w:rPr>
              <w:t>Continued employment</w:t>
            </w:r>
          </w:p>
        </w:tc>
        <w:tc>
          <w:tcPr>
            <w:tcW w:w="302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40" w:type="dxa"/>
            <w:vAlign w:val="bottom"/>
            <w:tcBorders>
              <w:bottom w:val="single" w:sz="8" w:color="58595B"/>
            </w:tcBorders>
            <w:shd w:val="clear" w:color="auto" w:fill="009845"/>
          </w:tcPr>
          <w:p>
            <w:pPr>
              <w:spacing w:after="0"/>
              <w:rPr>
                <w:sz w:val="8"/>
                <w:szCs w:val="8"/>
                <w:color w:val="auto"/>
              </w:rPr>
            </w:pPr>
          </w:p>
        </w:tc>
        <w:tc>
          <w:tcPr>
            <w:tcW w:w="3160" w:type="dxa"/>
            <w:vAlign w:val="bottom"/>
            <w:tcBorders>
              <w:bottom w:val="single" w:sz="8" w:color="58595B"/>
              <w:right w:val="single" w:sz="8" w:color="58595B"/>
            </w:tcBorders>
            <w:vMerge w:val="continue"/>
            <w:shd w:val="clear" w:color="auto" w:fill="EFEDED"/>
          </w:tcPr>
          <w:p>
            <w:pPr>
              <w:spacing w:after="0"/>
              <w:rPr>
                <w:sz w:val="8"/>
                <w:szCs w:val="8"/>
                <w:color w:val="auto"/>
              </w:rPr>
            </w:pPr>
          </w:p>
        </w:tc>
        <w:tc>
          <w:tcPr>
            <w:tcW w:w="3620" w:type="dxa"/>
            <w:vAlign w:val="bottom"/>
            <w:tcBorders>
              <w:bottom w:val="single" w:sz="8" w:color="58595B"/>
              <w:right w:val="single" w:sz="8" w:color="58595B"/>
            </w:tcBorders>
            <w:vMerge w:val="continue"/>
            <w:shd w:val="clear" w:color="auto" w:fill="EFEDED"/>
          </w:tcPr>
          <w:p>
            <w:pPr>
              <w:spacing w:after="0"/>
              <w:rPr>
                <w:sz w:val="8"/>
                <w:szCs w:val="8"/>
                <w:color w:val="auto"/>
              </w:rPr>
            </w:pPr>
          </w:p>
        </w:tc>
        <w:tc>
          <w:tcPr>
            <w:tcW w:w="3020" w:type="dxa"/>
            <w:vAlign w:val="bottom"/>
            <w:tcBorders>
              <w:bottom w:val="single" w:sz="8" w:color="58595B"/>
            </w:tcBorders>
            <w:shd w:val="clear" w:color="auto" w:fill="EFEDED"/>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9086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9086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9086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9" w:lineRule="exact"/>
        <w:rPr>
          <w:sz w:val="20"/>
          <w:szCs w:val="20"/>
          <w:color w:val="auto"/>
        </w:rPr>
      </w:pPr>
    </w:p>
    <w:p>
      <w:pPr>
        <w:ind w:left="340" w:right="300" w:hanging="332"/>
        <w:spacing w:after="0" w:line="285" w:lineRule="auto"/>
        <w:tabs>
          <w:tab w:leader="none" w:pos="338"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Mr. De Witte, RSUs vest annually over three years and generally include a deferral feature that provides that the award will be paid within 30 days following the six-month anniversary of his departure from the Company.</w:t>
      </w:r>
    </w:p>
    <w:p>
      <w:pPr>
        <w:spacing w:after="0" w:line="9" w:lineRule="exact"/>
        <w:rPr>
          <w:rFonts w:ascii="Arial" w:cs="Arial" w:eastAsia="Arial" w:hAnsi="Arial"/>
          <w:sz w:val="14"/>
          <w:szCs w:val="14"/>
          <w:color w:val="auto"/>
        </w:rPr>
      </w:pPr>
    </w:p>
    <w:p>
      <w:pPr>
        <w:ind w:left="340" w:right="140" w:hanging="332"/>
        <w:spacing w:after="0" w:line="267" w:lineRule="auto"/>
        <w:tabs>
          <w:tab w:leader="none" w:pos="338"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See "Appendix A - Non-GAAP Financial Measures".</w:t>
      </w:r>
    </w:p>
    <w:p>
      <w:pPr>
        <w:spacing w:after="0" w:line="22" w:lineRule="exact"/>
        <w:rPr>
          <w:rFonts w:ascii="Arial" w:cs="Arial" w:eastAsia="Arial" w:hAnsi="Arial"/>
          <w:sz w:val="14"/>
          <w:szCs w:val="14"/>
          <w:color w:val="auto"/>
        </w:rPr>
      </w:pPr>
    </w:p>
    <w:p>
      <w:pPr>
        <w:ind w:left="340" w:right="480" w:hanging="332"/>
        <w:spacing w:after="0" w:line="283" w:lineRule="auto"/>
        <w:tabs>
          <w:tab w:leader="none" w:pos="338" w:val="left"/>
        </w:tabs>
        <w:numPr>
          <w:ilvl w:val="0"/>
          <w:numId w:val="32"/>
        </w:numPr>
        <w:rPr>
          <w:rFonts w:ascii="Arial" w:cs="Arial" w:eastAsia="Arial" w:hAnsi="Arial"/>
          <w:sz w:val="14"/>
          <w:szCs w:val="14"/>
          <w:color w:val="auto"/>
        </w:rPr>
      </w:pPr>
      <w:r>
        <w:rPr>
          <w:rFonts w:ascii="Arial" w:cs="Arial" w:eastAsia="Arial" w:hAnsi="Arial"/>
          <w:sz w:val="14"/>
          <w:szCs w:val="14"/>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 See "Appendix A - Non-GAAP Financial Measures".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9845"/>
        </w:rPr>
        <w:t>Compensation Best Practices</w:t>
      </w:r>
    </w:p>
    <w:p>
      <w:pPr>
        <w:spacing w:after="0" w:line="178" w:lineRule="exact"/>
        <w:rPr>
          <w:sz w:val="20"/>
          <w:szCs w:val="20"/>
          <w:color w:val="auto"/>
        </w:rPr>
      </w:pPr>
    </w:p>
    <w:p>
      <w:pPr>
        <w:ind w:right="320"/>
        <w:spacing w:after="0" w:line="356" w:lineRule="auto"/>
        <w:rPr>
          <w:sz w:val="20"/>
          <w:szCs w:val="20"/>
          <w:color w:val="auto"/>
        </w:rPr>
      </w:pPr>
      <w:r>
        <w:rPr>
          <w:rFonts w:ascii="Arial" w:cs="Arial" w:eastAsia="Arial" w:hAnsi="Arial"/>
          <w:sz w:val="16"/>
          <w:szCs w:val="16"/>
          <w:color w:val="58595B"/>
        </w:rPr>
        <w:t>The Compensation Committee applies a number of corporate governance features related to executive compensation, which are summarized below. We believe these mechanisms help to ensure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3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694430" cy="26574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94430" cy="2657475"/>
                    </a:xfrm>
                    <a:prstGeom prst="rect">
                      <a:avLst/>
                    </a:prstGeom>
                    <a:noFill/>
                  </pic:spPr>
                </pic:pic>
              </a:graphicData>
            </a:graphic>
          </wp:anchor>
        </w:drawing>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Deliver executive compensation primarily through performance-based at-risk pay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Maintain a peer group for benchmarking pay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Set challenging short- and long-term incentive objectives</w:t>
      </w:r>
    </w:p>
    <w:p>
      <w:pPr>
        <w:spacing w:after="0" w:line="244" w:lineRule="exact"/>
        <w:rPr>
          <w:sz w:val="20"/>
          <w:szCs w:val="20"/>
          <w:color w:val="auto"/>
        </w:rPr>
      </w:pPr>
    </w:p>
    <w:p>
      <w:pPr>
        <w:ind w:left="460" w:right="200"/>
        <w:spacing w:after="0" w:line="301" w:lineRule="auto"/>
        <w:rPr>
          <w:sz w:val="20"/>
          <w:szCs w:val="20"/>
          <w:color w:val="auto"/>
        </w:rPr>
      </w:pPr>
      <w:r>
        <w:rPr>
          <w:rFonts w:ascii="Arial" w:cs="Arial" w:eastAsia="Arial" w:hAnsi="Arial"/>
          <w:sz w:val="14"/>
          <w:szCs w:val="14"/>
          <w:color w:val="58595B"/>
        </w:rPr>
        <w:t>Place a cap on the annual bonus payments and PSUs earned that executives can receive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Provide strong oversight that ensures adherence to equity grant regulations</w:t>
      </w:r>
    </w:p>
    <w:p>
      <w:pPr>
        <w:spacing w:after="0" w:line="150" w:lineRule="exact"/>
        <w:rPr>
          <w:sz w:val="20"/>
          <w:szCs w:val="20"/>
          <w:color w:val="auto"/>
        </w:rPr>
      </w:pPr>
    </w:p>
    <w:p>
      <w:pPr>
        <w:ind w:left="460" w:right="160"/>
        <w:spacing w:after="0" w:line="301" w:lineRule="auto"/>
        <w:rPr>
          <w:sz w:val="20"/>
          <w:szCs w:val="20"/>
          <w:color w:val="auto"/>
        </w:rPr>
      </w:pPr>
      <w:r>
        <w:rPr>
          <w:rFonts w:ascii="Arial" w:cs="Arial" w:eastAsia="Arial" w:hAnsi="Arial"/>
          <w:sz w:val="14"/>
          <w:szCs w:val="14"/>
          <w:color w:val="58595B"/>
        </w:rPr>
        <w:t>Maintain a clawback policy for annual bonus and equity compensation, as well as an anti-hedging/pledging policy</w:t>
      </w:r>
    </w:p>
    <w:p>
      <w:pPr>
        <w:spacing w:after="0" w:line="1" w:lineRule="exact"/>
        <w:rPr>
          <w:sz w:val="20"/>
          <w:szCs w:val="20"/>
          <w:color w:val="auto"/>
        </w:rPr>
      </w:pPr>
    </w:p>
    <w:p>
      <w:pPr>
        <w:ind w:left="460" w:right="80"/>
        <w:spacing w:after="0" w:line="301" w:lineRule="auto"/>
        <w:rPr>
          <w:sz w:val="20"/>
          <w:szCs w:val="20"/>
          <w:color w:val="auto"/>
        </w:rPr>
      </w:pPr>
      <w:r>
        <w:rPr>
          <w:rFonts w:ascii="Arial" w:cs="Arial" w:eastAsia="Arial" w:hAnsi="Arial"/>
          <w:sz w:val="14"/>
          <w:szCs w:val="14"/>
          <w:color w:val="58595B"/>
        </w:rPr>
        <w:t>Require stock ownership by executives, with minimum ownership levels defined by role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58595B"/>
        </w:rPr>
        <w:t>Have double-trigger change-in-control arrangements</w:t>
      </w:r>
    </w:p>
    <w:p>
      <w:pPr>
        <w:spacing w:after="0" w:line="82" w:lineRule="exact"/>
        <w:rPr>
          <w:sz w:val="20"/>
          <w:szCs w:val="20"/>
          <w:color w:val="auto"/>
        </w:rPr>
      </w:pPr>
    </w:p>
    <w:p>
      <w:pPr>
        <w:ind w:left="460" w:right="320"/>
        <w:spacing w:after="0" w:line="301" w:lineRule="auto"/>
        <w:rPr>
          <w:sz w:val="20"/>
          <w:szCs w:val="20"/>
          <w:color w:val="auto"/>
        </w:rPr>
      </w:pPr>
      <w:r>
        <w:rPr>
          <w:rFonts w:ascii="Arial" w:cs="Arial" w:eastAsia="Arial" w:hAnsi="Arial"/>
          <w:sz w:val="14"/>
          <w:szCs w:val="14"/>
          <w:color w:val="58595B"/>
        </w:rPr>
        <w:t>Conduct an annual risk assessment to mitigate any compensation program-related risk having a material adverse effect on the Company</w:t>
      </w:r>
    </w:p>
    <w:p>
      <w:pPr>
        <w:spacing w:after="0" w:line="1" w:lineRule="exact"/>
        <w:rPr>
          <w:sz w:val="20"/>
          <w:szCs w:val="20"/>
          <w:color w:val="auto"/>
        </w:rPr>
      </w:pPr>
    </w:p>
    <w:p>
      <w:pPr>
        <w:ind w:left="460" w:right="340"/>
        <w:spacing w:after="0" w:line="301" w:lineRule="auto"/>
        <w:rPr>
          <w:sz w:val="20"/>
          <w:szCs w:val="20"/>
          <w:color w:val="auto"/>
        </w:rPr>
      </w:pPr>
      <w:r>
        <w:rPr>
          <w:rFonts w:ascii="Arial" w:cs="Arial" w:eastAsia="Arial" w:hAnsi="Arial"/>
          <w:sz w:val="14"/>
          <w:szCs w:val="14"/>
          <w:color w:val="58595B"/>
        </w:rPr>
        <w:t>Offer market-competitive benefits for executives that are consistent with the benefits provided to the rest of our employees</w:t>
      </w:r>
    </w:p>
    <w:p>
      <w:pPr>
        <w:spacing w:after="0" w:line="1" w:lineRule="exact"/>
        <w:rPr>
          <w:sz w:val="20"/>
          <w:szCs w:val="20"/>
          <w:color w:val="auto"/>
        </w:rPr>
      </w:pPr>
    </w:p>
    <w:p>
      <w:pPr>
        <w:ind w:left="460" w:right="200"/>
        <w:spacing w:after="0" w:line="405" w:lineRule="auto"/>
        <w:rPr>
          <w:sz w:val="20"/>
          <w:szCs w:val="20"/>
          <w:color w:val="auto"/>
        </w:rPr>
      </w:pPr>
      <w:r>
        <w:rPr>
          <w:rFonts w:ascii="Arial" w:cs="Arial" w:eastAsia="Arial" w:hAnsi="Arial"/>
          <w:sz w:val="14"/>
          <w:szCs w:val="14"/>
          <w:color w:val="58595B"/>
        </w:rPr>
        <w:t>Consult with an independent consultant on compensation levels and practices Engage with stockholders regarding our compensation programs.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FFFFFF"/>
        </w:rPr>
        <w:t>What We Don't Do</w:t>
      </w:r>
    </w:p>
    <w:p>
      <w:pPr>
        <w:ind w:left="360" w:hanging="360"/>
        <w:spacing w:after="0" w:line="217" w:lineRule="auto"/>
        <w:tabs>
          <w:tab w:leader="none" w:pos="360" w:val="left"/>
        </w:tabs>
        <w:numPr>
          <w:ilvl w:val="0"/>
          <w:numId w:val="33"/>
        </w:numPr>
        <w:rPr>
          <w:rFonts w:ascii="Arial" w:cs="Arial" w:eastAsia="Arial" w:hAnsi="Arial"/>
          <w:sz w:val="43"/>
          <w:szCs w:val="43"/>
          <w:b w:val="1"/>
          <w:bCs w:val="1"/>
          <w:color w:val="58595B"/>
          <w:vertAlign w:val="subscript"/>
        </w:rPr>
      </w:pPr>
      <w:r>
        <w:rPr>
          <w:rFonts w:ascii="Arial" w:cs="Arial" w:eastAsia="Arial" w:hAnsi="Arial"/>
          <w:sz w:val="14"/>
          <w:szCs w:val="14"/>
          <w:color w:val="58595B"/>
        </w:rPr>
        <w:t>No hedging or pledging of equity</w:t>
      </w:r>
    </w:p>
    <w:p>
      <w:pPr>
        <w:spacing w:after="0" w:line="102" w:lineRule="exact"/>
        <w:rPr>
          <w:rFonts w:ascii="Arial" w:cs="Arial" w:eastAsia="Arial" w:hAnsi="Arial"/>
          <w:sz w:val="43"/>
          <w:szCs w:val="43"/>
          <w:b w:val="1"/>
          <w:bCs w:val="1"/>
          <w:color w:val="58595B"/>
          <w:vertAlign w:val="subscript"/>
        </w:rPr>
      </w:pPr>
    </w:p>
    <w:p>
      <w:pPr>
        <w:ind w:left="360" w:hanging="360"/>
        <w:spacing w:after="0" w:line="181" w:lineRule="auto"/>
        <w:tabs>
          <w:tab w:leader="none" w:pos="360" w:val="left"/>
        </w:tabs>
        <w:numPr>
          <w:ilvl w:val="0"/>
          <w:numId w:val="33"/>
        </w:numPr>
        <w:rPr>
          <w:rFonts w:ascii="Arial" w:cs="Arial" w:eastAsia="Arial" w:hAnsi="Arial"/>
          <w:sz w:val="24"/>
          <w:szCs w:val="24"/>
          <w:b w:val="1"/>
          <w:bCs w:val="1"/>
          <w:color w:val="58595B"/>
          <w:vertAlign w:val="subscript"/>
        </w:rPr>
      </w:pPr>
      <w:r>
        <w:rPr>
          <w:rFonts w:ascii="Arial" w:cs="Arial" w:eastAsia="Arial" w:hAnsi="Arial"/>
          <w:sz w:val="11"/>
          <w:szCs w:val="11"/>
          <w:color w:val="58595B"/>
        </w:rPr>
        <w:t>No repricing of stock options</w:t>
      </w:r>
    </w:p>
    <w:p>
      <w:pPr>
        <w:spacing w:after="0" w:line="121" w:lineRule="exact"/>
        <w:rPr>
          <w:rFonts w:ascii="Arial" w:cs="Arial" w:eastAsia="Arial" w:hAnsi="Arial"/>
          <w:sz w:val="24"/>
          <w:szCs w:val="24"/>
          <w:b w:val="1"/>
          <w:bCs w:val="1"/>
          <w:color w:val="58595B"/>
          <w:vertAlign w:val="subscript"/>
        </w:rPr>
      </w:pPr>
    </w:p>
    <w:p>
      <w:pPr>
        <w:ind w:left="360" w:right="420" w:hanging="360"/>
        <w:spacing w:after="0" w:line="181" w:lineRule="auto"/>
        <w:tabs>
          <w:tab w:leader="none" w:pos="360" w:val="left"/>
        </w:tabs>
        <w:numPr>
          <w:ilvl w:val="0"/>
          <w:numId w:val="33"/>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guarantees or minimums related to base salary increases, annual bonuses or equity grants</w:t>
      </w:r>
    </w:p>
    <w:p>
      <w:pPr>
        <w:spacing w:after="0" w:line="40" w:lineRule="exact"/>
        <w:rPr>
          <w:rFonts w:ascii="Arial" w:cs="Arial" w:eastAsia="Arial" w:hAnsi="Arial"/>
          <w:sz w:val="30"/>
          <w:szCs w:val="30"/>
          <w:b w:val="1"/>
          <w:bCs w:val="1"/>
          <w:color w:val="58595B"/>
          <w:vertAlign w:val="subscript"/>
        </w:rPr>
      </w:pPr>
    </w:p>
    <w:p>
      <w:pPr>
        <w:ind w:left="360" w:right="760" w:hanging="360"/>
        <w:spacing w:after="0" w:line="181" w:lineRule="auto"/>
        <w:tabs>
          <w:tab w:leader="none" w:pos="360" w:val="left"/>
        </w:tabs>
        <w:numPr>
          <w:ilvl w:val="0"/>
          <w:numId w:val="33"/>
        </w:numPr>
        <w:rPr>
          <w:rFonts w:ascii="Arial" w:cs="Arial" w:eastAsia="Arial" w:hAnsi="Arial"/>
          <w:sz w:val="30"/>
          <w:szCs w:val="30"/>
          <w:b w:val="1"/>
          <w:bCs w:val="1"/>
          <w:color w:val="58595B"/>
          <w:vertAlign w:val="subscript"/>
        </w:rPr>
      </w:pPr>
      <w:r>
        <w:rPr>
          <w:rFonts w:ascii="Arial" w:cs="Arial" w:eastAsia="Arial" w:hAnsi="Arial"/>
          <w:sz w:val="12"/>
          <w:szCs w:val="12"/>
          <w:color w:val="58595B"/>
        </w:rPr>
        <w:t>No duplication of long-term performance targets with our annual performance targets</w:t>
      </w:r>
    </w:p>
    <w:p>
      <w:pPr>
        <w:spacing w:after="0" w:line="1" w:lineRule="exact"/>
        <w:rPr>
          <w:rFonts w:ascii="Arial" w:cs="Arial" w:eastAsia="Arial" w:hAnsi="Arial"/>
          <w:sz w:val="30"/>
          <w:szCs w:val="30"/>
          <w:b w:val="1"/>
          <w:bCs w:val="1"/>
          <w:color w:val="58595B"/>
          <w:vertAlign w:val="subscript"/>
        </w:rPr>
      </w:pPr>
    </w:p>
    <w:p>
      <w:pPr>
        <w:ind w:left="360" w:hanging="360"/>
        <w:spacing w:after="0" w:line="184" w:lineRule="auto"/>
        <w:tabs>
          <w:tab w:leader="none" w:pos="360" w:val="left"/>
        </w:tabs>
        <w:numPr>
          <w:ilvl w:val="0"/>
          <w:numId w:val="33"/>
        </w:numPr>
        <w:rPr>
          <w:rFonts w:ascii="Arial" w:cs="Arial" w:eastAsia="Arial" w:hAnsi="Arial"/>
          <w:sz w:val="26"/>
          <w:szCs w:val="26"/>
          <w:b w:val="1"/>
          <w:bCs w:val="1"/>
          <w:color w:val="58595B"/>
          <w:vertAlign w:val="subscript"/>
        </w:rPr>
      </w:pPr>
      <w:r>
        <w:rPr>
          <w:rFonts w:ascii="Arial" w:cs="Arial" w:eastAsia="Arial" w:hAnsi="Arial"/>
          <w:sz w:val="12"/>
          <w:szCs w:val="12"/>
          <w:color w:val="58595B"/>
        </w:rPr>
        <w:t>No gross-ups in connection with a change in control</w:t>
      </w:r>
    </w:p>
    <w:p>
      <w:pPr>
        <w:spacing w:after="0" w:line="101" w:lineRule="exact"/>
        <w:rPr>
          <w:rFonts w:ascii="Arial" w:cs="Arial" w:eastAsia="Arial" w:hAnsi="Arial"/>
          <w:sz w:val="26"/>
          <w:szCs w:val="26"/>
          <w:b w:val="1"/>
          <w:bCs w:val="1"/>
          <w:color w:val="58595B"/>
          <w:vertAlign w:val="subscript"/>
        </w:rPr>
      </w:pPr>
    </w:p>
    <w:p>
      <w:pPr>
        <w:ind w:left="360" w:hanging="360"/>
        <w:spacing w:after="0" w:line="181" w:lineRule="auto"/>
        <w:tabs>
          <w:tab w:leader="none" w:pos="360" w:val="left"/>
        </w:tabs>
        <w:numPr>
          <w:ilvl w:val="0"/>
          <w:numId w:val="33"/>
        </w:numPr>
        <w:rPr>
          <w:rFonts w:ascii="Arial" w:cs="Arial" w:eastAsia="Arial" w:hAnsi="Arial"/>
          <w:sz w:val="24"/>
          <w:szCs w:val="24"/>
          <w:b w:val="1"/>
          <w:bCs w:val="1"/>
          <w:color w:val="58595B"/>
          <w:vertAlign w:val="subscript"/>
        </w:rPr>
      </w:pPr>
      <w:r>
        <w:rPr>
          <w:rFonts w:ascii="Arial" w:cs="Arial" w:eastAsia="Arial" w:hAnsi="Arial"/>
          <w:sz w:val="11"/>
          <w:szCs w:val="11"/>
          <w:color w:val="58595B"/>
        </w:rPr>
        <w:t>No excessive perquisites</w:t>
      </w:r>
    </w:p>
    <w:p>
      <w:pPr>
        <w:spacing w:after="0" w:line="102" w:lineRule="exact"/>
        <w:rPr>
          <w:rFonts w:ascii="Arial" w:cs="Arial" w:eastAsia="Arial" w:hAnsi="Arial"/>
          <w:sz w:val="24"/>
          <w:szCs w:val="24"/>
          <w:b w:val="1"/>
          <w:bCs w:val="1"/>
          <w:color w:val="58595B"/>
          <w:vertAlign w:val="subscript"/>
        </w:rPr>
      </w:pPr>
    </w:p>
    <w:p>
      <w:pPr>
        <w:ind w:left="360" w:hanging="360"/>
        <w:spacing w:after="0" w:line="180" w:lineRule="auto"/>
        <w:tabs>
          <w:tab w:leader="none" w:pos="360" w:val="left"/>
        </w:tabs>
        <w:numPr>
          <w:ilvl w:val="0"/>
          <w:numId w:val="33"/>
        </w:numPr>
        <w:rPr>
          <w:rFonts w:ascii="Arial" w:cs="Arial" w:eastAsia="Arial" w:hAnsi="Arial"/>
          <w:sz w:val="35"/>
          <w:szCs w:val="35"/>
          <w:b w:val="1"/>
          <w:bCs w:val="1"/>
          <w:color w:val="58595B"/>
          <w:vertAlign w:val="subscript"/>
        </w:rPr>
      </w:pPr>
      <w:r>
        <w:rPr>
          <w:rFonts w:ascii="Arial" w:cs="Arial" w:eastAsia="Arial" w:hAnsi="Arial"/>
          <w:sz w:val="13"/>
          <w:szCs w:val="13"/>
          <w:color w:val="58595B"/>
        </w:rPr>
        <w:t>No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-1553210</wp:posOffset>
            </wp:positionV>
            <wp:extent cx="3351530" cy="26574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51530" cy="2657475"/>
                    </a:xfrm>
                    <a:prstGeom prst="rect">
                      <a:avLst/>
                    </a:prstGeom>
                    <a:noFill/>
                  </pic:spPr>
                </pic:pic>
              </a:graphicData>
            </a:graphic>
          </wp:anchor>
        </w:drawing>
      </w:r>
    </w:p>
    <w:p>
      <w:pPr>
        <w:spacing w:after="0" w:line="2012" w:lineRule="exact"/>
        <w:rPr>
          <w:sz w:val="20"/>
          <w:szCs w:val="20"/>
          <w:color w:val="auto"/>
        </w:rPr>
      </w:pPr>
    </w:p>
    <w:p>
      <w:pPr>
        <w:sectPr>
          <w:pgSz w:w="11900" w:h="16838" w:orient="portrait"/>
          <w:cols w:equalWidth="0" w:num="2">
            <w:col w:w="5600" w:space="460"/>
            <w:col w:w="5180"/>
          </w:cols>
          <w:pgMar w:left="320" w:top="122"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Stockholder Input On Executive Compensation</w:t>
      </w:r>
    </w:p>
    <w:p>
      <w:pPr>
        <w:spacing w:after="0" w:line="180" w:lineRule="exact"/>
        <w:rPr>
          <w:sz w:val="20"/>
          <w:szCs w:val="20"/>
          <w:color w:val="auto"/>
        </w:rPr>
      </w:pPr>
    </w:p>
    <w:p>
      <w:pPr>
        <w:ind w:left="20"/>
        <w:spacing w:after="0" w:line="318" w:lineRule="auto"/>
        <w:rPr>
          <w:sz w:val="20"/>
          <w:szCs w:val="20"/>
          <w:color w:val="auto"/>
        </w:rPr>
      </w:pPr>
      <w:r>
        <w:rPr>
          <w:rFonts w:ascii="Arial" w:cs="Arial" w:eastAsia="Arial" w:hAnsi="Arial"/>
          <w:sz w:val="16"/>
          <w:szCs w:val="16"/>
          <w:color w:val="58595B"/>
        </w:rPr>
        <w:t>We value the opinions of our stockholders and regularly solicit input on our executive compensation program. The Compensation Committee rigorously evaluates the design of our executive compensation and the decisions concerning each of our NEOs, taking into account stockholder feedback, including the advisory Say on Pay vote cast at our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009845"/>
        </w:rPr>
        <w:t xml:space="preserve">For our 2023 Say-on-Pay, approximately </w:t>
      </w:r>
      <w:r>
        <w:rPr>
          <w:rFonts w:ascii="Arial" w:cs="Arial" w:eastAsia="Arial" w:hAnsi="Arial"/>
          <w:sz w:val="18"/>
          <w:szCs w:val="18"/>
          <w:b w:val="1"/>
          <w:bCs w:val="1"/>
          <w:color w:val="009845"/>
        </w:rPr>
        <w:t xml:space="preserve">98.8% of the “say-on-pay” </w:t>
      </w:r>
      <w:r>
        <w:rPr>
          <w:rFonts w:ascii="Arial" w:cs="Arial" w:eastAsia="Arial" w:hAnsi="Arial"/>
          <w:sz w:val="18"/>
          <w:szCs w:val="18"/>
          <w:color w:val="009845"/>
        </w:rPr>
        <w:t>stockholder</w:t>
      </w:r>
      <w:r>
        <w:rPr>
          <w:rFonts w:ascii="Arial" w:cs="Arial" w:eastAsia="Arial" w:hAnsi="Arial"/>
          <w:sz w:val="18"/>
          <w:szCs w:val="18"/>
          <w:b w:val="1"/>
          <w:bCs w:val="1"/>
          <w:color w:val="009845"/>
        </w:rPr>
        <w:t xml:space="preserve"> </w:t>
      </w:r>
      <w:r>
        <w:rPr>
          <w:rFonts w:ascii="Arial" w:cs="Arial" w:eastAsia="Arial" w:hAnsi="Arial"/>
          <w:sz w:val="18"/>
          <w:szCs w:val="18"/>
          <w:color w:val="009845"/>
        </w:rPr>
        <w:t>votes cast approved the compensation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-638175</wp:posOffset>
            </wp:positionV>
            <wp:extent cx="2597150" cy="7461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97150" cy="746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3820"/>
          </w:cols>
          <w:pgMar w:left="320" w:top="122" w:right="339" w:bottom="1440" w:gutter="0" w:footer="0" w:header="0"/>
          <w:type w:val="continuous"/>
        </w:sectPr>
      </w:pPr>
    </w:p>
    <w:p>
      <w:pPr>
        <w:spacing w:after="0" w:line="156"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For our 2023 Say-on-Pay, approximately 98.8% of the votes cast approved the compensation for our NEOs. We believe this support resulted largely from the improvements we have made, and continue to make, to our executive compensation program and the strong alignment between pay and the Company’s performance. The strong Say-on-Pay vote shows support for our current executive compensation design.</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38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Over the course of 2023, we gathered feedback with respect to our executive compensation program in a number of different settings. Integra’s management team engaged with stockholders representing over 50% of our outstanding shares by participating in over a dozen institutional investor events globally at which we discussed our strategic plans and growth prospects and held approximately 300 meetings with institutional investors. Through this engagement, we received feedback from stockholders on topics such as corporate strategy, governance and sustainability, as well as business and financial performance. Feedback from investors continues to highlight organic revenue growth as a key indicator for the strength of our business and a driver of stockholder value creation.</w:t>
      </w:r>
    </w:p>
    <w:p>
      <w:pPr>
        <w:spacing w:after="0" w:line="122"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58595B"/>
        </w:rPr>
        <w:t>To strengthen our pay-for-performance culture, the Compensation Committee considered our strong 2023 vote results and the feedback obtained from our investor outreach when making decisions relating to compensation for our NEOs for 2023. Our philosophy is to use performance metrics that directly align with our business strategy and stockholder interests. Based on these factors, annual organic revenue growth has been used as our long-term incentive performance shares metric since 2018 and will continue to be the measure in 2024.</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Compensation Committee</w:t>
      </w:r>
    </w:p>
    <w:p>
      <w:pPr>
        <w:spacing w:after="0" w:line="72"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The Compensation Committee undertakes a comprehensive annual review of the executive compensation program for all NEOs, as well as other executives within the Company, on an annual basis. While Integra management provides input, it is the responsibility of the Compensation Committee to evaluate and approve our executive compensation philosophy, plans, policies, programs and decisions.</w:t>
      </w:r>
    </w:p>
    <w:p>
      <w:pPr>
        <w:spacing w:after="0" w:line="110"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color w:val="58595B"/>
        </w:rPr>
        <w:t>The following table illustrates the steps the Compensation Committee follows to ensure the total compensation for our NEOs is competitive, appropriately tied to performance, and does not promote undue risk taking.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Step 1:</w:t>
            </w:r>
          </w:p>
        </w:tc>
        <w:tc>
          <w:tcPr>
            <w:tcW w:w="520" w:type="dxa"/>
            <w:vAlign w:val="bottom"/>
          </w:tcPr>
          <w:p>
            <w:pPr>
              <w:spacing w:after="0"/>
              <w:rPr>
                <w:sz w:val="16"/>
                <w:szCs w:val="16"/>
                <w:color w:val="auto"/>
              </w:rPr>
            </w:pPr>
          </w:p>
        </w:tc>
        <w:tc>
          <w:tcPr>
            <w:tcW w:w="31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Step 2:</w:t>
            </w:r>
          </w:p>
        </w:tc>
        <w:tc>
          <w:tcPr>
            <w:tcW w:w="540" w:type="dxa"/>
            <w:vAlign w:val="bottom"/>
          </w:tcPr>
          <w:p>
            <w:pPr>
              <w:spacing w:after="0"/>
              <w:rPr>
                <w:sz w:val="16"/>
                <w:szCs w:val="16"/>
                <w:color w:val="auto"/>
              </w:rPr>
            </w:pPr>
          </w:p>
        </w:tc>
        <w:tc>
          <w:tcPr>
            <w:tcW w:w="334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Step 3:</w:t>
            </w:r>
          </w:p>
        </w:tc>
        <w:tc>
          <w:tcPr>
            <w:tcW w:w="0" w:type="dxa"/>
            <w:vAlign w:val="bottom"/>
          </w:tcPr>
          <w:p>
            <w:pPr>
              <w:spacing w:after="0"/>
              <w:rPr>
                <w:sz w:val="1"/>
                <w:szCs w:val="1"/>
                <w:color w:val="auto"/>
              </w:rPr>
            </w:pPr>
          </w:p>
        </w:tc>
      </w:tr>
      <w:tr>
        <w:trPr>
          <w:trHeight w:val="81"/>
        </w:trPr>
        <w:tc>
          <w:tcPr>
            <w:tcW w:w="3720" w:type="dxa"/>
            <w:vAlign w:val="bottom"/>
            <w:vMerge w:val="continue"/>
            <w:shd w:val="clear" w:color="auto" w:fill="009845"/>
          </w:tcPr>
          <w:p>
            <w:pPr>
              <w:spacing w:after="0"/>
              <w:rPr>
                <w:sz w:val="7"/>
                <w:szCs w:val="7"/>
                <w:color w:val="auto"/>
              </w:rPr>
            </w:pPr>
          </w:p>
        </w:tc>
        <w:tc>
          <w:tcPr>
            <w:tcW w:w="520" w:type="dxa"/>
            <w:vAlign w:val="bottom"/>
          </w:tcPr>
          <w:p>
            <w:pPr>
              <w:spacing w:after="0"/>
              <w:rPr>
                <w:sz w:val="7"/>
                <w:szCs w:val="7"/>
                <w:color w:val="auto"/>
              </w:rPr>
            </w:pPr>
          </w:p>
        </w:tc>
        <w:tc>
          <w:tcPr>
            <w:tcW w:w="312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Compensation Committee</w:t>
            </w:r>
          </w:p>
        </w:tc>
        <w:tc>
          <w:tcPr>
            <w:tcW w:w="540" w:type="dxa"/>
            <w:vAlign w:val="bottom"/>
          </w:tcPr>
          <w:p>
            <w:pPr>
              <w:spacing w:after="0"/>
              <w:rPr>
                <w:sz w:val="7"/>
                <w:szCs w:val="7"/>
                <w:color w:val="auto"/>
              </w:rPr>
            </w:pPr>
          </w:p>
        </w:tc>
        <w:tc>
          <w:tcPr>
            <w:tcW w:w="33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Compensation Committee</w:t>
            </w:r>
          </w:p>
        </w:tc>
        <w:tc>
          <w:tcPr>
            <w:tcW w:w="0" w:type="dxa"/>
            <w:vAlign w:val="bottom"/>
          </w:tcPr>
          <w:p>
            <w:pPr>
              <w:spacing w:after="0"/>
              <w:rPr>
                <w:sz w:val="1"/>
                <w:szCs w:val="1"/>
                <w:color w:val="auto"/>
              </w:rPr>
            </w:pPr>
          </w:p>
        </w:tc>
      </w:tr>
      <w:tr>
        <w:trPr>
          <w:trHeight w:val="95"/>
        </w:trPr>
        <w:tc>
          <w:tcPr>
            <w:tcW w:w="372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Input On Compensation</w:t>
            </w:r>
          </w:p>
        </w:tc>
        <w:tc>
          <w:tcPr>
            <w:tcW w:w="520" w:type="dxa"/>
            <w:vAlign w:val="bottom"/>
          </w:tcPr>
          <w:p>
            <w:pPr>
              <w:spacing w:after="0"/>
              <w:rPr>
                <w:sz w:val="8"/>
                <w:szCs w:val="8"/>
                <w:color w:val="auto"/>
              </w:rPr>
            </w:pPr>
          </w:p>
        </w:tc>
        <w:tc>
          <w:tcPr>
            <w:tcW w:w="3120" w:type="dxa"/>
            <w:vAlign w:val="bottom"/>
            <w:vMerge w:val="continue"/>
            <w:shd w:val="clear" w:color="auto" w:fill="009845"/>
          </w:tcPr>
          <w:p>
            <w:pPr>
              <w:spacing w:after="0"/>
              <w:rPr>
                <w:sz w:val="8"/>
                <w:szCs w:val="8"/>
                <w:color w:val="auto"/>
              </w:rPr>
            </w:pPr>
          </w:p>
        </w:tc>
        <w:tc>
          <w:tcPr>
            <w:tcW w:w="540" w:type="dxa"/>
            <w:vAlign w:val="bottom"/>
          </w:tcPr>
          <w:p>
            <w:pPr>
              <w:spacing w:after="0"/>
              <w:rPr>
                <w:sz w:val="8"/>
                <w:szCs w:val="8"/>
                <w:color w:val="auto"/>
              </w:rPr>
            </w:pPr>
          </w:p>
        </w:tc>
        <w:tc>
          <w:tcPr>
            <w:tcW w:w="3340" w:type="dxa"/>
            <w:vAlign w:val="bottom"/>
            <w:vMerge w:val="continue"/>
            <w:shd w:val="clear" w:color="auto" w:fill="009845"/>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20" w:type="dxa"/>
            <w:vAlign w:val="bottom"/>
            <w:vMerge w:val="continue"/>
            <w:shd w:val="clear" w:color="auto" w:fill="009845"/>
          </w:tcPr>
          <w:p>
            <w:pPr>
              <w:spacing w:after="0"/>
              <w:rPr>
                <w:sz w:val="8"/>
                <w:szCs w:val="8"/>
                <w:color w:val="auto"/>
              </w:rPr>
            </w:pPr>
          </w:p>
        </w:tc>
        <w:tc>
          <w:tcPr>
            <w:tcW w:w="520" w:type="dxa"/>
            <w:vAlign w:val="bottom"/>
          </w:tcPr>
          <w:p>
            <w:pPr>
              <w:spacing w:after="0"/>
              <w:rPr>
                <w:sz w:val="8"/>
                <w:szCs w:val="8"/>
                <w:color w:val="auto"/>
              </w:rPr>
            </w:pPr>
          </w:p>
        </w:tc>
        <w:tc>
          <w:tcPr>
            <w:tcW w:w="312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Decisions</w:t>
            </w:r>
          </w:p>
        </w:tc>
        <w:tc>
          <w:tcPr>
            <w:tcW w:w="540" w:type="dxa"/>
            <w:vAlign w:val="bottom"/>
          </w:tcPr>
          <w:p>
            <w:pPr>
              <w:spacing w:after="0"/>
              <w:rPr>
                <w:sz w:val="8"/>
                <w:szCs w:val="8"/>
                <w:color w:val="auto"/>
              </w:rPr>
            </w:pPr>
          </w:p>
        </w:tc>
        <w:tc>
          <w:tcPr>
            <w:tcW w:w="334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Oversight</w:t>
            </w:r>
          </w:p>
        </w:tc>
        <w:tc>
          <w:tcPr>
            <w:tcW w:w="0" w:type="dxa"/>
            <w:vAlign w:val="bottom"/>
          </w:tcPr>
          <w:p>
            <w:pPr>
              <w:spacing w:after="0"/>
              <w:rPr>
                <w:sz w:val="1"/>
                <w:szCs w:val="1"/>
                <w:color w:val="auto"/>
              </w:rPr>
            </w:pPr>
          </w:p>
        </w:tc>
      </w:tr>
      <w:tr>
        <w:trPr>
          <w:trHeight w:val="97"/>
        </w:trPr>
        <w:tc>
          <w:tcPr>
            <w:tcW w:w="3720" w:type="dxa"/>
            <w:vAlign w:val="bottom"/>
            <w:shd w:val="clear" w:color="auto" w:fill="009845"/>
          </w:tcPr>
          <w:p>
            <w:pPr>
              <w:spacing w:after="0"/>
              <w:rPr>
                <w:sz w:val="8"/>
                <w:szCs w:val="8"/>
                <w:color w:val="auto"/>
              </w:rPr>
            </w:pPr>
          </w:p>
        </w:tc>
        <w:tc>
          <w:tcPr>
            <w:tcW w:w="520" w:type="dxa"/>
            <w:vAlign w:val="bottom"/>
          </w:tcPr>
          <w:p>
            <w:pPr>
              <w:spacing w:after="0"/>
              <w:rPr>
                <w:sz w:val="8"/>
                <w:szCs w:val="8"/>
                <w:color w:val="auto"/>
              </w:rPr>
            </w:pPr>
          </w:p>
        </w:tc>
        <w:tc>
          <w:tcPr>
            <w:tcW w:w="3120" w:type="dxa"/>
            <w:vAlign w:val="bottom"/>
            <w:vMerge w:val="continue"/>
            <w:shd w:val="clear" w:color="auto" w:fill="009845"/>
          </w:tcPr>
          <w:p>
            <w:pPr>
              <w:spacing w:after="0"/>
              <w:rPr>
                <w:sz w:val="8"/>
                <w:szCs w:val="8"/>
                <w:color w:val="auto"/>
              </w:rPr>
            </w:pPr>
          </w:p>
        </w:tc>
        <w:tc>
          <w:tcPr>
            <w:tcW w:w="540" w:type="dxa"/>
            <w:vAlign w:val="bottom"/>
          </w:tcPr>
          <w:p>
            <w:pPr>
              <w:spacing w:after="0"/>
              <w:rPr>
                <w:sz w:val="8"/>
                <w:szCs w:val="8"/>
                <w:color w:val="auto"/>
              </w:rPr>
            </w:pPr>
          </w:p>
        </w:tc>
        <w:tc>
          <w:tcPr>
            <w:tcW w:w="3340" w:type="dxa"/>
            <w:vAlign w:val="bottom"/>
            <w:vMerge w:val="continue"/>
            <w:shd w:val="clear" w:color="auto" w:fill="00984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523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5236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 xml:space="preserve">At the beginning of each year, </w:t>
      </w:r>
      <w:r>
        <w:rPr>
          <w:rFonts w:ascii="Arial" w:cs="Arial" w:eastAsia="Arial" w:hAnsi="Arial"/>
          <w:sz w:val="16"/>
          <w:szCs w:val="16"/>
          <w:b w:val="1"/>
          <w:bCs w:val="1"/>
          <w:color w:val="58595B"/>
        </w:rPr>
        <w:t>management,</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8595B"/>
        </w:rPr>
        <w:t>including the President and CEO, provides</w:t>
      </w:r>
    </w:p>
    <w:p>
      <w:pPr>
        <w:spacing w:after="0" w:line="59" w:lineRule="exact"/>
        <w:rPr>
          <w:sz w:val="20"/>
          <w:szCs w:val="20"/>
          <w:color w:val="auto"/>
        </w:rPr>
      </w:pPr>
    </w:p>
    <w:p>
      <w:pPr>
        <w:ind w:left="100" w:right="220"/>
        <w:spacing w:after="0" w:line="318" w:lineRule="auto"/>
        <w:rPr>
          <w:sz w:val="20"/>
          <w:szCs w:val="20"/>
          <w:color w:val="auto"/>
        </w:rPr>
      </w:pPr>
      <w:r>
        <w:rPr>
          <w:rFonts w:ascii="Arial" w:cs="Arial" w:eastAsia="Arial" w:hAnsi="Arial"/>
          <w:sz w:val="16"/>
          <w:szCs w:val="16"/>
          <w:b w:val="1"/>
          <w:bCs w:val="1"/>
          <w:color w:val="58595B"/>
        </w:rPr>
        <w:t xml:space="preserve">recommendations </w:t>
      </w:r>
      <w:r>
        <w:rPr>
          <w:rFonts w:ascii="Arial" w:cs="Arial" w:eastAsia="Arial" w:hAnsi="Arial"/>
          <w:sz w:val="16"/>
          <w:szCs w:val="16"/>
          <w:color w:val="58595B"/>
        </w:rPr>
        <w:t>to the Compensation</w:t>
      </w:r>
      <w:r>
        <w:rPr>
          <w:rFonts w:ascii="Arial" w:cs="Arial" w:eastAsia="Arial" w:hAnsi="Arial"/>
          <w:sz w:val="16"/>
          <w:szCs w:val="16"/>
          <w:b w:val="1"/>
          <w:bCs w:val="1"/>
          <w:color w:val="58595B"/>
        </w:rPr>
        <w:t xml:space="preserve"> </w:t>
      </w:r>
      <w:r>
        <w:rPr>
          <w:rFonts w:ascii="Arial" w:cs="Arial" w:eastAsia="Arial" w:hAnsi="Arial"/>
          <w:sz w:val="16"/>
          <w:szCs w:val="16"/>
          <w:color w:val="58595B"/>
        </w:rPr>
        <w:t>Committee regarding the compensation of the NEOs. The CEO does not make recommendations on his own pay.</w:t>
      </w:r>
    </w:p>
    <w:p>
      <w:pPr>
        <w:spacing w:after="0" w:line="118" w:lineRule="exact"/>
        <w:rPr>
          <w:sz w:val="20"/>
          <w:szCs w:val="20"/>
          <w:color w:val="auto"/>
        </w:rPr>
      </w:pPr>
    </w:p>
    <w:p>
      <w:pPr>
        <w:ind w:left="100" w:right="60"/>
        <w:spacing w:after="0" w:line="314" w:lineRule="auto"/>
        <w:rPr>
          <w:sz w:val="20"/>
          <w:szCs w:val="20"/>
          <w:color w:val="auto"/>
        </w:rPr>
      </w:pPr>
      <w:r>
        <w:rPr>
          <w:rFonts w:ascii="Arial" w:cs="Arial" w:eastAsia="Arial" w:hAnsi="Arial"/>
          <w:sz w:val="16"/>
          <w:szCs w:val="16"/>
          <w:color w:val="58595B"/>
        </w:rPr>
        <w:t xml:space="preserve">These recommendations take into consideration the </w:t>
      </w:r>
      <w:r>
        <w:rPr>
          <w:rFonts w:ascii="Arial" w:cs="Arial" w:eastAsia="Arial" w:hAnsi="Arial"/>
          <w:sz w:val="16"/>
          <w:szCs w:val="16"/>
          <w:b w:val="1"/>
          <w:bCs w:val="1"/>
          <w:color w:val="58595B"/>
        </w:rPr>
        <w:t>competitive market pay data provided by</w:t>
      </w:r>
      <w:r>
        <w:rPr>
          <w:rFonts w:ascii="Arial" w:cs="Arial" w:eastAsia="Arial" w:hAnsi="Arial"/>
          <w:sz w:val="16"/>
          <w:szCs w:val="16"/>
          <w:color w:val="58595B"/>
        </w:rPr>
        <w:t xml:space="preserve"> </w:t>
      </w:r>
      <w:r>
        <w:rPr>
          <w:rFonts w:ascii="Arial" w:cs="Arial" w:eastAsia="Arial" w:hAnsi="Arial"/>
          <w:sz w:val="16"/>
          <w:szCs w:val="16"/>
          <w:b w:val="1"/>
          <w:bCs w:val="1"/>
          <w:color w:val="58595B"/>
        </w:rPr>
        <w:t>the Board’s independent consultant</w:t>
      </w:r>
      <w:r>
        <w:rPr>
          <w:rFonts w:ascii="Arial" w:cs="Arial" w:eastAsia="Arial" w:hAnsi="Arial"/>
          <w:sz w:val="16"/>
          <w:szCs w:val="16"/>
          <w:color w:val="58595B"/>
        </w:rPr>
        <w:t>, as well</w:t>
      </w:r>
      <w:r>
        <w:rPr>
          <w:rFonts w:ascii="Arial" w:cs="Arial" w:eastAsia="Arial" w:hAnsi="Arial"/>
          <w:sz w:val="16"/>
          <w:szCs w:val="16"/>
          <w:b w:val="1"/>
          <w:bCs w:val="1"/>
          <w:color w:val="58595B"/>
        </w:rPr>
        <w:t xml:space="preserve"> </w:t>
      </w:r>
      <w:r>
        <w:rPr>
          <w:rFonts w:ascii="Arial" w:cs="Arial" w:eastAsia="Arial" w:hAnsi="Arial"/>
          <w:sz w:val="16"/>
          <w:szCs w:val="16"/>
          <w:color w:val="58595B"/>
        </w:rPr>
        <w:t>as an evaluation of the NEO’s role, performance and contributions to the Company’s results, as well as the individual’s long-term potential.</w:t>
      </w:r>
    </w:p>
    <w:p>
      <w:pPr>
        <w:spacing w:after="0" w:line="135" w:lineRule="exact"/>
        <w:rPr>
          <w:sz w:val="20"/>
          <w:szCs w:val="20"/>
          <w:color w:val="auto"/>
        </w:rPr>
      </w:pPr>
    </w:p>
    <w:p>
      <w:pPr>
        <w:jc w:val="both"/>
        <w:ind w:left="100" w:right="620"/>
        <w:spacing w:after="0" w:line="328" w:lineRule="auto"/>
        <w:rPr>
          <w:sz w:val="20"/>
          <w:szCs w:val="20"/>
          <w:color w:val="auto"/>
        </w:rPr>
      </w:pPr>
      <w:r>
        <w:rPr>
          <w:rFonts w:ascii="Arial" w:cs="Arial" w:eastAsia="Arial" w:hAnsi="Arial"/>
          <w:sz w:val="16"/>
          <w:szCs w:val="16"/>
          <w:color w:val="58595B"/>
        </w:rPr>
        <w:t>(See more below on the Compensation Committee's independent compensation consultant.)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58595B"/>
          <w:shd w:val="clear" w:color="auto" w:fill="F2F2F2"/>
        </w:rPr>
        <w:t xml:space="preserve">The Compensation Committee considers these recommendations together with the input of our independent compensation consultant and subsequently the </w:t>
      </w:r>
      <w:r>
        <w:rPr>
          <w:rFonts w:ascii="Arial" w:cs="Arial" w:eastAsia="Arial" w:hAnsi="Arial"/>
          <w:sz w:val="16"/>
          <w:szCs w:val="16"/>
          <w:b w:val="1"/>
          <w:bCs w:val="1"/>
          <w:color w:val="58595B"/>
        </w:rPr>
        <w:t>Compensation</w:t>
      </w:r>
    </w:p>
    <w:p>
      <w:pPr>
        <w:spacing w:after="0" w:line="2" w:lineRule="exact"/>
        <w:rPr>
          <w:sz w:val="20"/>
          <w:szCs w:val="20"/>
          <w:color w:val="auto"/>
        </w:rPr>
      </w:pPr>
    </w:p>
    <w:p>
      <w:pPr>
        <w:ind w:right="120"/>
        <w:spacing w:after="0" w:line="333" w:lineRule="auto"/>
        <w:rPr>
          <w:sz w:val="20"/>
          <w:szCs w:val="20"/>
          <w:color w:val="auto"/>
        </w:rPr>
      </w:pPr>
      <w:r>
        <w:rPr>
          <w:rFonts w:ascii="Arial" w:cs="Arial" w:eastAsia="Arial" w:hAnsi="Arial"/>
          <w:sz w:val="16"/>
          <w:szCs w:val="16"/>
          <w:b w:val="1"/>
          <w:bCs w:val="1"/>
          <w:color w:val="58595B"/>
        </w:rPr>
        <w:t>Committee determines the NEOs’ compensation, ensuring it is aligned with our compensation philosophy.</w:t>
      </w:r>
    </w:p>
    <w:p>
      <w:pPr>
        <w:spacing w:after="0" w:line="98"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shd w:val="clear" w:color="auto" w:fill="F2F2F2"/>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340"/>
        <w:spacing w:after="0" w:line="349" w:lineRule="auto"/>
        <w:rPr>
          <w:sz w:val="20"/>
          <w:szCs w:val="20"/>
          <w:color w:val="auto"/>
        </w:rPr>
      </w:pPr>
      <w:r>
        <w:rPr>
          <w:rFonts w:ascii="Arial" w:cs="Arial" w:eastAsia="Arial" w:hAnsi="Arial"/>
          <w:sz w:val="16"/>
          <w:szCs w:val="16"/>
          <w:color w:val="58595B"/>
        </w:rPr>
        <w:t xml:space="preserve">For the coming year, the </w:t>
      </w:r>
      <w:r>
        <w:rPr>
          <w:rFonts w:ascii="Arial" w:cs="Arial" w:eastAsia="Arial" w:hAnsi="Arial"/>
          <w:sz w:val="16"/>
          <w:szCs w:val="16"/>
          <w:b w:val="1"/>
          <w:bCs w:val="1"/>
          <w:color w:val="58595B"/>
        </w:rPr>
        <w:t>Compensation</w:t>
      </w:r>
      <w:r>
        <w:rPr>
          <w:rFonts w:ascii="Arial" w:cs="Arial" w:eastAsia="Arial" w:hAnsi="Arial"/>
          <w:sz w:val="16"/>
          <w:szCs w:val="16"/>
          <w:color w:val="58595B"/>
        </w:rPr>
        <w:t xml:space="preserve"> </w:t>
      </w:r>
      <w:r>
        <w:rPr>
          <w:rFonts w:ascii="Arial" w:cs="Arial" w:eastAsia="Arial" w:hAnsi="Arial"/>
          <w:sz w:val="16"/>
          <w:szCs w:val="16"/>
          <w:b w:val="1"/>
          <w:bCs w:val="1"/>
          <w:color w:val="58595B"/>
        </w:rPr>
        <w:t>Committee reviews and approves:</w:t>
      </w:r>
    </w:p>
    <w:p>
      <w:pPr>
        <w:spacing w:after="0" w:line="99" w:lineRule="exact"/>
        <w:rPr>
          <w:sz w:val="20"/>
          <w:szCs w:val="20"/>
          <w:color w:val="auto"/>
        </w:rPr>
      </w:pPr>
    </w:p>
    <w:p>
      <w:pPr>
        <w:ind w:left="360" w:hanging="126"/>
        <w:spacing w:after="0"/>
        <w:tabs>
          <w:tab w:leader="none" w:pos="360" w:val="left"/>
        </w:tabs>
        <w:numPr>
          <w:ilvl w:val="0"/>
          <w:numId w:val="34"/>
        </w:numPr>
        <w:rPr>
          <w:rFonts w:ascii="Arial" w:cs="Arial" w:eastAsia="Arial" w:hAnsi="Arial"/>
          <w:sz w:val="16"/>
          <w:szCs w:val="16"/>
          <w:color w:val="58595B"/>
        </w:rPr>
      </w:pPr>
      <w:r>
        <w:rPr>
          <w:rFonts w:ascii="Arial" w:cs="Arial" w:eastAsia="Arial" w:hAnsi="Arial"/>
          <w:sz w:val="16"/>
          <w:szCs w:val="16"/>
          <w:color w:val="58595B"/>
        </w:rPr>
        <w:t>Objectives for the CEO</w:t>
      </w:r>
    </w:p>
    <w:p>
      <w:pPr>
        <w:spacing w:after="0" w:line="207" w:lineRule="exact"/>
        <w:rPr>
          <w:rFonts w:ascii="Arial" w:cs="Arial" w:eastAsia="Arial" w:hAnsi="Arial"/>
          <w:sz w:val="16"/>
          <w:szCs w:val="16"/>
          <w:color w:val="58595B"/>
        </w:rPr>
      </w:pPr>
    </w:p>
    <w:p>
      <w:pPr>
        <w:ind w:left="360" w:hanging="126"/>
        <w:spacing w:after="0"/>
        <w:tabs>
          <w:tab w:leader="none" w:pos="360" w:val="left"/>
        </w:tabs>
        <w:numPr>
          <w:ilvl w:val="0"/>
          <w:numId w:val="34"/>
        </w:numPr>
        <w:rPr>
          <w:rFonts w:ascii="Arial" w:cs="Arial" w:eastAsia="Arial" w:hAnsi="Arial"/>
          <w:sz w:val="16"/>
          <w:szCs w:val="16"/>
          <w:color w:val="58595B"/>
        </w:rPr>
      </w:pPr>
      <w:r>
        <w:rPr>
          <w:rFonts w:ascii="Arial" w:cs="Arial" w:eastAsia="Arial" w:hAnsi="Arial"/>
          <w:sz w:val="16"/>
          <w:szCs w:val="16"/>
          <w:color w:val="58595B"/>
        </w:rPr>
        <w:t>Variable pay target opportunities for</w:t>
      </w:r>
    </w:p>
    <w:p>
      <w:pPr>
        <w:spacing w:after="0" w:line="59" w:lineRule="exact"/>
        <w:rPr>
          <w:rFonts w:ascii="Arial" w:cs="Arial" w:eastAsia="Arial" w:hAnsi="Arial"/>
          <w:sz w:val="16"/>
          <w:szCs w:val="16"/>
          <w:color w:val="58595B"/>
        </w:rPr>
      </w:pPr>
    </w:p>
    <w:p>
      <w:pPr>
        <w:ind w:left="400" w:right="340"/>
        <w:spacing w:after="0" w:line="339" w:lineRule="auto"/>
        <w:rPr>
          <w:rFonts w:ascii="Arial" w:cs="Arial" w:eastAsia="Arial" w:hAnsi="Arial"/>
          <w:sz w:val="16"/>
          <w:szCs w:val="16"/>
          <w:color w:val="58595B"/>
        </w:rPr>
      </w:pPr>
      <w:r>
        <w:rPr>
          <w:rFonts w:ascii="Arial" w:cs="Arial" w:eastAsia="Arial" w:hAnsi="Arial"/>
          <w:sz w:val="16"/>
          <w:szCs w:val="16"/>
          <w:color w:val="58595B"/>
        </w:rPr>
        <w:t>annual bonus and long-term equity incentives</w:t>
      </w:r>
    </w:p>
    <w:p>
      <w:pPr>
        <w:spacing w:after="0" w:line="101" w:lineRule="exact"/>
        <w:rPr>
          <w:rFonts w:ascii="Arial" w:cs="Arial" w:eastAsia="Arial" w:hAnsi="Arial"/>
          <w:sz w:val="16"/>
          <w:szCs w:val="16"/>
          <w:color w:val="58595B"/>
        </w:rPr>
      </w:pPr>
    </w:p>
    <w:p>
      <w:pPr>
        <w:ind w:left="400" w:right="360" w:hanging="166"/>
        <w:spacing w:after="0" w:line="356" w:lineRule="auto"/>
        <w:tabs>
          <w:tab w:leader="none" w:pos="362" w:val="left"/>
        </w:tabs>
        <w:numPr>
          <w:ilvl w:val="0"/>
          <w:numId w:val="34"/>
        </w:numPr>
        <w:rPr>
          <w:rFonts w:ascii="Arial" w:cs="Arial" w:eastAsia="Arial" w:hAnsi="Arial"/>
          <w:sz w:val="16"/>
          <w:szCs w:val="16"/>
          <w:color w:val="58595B"/>
        </w:rPr>
      </w:pPr>
      <w:r>
        <w:rPr>
          <w:rFonts w:ascii="Arial" w:cs="Arial" w:eastAsia="Arial" w:hAnsi="Arial"/>
          <w:sz w:val="16"/>
          <w:szCs w:val="16"/>
          <w:color w:val="58595B"/>
        </w:rPr>
        <w:t>Performance metrics for the annual bonus and equity grants</w:t>
      </w:r>
    </w:p>
    <w:p>
      <w:pPr>
        <w:spacing w:after="0" w:line="8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58595B"/>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200" w:lineRule="exact"/>
        <w:rPr>
          <w:sz w:val="20"/>
          <w:szCs w:val="20"/>
          <w:color w:val="auto"/>
        </w:rPr>
      </w:pPr>
    </w:p>
    <w:p>
      <w:pPr>
        <w:sectPr>
          <w:pgSz w:w="11900" w:h="16838" w:orient="portrait"/>
          <w:cols w:equalWidth="0" w:num="3">
            <w:col w:w="3620" w:space="720"/>
            <w:col w:w="2940" w:space="720"/>
            <w:col w:w="3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39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Independent Compensation Consultant</w:t>
      </w:r>
    </w:p>
    <w:p>
      <w:pPr>
        <w:spacing w:after="0" w:line="7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The Compensation Committee engages WTW (formerly known as Willis Towers Watson) as its independent executive compensation consultant. WTW conducts thorough market analyses and offers strategic recommendations that serve as inputs for the Compensation Committee's decisions. WTW continuously updates the Compensation Committee on pertinent market trends and evolving regulatory landscapes as it relates to executive compensation. In addition to reviewing executive compensation proposals presented by management, WTW collaborates closely with the Compensation Committee to validate and strengthen the pay-for-performance relationship and alignment with stockholders.</w:t>
      </w:r>
    </w:p>
    <w:p>
      <w:pPr>
        <w:spacing w:after="0" w:line="118"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Pursuant to the rules of the SEC, the Compensation Committee has reviewed the SEC’s independence factors for compensation advisers and concluded that no conflict of interest exists that would prevent WTW from independently representing the Compensation Committee. In 2023, in addition to the executive compensation consulting services provided, WTW provided corporate risk and brokering services and additional rewards consulting services to the Company with total fees of $422,598.</w:t>
      </w:r>
    </w:p>
    <w:p>
      <w:pPr>
        <w:sectPr>
          <w:pgSz w:w="11900" w:h="16838" w:orient="portrait"/>
          <w:cols w:equalWidth="0" w:num="1">
            <w:col w:w="11240"/>
          </w:cols>
          <w:pgMar w:left="320" w:top="122"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Role of the Executive Compensation Peer Group</w:t>
      </w:r>
    </w:p>
    <w:p>
      <w:pPr>
        <w:spacing w:after="0" w:line="126" w:lineRule="exact"/>
        <w:rPr>
          <w:sz w:val="20"/>
          <w:szCs w:val="20"/>
          <w:color w:val="auto"/>
        </w:rPr>
      </w:pPr>
    </w:p>
    <w:p>
      <w:pPr>
        <w:jc w:val="both"/>
        <w:ind w:left="20" w:right="340"/>
        <w:spacing w:after="0" w:line="318" w:lineRule="auto"/>
        <w:rPr>
          <w:sz w:val="20"/>
          <w:szCs w:val="20"/>
          <w:color w:val="auto"/>
        </w:rPr>
      </w:pPr>
      <w:r>
        <w:rPr>
          <w:rFonts w:ascii="Arial" w:cs="Arial" w:eastAsia="Arial" w:hAnsi="Arial"/>
          <w:sz w:val="16"/>
          <w:szCs w:val="16"/>
          <w:color w:val="58595B"/>
        </w:rPr>
        <w:t>To help ensure we provide our NEOs with fair and market-competitive compensation and to support retention of our key leaders, we annually review the compensation provided to our executives against executives within our peer group of companies. In 2023, this peer group consisted of companies determined to be:</w:t>
      </w:r>
    </w:p>
    <w:p>
      <w:pPr>
        <w:spacing w:after="0" w:line="64" w:lineRule="exact"/>
        <w:rPr>
          <w:sz w:val="20"/>
          <w:szCs w:val="20"/>
          <w:color w:val="auto"/>
        </w:rPr>
      </w:pPr>
    </w:p>
    <w:p>
      <w:pPr>
        <w:ind w:left="320" w:hanging="213"/>
        <w:spacing w:after="0"/>
        <w:tabs>
          <w:tab w:leader="none" w:pos="32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Similar in size (revenue and market capitalization), complexity and global reach to Integra;</w:t>
      </w:r>
    </w:p>
    <w:p>
      <w:pPr>
        <w:spacing w:after="0" w:line="167" w:lineRule="exact"/>
        <w:rPr>
          <w:rFonts w:ascii="Arial" w:cs="Arial" w:eastAsia="Arial" w:hAnsi="Arial"/>
          <w:sz w:val="16"/>
          <w:szCs w:val="16"/>
          <w:color w:val="58595B"/>
        </w:rPr>
      </w:pPr>
    </w:p>
    <w:p>
      <w:pPr>
        <w:ind w:left="320" w:hanging="213"/>
        <w:spacing w:after="0"/>
        <w:tabs>
          <w:tab w:leader="none" w:pos="32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In the medical technology or a similar industry; and</w:t>
      </w:r>
    </w:p>
    <w:p>
      <w:pPr>
        <w:spacing w:after="0" w:line="153" w:lineRule="exact"/>
        <w:rPr>
          <w:rFonts w:ascii="Arial" w:cs="Arial" w:eastAsia="Arial" w:hAnsi="Arial"/>
          <w:sz w:val="16"/>
          <w:szCs w:val="16"/>
          <w:color w:val="58595B"/>
        </w:rPr>
      </w:pPr>
    </w:p>
    <w:p>
      <w:pPr>
        <w:ind w:left="320" w:hanging="213"/>
        <w:spacing w:after="0"/>
        <w:tabs>
          <w:tab w:leader="none" w:pos="320" w:val="left"/>
        </w:tabs>
        <w:numPr>
          <w:ilvl w:val="0"/>
          <w:numId w:val="35"/>
        </w:numPr>
        <w:rPr>
          <w:rFonts w:ascii="Arial" w:cs="Arial" w:eastAsia="Arial" w:hAnsi="Arial"/>
          <w:sz w:val="16"/>
          <w:szCs w:val="16"/>
          <w:color w:val="58595B"/>
        </w:rPr>
      </w:pPr>
      <w:r>
        <w:rPr>
          <w:rFonts w:ascii="Arial" w:cs="Arial" w:eastAsia="Arial" w:hAnsi="Arial"/>
          <w:sz w:val="16"/>
          <w:szCs w:val="16"/>
          <w:color w:val="58595B"/>
        </w:rPr>
        <w:t>In competition with Integra for executive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009845"/>
        </w:rPr>
        <w:t xml:space="preserve">Integra is currently at the </w:t>
      </w:r>
      <w:r>
        <w:rPr>
          <w:rFonts w:ascii="Arial" w:cs="Arial" w:eastAsia="Arial" w:hAnsi="Arial"/>
          <w:sz w:val="18"/>
          <w:szCs w:val="18"/>
          <w:b w:val="1"/>
          <w:bCs w:val="1"/>
          <w:color w:val="009845"/>
        </w:rPr>
        <w:t>40th percentile for</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revenue </w:t>
      </w:r>
      <w:r>
        <w:rPr>
          <w:rFonts w:ascii="Arial" w:cs="Arial" w:eastAsia="Arial" w:hAnsi="Arial"/>
          <w:sz w:val="18"/>
          <w:szCs w:val="18"/>
          <w:color w:val="009845"/>
        </w:rPr>
        <w:t>when compared to the 2023 peer</w:t>
      </w:r>
      <w:r>
        <w:rPr>
          <w:rFonts w:ascii="Arial" w:cs="Arial" w:eastAsia="Arial" w:hAnsi="Arial"/>
          <w:sz w:val="18"/>
          <w:szCs w:val="18"/>
          <w:b w:val="1"/>
          <w:bCs w:val="1"/>
          <w:color w:val="009845"/>
        </w:rPr>
        <w:t xml:space="preserve"> </w:t>
      </w:r>
      <w:r>
        <w:rPr>
          <w:rFonts w:ascii="Arial" w:cs="Arial" w:eastAsia="Arial" w:hAnsi="Arial"/>
          <w:sz w:val="18"/>
          <w:szCs w:val="18"/>
          <w:color w:val="009845"/>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-453390</wp:posOffset>
            </wp:positionV>
            <wp:extent cx="2459990" cy="13970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59990" cy="1397000"/>
                    </a:xfrm>
                    <a:prstGeom prst="rect">
                      <a:avLst/>
                    </a:prstGeom>
                    <a:noFill/>
                  </pic:spPr>
                </pic:pic>
              </a:graphicData>
            </a:graphic>
          </wp:anchor>
        </w:drawing>
      </w:r>
    </w:p>
    <w:p>
      <w:pPr>
        <w:spacing w:after="0" w:line="2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009845"/>
        </w:rPr>
        <w:t xml:space="preserve">We generally </w:t>
      </w:r>
      <w:r>
        <w:rPr>
          <w:rFonts w:ascii="Arial" w:cs="Arial" w:eastAsia="Arial" w:hAnsi="Arial"/>
          <w:sz w:val="18"/>
          <w:szCs w:val="18"/>
          <w:b w:val="1"/>
          <w:bCs w:val="1"/>
          <w:color w:val="009845"/>
        </w:rPr>
        <w:t>position each element of</w:t>
      </w:r>
      <w:r>
        <w:rPr>
          <w:rFonts w:ascii="Arial" w:cs="Arial" w:eastAsia="Arial" w:hAnsi="Arial"/>
          <w:sz w:val="18"/>
          <w:szCs w:val="18"/>
          <w:color w:val="009845"/>
        </w:rPr>
        <w:t xml:space="preserve"> </w:t>
      </w:r>
      <w:r>
        <w:rPr>
          <w:rFonts w:ascii="Arial" w:cs="Arial" w:eastAsia="Arial" w:hAnsi="Arial"/>
          <w:sz w:val="18"/>
          <w:szCs w:val="18"/>
          <w:b w:val="1"/>
          <w:bCs w:val="1"/>
          <w:color w:val="009845"/>
        </w:rPr>
        <w:t xml:space="preserve">compensation and the total compensation packages </w:t>
      </w:r>
      <w:r>
        <w:rPr>
          <w:rFonts w:ascii="Arial" w:cs="Arial" w:eastAsia="Arial" w:hAnsi="Arial"/>
          <w:sz w:val="18"/>
          <w:szCs w:val="18"/>
          <w:color w:val="009845"/>
        </w:rPr>
        <w:t>for executive</w:t>
      </w:r>
      <w:r>
        <w:rPr>
          <w:rFonts w:ascii="Arial" w:cs="Arial" w:eastAsia="Arial" w:hAnsi="Arial"/>
          <w:sz w:val="18"/>
          <w:szCs w:val="18"/>
          <w:b w:val="1"/>
          <w:bCs w:val="1"/>
          <w:color w:val="009845"/>
        </w:rPr>
        <w:t xml:space="preserve"> </w:t>
      </w:r>
      <w:r>
        <w:rPr>
          <w:rFonts w:ascii="Arial" w:cs="Arial" w:eastAsia="Arial" w:hAnsi="Arial"/>
          <w:sz w:val="18"/>
          <w:szCs w:val="18"/>
          <w:color w:val="009845"/>
        </w:rPr>
        <w:t xml:space="preserve">officers </w:t>
      </w:r>
      <w:r>
        <w:rPr>
          <w:rFonts w:ascii="Arial" w:cs="Arial" w:eastAsia="Arial" w:hAnsi="Arial"/>
          <w:sz w:val="18"/>
          <w:szCs w:val="18"/>
          <w:b w:val="1"/>
          <w:bCs w:val="1"/>
          <w:color w:val="009845"/>
        </w:rPr>
        <w:t>to align with the 50th percentile</w:t>
      </w:r>
      <w:r>
        <w:rPr>
          <w:rFonts w:ascii="Arial" w:cs="Arial" w:eastAsia="Arial" w:hAnsi="Arial"/>
          <w:sz w:val="18"/>
          <w:szCs w:val="18"/>
          <w:color w:val="009845"/>
        </w:rPr>
        <w:t xml:space="preserve">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40005</wp:posOffset>
            </wp:positionV>
            <wp:extent cx="24599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22" w:right="339" w:bottom="1440" w:gutter="0" w:footer="0" w:header="0"/>
          <w:type w:val="continuous"/>
        </w:sectPr>
      </w:pPr>
    </w:p>
    <w:p>
      <w:pPr>
        <w:spacing w:after="0" w:line="132"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58595B"/>
        </w:rPr>
        <w:t>Our peer group is regularly reviewed by the Compensation Committee with consideration given to our strategy and the advice of our independent compensation consultant. The 2022 peer group approved by the Compensation Committee and used in setting 2023 compensation is shown below. Varian Medical Systems, Inc. and Hill-Rom Holdings, Inc. were removed due to acquisitions. QuidelOrtho Corporation, which is aligned with our revenue and business model, was added.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009845"/>
          </w:tcPr>
          <w:p>
            <w:pPr>
              <w:spacing w:after="0"/>
              <w:rPr>
                <w:sz w:val="18"/>
                <w:szCs w:val="18"/>
                <w:color w:val="auto"/>
              </w:rPr>
            </w:pPr>
          </w:p>
        </w:tc>
        <w:tc>
          <w:tcPr>
            <w:tcW w:w="4260" w:type="dxa"/>
            <w:vAlign w:val="bottom"/>
            <w:shd w:val="clear" w:color="auto" w:fill="009845"/>
          </w:tcPr>
          <w:p>
            <w:pPr>
              <w:ind w:left="1160"/>
              <w:spacing w:after="0"/>
              <w:rPr>
                <w:sz w:val="20"/>
                <w:szCs w:val="20"/>
                <w:color w:val="auto"/>
              </w:rPr>
            </w:pPr>
            <w:r>
              <w:rPr>
                <w:rFonts w:ascii="Arial" w:cs="Arial" w:eastAsia="Arial" w:hAnsi="Arial"/>
                <w:sz w:val="14"/>
                <w:szCs w:val="14"/>
                <w:b w:val="1"/>
                <w:bCs w:val="1"/>
                <w:color w:val="FFFFFF"/>
              </w:rPr>
              <w:t>2022 Executive Compensation Peer Group</w:t>
            </w:r>
          </w:p>
        </w:tc>
        <w:tc>
          <w:tcPr>
            <w:tcW w:w="3960" w:type="dxa"/>
            <w:vAlign w:val="bottom"/>
            <w:shd w:val="clear" w:color="auto" w:fill="009845"/>
          </w:tcPr>
          <w:p>
            <w:pPr>
              <w:spacing w:after="0"/>
              <w:rPr>
                <w:sz w:val="18"/>
                <w:szCs w:val="18"/>
                <w:color w:val="auto"/>
              </w:rPr>
            </w:pPr>
          </w:p>
        </w:tc>
      </w:tr>
      <w:tr>
        <w:trPr>
          <w:trHeight w:val="67"/>
        </w:trPr>
        <w:tc>
          <w:tcPr>
            <w:tcW w:w="3020" w:type="dxa"/>
            <w:vAlign w:val="bottom"/>
            <w:shd w:val="clear" w:color="auto" w:fill="009845"/>
          </w:tcPr>
          <w:p>
            <w:pPr>
              <w:spacing w:after="0"/>
              <w:rPr>
                <w:sz w:val="5"/>
                <w:szCs w:val="5"/>
                <w:color w:val="auto"/>
              </w:rPr>
            </w:pPr>
          </w:p>
        </w:tc>
        <w:tc>
          <w:tcPr>
            <w:tcW w:w="4260" w:type="dxa"/>
            <w:vAlign w:val="bottom"/>
            <w:shd w:val="clear" w:color="auto" w:fill="009845"/>
          </w:tcPr>
          <w:p>
            <w:pPr>
              <w:spacing w:after="0"/>
              <w:rPr>
                <w:sz w:val="5"/>
                <w:szCs w:val="5"/>
                <w:color w:val="auto"/>
              </w:rPr>
            </w:pPr>
          </w:p>
        </w:tc>
        <w:tc>
          <w:tcPr>
            <w:tcW w:w="3960" w:type="dxa"/>
            <w:vAlign w:val="bottom"/>
            <w:shd w:val="clear" w:color="auto" w:fill="009845"/>
          </w:tcPr>
          <w:p>
            <w:pPr>
              <w:spacing w:after="0"/>
              <w:rPr>
                <w:sz w:val="5"/>
                <w:szCs w:val="5"/>
                <w:color w:val="auto"/>
              </w:rPr>
            </w:pP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ABIOMED, Inc.</w:t>
            </w:r>
          </w:p>
        </w:tc>
        <w:tc>
          <w:tcPr>
            <w:tcW w:w="4260" w:type="dxa"/>
            <w:vAlign w:val="bottom"/>
          </w:tcPr>
          <w:p>
            <w:pPr>
              <w:ind w:left="740"/>
              <w:spacing w:after="0"/>
              <w:rPr>
                <w:sz w:val="20"/>
                <w:szCs w:val="20"/>
                <w:color w:val="auto"/>
              </w:rPr>
            </w:pPr>
            <w:r>
              <w:rPr>
                <w:rFonts w:ascii="Arial" w:cs="Arial" w:eastAsia="Arial" w:hAnsi="Arial"/>
                <w:sz w:val="14"/>
                <w:szCs w:val="14"/>
                <w:color w:val="58595B"/>
              </w:rPr>
              <w:t>Integer Holdings Corporation</w:t>
            </w:r>
          </w:p>
        </w:tc>
        <w:tc>
          <w:tcPr>
            <w:tcW w:w="3960" w:type="dxa"/>
            <w:vAlign w:val="bottom"/>
          </w:tcPr>
          <w:p>
            <w:pPr>
              <w:ind w:left="220"/>
              <w:spacing w:after="0"/>
              <w:rPr>
                <w:sz w:val="20"/>
                <w:szCs w:val="20"/>
                <w:color w:val="auto"/>
              </w:rPr>
            </w:pPr>
            <w:r>
              <w:rPr>
                <w:rFonts w:ascii="Arial" w:cs="Arial" w:eastAsia="Arial" w:hAnsi="Arial"/>
                <w:sz w:val="14"/>
                <w:szCs w:val="14"/>
                <w:color w:val="58595B"/>
              </w:rPr>
              <w:t>ResMed, Inc.</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Align Technology, Inc.</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Intuitive Surgical, Inc.</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Steris Plc</w:t>
            </w: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CONMED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Invacare Corporation</w:t>
            </w:r>
          </w:p>
        </w:tc>
        <w:tc>
          <w:tcPr>
            <w:tcW w:w="3960" w:type="dxa"/>
            <w:vAlign w:val="bottom"/>
          </w:tcPr>
          <w:p>
            <w:pPr>
              <w:ind w:left="220"/>
              <w:spacing w:after="0"/>
              <w:rPr>
                <w:sz w:val="20"/>
                <w:szCs w:val="20"/>
                <w:color w:val="auto"/>
              </w:rPr>
            </w:pPr>
            <w:r>
              <w:rPr>
                <w:rFonts w:ascii="Arial" w:cs="Arial" w:eastAsia="Arial" w:hAnsi="Arial"/>
                <w:sz w:val="14"/>
                <w:szCs w:val="14"/>
                <w:color w:val="58595B"/>
              </w:rPr>
              <w:t>Teleflex Incorporated</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Edwards Lifesciences Corporation</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Masimo Corporation</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The Cooper Companies, Inc.</w:t>
            </w: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Haemonetics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Nuvasive, Inc.</w:t>
            </w:r>
          </w:p>
        </w:tc>
        <w:tc>
          <w:tcPr>
            <w:tcW w:w="3960" w:type="dxa"/>
            <w:vAlign w:val="bottom"/>
          </w:tcPr>
          <w:p>
            <w:pPr>
              <w:ind w:left="220"/>
              <w:spacing w:after="0"/>
              <w:rPr>
                <w:sz w:val="20"/>
                <w:szCs w:val="20"/>
                <w:color w:val="auto"/>
              </w:rPr>
            </w:pPr>
            <w:r>
              <w:rPr>
                <w:rFonts w:ascii="Arial" w:cs="Arial" w:eastAsia="Arial" w:hAnsi="Arial"/>
                <w:sz w:val="14"/>
                <w:szCs w:val="14"/>
                <w:color w:val="58595B"/>
              </w:rPr>
              <w:t>West Pharmaceutical Services, Inc.</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Hologic, Inc.</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QuidelOrtho Corporation</w:t>
            </w:r>
          </w:p>
        </w:tc>
        <w:tc>
          <w:tcPr>
            <w:tcW w:w="3960" w:type="dxa"/>
            <w:vAlign w:val="bottom"/>
            <w:tcBorders>
              <w:bottom w:val="single" w:sz="8" w:color="EFEDED"/>
            </w:tcBorders>
            <w:shd w:val="clear" w:color="auto" w:fill="EFEDED"/>
          </w:tcPr>
          <w:p>
            <w:pPr>
              <w:spacing w:after="0"/>
              <w:rPr>
                <w:sz w:val="18"/>
                <w:szCs w:val="18"/>
                <w:color w:val="auto"/>
              </w:rPr>
            </w:pPr>
          </w:p>
        </w:tc>
      </w:tr>
      <w:tr>
        <w:trPr>
          <w:trHeight w:val="20"/>
        </w:trPr>
        <w:tc>
          <w:tcPr>
            <w:tcW w:w="3020" w:type="dxa"/>
            <w:vAlign w:val="bottom"/>
            <w:shd w:val="clear" w:color="auto" w:fill="58595B"/>
          </w:tcPr>
          <w:p>
            <w:pPr>
              <w:spacing w:after="0" w:line="20" w:lineRule="exact"/>
              <w:rPr>
                <w:sz w:val="1"/>
                <w:szCs w:val="1"/>
                <w:color w:val="auto"/>
              </w:rPr>
            </w:pPr>
          </w:p>
        </w:tc>
        <w:tc>
          <w:tcPr>
            <w:tcW w:w="4260" w:type="dxa"/>
            <w:vAlign w:val="bottom"/>
            <w:shd w:val="clear" w:color="auto" w:fill="58595B"/>
          </w:tcPr>
          <w:p>
            <w:pPr>
              <w:spacing w:after="0" w:line="20" w:lineRule="exact"/>
              <w:rPr>
                <w:sz w:val="1"/>
                <w:szCs w:val="1"/>
                <w:color w:val="auto"/>
              </w:rPr>
            </w:pPr>
          </w:p>
        </w:tc>
        <w:tc>
          <w:tcPr>
            <w:tcW w:w="3960" w:type="dxa"/>
            <w:vAlign w:val="bottom"/>
            <w:shd w:val="clear" w:color="auto" w:fill="58595B"/>
          </w:tcPr>
          <w:p>
            <w:pPr>
              <w:spacing w:after="0" w:line="20" w:lineRule="exact"/>
              <w:rPr>
                <w:sz w:val="1"/>
                <w:szCs w:val="1"/>
                <w:color w:val="auto"/>
              </w:rPr>
            </w:pPr>
          </w:p>
        </w:tc>
      </w:tr>
    </w:tbl>
    <w:p>
      <w:pPr>
        <w:spacing w:after="0" w:line="364" w:lineRule="exact"/>
        <w:rPr>
          <w:sz w:val="20"/>
          <w:szCs w:val="20"/>
          <w:color w:val="auto"/>
        </w:rPr>
      </w:pPr>
    </w:p>
    <w:p>
      <w:pPr>
        <w:ind w:right="460"/>
        <w:spacing w:after="0" w:line="328" w:lineRule="auto"/>
        <w:rPr>
          <w:sz w:val="20"/>
          <w:szCs w:val="20"/>
          <w:color w:val="auto"/>
        </w:rPr>
      </w:pPr>
      <w:r>
        <w:rPr>
          <w:rFonts w:ascii="Arial" w:cs="Arial" w:eastAsia="Arial" w:hAnsi="Arial"/>
          <w:sz w:val="16"/>
          <w:szCs w:val="16"/>
          <w:color w:val="58595B"/>
        </w:rPr>
        <w:t>The 2023 peer group approved by the Compensation Committee in setting 2024 compensation is shown below. Abiomed, Inc. and Invacare Corp were removed due to an acquisition and bankruptcy filing, respectively. Enovis Corporation, Merit Medical Systems, Inc., LivaNova PLC and Organogensis Holdings Inc., which are aligned with our revenue and business model, were added.</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009845"/>
          </w:tcPr>
          <w:p>
            <w:pPr>
              <w:spacing w:after="0"/>
              <w:rPr>
                <w:sz w:val="18"/>
                <w:szCs w:val="18"/>
                <w:color w:val="auto"/>
              </w:rPr>
            </w:pPr>
          </w:p>
        </w:tc>
        <w:tc>
          <w:tcPr>
            <w:tcW w:w="4260" w:type="dxa"/>
            <w:vAlign w:val="bottom"/>
            <w:shd w:val="clear" w:color="auto" w:fill="009845"/>
          </w:tcPr>
          <w:p>
            <w:pPr>
              <w:ind w:left="1160"/>
              <w:spacing w:after="0"/>
              <w:rPr>
                <w:sz w:val="20"/>
                <w:szCs w:val="20"/>
                <w:color w:val="auto"/>
              </w:rPr>
            </w:pPr>
            <w:r>
              <w:rPr>
                <w:rFonts w:ascii="Arial" w:cs="Arial" w:eastAsia="Arial" w:hAnsi="Arial"/>
                <w:sz w:val="14"/>
                <w:szCs w:val="14"/>
                <w:b w:val="1"/>
                <w:bCs w:val="1"/>
                <w:color w:val="FFFFFF"/>
              </w:rPr>
              <w:t>2023 Executive Compensation Peer Group</w:t>
            </w:r>
          </w:p>
        </w:tc>
        <w:tc>
          <w:tcPr>
            <w:tcW w:w="3960" w:type="dxa"/>
            <w:vAlign w:val="bottom"/>
            <w:shd w:val="clear" w:color="auto" w:fill="009845"/>
          </w:tcPr>
          <w:p>
            <w:pPr>
              <w:spacing w:after="0"/>
              <w:rPr>
                <w:sz w:val="18"/>
                <w:szCs w:val="18"/>
                <w:color w:val="auto"/>
              </w:rPr>
            </w:pPr>
          </w:p>
        </w:tc>
      </w:tr>
      <w:tr>
        <w:trPr>
          <w:trHeight w:val="67"/>
        </w:trPr>
        <w:tc>
          <w:tcPr>
            <w:tcW w:w="3020" w:type="dxa"/>
            <w:vAlign w:val="bottom"/>
            <w:shd w:val="clear" w:color="auto" w:fill="009845"/>
          </w:tcPr>
          <w:p>
            <w:pPr>
              <w:spacing w:after="0"/>
              <w:rPr>
                <w:sz w:val="5"/>
                <w:szCs w:val="5"/>
                <w:color w:val="auto"/>
              </w:rPr>
            </w:pPr>
          </w:p>
        </w:tc>
        <w:tc>
          <w:tcPr>
            <w:tcW w:w="4260" w:type="dxa"/>
            <w:vAlign w:val="bottom"/>
            <w:shd w:val="clear" w:color="auto" w:fill="009845"/>
          </w:tcPr>
          <w:p>
            <w:pPr>
              <w:spacing w:after="0"/>
              <w:rPr>
                <w:sz w:val="5"/>
                <w:szCs w:val="5"/>
                <w:color w:val="auto"/>
              </w:rPr>
            </w:pPr>
          </w:p>
        </w:tc>
        <w:tc>
          <w:tcPr>
            <w:tcW w:w="3960" w:type="dxa"/>
            <w:vAlign w:val="bottom"/>
            <w:shd w:val="clear" w:color="auto" w:fill="009845"/>
          </w:tcPr>
          <w:p>
            <w:pPr>
              <w:spacing w:after="0"/>
              <w:rPr>
                <w:sz w:val="5"/>
                <w:szCs w:val="5"/>
                <w:color w:val="auto"/>
              </w:rPr>
            </w:pP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Align Technology, Inc.</w:t>
            </w:r>
          </w:p>
        </w:tc>
        <w:tc>
          <w:tcPr>
            <w:tcW w:w="4260" w:type="dxa"/>
            <w:vAlign w:val="bottom"/>
          </w:tcPr>
          <w:p>
            <w:pPr>
              <w:ind w:left="740"/>
              <w:spacing w:after="0"/>
              <w:rPr>
                <w:sz w:val="20"/>
                <w:szCs w:val="20"/>
                <w:color w:val="auto"/>
              </w:rPr>
            </w:pPr>
            <w:r>
              <w:rPr>
                <w:rFonts w:ascii="Arial" w:cs="Arial" w:eastAsia="Arial" w:hAnsi="Arial"/>
                <w:sz w:val="14"/>
                <w:szCs w:val="14"/>
                <w:color w:val="58595B"/>
              </w:rPr>
              <w:t>Intuitive Surgical, Inc.</w:t>
            </w:r>
          </w:p>
        </w:tc>
        <w:tc>
          <w:tcPr>
            <w:tcW w:w="3960" w:type="dxa"/>
            <w:vAlign w:val="bottom"/>
          </w:tcPr>
          <w:p>
            <w:pPr>
              <w:ind w:left="220"/>
              <w:spacing w:after="0"/>
              <w:rPr>
                <w:sz w:val="20"/>
                <w:szCs w:val="20"/>
                <w:color w:val="auto"/>
              </w:rPr>
            </w:pPr>
            <w:r>
              <w:rPr>
                <w:rFonts w:ascii="Arial" w:cs="Arial" w:eastAsia="Arial" w:hAnsi="Arial"/>
                <w:sz w:val="14"/>
                <w:szCs w:val="14"/>
                <w:color w:val="58595B"/>
              </w:rPr>
              <w:t>ResMed, Inc.</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10"/>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CONMED Corporation</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LivaNova PLC</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Steris Plc</w:t>
            </w: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Edwards Lifesciences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Masimo Corporation</w:t>
            </w:r>
          </w:p>
        </w:tc>
        <w:tc>
          <w:tcPr>
            <w:tcW w:w="3960" w:type="dxa"/>
            <w:vAlign w:val="bottom"/>
          </w:tcPr>
          <w:p>
            <w:pPr>
              <w:ind w:left="220"/>
              <w:spacing w:after="0"/>
              <w:rPr>
                <w:sz w:val="20"/>
                <w:szCs w:val="20"/>
                <w:color w:val="auto"/>
              </w:rPr>
            </w:pPr>
            <w:r>
              <w:rPr>
                <w:rFonts w:ascii="Arial" w:cs="Arial" w:eastAsia="Arial" w:hAnsi="Arial"/>
                <w:sz w:val="14"/>
                <w:szCs w:val="14"/>
                <w:color w:val="58595B"/>
              </w:rPr>
              <w:t>Teleflex Incorporated</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09"/>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Enovis Corporation</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Merit Medical Systems</w:t>
            </w:r>
          </w:p>
        </w:tc>
        <w:tc>
          <w:tcPr>
            <w:tcW w:w="3960" w:type="dxa"/>
            <w:vAlign w:val="bottom"/>
            <w:tcBorders>
              <w:bottom w:val="single" w:sz="8" w:color="EFEDED"/>
            </w:tcBorders>
            <w:shd w:val="clear" w:color="auto" w:fill="EFEDED"/>
          </w:tcPr>
          <w:p>
            <w:pPr>
              <w:ind w:left="220"/>
              <w:spacing w:after="0"/>
              <w:rPr>
                <w:sz w:val="20"/>
                <w:szCs w:val="20"/>
                <w:color w:val="auto"/>
              </w:rPr>
            </w:pPr>
            <w:r>
              <w:rPr>
                <w:rFonts w:ascii="Arial" w:cs="Arial" w:eastAsia="Arial" w:hAnsi="Arial"/>
                <w:sz w:val="14"/>
                <w:szCs w:val="14"/>
                <w:color w:val="58595B"/>
              </w:rPr>
              <w:t>The Cooper Companies, Inc.</w:t>
            </w: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Haemonetics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Nuvasive, Inc.</w:t>
            </w:r>
          </w:p>
        </w:tc>
        <w:tc>
          <w:tcPr>
            <w:tcW w:w="3960" w:type="dxa"/>
            <w:vAlign w:val="bottom"/>
          </w:tcPr>
          <w:p>
            <w:pPr>
              <w:ind w:left="220"/>
              <w:spacing w:after="0"/>
              <w:rPr>
                <w:sz w:val="20"/>
                <w:szCs w:val="20"/>
                <w:color w:val="auto"/>
              </w:rPr>
            </w:pPr>
            <w:r>
              <w:rPr>
                <w:rFonts w:ascii="Arial" w:cs="Arial" w:eastAsia="Arial" w:hAnsi="Arial"/>
                <w:sz w:val="14"/>
                <w:szCs w:val="14"/>
                <w:color w:val="58595B"/>
              </w:rPr>
              <w:t>West Pharmaceutical Services, Inc.</w:t>
            </w:r>
          </w:p>
        </w:tc>
      </w:tr>
      <w:tr>
        <w:trPr>
          <w:trHeight w:val="22"/>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09"/>
        </w:trPr>
        <w:tc>
          <w:tcPr>
            <w:tcW w:w="30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Hologic, Inc.</w:t>
            </w:r>
          </w:p>
        </w:tc>
        <w:tc>
          <w:tcPr>
            <w:tcW w:w="4260" w:type="dxa"/>
            <w:vAlign w:val="bottom"/>
            <w:tcBorders>
              <w:bottom w:val="single" w:sz="8" w:color="EFEDED"/>
            </w:tcBorders>
            <w:shd w:val="clear" w:color="auto" w:fill="EFEDED"/>
          </w:tcPr>
          <w:p>
            <w:pPr>
              <w:ind w:left="740"/>
              <w:spacing w:after="0"/>
              <w:rPr>
                <w:sz w:val="20"/>
                <w:szCs w:val="20"/>
                <w:color w:val="auto"/>
              </w:rPr>
            </w:pPr>
            <w:r>
              <w:rPr>
                <w:rFonts w:ascii="Arial" w:cs="Arial" w:eastAsia="Arial" w:hAnsi="Arial"/>
                <w:sz w:val="14"/>
                <w:szCs w:val="14"/>
                <w:color w:val="58595B"/>
              </w:rPr>
              <w:t>Organogenesis Holdings, Inc.</w:t>
            </w:r>
          </w:p>
        </w:tc>
        <w:tc>
          <w:tcPr>
            <w:tcW w:w="3960" w:type="dxa"/>
            <w:vAlign w:val="bottom"/>
            <w:tcBorders>
              <w:bottom w:val="single" w:sz="8" w:color="EFEDED"/>
            </w:tcBorders>
            <w:shd w:val="clear" w:color="auto" w:fill="EFEDED"/>
          </w:tcPr>
          <w:p>
            <w:pPr>
              <w:spacing w:after="0"/>
              <w:rPr>
                <w:sz w:val="18"/>
                <w:szCs w:val="18"/>
                <w:color w:val="auto"/>
              </w:rPr>
            </w:pP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58595B"/>
              </w:rPr>
              <w:t>Integer Holdings Corporation</w:t>
            </w:r>
          </w:p>
        </w:tc>
        <w:tc>
          <w:tcPr>
            <w:tcW w:w="4260" w:type="dxa"/>
            <w:vAlign w:val="bottom"/>
          </w:tcPr>
          <w:p>
            <w:pPr>
              <w:ind w:left="740"/>
              <w:spacing w:after="0"/>
              <w:rPr>
                <w:sz w:val="20"/>
                <w:szCs w:val="20"/>
                <w:color w:val="auto"/>
              </w:rPr>
            </w:pPr>
            <w:r>
              <w:rPr>
                <w:rFonts w:ascii="Arial" w:cs="Arial" w:eastAsia="Arial" w:hAnsi="Arial"/>
                <w:sz w:val="14"/>
                <w:szCs w:val="14"/>
                <w:color w:val="58595B"/>
              </w:rPr>
              <w:t>QuidelOrtho Corporation</w:t>
            </w:r>
          </w:p>
        </w:tc>
        <w:tc>
          <w:tcPr>
            <w:tcW w:w="3960" w:type="dxa"/>
            <w:vAlign w:val="bottom"/>
          </w:tcPr>
          <w:p>
            <w:pPr>
              <w:spacing w:after="0"/>
              <w:rPr>
                <w:sz w:val="18"/>
                <w:szCs w:val="18"/>
                <w:color w:val="auto"/>
              </w:rPr>
            </w:pPr>
          </w:p>
        </w:tc>
      </w:tr>
      <w:tr>
        <w:trPr>
          <w:trHeight w:val="22"/>
        </w:trPr>
        <w:tc>
          <w:tcPr>
            <w:tcW w:w="3020" w:type="dxa"/>
            <w:vAlign w:val="bottom"/>
            <w:tcBorders>
              <w:bottom w:val="single" w:sz="8" w:color="58595B"/>
            </w:tcBorders>
          </w:tcPr>
          <w:p>
            <w:pPr>
              <w:spacing w:after="0" w:line="20" w:lineRule="exact"/>
              <w:rPr>
                <w:sz w:val="1"/>
                <w:szCs w:val="1"/>
                <w:color w:val="auto"/>
              </w:rPr>
            </w:pPr>
          </w:p>
        </w:tc>
        <w:tc>
          <w:tcPr>
            <w:tcW w:w="4260" w:type="dxa"/>
            <w:vAlign w:val="bottom"/>
            <w:tcBorders>
              <w:bottom w:val="single" w:sz="8" w:color="58595B"/>
            </w:tcBorders>
          </w:tcPr>
          <w:p>
            <w:pPr>
              <w:spacing w:after="0" w:line="20" w:lineRule="exact"/>
              <w:rPr>
                <w:sz w:val="1"/>
                <w:szCs w:val="1"/>
                <w:color w:val="auto"/>
              </w:rPr>
            </w:pPr>
          </w:p>
        </w:tc>
        <w:tc>
          <w:tcPr>
            <w:tcW w:w="3960" w:type="dxa"/>
            <w:vAlign w:val="bottom"/>
            <w:tcBorders>
              <w:bottom w:val="single" w:sz="8" w:color="58595B"/>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009845"/>
        </w:rPr>
        <w:t>Elements of the Executive Compensation Program</w:t>
      </w:r>
    </w:p>
    <w:p>
      <w:pPr>
        <w:spacing w:after="0" w:line="178"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58595B"/>
        </w:rPr>
        <w:t>Integra’s executive compensation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92710</wp:posOffset>
            </wp:positionV>
            <wp:extent cx="5751830" cy="2571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51830" cy="257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1379855" cy="2339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985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right="60"/>
        <w:spacing w:after="0" w:line="314" w:lineRule="auto"/>
        <w:rPr>
          <w:sz w:val="20"/>
          <w:szCs w:val="20"/>
          <w:color w:val="auto"/>
        </w:rPr>
      </w:pPr>
      <w:r>
        <w:rPr>
          <w:rFonts w:ascii="Arial" w:cs="Arial" w:eastAsia="Arial" w:hAnsi="Arial"/>
          <w:sz w:val="14"/>
          <w:szCs w:val="14"/>
          <w:b w:val="1"/>
          <w:bCs w:val="1"/>
          <w:color w:val="FFFFFF"/>
        </w:rPr>
        <w:t>Short-Term Incentive —Annual Bonus</w:t>
      </w: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Long-Term Incentive</w:t>
      </w:r>
    </w:p>
    <w:p>
      <w:pPr>
        <w:spacing w:after="0" w:line="29" w:lineRule="exact"/>
        <w:rPr>
          <w:sz w:val="20"/>
          <w:szCs w:val="20"/>
          <w:color w:val="auto"/>
        </w:rPr>
      </w:pPr>
    </w:p>
    <w:p>
      <w:pPr>
        <w:ind w:left="100" w:right="200"/>
        <w:spacing w:after="0" w:line="293" w:lineRule="auto"/>
        <w:rPr>
          <w:sz w:val="20"/>
          <w:szCs w:val="20"/>
          <w:color w:val="auto"/>
        </w:rPr>
      </w:pPr>
      <w:r>
        <w:rPr>
          <w:rFonts w:ascii="Arial" w:cs="Arial" w:eastAsia="Arial" w:hAnsi="Arial"/>
          <w:sz w:val="14"/>
          <w:szCs w:val="14"/>
          <w:b w:val="1"/>
          <w:bCs w:val="1"/>
          <w:color w:val="FFFFFF"/>
        </w:rPr>
        <w:t>— Performance Stock Units (PSUs)</w:t>
      </w:r>
    </w:p>
    <w:p>
      <w:pPr>
        <w:spacing w:after="0" w:line="173" w:lineRule="exact"/>
        <w:rPr>
          <w:sz w:val="20"/>
          <w:szCs w:val="20"/>
          <w:color w:val="auto"/>
        </w:rPr>
      </w:pPr>
    </w:p>
    <w:p>
      <w:pPr>
        <w:ind w:left="100"/>
        <w:spacing w:after="0" w:line="287" w:lineRule="auto"/>
        <w:rPr>
          <w:sz w:val="20"/>
          <w:szCs w:val="20"/>
          <w:color w:val="auto"/>
        </w:rPr>
      </w:pPr>
      <w:r>
        <w:rPr>
          <w:rFonts w:ascii="Arial" w:cs="Arial" w:eastAsia="Arial" w:hAnsi="Arial"/>
          <w:sz w:val="14"/>
          <w:szCs w:val="14"/>
          <w:b w:val="1"/>
          <w:bCs w:val="1"/>
          <w:color w:val="FFFFFF"/>
        </w:rPr>
        <w:t>Long-Term Incentive —Non-qualified Stock Options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FFFFFF"/>
        </w:rPr>
        <w:t>Objective</w:t>
      </w:r>
    </w:p>
    <w:p>
      <w:pPr>
        <w:spacing w:after="0" w:line="163"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58595B"/>
        </w:rPr>
        <w:t>Provide competitive fixed pay that is tied to the market and allows us to attract, retain and motivate executives within the medical technology industry and broader market</w:t>
      </w:r>
    </w:p>
    <w:p>
      <w:pPr>
        <w:spacing w:after="0" w:line="200" w:lineRule="exact"/>
        <w:rPr>
          <w:sz w:val="20"/>
          <w:szCs w:val="20"/>
          <w:color w:val="auto"/>
        </w:rPr>
      </w:pPr>
    </w:p>
    <w:p>
      <w:pPr>
        <w:spacing w:after="0" w:line="238" w:lineRule="exact"/>
        <w:rPr>
          <w:sz w:val="20"/>
          <w:szCs w:val="20"/>
          <w:color w:val="auto"/>
        </w:rPr>
      </w:pPr>
    </w:p>
    <w:p>
      <w:pPr>
        <w:spacing w:after="0" w:line="305" w:lineRule="auto"/>
        <w:rPr>
          <w:sz w:val="20"/>
          <w:szCs w:val="20"/>
          <w:color w:val="auto"/>
        </w:rPr>
      </w:pPr>
      <w:r>
        <w:rPr>
          <w:rFonts w:ascii="Arial" w:cs="Arial" w:eastAsia="Arial" w:hAnsi="Arial"/>
          <w:sz w:val="14"/>
          <w:szCs w:val="14"/>
          <w:color w:val="58595B"/>
        </w:rPr>
        <w:t>Encourage focus on short-term business performance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color w:val="58595B"/>
        </w:rPr>
        <w:t>Increase multi-year organic revenue growth</w:t>
      </w:r>
    </w:p>
    <w:p>
      <w:pPr>
        <w:spacing w:after="0" w:line="333"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58595B"/>
        </w:rPr>
        <w:t>Closely align executive and stockholder interests and aid in retention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Type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Compensation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1642"/>
        <w:spacing w:after="0"/>
        <w:rPr>
          <w:sz w:val="20"/>
          <w:szCs w:val="20"/>
          <w:color w:val="auto"/>
        </w:rPr>
      </w:pPr>
      <w:r>
        <w:rPr>
          <w:rFonts w:ascii="Arial" w:cs="Arial" w:eastAsia="Arial" w:hAnsi="Arial"/>
          <w:sz w:val="14"/>
          <w:szCs w:val="14"/>
          <w:b w:val="1"/>
          <w:bCs w:val="1"/>
          <w:color w:val="FFFFFF"/>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92075</wp:posOffset>
            </wp:positionV>
            <wp:extent cx="5751830" cy="2339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51830" cy="2339975"/>
                    </a:xfrm>
                    <a:prstGeom prst="rect">
                      <a:avLst/>
                    </a:prstGeom>
                    <a:noFill/>
                  </pic:spPr>
                </pic:pic>
              </a:graphicData>
            </a:graphic>
          </wp:anchor>
        </w:drawing>
      </w:r>
    </w:p>
    <w:p>
      <w:pPr>
        <w:spacing w:after="0" w:line="224" w:lineRule="exact"/>
        <w:rPr>
          <w:sz w:val="20"/>
          <w:szCs w:val="20"/>
          <w:color w:val="auto"/>
        </w:rPr>
      </w:pPr>
    </w:p>
    <w:p>
      <w:pPr>
        <w:ind w:left="162" w:right="580" w:hanging="162"/>
        <w:spacing w:after="0" w:line="272" w:lineRule="auto"/>
        <w:tabs>
          <w:tab w:leader="none" w:pos="118"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Reflects individual skills, experience, responsibilities and performance over time</w:t>
      </w: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Influences annual bonus and long-term incentive opportunity</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Provides a stable and secure source of income</w:t>
      </w:r>
    </w:p>
    <w:p>
      <w:pPr>
        <w:spacing w:after="0" w:line="135" w:lineRule="exact"/>
        <w:rPr>
          <w:rFonts w:ascii="Arial" w:cs="Arial" w:eastAsia="Arial" w:hAnsi="Arial"/>
          <w:sz w:val="14"/>
          <w:szCs w:val="14"/>
          <w:color w:val="58595B"/>
        </w:rPr>
      </w:pPr>
    </w:p>
    <w:p>
      <w:pPr>
        <w:ind w:left="162" w:right="300" w:hanging="162"/>
        <w:spacing w:after="0" w:line="272" w:lineRule="auto"/>
        <w:tabs>
          <w:tab w:leader="none" w:pos="118"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Performance-based reward tied to achievement of short-term corporate performance goals</w:t>
      </w:r>
    </w:p>
    <w:p>
      <w:pPr>
        <w:ind w:left="162" w:right="20" w:hanging="162"/>
        <w:spacing w:after="0" w:line="256" w:lineRule="auto"/>
        <w:tabs>
          <w:tab w:leader="none" w:pos="118"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Payment reflects the attainment of corporate financial goals as well as individual accomplishments in strategy, financial, and cultural elements associated with their leadership responsibilities for their given area</w:t>
      </w:r>
    </w:p>
    <w:p>
      <w:pPr>
        <w:spacing w:after="0" w:line="1" w:lineRule="exact"/>
        <w:rPr>
          <w:rFonts w:ascii="Arial" w:cs="Arial" w:eastAsia="Arial" w:hAnsi="Arial"/>
          <w:sz w:val="14"/>
          <w:szCs w:val="14"/>
          <w:color w:val="58595B"/>
        </w:rPr>
      </w:pP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Paid only if threshold performance levels are met or exceeded</w:t>
      </w:r>
    </w:p>
    <w:p>
      <w:pPr>
        <w:spacing w:after="0" w:line="54" w:lineRule="exact"/>
        <w:rPr>
          <w:rFonts w:ascii="Arial" w:cs="Arial" w:eastAsia="Arial" w:hAnsi="Arial"/>
          <w:sz w:val="14"/>
          <w:szCs w:val="14"/>
          <w:color w:val="58595B"/>
        </w:rPr>
      </w:pPr>
    </w:p>
    <w:p>
      <w:pPr>
        <w:ind w:left="162" w:right="280" w:hanging="162"/>
        <w:spacing w:after="0" w:line="272" w:lineRule="auto"/>
        <w:tabs>
          <w:tab w:leader="none" w:pos="118"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Performance-based rewards tied to achievement of long-term corporate performance goals</w:t>
      </w: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Vests only if threshold performance levels are met or exceeded</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14" w:lineRule="exact"/>
        <w:rPr>
          <w:rFonts w:ascii="Arial" w:cs="Arial" w:eastAsia="Arial" w:hAnsi="Arial"/>
          <w:sz w:val="14"/>
          <w:szCs w:val="14"/>
          <w:color w:val="58595B"/>
        </w:rPr>
      </w:pP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Links value to stock price</w:t>
      </w:r>
    </w:p>
    <w:p>
      <w:pPr>
        <w:spacing w:after="0" w:line="122" w:lineRule="exact"/>
        <w:rPr>
          <w:rFonts w:ascii="Arial" w:cs="Arial" w:eastAsia="Arial" w:hAnsi="Arial"/>
          <w:sz w:val="14"/>
          <w:szCs w:val="14"/>
          <w:color w:val="58595B"/>
        </w:rPr>
      </w:pP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28" w:lineRule="exact"/>
        <w:rPr>
          <w:rFonts w:ascii="Arial" w:cs="Arial" w:eastAsia="Arial" w:hAnsi="Arial"/>
          <w:sz w:val="14"/>
          <w:szCs w:val="14"/>
          <w:color w:val="58595B"/>
        </w:rPr>
      </w:pPr>
    </w:p>
    <w:p>
      <w:pPr>
        <w:ind w:left="122" w:hanging="122"/>
        <w:spacing w:after="0"/>
        <w:tabs>
          <w:tab w:leader="none" w:pos="122" w:val="left"/>
        </w:tabs>
        <w:numPr>
          <w:ilvl w:val="0"/>
          <w:numId w:val="37"/>
        </w:numPr>
        <w:rPr>
          <w:rFonts w:ascii="Arial" w:cs="Arial" w:eastAsia="Arial" w:hAnsi="Arial"/>
          <w:sz w:val="14"/>
          <w:szCs w:val="14"/>
          <w:color w:val="58595B"/>
        </w:rPr>
      </w:pPr>
      <w:r>
        <w:rPr>
          <w:rFonts w:ascii="Arial" w:cs="Arial" w:eastAsia="Arial" w:hAnsi="Arial"/>
          <w:sz w:val="14"/>
          <w:szCs w:val="14"/>
          <w:color w:val="58595B"/>
        </w:rPr>
        <w:t>Links value to stock price appreciation</w:t>
      </w:r>
    </w:p>
    <w:p>
      <w:pPr>
        <w:spacing w:after="0" w:line="359" w:lineRule="exact"/>
        <w:rPr>
          <w:sz w:val="20"/>
          <w:szCs w:val="20"/>
          <w:color w:val="auto"/>
        </w:rPr>
      </w:pPr>
    </w:p>
    <w:p>
      <w:pPr>
        <w:sectPr>
          <w:pgSz w:w="11900" w:h="16838" w:orient="portrait"/>
          <w:cols w:equalWidth="0" w:num="4">
            <w:col w:w="1600" w:space="680"/>
            <w:col w:w="2580" w:space="500"/>
            <w:col w:w="1000" w:space="578"/>
            <w:col w:w="4302"/>
          </w:cols>
          <w:pgMar w:left="320" w:top="122" w:right="3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2"/>
          <w:szCs w:val="12"/>
          <w:b w:val="1"/>
          <w:bCs w:val="1"/>
          <w:color w:val="00984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729615</wp:posOffset>
            </wp:positionV>
            <wp:extent cx="5751830" cy="2571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51830" cy="257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2620" w:type="dxa"/>
            <w:vAlign w:val="bottom"/>
          </w:tcPr>
          <w:p>
            <w:pPr>
              <w:ind w:left="1020"/>
              <w:spacing w:after="0"/>
              <w:rPr>
                <w:sz w:val="20"/>
                <w:szCs w:val="20"/>
                <w:color w:val="auto"/>
              </w:rPr>
            </w:pPr>
            <w:r>
              <w:rPr>
                <w:rFonts w:ascii="Arial" w:cs="Arial" w:eastAsia="Arial" w:hAnsi="Arial"/>
                <w:sz w:val="14"/>
                <w:szCs w:val="14"/>
                <w:b w:val="1"/>
                <w:bCs w:val="1"/>
                <w:color w:val="FFFFFF"/>
              </w:rPr>
              <w:t>Objective</w:t>
            </w:r>
          </w:p>
        </w:tc>
      </w:tr>
      <w:tr>
        <w:trPr>
          <w:trHeight w:val="110"/>
        </w:trPr>
        <w:tc>
          <w:tcPr>
            <w:tcW w:w="2180" w:type="dxa"/>
            <w:vAlign w:val="bottom"/>
          </w:tcPr>
          <w:p>
            <w:pPr>
              <w:spacing w:after="0"/>
              <w:rPr>
                <w:sz w:val="9"/>
                <w:szCs w:val="9"/>
                <w:color w:val="auto"/>
              </w:rPr>
            </w:pPr>
          </w:p>
        </w:tc>
        <w:tc>
          <w:tcPr>
            <w:tcW w:w="2620" w:type="dxa"/>
            <w:vAlign w:val="bottom"/>
          </w:tcPr>
          <w:p>
            <w:pPr>
              <w:spacing w:after="0"/>
              <w:rPr>
                <w:sz w:val="9"/>
                <w:szCs w:val="9"/>
                <w:color w:val="auto"/>
              </w:rPr>
            </w:pPr>
          </w:p>
        </w:tc>
      </w:tr>
      <w:tr>
        <w:trPr>
          <w:trHeight w:val="193"/>
        </w:trPr>
        <w:tc>
          <w:tcPr>
            <w:tcW w:w="21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Long-Term Incentive —</w:t>
            </w:r>
          </w:p>
        </w:tc>
        <w:tc>
          <w:tcPr>
            <w:tcW w:w="2620" w:type="dxa"/>
            <w:vAlign w:val="bottom"/>
          </w:tcPr>
          <w:p>
            <w:pPr>
              <w:ind w:left="100"/>
              <w:spacing w:after="0"/>
              <w:rPr>
                <w:sz w:val="20"/>
                <w:szCs w:val="20"/>
                <w:color w:val="auto"/>
              </w:rPr>
            </w:pPr>
            <w:r>
              <w:rPr>
                <w:rFonts w:ascii="Arial" w:cs="Arial" w:eastAsia="Arial" w:hAnsi="Arial"/>
                <w:sz w:val="14"/>
                <w:szCs w:val="14"/>
                <w:color w:val="58595B"/>
              </w:rPr>
              <w:t>Closely align executive and stockholder</w:t>
            </w:r>
          </w:p>
        </w:tc>
      </w:tr>
      <w:tr>
        <w:trPr>
          <w:trHeight w:val="196"/>
        </w:trPr>
        <w:tc>
          <w:tcPr>
            <w:tcW w:w="21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Restricted Stock &amp; RSUs</w:t>
            </w:r>
          </w:p>
        </w:tc>
        <w:tc>
          <w:tcPr>
            <w:tcW w:w="2620" w:type="dxa"/>
            <w:vAlign w:val="bottom"/>
          </w:tcPr>
          <w:p>
            <w:pPr>
              <w:ind w:left="100"/>
              <w:spacing w:after="0"/>
              <w:rPr>
                <w:sz w:val="20"/>
                <w:szCs w:val="20"/>
                <w:color w:val="auto"/>
              </w:rPr>
            </w:pPr>
            <w:r>
              <w:rPr>
                <w:rFonts w:ascii="Arial" w:cs="Arial" w:eastAsia="Arial" w:hAnsi="Arial"/>
                <w:sz w:val="14"/>
                <w:szCs w:val="14"/>
                <w:color w:val="58595B"/>
              </w:rPr>
              <w:t>interests and aid in retention</w:t>
            </w:r>
          </w:p>
        </w:tc>
      </w:tr>
      <w:tr>
        <w:trPr>
          <w:trHeight w:val="486"/>
        </w:trPr>
        <w:tc>
          <w:tcPr>
            <w:tcW w:w="21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Other Benefits</w:t>
            </w:r>
          </w:p>
        </w:tc>
        <w:tc>
          <w:tcPr>
            <w:tcW w:w="2620" w:type="dxa"/>
            <w:vAlign w:val="bottom"/>
          </w:tcPr>
          <w:p>
            <w:pPr>
              <w:ind w:left="100"/>
              <w:spacing w:after="0"/>
              <w:rPr>
                <w:sz w:val="20"/>
                <w:szCs w:val="20"/>
                <w:color w:val="auto"/>
              </w:rPr>
            </w:pPr>
            <w:r>
              <w:rPr>
                <w:rFonts w:ascii="Arial" w:cs="Arial" w:eastAsia="Arial" w:hAnsi="Arial"/>
                <w:sz w:val="14"/>
                <w:szCs w:val="14"/>
                <w:color w:val="58595B"/>
              </w:rPr>
              <w:t>Aid in attracting and retaining talent</w:t>
            </w:r>
          </w:p>
        </w:tc>
      </w:tr>
      <w:tr>
        <w:trPr>
          <w:trHeight w:val="272"/>
        </w:trPr>
        <w:tc>
          <w:tcPr>
            <w:tcW w:w="2180" w:type="dxa"/>
            <w:vAlign w:val="bottom"/>
            <w:shd w:val="clear" w:color="auto" w:fill="009845"/>
          </w:tcPr>
          <w:p>
            <w:pPr>
              <w:spacing w:after="0"/>
              <w:rPr>
                <w:sz w:val="23"/>
                <w:szCs w:val="23"/>
                <w:color w:val="auto"/>
              </w:rPr>
            </w:pPr>
          </w:p>
        </w:tc>
        <w:tc>
          <w:tcPr>
            <w:tcW w:w="2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Type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23495</wp:posOffset>
            </wp:positionV>
            <wp:extent cx="7132320" cy="7372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Equity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58595B"/>
        </w:rPr>
        <w:t>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42"/>
        <w:spacing w:after="0"/>
        <w:rPr>
          <w:sz w:val="20"/>
          <w:szCs w:val="20"/>
          <w:color w:val="auto"/>
        </w:rPr>
      </w:pPr>
      <w:r>
        <w:rPr>
          <w:rFonts w:ascii="Arial" w:cs="Arial" w:eastAsia="Arial" w:hAnsi="Arial"/>
          <w:sz w:val="14"/>
          <w:szCs w:val="14"/>
          <w:b w:val="1"/>
          <w:bCs w:val="1"/>
          <w:color w:val="FFFFFF"/>
        </w:rPr>
        <w:t>Key Features</w:t>
      </w:r>
    </w:p>
    <w:p>
      <w:pPr>
        <w:spacing w:after="0" w:line="163" w:lineRule="exact"/>
        <w:rPr>
          <w:sz w:val="20"/>
          <w:szCs w:val="20"/>
          <w:color w:val="auto"/>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Promotes retention and enhances executive stock ownership</w:t>
      </w:r>
    </w:p>
    <w:p>
      <w:pPr>
        <w:spacing w:after="0" w:line="28"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Links value to stock price</w:t>
      </w:r>
    </w:p>
    <w:p>
      <w:pPr>
        <w:spacing w:after="0" w:line="54"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Broad-based benefits available to all employees</w:t>
      </w:r>
    </w:p>
    <w:p>
      <w:pPr>
        <w:spacing w:after="0" w:line="28" w:lineRule="exact"/>
        <w:rPr>
          <w:rFonts w:ascii="Arial" w:cs="Arial" w:eastAsia="Arial" w:hAnsi="Arial"/>
          <w:sz w:val="14"/>
          <w:szCs w:val="14"/>
          <w:color w:val="58595B"/>
        </w:rPr>
      </w:pPr>
    </w:p>
    <w:p>
      <w:pPr>
        <w:ind w:left="122" w:hanging="122"/>
        <w:spacing w:after="0"/>
        <w:tabs>
          <w:tab w:leader="none" w:pos="122"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Executive physical exam program</w:t>
      </w:r>
    </w:p>
    <w:p>
      <w:pPr>
        <w:spacing w:after="0" w:line="14" w:lineRule="exact"/>
        <w:rPr>
          <w:rFonts w:ascii="Arial" w:cs="Arial" w:eastAsia="Arial" w:hAnsi="Arial"/>
          <w:sz w:val="14"/>
          <w:szCs w:val="14"/>
          <w:color w:val="58595B"/>
        </w:rPr>
      </w:pPr>
    </w:p>
    <w:p>
      <w:pPr>
        <w:ind w:left="162" w:right="200" w:hanging="162"/>
        <w:spacing w:after="0" w:line="264" w:lineRule="auto"/>
        <w:tabs>
          <w:tab w:leader="none" w:pos="118" w:val="left"/>
        </w:tabs>
        <w:numPr>
          <w:ilvl w:val="0"/>
          <w:numId w:val="38"/>
        </w:numPr>
        <w:rPr>
          <w:rFonts w:ascii="Arial" w:cs="Arial" w:eastAsia="Arial" w:hAnsi="Arial"/>
          <w:sz w:val="14"/>
          <w:szCs w:val="14"/>
          <w:color w:val="58595B"/>
        </w:rPr>
      </w:pPr>
      <w:r>
        <w:rPr>
          <w:rFonts w:ascii="Arial" w:cs="Arial" w:eastAsia="Arial" w:hAnsi="Arial"/>
          <w:sz w:val="14"/>
          <w:szCs w:val="14"/>
          <w:color w:val="58595B"/>
        </w:rPr>
        <w:t>Non-Qualified Deferred Compensation Program available to all eligible employees</w:t>
      </w:r>
    </w:p>
    <w:p>
      <w:pPr>
        <w:spacing w:after="0" w:line="205" w:lineRule="exact"/>
        <w:rPr>
          <w:sz w:val="20"/>
          <w:szCs w:val="20"/>
          <w:color w:val="auto"/>
        </w:rPr>
      </w:pPr>
    </w:p>
    <w:p>
      <w:pPr>
        <w:sectPr>
          <w:pgSz w:w="11900" w:h="16838" w:orient="portrait"/>
          <w:cols w:equalWidth="0" w:num="3">
            <w:col w:w="4800" w:space="560"/>
            <w:col w:w="1000" w:space="578"/>
            <w:col w:w="4302"/>
          </w:cols>
          <w:pgMar w:left="320" w:top="122"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009845"/>
        </w:rPr>
        <w:t>Analysis of 2023 Compensation Decisions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Base Salary</w:t>
      </w:r>
    </w:p>
    <w:p>
      <w:pPr>
        <w:spacing w:after="0" w:line="81"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We establish base salaries for NEOs that reflect each executive’s experience, expertise, and the complexity of his or her role as well as current competitive compensation data and internal comparisons. The Compensation Committee reviews base salaries of our NEOs annually, and approves increases considering factors such as prior year performance, market competitiveness and affordability. Our NEOs’ annual base salary changes are generally aligned with Integra’s global annual merit budget with generally an effective date each year of April 1.</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2023 Base Salary Decisions</w:t>
      </w:r>
    </w:p>
    <w:p>
      <w:pPr>
        <w:spacing w:after="0" w:line="85" w:lineRule="exact"/>
        <w:rPr>
          <w:sz w:val="20"/>
          <w:szCs w:val="20"/>
          <w:color w:val="auto"/>
        </w:rPr>
      </w:pPr>
    </w:p>
    <w:p>
      <w:pPr>
        <w:jc w:val="both"/>
        <w:ind w:right="360"/>
        <w:spacing w:after="0" w:line="305" w:lineRule="auto"/>
        <w:rPr>
          <w:sz w:val="20"/>
          <w:szCs w:val="20"/>
          <w:color w:val="auto"/>
        </w:rPr>
      </w:pPr>
      <w:r>
        <w:rPr>
          <w:rFonts w:ascii="Arial" w:cs="Arial" w:eastAsia="Arial" w:hAnsi="Arial"/>
          <w:sz w:val="16"/>
          <w:szCs w:val="16"/>
          <w:color w:val="58595B"/>
        </w:rPr>
        <w:t>NEOs received salary increases based on business performance, competitive compensation data and individual performance. Mr. De Witte and Messrs. Davis and Schwartz received an increase aligned to the global merit budget. Mr. Mosebrook received an increase to reflect his 2022 performance and a market adjustment to remain competitive to similar senior vice president roles in the healthcare and general industry with the same revenue scope. Mr.</w:t>
      </w:r>
    </w:p>
    <w:p>
      <w:pPr>
        <w:spacing w:after="0" w:line="1"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McBreen received a 6.1% merit increase to reflect his 2022 performance and a 12.9% market adjustment to remain competitive with our peer group. Ms. Knight joined the Company on June 28, 2023, at which time her annual salary was set. Ms. Anderson did not receive an increase in 2023 as she resigned as Chief Financial Officer effective February 2, 2023. The base salaries in effect for the named executive officers for 2022 and 2023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009845"/>
          </w:tcPr>
          <w:p>
            <w:pPr>
              <w:spacing w:after="0"/>
              <w:rPr>
                <w:sz w:val="18"/>
                <w:szCs w:val="18"/>
                <w:color w:val="auto"/>
              </w:rPr>
            </w:pPr>
          </w:p>
        </w:tc>
        <w:tc>
          <w:tcPr>
            <w:tcW w:w="2220" w:type="dxa"/>
            <w:vAlign w:val="bottom"/>
            <w:shd w:val="clear" w:color="auto" w:fill="009845"/>
          </w:tcPr>
          <w:p>
            <w:pPr>
              <w:jc w:val="center"/>
              <w:ind w:left="88"/>
              <w:spacing w:after="0"/>
              <w:rPr>
                <w:sz w:val="20"/>
                <w:szCs w:val="20"/>
                <w:color w:val="auto"/>
              </w:rPr>
            </w:pPr>
            <w:r>
              <w:rPr>
                <w:rFonts w:ascii="Arial" w:cs="Arial" w:eastAsia="Arial" w:hAnsi="Arial"/>
                <w:sz w:val="14"/>
                <w:szCs w:val="14"/>
                <w:b w:val="1"/>
                <w:bCs w:val="1"/>
                <w:color w:val="FFFFFF"/>
              </w:rPr>
              <w:t>2022 BASE SALARY</w:t>
            </w:r>
          </w:p>
        </w:tc>
        <w:tc>
          <w:tcPr>
            <w:tcW w:w="1900" w:type="dxa"/>
            <w:vAlign w:val="bottom"/>
            <w:shd w:val="clear" w:color="auto" w:fill="009845"/>
          </w:tcPr>
          <w:p>
            <w:pPr>
              <w:jc w:val="center"/>
              <w:ind w:left="48"/>
              <w:spacing w:after="0"/>
              <w:rPr>
                <w:sz w:val="20"/>
                <w:szCs w:val="20"/>
                <w:color w:val="auto"/>
              </w:rPr>
            </w:pPr>
            <w:r>
              <w:rPr>
                <w:rFonts w:ascii="Arial" w:cs="Arial" w:eastAsia="Arial" w:hAnsi="Arial"/>
                <w:sz w:val="14"/>
                <w:szCs w:val="14"/>
                <w:b w:val="1"/>
                <w:bCs w:val="1"/>
                <w:color w:val="FFFFFF"/>
              </w:rPr>
              <w:t>2023 BASE SALARY</w:t>
            </w:r>
          </w:p>
        </w:tc>
        <w:tc>
          <w:tcPr>
            <w:tcW w:w="20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 INCREASE</w:t>
            </w:r>
          </w:p>
        </w:tc>
        <w:tc>
          <w:tcPr>
            <w:tcW w:w="0" w:type="dxa"/>
            <w:vAlign w:val="bottom"/>
          </w:tcPr>
          <w:p>
            <w:pPr>
              <w:spacing w:after="0"/>
              <w:rPr>
                <w:sz w:val="1"/>
                <w:szCs w:val="1"/>
                <w:color w:val="auto"/>
              </w:rPr>
            </w:pPr>
          </w:p>
        </w:tc>
      </w:tr>
      <w:tr>
        <w:trPr>
          <w:trHeight w:val="67"/>
        </w:trPr>
        <w:tc>
          <w:tcPr>
            <w:tcW w:w="4760" w:type="dxa"/>
            <w:vAlign w:val="bottom"/>
            <w:shd w:val="clear" w:color="auto" w:fill="009845"/>
          </w:tcPr>
          <w:p>
            <w:pPr>
              <w:spacing w:after="0"/>
              <w:rPr>
                <w:sz w:val="5"/>
                <w:szCs w:val="5"/>
                <w:color w:val="auto"/>
              </w:rPr>
            </w:pPr>
          </w:p>
        </w:tc>
        <w:tc>
          <w:tcPr>
            <w:tcW w:w="2220" w:type="dxa"/>
            <w:vAlign w:val="bottom"/>
            <w:shd w:val="clear" w:color="auto" w:fill="009845"/>
          </w:tcPr>
          <w:p>
            <w:pPr>
              <w:spacing w:after="0"/>
              <w:rPr>
                <w:sz w:val="5"/>
                <w:szCs w:val="5"/>
                <w:color w:val="auto"/>
              </w:rPr>
            </w:pPr>
          </w:p>
        </w:tc>
        <w:tc>
          <w:tcPr>
            <w:tcW w:w="1900" w:type="dxa"/>
            <w:vAlign w:val="bottom"/>
            <w:shd w:val="clear" w:color="auto" w:fill="009845"/>
          </w:tcPr>
          <w:p>
            <w:pPr>
              <w:spacing w:after="0"/>
              <w:rPr>
                <w:sz w:val="5"/>
                <w:szCs w:val="5"/>
                <w:color w:val="auto"/>
              </w:rPr>
            </w:pPr>
          </w:p>
        </w:tc>
        <w:tc>
          <w:tcPr>
            <w:tcW w:w="2080" w:type="dxa"/>
            <w:vAlign w:val="bottom"/>
            <w:shd w:val="clear" w:color="auto" w:fill="009845"/>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2220" w:type="dxa"/>
            <w:vAlign w:val="bottom"/>
          </w:tcPr>
          <w:p>
            <w:pPr>
              <w:jc w:val="center"/>
              <w:ind w:left="68"/>
              <w:spacing w:after="0"/>
              <w:rPr>
                <w:sz w:val="20"/>
                <w:szCs w:val="20"/>
                <w:color w:val="auto"/>
              </w:rPr>
            </w:pPr>
            <w:r>
              <w:rPr>
                <w:rFonts w:ascii="Arial" w:cs="Arial" w:eastAsia="Arial" w:hAnsi="Arial"/>
                <w:sz w:val="14"/>
                <w:szCs w:val="14"/>
                <w:color w:val="58595B"/>
              </w:rPr>
              <w:t>$850,000</w:t>
            </w:r>
          </w:p>
        </w:tc>
        <w:tc>
          <w:tcPr>
            <w:tcW w:w="1900" w:type="dxa"/>
            <w:vAlign w:val="bottom"/>
          </w:tcPr>
          <w:p>
            <w:pPr>
              <w:jc w:val="center"/>
              <w:ind w:left="68"/>
              <w:spacing w:after="0"/>
              <w:rPr>
                <w:sz w:val="20"/>
                <w:szCs w:val="20"/>
                <w:color w:val="auto"/>
              </w:rPr>
            </w:pPr>
            <w:r>
              <w:rPr>
                <w:rFonts w:ascii="Arial" w:cs="Arial" w:eastAsia="Arial" w:hAnsi="Arial"/>
                <w:sz w:val="14"/>
                <w:szCs w:val="14"/>
                <w:color w:val="58595B"/>
              </w:rPr>
              <w:t>$884,850</w:t>
            </w:r>
          </w:p>
        </w:tc>
        <w:tc>
          <w:tcPr>
            <w:tcW w:w="2080" w:type="dxa"/>
            <w:vAlign w:val="bottom"/>
          </w:tcPr>
          <w:p>
            <w:pPr>
              <w:jc w:val="center"/>
              <w:spacing w:after="0"/>
              <w:rPr>
                <w:sz w:val="20"/>
                <w:szCs w:val="20"/>
                <w:color w:val="auto"/>
              </w:rPr>
            </w:pPr>
            <w:r>
              <w:rPr>
                <w:rFonts w:ascii="Arial" w:cs="Arial" w:eastAsia="Arial" w:hAnsi="Arial"/>
                <w:sz w:val="14"/>
                <w:szCs w:val="14"/>
                <w:color w:val="58595B"/>
              </w:rPr>
              <w:t>4.10%</w:t>
            </w:r>
          </w:p>
        </w:tc>
        <w:tc>
          <w:tcPr>
            <w:tcW w:w="0" w:type="dxa"/>
            <w:vAlign w:val="bottom"/>
          </w:tcPr>
          <w:p>
            <w:pPr>
              <w:spacing w:after="0"/>
              <w:rPr>
                <w:sz w:val="1"/>
                <w:szCs w:val="1"/>
                <w:color w:val="auto"/>
              </w:rPr>
            </w:pPr>
          </w:p>
        </w:tc>
      </w:tr>
      <w:tr>
        <w:trPr>
          <w:trHeight w:val="237"/>
        </w:trPr>
        <w:tc>
          <w:tcPr>
            <w:tcW w:w="4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Lea Knight</w:t>
            </w:r>
          </w:p>
        </w:tc>
        <w:tc>
          <w:tcPr>
            <w:tcW w:w="222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N/A</w:t>
            </w:r>
          </w:p>
        </w:tc>
        <w:tc>
          <w:tcPr>
            <w:tcW w:w="19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$600,000</w:t>
            </w:r>
          </w:p>
        </w:tc>
        <w:tc>
          <w:tcPr>
            <w:tcW w:w="208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8"/>
              </w:rPr>
              <w:t>—%</w:t>
            </w:r>
          </w:p>
        </w:tc>
        <w:tc>
          <w:tcPr>
            <w:tcW w:w="0" w:type="dxa"/>
            <w:vAlign w:val="bottom"/>
          </w:tcPr>
          <w:p>
            <w:pPr>
              <w:spacing w:after="0"/>
              <w:rPr>
                <w:sz w:val="1"/>
                <w:szCs w:val="1"/>
                <w:color w:val="auto"/>
              </w:rPr>
            </w:pPr>
          </w:p>
        </w:tc>
      </w:tr>
      <w:tr>
        <w:trPr>
          <w:trHeight w:val="222"/>
        </w:trPr>
        <w:tc>
          <w:tcPr>
            <w:tcW w:w="4760" w:type="dxa"/>
            <w:vAlign w:val="bottom"/>
          </w:tcPr>
          <w:p>
            <w:pPr>
              <w:ind w:left="100"/>
              <w:spacing w:after="0"/>
              <w:rPr>
                <w:sz w:val="20"/>
                <w:szCs w:val="20"/>
                <w:color w:val="auto"/>
              </w:rPr>
            </w:pPr>
            <w:r>
              <w:rPr>
                <w:rFonts w:ascii="Arial" w:cs="Arial" w:eastAsia="Arial" w:hAnsi="Arial"/>
                <w:sz w:val="14"/>
                <w:szCs w:val="14"/>
                <w:b w:val="1"/>
                <w:bCs w:val="1"/>
                <w:color w:val="58595B"/>
              </w:rPr>
              <w:t>Jeffrey Mosebrook</w:t>
            </w:r>
          </w:p>
        </w:tc>
        <w:tc>
          <w:tcPr>
            <w:tcW w:w="2220" w:type="dxa"/>
            <w:vAlign w:val="bottom"/>
          </w:tcPr>
          <w:p>
            <w:pPr>
              <w:jc w:val="center"/>
              <w:ind w:left="68"/>
              <w:spacing w:after="0"/>
              <w:rPr>
                <w:sz w:val="20"/>
                <w:szCs w:val="20"/>
                <w:color w:val="auto"/>
              </w:rPr>
            </w:pPr>
            <w:r>
              <w:rPr>
                <w:rFonts w:ascii="Arial" w:cs="Arial" w:eastAsia="Arial" w:hAnsi="Arial"/>
                <w:sz w:val="14"/>
                <w:szCs w:val="14"/>
                <w:color w:val="58595B"/>
              </w:rPr>
              <w:t>$352,039</w:t>
            </w:r>
          </w:p>
        </w:tc>
        <w:tc>
          <w:tcPr>
            <w:tcW w:w="1900" w:type="dxa"/>
            <w:vAlign w:val="bottom"/>
          </w:tcPr>
          <w:p>
            <w:pPr>
              <w:jc w:val="center"/>
              <w:ind w:left="68"/>
              <w:spacing w:after="0"/>
              <w:rPr>
                <w:sz w:val="20"/>
                <w:szCs w:val="20"/>
                <w:color w:val="auto"/>
              </w:rPr>
            </w:pPr>
            <w:r>
              <w:rPr>
                <w:rFonts w:ascii="Arial" w:cs="Arial" w:eastAsia="Arial" w:hAnsi="Arial"/>
                <w:sz w:val="14"/>
                <w:szCs w:val="14"/>
                <w:color w:val="58595B"/>
              </w:rPr>
              <w:t>$380,000</w:t>
            </w:r>
          </w:p>
        </w:tc>
        <w:tc>
          <w:tcPr>
            <w:tcW w:w="2080" w:type="dxa"/>
            <w:vAlign w:val="bottom"/>
          </w:tcPr>
          <w:p>
            <w:pPr>
              <w:jc w:val="center"/>
              <w:spacing w:after="0"/>
              <w:rPr>
                <w:sz w:val="20"/>
                <w:szCs w:val="20"/>
                <w:color w:val="auto"/>
              </w:rPr>
            </w:pPr>
            <w:r>
              <w:rPr>
                <w:rFonts w:ascii="Arial" w:cs="Arial" w:eastAsia="Arial" w:hAnsi="Arial"/>
                <w:sz w:val="14"/>
                <w:szCs w:val="14"/>
                <w:color w:val="58595B"/>
              </w:rPr>
              <w:t>7.90%</w:t>
            </w:r>
          </w:p>
        </w:tc>
        <w:tc>
          <w:tcPr>
            <w:tcW w:w="0" w:type="dxa"/>
            <w:vAlign w:val="bottom"/>
          </w:tcPr>
          <w:p>
            <w:pPr>
              <w:spacing w:after="0"/>
              <w:rPr>
                <w:sz w:val="1"/>
                <w:szCs w:val="1"/>
                <w:color w:val="auto"/>
              </w:rPr>
            </w:pPr>
          </w:p>
        </w:tc>
      </w:tr>
      <w:tr>
        <w:trPr>
          <w:trHeight w:val="237"/>
        </w:trPr>
        <w:tc>
          <w:tcPr>
            <w:tcW w:w="4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222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$500,684</w:t>
            </w:r>
          </w:p>
        </w:tc>
        <w:tc>
          <w:tcPr>
            <w:tcW w:w="19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$525,734</w:t>
            </w:r>
          </w:p>
        </w:tc>
        <w:tc>
          <w:tcPr>
            <w:tcW w:w="20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5.00%</w:t>
            </w:r>
          </w:p>
        </w:tc>
        <w:tc>
          <w:tcPr>
            <w:tcW w:w="0" w:type="dxa"/>
            <w:vAlign w:val="bottom"/>
          </w:tcPr>
          <w:p>
            <w:pPr>
              <w:spacing w:after="0"/>
              <w:rPr>
                <w:sz w:val="1"/>
                <w:szCs w:val="1"/>
                <w:color w:val="auto"/>
              </w:rPr>
            </w:pPr>
          </w:p>
        </w:tc>
      </w:tr>
      <w:tr>
        <w:trPr>
          <w:trHeight w:val="193"/>
        </w:trPr>
        <w:tc>
          <w:tcPr>
            <w:tcW w:w="476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2220" w:type="dxa"/>
            <w:vAlign w:val="bottom"/>
            <w:vMerge w:val="restart"/>
          </w:tcPr>
          <w:p>
            <w:pPr>
              <w:jc w:val="center"/>
              <w:ind w:left="68"/>
              <w:spacing w:after="0"/>
              <w:rPr>
                <w:sz w:val="20"/>
                <w:szCs w:val="20"/>
                <w:color w:val="auto"/>
              </w:rPr>
            </w:pPr>
            <w:r>
              <w:rPr>
                <w:rFonts w:ascii="Arial" w:cs="Arial" w:eastAsia="Arial" w:hAnsi="Arial"/>
                <w:sz w:val="14"/>
                <w:szCs w:val="14"/>
                <w:color w:val="58595B"/>
              </w:rPr>
              <w:t>$525,000</w:t>
            </w:r>
          </w:p>
        </w:tc>
        <w:tc>
          <w:tcPr>
            <w:tcW w:w="1900" w:type="dxa"/>
            <w:vAlign w:val="bottom"/>
            <w:vMerge w:val="restart"/>
          </w:tcPr>
          <w:p>
            <w:pPr>
              <w:jc w:val="center"/>
              <w:ind w:left="68"/>
              <w:spacing w:after="0"/>
              <w:rPr>
                <w:sz w:val="20"/>
                <w:szCs w:val="20"/>
                <w:color w:val="auto"/>
              </w:rPr>
            </w:pPr>
            <w:r>
              <w:rPr>
                <w:rFonts w:ascii="Arial" w:cs="Arial" w:eastAsia="Arial" w:hAnsi="Arial"/>
                <w:sz w:val="14"/>
                <w:szCs w:val="14"/>
                <w:color w:val="58595B"/>
              </w:rPr>
              <w:t>$625,000</w:t>
            </w:r>
          </w:p>
        </w:tc>
        <w:tc>
          <w:tcPr>
            <w:tcW w:w="2080" w:type="dxa"/>
            <w:vAlign w:val="bottom"/>
          </w:tcPr>
          <w:p>
            <w:pPr>
              <w:jc w:val="center"/>
              <w:spacing w:after="0"/>
              <w:rPr>
                <w:sz w:val="20"/>
                <w:szCs w:val="20"/>
                <w:color w:val="auto"/>
              </w:rPr>
            </w:pPr>
            <w:r>
              <w:rPr>
                <w:rFonts w:ascii="Arial" w:cs="Arial" w:eastAsia="Arial" w:hAnsi="Arial"/>
                <w:sz w:val="14"/>
                <w:szCs w:val="14"/>
                <w:color w:val="58595B"/>
              </w:rPr>
              <w:t>6.1% Merit</w:t>
            </w:r>
          </w:p>
        </w:tc>
        <w:tc>
          <w:tcPr>
            <w:tcW w:w="0" w:type="dxa"/>
            <w:vAlign w:val="bottom"/>
          </w:tcPr>
          <w:p>
            <w:pPr>
              <w:spacing w:after="0"/>
              <w:rPr>
                <w:sz w:val="1"/>
                <w:szCs w:val="1"/>
                <w:color w:val="auto"/>
              </w:rPr>
            </w:pPr>
          </w:p>
        </w:tc>
      </w:tr>
      <w:tr>
        <w:trPr>
          <w:trHeight w:val="102"/>
        </w:trPr>
        <w:tc>
          <w:tcPr>
            <w:tcW w:w="476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color w:val="58595B"/>
              </w:rPr>
              <w:t>12.9% Market Adjustment</w:t>
            </w:r>
          </w:p>
        </w:tc>
        <w:tc>
          <w:tcPr>
            <w:tcW w:w="0" w:type="dxa"/>
            <w:vAlign w:val="bottom"/>
          </w:tcPr>
          <w:p>
            <w:pPr>
              <w:spacing w:after="0"/>
              <w:rPr>
                <w:sz w:val="1"/>
                <w:szCs w:val="1"/>
                <w:color w:val="auto"/>
              </w:rPr>
            </w:pPr>
          </w:p>
        </w:tc>
      </w:tr>
      <w:tr>
        <w:trPr>
          <w:trHeight w:val="88"/>
        </w:trPr>
        <w:tc>
          <w:tcPr>
            <w:tcW w:w="47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Eric I. Schwartz</w:t>
            </w:r>
          </w:p>
        </w:tc>
        <w:tc>
          <w:tcPr>
            <w:tcW w:w="222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$525,000</w:t>
            </w:r>
          </w:p>
        </w:tc>
        <w:tc>
          <w:tcPr>
            <w:tcW w:w="1900" w:type="dxa"/>
            <w:vAlign w:val="bottom"/>
            <w:shd w:val="clear" w:color="auto" w:fill="EFEDED"/>
          </w:tcPr>
          <w:p>
            <w:pPr>
              <w:jc w:val="center"/>
              <w:ind w:left="68"/>
              <w:spacing w:after="0"/>
              <w:rPr>
                <w:sz w:val="20"/>
                <w:szCs w:val="20"/>
                <w:color w:val="auto"/>
              </w:rPr>
            </w:pPr>
            <w:r>
              <w:rPr>
                <w:rFonts w:ascii="Arial" w:cs="Arial" w:eastAsia="Arial" w:hAnsi="Arial"/>
                <w:sz w:val="14"/>
                <w:szCs w:val="14"/>
                <w:color w:val="58595B"/>
              </w:rPr>
              <w:t>$540,488</w:t>
            </w:r>
          </w:p>
        </w:tc>
        <w:tc>
          <w:tcPr>
            <w:tcW w:w="208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2.95%</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Carrie Anderson</w:t>
            </w:r>
          </w:p>
        </w:tc>
        <w:tc>
          <w:tcPr>
            <w:tcW w:w="2220" w:type="dxa"/>
            <w:vAlign w:val="bottom"/>
            <w:tcBorders>
              <w:bottom w:val="single" w:sz="8" w:color="58595B"/>
            </w:tcBorders>
          </w:tcPr>
          <w:p>
            <w:pPr>
              <w:jc w:val="center"/>
              <w:ind w:left="68"/>
              <w:spacing w:after="0"/>
              <w:rPr>
                <w:sz w:val="20"/>
                <w:szCs w:val="20"/>
                <w:color w:val="auto"/>
              </w:rPr>
            </w:pPr>
            <w:r>
              <w:rPr>
                <w:rFonts w:ascii="Arial" w:cs="Arial" w:eastAsia="Arial" w:hAnsi="Arial"/>
                <w:sz w:val="14"/>
                <w:szCs w:val="14"/>
                <w:color w:val="58595B"/>
              </w:rPr>
              <w:t>$580,000</w:t>
            </w:r>
          </w:p>
        </w:tc>
        <w:tc>
          <w:tcPr>
            <w:tcW w:w="1900" w:type="dxa"/>
            <w:vAlign w:val="bottom"/>
            <w:tcBorders>
              <w:bottom w:val="single" w:sz="8" w:color="58595B"/>
            </w:tcBorders>
          </w:tcPr>
          <w:p>
            <w:pPr>
              <w:jc w:val="center"/>
              <w:ind w:left="68"/>
              <w:spacing w:after="0"/>
              <w:rPr>
                <w:sz w:val="20"/>
                <w:szCs w:val="20"/>
                <w:color w:val="auto"/>
              </w:rPr>
            </w:pPr>
            <w:r>
              <w:rPr>
                <w:rFonts w:ascii="Arial" w:cs="Arial" w:eastAsia="Arial" w:hAnsi="Arial"/>
                <w:sz w:val="14"/>
                <w:szCs w:val="14"/>
                <w:color w:val="58595B"/>
              </w:rPr>
              <w:t>$580,000</w:t>
            </w:r>
          </w:p>
        </w:tc>
        <w:tc>
          <w:tcPr>
            <w:tcW w:w="2080" w:type="dxa"/>
            <w:vAlign w:val="bottom"/>
            <w:tcBorders>
              <w:bottom w:val="single" w:sz="8" w:color="58595B"/>
            </w:tcBorders>
          </w:tcPr>
          <w:p>
            <w:pPr>
              <w:jc w:val="center"/>
              <w:spacing w:after="0"/>
              <w:rPr>
                <w:sz w:val="20"/>
                <w:szCs w:val="20"/>
                <w:color w:val="auto"/>
              </w:rPr>
            </w:pPr>
            <w:r>
              <w:rPr>
                <w:rFonts w:ascii="Arial" w:cs="Arial" w:eastAsia="Arial" w:hAnsi="Arial"/>
                <w:sz w:val="14"/>
                <w:szCs w:val="14"/>
                <w:color w:val="58595B"/>
                <w:w w:val="98"/>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w:t>
      </w:r>
    </w:p>
    <w:p>
      <w:pPr>
        <w:spacing w:after="0" w:line="72" w:lineRule="exact"/>
        <w:rPr>
          <w:sz w:val="20"/>
          <w:szCs w:val="20"/>
          <w:color w:val="auto"/>
        </w:rPr>
      </w:pPr>
    </w:p>
    <w:p>
      <w:pPr>
        <w:spacing w:after="0" w:line="339" w:lineRule="auto"/>
        <w:rPr>
          <w:sz w:val="20"/>
          <w:szCs w:val="20"/>
          <w:color w:val="auto"/>
        </w:rPr>
      </w:pPr>
      <w:r>
        <w:rPr>
          <w:rFonts w:ascii="Arial" w:cs="Arial" w:eastAsia="Arial" w:hAnsi="Arial"/>
          <w:sz w:val="16"/>
          <w:szCs w:val="16"/>
          <w:color w:val="58595B"/>
        </w:rPr>
        <w:t>Our Performance Incentive Compensation Plan (the “Bonus Plan”) provides NEOs with the opportunity to earn a cash award when they deliver strong annual Company and individual performance.</w:t>
      </w:r>
    </w:p>
    <w:p>
      <w:pPr>
        <w:spacing w:after="0" w:line="115"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NEOs are eligible for bonus payments only if the Company achieves a threshold goal of at least 70% of prior year adjusted EBITDA. If 70%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58595B"/>
        </w:rPr>
        <w:t>operating cash flow (20% weighting). These metrics were selected as they are key indicators of the strength of our business and we believe they drive long-term stockholder return.</w:t>
      </w:r>
    </w:p>
    <w:p>
      <w:pPr>
        <w:spacing w:after="0" w:line="115"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58595B"/>
        </w:rPr>
        <w:t>Each NEO has a target bonus opportunity, with no minimum (that is, the actual payment could be 0%) and a cap at 200% of their target (200% of base salary for Mr. De Witte based on his employment agreement). Actual annual bonus paid may be modified based on an individual’s performance.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Bonus Pool Funding</w:t>
      </w:r>
    </w:p>
    <w:p>
      <w:pPr>
        <w:spacing w:after="0" w:line="72" w:lineRule="exact"/>
        <w:rPr>
          <w:sz w:val="20"/>
          <w:szCs w:val="20"/>
          <w:color w:val="auto"/>
        </w:rPr>
      </w:pPr>
    </w:p>
    <w:p>
      <w:pPr>
        <w:ind w:right="640"/>
        <w:spacing w:after="0" w:line="339" w:lineRule="auto"/>
        <w:rPr>
          <w:sz w:val="20"/>
          <w:szCs w:val="20"/>
          <w:color w:val="auto"/>
        </w:rPr>
      </w:pPr>
      <w:r>
        <w:rPr>
          <w:rFonts w:ascii="Arial" w:cs="Arial" w:eastAsia="Arial" w:hAnsi="Arial"/>
          <w:sz w:val="16"/>
          <w:szCs w:val="16"/>
          <w:color w:val="58595B"/>
        </w:rPr>
        <w:t>The annual bonus pool is funded for all Bonus Plan participants based on Company performance. The aggregate amount of the final payments to all participants, including the NEOs, may not exceed the overall funded pool. For 2023, the Company’s funding model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00" w:type="dxa"/>
            <w:vAlign w:val="bottom"/>
            <w:shd w:val="clear" w:color="auto" w:fill="009845"/>
          </w:tcPr>
          <w:p>
            <w:pPr>
              <w:spacing w:after="0"/>
              <w:rPr>
                <w:sz w:val="22"/>
                <w:szCs w:val="22"/>
                <w:color w:val="auto"/>
              </w:rPr>
            </w:pPr>
          </w:p>
        </w:tc>
        <w:tc>
          <w:tcPr>
            <w:tcW w:w="860" w:type="dxa"/>
            <w:vAlign w:val="bottom"/>
            <w:shd w:val="clear" w:color="auto" w:fill="009845"/>
          </w:tcPr>
          <w:p>
            <w:pPr>
              <w:spacing w:after="0"/>
              <w:rPr>
                <w:sz w:val="22"/>
                <w:szCs w:val="22"/>
                <w:color w:val="auto"/>
              </w:rPr>
            </w:pPr>
          </w:p>
        </w:tc>
        <w:tc>
          <w:tcPr>
            <w:tcW w:w="1300" w:type="dxa"/>
            <w:vAlign w:val="bottom"/>
            <w:shd w:val="clear" w:color="auto" w:fill="009845"/>
          </w:tcPr>
          <w:p>
            <w:pPr>
              <w:spacing w:after="0"/>
              <w:rPr>
                <w:sz w:val="22"/>
                <w:szCs w:val="22"/>
                <w:color w:val="auto"/>
              </w:rPr>
            </w:pPr>
          </w:p>
        </w:tc>
        <w:tc>
          <w:tcPr>
            <w:tcW w:w="2700" w:type="dxa"/>
            <w:vAlign w:val="bottom"/>
            <w:gridSpan w:val="2"/>
            <w:shd w:val="clear" w:color="auto" w:fill="009845"/>
          </w:tcPr>
          <w:p>
            <w:pPr>
              <w:ind w:left="60"/>
              <w:spacing w:after="0"/>
              <w:rPr>
                <w:sz w:val="20"/>
                <w:szCs w:val="20"/>
                <w:color w:val="auto"/>
              </w:rPr>
            </w:pPr>
            <w:r>
              <w:rPr>
                <w:rFonts w:ascii="Arial" w:cs="Arial" w:eastAsia="Arial" w:hAnsi="Arial"/>
                <w:sz w:val="14"/>
                <w:szCs w:val="14"/>
                <w:b w:val="1"/>
                <w:bCs w:val="1"/>
                <w:color w:val="FFFFFF"/>
              </w:rPr>
              <w:t>Performance Goals as a % of Target</w:t>
            </w:r>
          </w:p>
        </w:tc>
        <w:tc>
          <w:tcPr>
            <w:tcW w:w="1180" w:type="dxa"/>
            <w:vAlign w:val="bottom"/>
            <w:shd w:val="clear" w:color="auto" w:fill="009845"/>
          </w:tcPr>
          <w:p>
            <w:pPr>
              <w:spacing w:after="0"/>
              <w:rPr>
                <w:sz w:val="22"/>
                <w:szCs w:val="22"/>
                <w:color w:val="auto"/>
              </w:rPr>
            </w:pPr>
          </w:p>
        </w:tc>
      </w:tr>
      <w:tr>
        <w:trPr>
          <w:trHeight w:val="263"/>
        </w:trPr>
        <w:tc>
          <w:tcPr>
            <w:tcW w:w="5200" w:type="dxa"/>
            <w:vAlign w:val="bottom"/>
            <w:shd w:val="clear" w:color="auto" w:fill="009845"/>
          </w:tcPr>
          <w:p>
            <w:pPr>
              <w:spacing w:after="0"/>
              <w:rPr>
                <w:sz w:val="22"/>
                <w:szCs w:val="22"/>
                <w:color w:val="auto"/>
              </w:rPr>
            </w:pPr>
          </w:p>
        </w:tc>
        <w:tc>
          <w:tcPr>
            <w:tcW w:w="860" w:type="dxa"/>
            <w:vAlign w:val="bottom"/>
            <w:shd w:val="clear" w:color="auto" w:fill="009845"/>
          </w:tcPr>
          <w:p>
            <w:pPr>
              <w:spacing w:after="0"/>
              <w:rPr>
                <w:sz w:val="22"/>
                <w:szCs w:val="22"/>
                <w:color w:val="auto"/>
              </w:rPr>
            </w:pPr>
          </w:p>
        </w:tc>
        <w:tc>
          <w:tcPr>
            <w:tcW w:w="13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Below</w:t>
            </w:r>
          </w:p>
        </w:tc>
        <w:tc>
          <w:tcPr>
            <w:tcW w:w="1360" w:type="dxa"/>
            <w:vAlign w:val="bottom"/>
            <w:shd w:val="clear" w:color="auto" w:fill="009845"/>
          </w:tcPr>
          <w:p>
            <w:pPr>
              <w:spacing w:after="0"/>
              <w:rPr>
                <w:sz w:val="22"/>
                <w:szCs w:val="22"/>
                <w:color w:val="auto"/>
              </w:rPr>
            </w:pPr>
          </w:p>
        </w:tc>
        <w:tc>
          <w:tcPr>
            <w:tcW w:w="1340" w:type="dxa"/>
            <w:vAlign w:val="bottom"/>
            <w:shd w:val="clear" w:color="auto" w:fill="009845"/>
          </w:tcPr>
          <w:p>
            <w:pPr>
              <w:spacing w:after="0"/>
              <w:rPr>
                <w:sz w:val="22"/>
                <w:szCs w:val="22"/>
                <w:color w:val="auto"/>
              </w:rPr>
            </w:pPr>
          </w:p>
        </w:tc>
        <w:tc>
          <w:tcPr>
            <w:tcW w:w="1180" w:type="dxa"/>
            <w:vAlign w:val="bottom"/>
            <w:shd w:val="clear" w:color="auto" w:fill="009845"/>
          </w:tcPr>
          <w:p>
            <w:pPr>
              <w:spacing w:after="0"/>
              <w:rPr>
                <w:sz w:val="22"/>
                <w:szCs w:val="22"/>
                <w:color w:val="auto"/>
              </w:rPr>
            </w:pPr>
          </w:p>
        </w:tc>
      </w:tr>
      <w:tr>
        <w:trPr>
          <w:trHeight w:val="210"/>
        </w:trPr>
        <w:tc>
          <w:tcPr>
            <w:tcW w:w="52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PERFORMANCE METRIC</w:t>
            </w:r>
          </w:p>
        </w:tc>
        <w:tc>
          <w:tcPr>
            <w:tcW w:w="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WEIGHT</w:t>
            </w:r>
          </w:p>
        </w:tc>
        <w:tc>
          <w:tcPr>
            <w:tcW w:w="13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Threshold</w:t>
            </w:r>
          </w:p>
        </w:tc>
        <w:tc>
          <w:tcPr>
            <w:tcW w:w="136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009845"/>
          </w:tcPr>
          <w:p>
            <w:pPr>
              <w:jc w:val="center"/>
              <w:ind w:right="108"/>
              <w:spacing w:after="0"/>
              <w:rPr>
                <w:sz w:val="20"/>
                <w:szCs w:val="20"/>
                <w:color w:val="auto"/>
              </w:rPr>
            </w:pPr>
            <w:r>
              <w:rPr>
                <w:rFonts w:ascii="Arial" w:cs="Arial" w:eastAsia="Arial" w:hAnsi="Arial"/>
                <w:sz w:val="14"/>
                <w:szCs w:val="14"/>
                <w:b w:val="1"/>
                <w:bCs w:val="1"/>
                <w:color w:val="FFFFFF"/>
              </w:rPr>
              <w:t>Target</w:t>
            </w:r>
          </w:p>
        </w:tc>
        <w:tc>
          <w:tcPr>
            <w:tcW w:w="118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Maximum</w:t>
            </w:r>
          </w:p>
        </w:tc>
      </w:tr>
      <w:tr>
        <w:trPr>
          <w:trHeight w:val="70"/>
        </w:trPr>
        <w:tc>
          <w:tcPr>
            <w:tcW w:w="520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c>
          <w:tcPr>
            <w:tcW w:w="1300" w:type="dxa"/>
            <w:vAlign w:val="bottom"/>
            <w:shd w:val="clear" w:color="auto" w:fill="009845"/>
          </w:tcPr>
          <w:p>
            <w:pPr>
              <w:spacing w:after="0"/>
              <w:rPr>
                <w:sz w:val="6"/>
                <w:szCs w:val="6"/>
                <w:color w:val="auto"/>
              </w:rPr>
            </w:pPr>
          </w:p>
        </w:tc>
        <w:tc>
          <w:tcPr>
            <w:tcW w:w="1360" w:type="dxa"/>
            <w:vAlign w:val="bottom"/>
            <w:shd w:val="clear" w:color="auto" w:fill="009845"/>
          </w:tcPr>
          <w:p>
            <w:pPr>
              <w:spacing w:after="0"/>
              <w:rPr>
                <w:sz w:val="6"/>
                <w:szCs w:val="6"/>
                <w:color w:val="auto"/>
              </w:rPr>
            </w:pPr>
          </w:p>
        </w:tc>
        <w:tc>
          <w:tcPr>
            <w:tcW w:w="1340" w:type="dxa"/>
            <w:vAlign w:val="bottom"/>
            <w:shd w:val="clear" w:color="auto" w:fill="009845"/>
          </w:tcPr>
          <w:p>
            <w:pPr>
              <w:spacing w:after="0"/>
              <w:rPr>
                <w:sz w:val="6"/>
                <w:szCs w:val="6"/>
                <w:color w:val="auto"/>
              </w:rPr>
            </w:pPr>
          </w:p>
        </w:tc>
        <w:tc>
          <w:tcPr>
            <w:tcW w:w="1180" w:type="dxa"/>
            <w:vAlign w:val="bottom"/>
            <w:shd w:val="clear" w:color="auto" w:fill="009845"/>
          </w:tcPr>
          <w:p>
            <w:pPr>
              <w:spacing w:after="0"/>
              <w:rPr>
                <w:sz w:val="6"/>
                <w:szCs w:val="6"/>
                <w:color w:val="auto"/>
              </w:rPr>
            </w:pPr>
          </w:p>
        </w:tc>
      </w:tr>
      <w:tr>
        <w:trPr>
          <w:trHeight w:val="222"/>
        </w:trPr>
        <w:tc>
          <w:tcPr>
            <w:tcW w:w="5200" w:type="dxa"/>
            <w:vAlign w:val="bottom"/>
          </w:tcPr>
          <w:p>
            <w:pPr>
              <w:ind w:left="100"/>
              <w:spacing w:after="0"/>
              <w:rPr>
                <w:sz w:val="20"/>
                <w:szCs w:val="20"/>
                <w:color w:val="auto"/>
              </w:rPr>
            </w:pPr>
            <w:r>
              <w:rPr>
                <w:rFonts w:ascii="Arial" w:cs="Arial" w:eastAsia="Arial" w:hAnsi="Arial"/>
                <w:sz w:val="14"/>
                <w:szCs w:val="14"/>
                <w:b w:val="1"/>
                <w:bCs w:val="1"/>
                <w:color w:val="58595B"/>
              </w:rPr>
              <w:t>Revenue</w:t>
            </w:r>
          </w:p>
        </w:tc>
        <w:tc>
          <w:tcPr>
            <w:tcW w:w="860" w:type="dxa"/>
            <w:vAlign w:val="bottom"/>
          </w:tcPr>
          <w:p>
            <w:pPr>
              <w:jc w:val="center"/>
              <w:spacing w:after="0"/>
              <w:rPr>
                <w:sz w:val="20"/>
                <w:szCs w:val="20"/>
                <w:color w:val="auto"/>
              </w:rPr>
            </w:pPr>
            <w:r>
              <w:rPr>
                <w:rFonts w:ascii="Arial" w:cs="Arial" w:eastAsia="Arial" w:hAnsi="Arial"/>
                <w:sz w:val="14"/>
                <w:szCs w:val="14"/>
                <w:color w:val="58595B"/>
                <w:w w:val="99"/>
              </w:rPr>
              <w:t>40%</w:t>
            </w:r>
          </w:p>
        </w:tc>
        <w:tc>
          <w:tcPr>
            <w:tcW w:w="1300" w:type="dxa"/>
            <w:vAlign w:val="bottom"/>
          </w:tcPr>
          <w:p>
            <w:pPr>
              <w:jc w:val="center"/>
              <w:spacing w:after="0"/>
              <w:rPr>
                <w:sz w:val="20"/>
                <w:szCs w:val="20"/>
                <w:color w:val="auto"/>
              </w:rPr>
            </w:pPr>
            <w:r>
              <w:rPr>
                <w:rFonts w:ascii="Arial" w:cs="Arial" w:eastAsia="Arial" w:hAnsi="Arial"/>
                <w:sz w:val="14"/>
                <w:szCs w:val="14"/>
                <w:color w:val="58595B"/>
              </w:rPr>
              <w:t>95.9%</w:t>
            </w:r>
          </w:p>
        </w:tc>
        <w:tc>
          <w:tcPr>
            <w:tcW w:w="1360" w:type="dxa"/>
            <w:vAlign w:val="bottom"/>
          </w:tcPr>
          <w:p>
            <w:pPr>
              <w:jc w:val="center"/>
              <w:ind w:right="8"/>
              <w:spacing w:after="0"/>
              <w:rPr>
                <w:sz w:val="20"/>
                <w:szCs w:val="20"/>
                <w:color w:val="auto"/>
              </w:rPr>
            </w:pPr>
            <w:r>
              <w:rPr>
                <w:rFonts w:ascii="Arial" w:cs="Arial" w:eastAsia="Arial" w:hAnsi="Arial"/>
                <w:sz w:val="14"/>
                <w:szCs w:val="14"/>
                <w:color w:val="58595B"/>
                <w:w w:val="99"/>
              </w:rPr>
              <w:t>96%</w:t>
            </w:r>
          </w:p>
        </w:tc>
        <w:tc>
          <w:tcPr>
            <w:tcW w:w="1340" w:type="dxa"/>
            <w:vAlign w:val="bottom"/>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Pr>
          <w:p>
            <w:pPr>
              <w:jc w:val="center"/>
              <w:ind w:right="48"/>
              <w:spacing w:after="0"/>
              <w:rPr>
                <w:sz w:val="20"/>
                <w:szCs w:val="20"/>
                <w:color w:val="auto"/>
              </w:rPr>
            </w:pPr>
            <w:r>
              <w:rPr>
                <w:rFonts w:ascii="Arial" w:cs="Arial" w:eastAsia="Arial" w:hAnsi="Arial"/>
                <w:sz w:val="14"/>
                <w:szCs w:val="14"/>
                <w:color w:val="58595B"/>
              </w:rPr>
              <w:t>104%</w:t>
            </w:r>
          </w:p>
        </w:tc>
      </w:tr>
      <w:tr>
        <w:trPr>
          <w:trHeight w:val="237"/>
        </w:trPr>
        <w:tc>
          <w:tcPr>
            <w:tcW w:w="520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EBITDA¹</w:t>
            </w:r>
          </w:p>
        </w:tc>
        <w:tc>
          <w:tcPr>
            <w:tcW w:w="860" w:type="dxa"/>
            <w:vAlign w:val="bottom"/>
            <w:shd w:val="clear" w:color="auto" w:fill="EFEDED"/>
          </w:tcPr>
          <w:p>
            <w:pPr>
              <w:jc w:val="center"/>
              <w:spacing w:after="0"/>
              <w:rPr>
                <w:sz w:val="20"/>
                <w:szCs w:val="20"/>
                <w:color w:val="auto"/>
              </w:rPr>
            </w:pPr>
            <w:r>
              <w:rPr>
                <w:rFonts w:ascii="Arial" w:cs="Arial" w:eastAsia="Arial" w:hAnsi="Arial"/>
                <w:sz w:val="14"/>
                <w:szCs w:val="14"/>
                <w:color w:val="58595B"/>
                <w:w w:val="99"/>
              </w:rPr>
              <w:t>40%</w:t>
            </w:r>
          </w:p>
        </w:tc>
        <w:tc>
          <w:tcPr>
            <w:tcW w:w="130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92.9%</w:t>
            </w:r>
          </w:p>
        </w:tc>
        <w:tc>
          <w:tcPr>
            <w:tcW w:w="1360" w:type="dxa"/>
            <w:vAlign w:val="bottom"/>
            <w:shd w:val="clear" w:color="auto" w:fill="EFEDED"/>
          </w:tcPr>
          <w:p>
            <w:pPr>
              <w:jc w:val="center"/>
              <w:ind w:right="8"/>
              <w:spacing w:after="0"/>
              <w:rPr>
                <w:sz w:val="20"/>
                <w:szCs w:val="20"/>
                <w:color w:val="auto"/>
              </w:rPr>
            </w:pPr>
            <w:r>
              <w:rPr>
                <w:rFonts w:ascii="Arial" w:cs="Arial" w:eastAsia="Arial" w:hAnsi="Arial"/>
                <w:sz w:val="14"/>
                <w:szCs w:val="14"/>
                <w:color w:val="58595B"/>
                <w:w w:val="99"/>
              </w:rPr>
              <w:t>93%</w:t>
            </w:r>
          </w:p>
        </w:tc>
        <w:tc>
          <w:tcPr>
            <w:tcW w:w="1340" w:type="dxa"/>
            <w:vAlign w:val="bottom"/>
            <w:shd w:val="clear" w:color="auto" w:fill="EFEDED"/>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shd w:val="clear" w:color="auto" w:fill="EFEDED"/>
          </w:tcPr>
          <w:p>
            <w:pPr>
              <w:jc w:val="center"/>
              <w:ind w:right="48"/>
              <w:spacing w:after="0"/>
              <w:rPr>
                <w:sz w:val="20"/>
                <w:szCs w:val="20"/>
                <w:color w:val="auto"/>
              </w:rPr>
            </w:pPr>
            <w:r>
              <w:rPr>
                <w:rFonts w:ascii="Arial" w:cs="Arial" w:eastAsia="Arial" w:hAnsi="Arial"/>
                <w:sz w:val="14"/>
                <w:szCs w:val="14"/>
                <w:color w:val="58595B"/>
              </w:rPr>
              <w:t>107%</w:t>
            </w:r>
          </w:p>
        </w:tc>
      </w:tr>
      <w:tr>
        <w:trPr>
          <w:trHeight w:val="222"/>
        </w:trPr>
        <w:tc>
          <w:tcPr>
            <w:tcW w:w="5200" w:type="dxa"/>
            <w:vAlign w:val="bottom"/>
          </w:tcPr>
          <w:p>
            <w:pPr>
              <w:ind w:left="100"/>
              <w:spacing w:after="0"/>
              <w:rPr>
                <w:sz w:val="20"/>
                <w:szCs w:val="20"/>
                <w:color w:val="auto"/>
              </w:rPr>
            </w:pPr>
            <w:r>
              <w:rPr>
                <w:rFonts w:ascii="Arial" w:cs="Arial" w:eastAsia="Arial" w:hAnsi="Arial"/>
                <w:sz w:val="14"/>
                <w:szCs w:val="14"/>
                <w:b w:val="1"/>
                <w:bCs w:val="1"/>
                <w:color w:val="58595B"/>
              </w:rPr>
              <w:t>Operating Cash Flow</w:t>
            </w:r>
          </w:p>
        </w:tc>
        <w:tc>
          <w:tcPr>
            <w:tcW w:w="860" w:type="dxa"/>
            <w:vAlign w:val="bottom"/>
          </w:tcPr>
          <w:p>
            <w:pPr>
              <w:jc w:val="center"/>
              <w:spacing w:after="0"/>
              <w:rPr>
                <w:sz w:val="20"/>
                <w:szCs w:val="20"/>
                <w:color w:val="auto"/>
              </w:rPr>
            </w:pPr>
            <w:r>
              <w:rPr>
                <w:rFonts w:ascii="Arial" w:cs="Arial" w:eastAsia="Arial" w:hAnsi="Arial"/>
                <w:sz w:val="14"/>
                <w:szCs w:val="14"/>
                <w:color w:val="58595B"/>
                <w:w w:val="99"/>
              </w:rPr>
              <w:t>20%</w:t>
            </w:r>
          </w:p>
        </w:tc>
        <w:tc>
          <w:tcPr>
            <w:tcW w:w="1300" w:type="dxa"/>
            <w:vAlign w:val="bottom"/>
          </w:tcPr>
          <w:p>
            <w:pPr>
              <w:jc w:val="center"/>
              <w:spacing w:after="0"/>
              <w:rPr>
                <w:sz w:val="20"/>
                <w:szCs w:val="20"/>
                <w:color w:val="auto"/>
              </w:rPr>
            </w:pPr>
            <w:r>
              <w:rPr>
                <w:rFonts w:ascii="Arial" w:cs="Arial" w:eastAsia="Arial" w:hAnsi="Arial"/>
                <w:sz w:val="14"/>
                <w:szCs w:val="14"/>
                <w:color w:val="58595B"/>
              </w:rPr>
              <w:t>84.9%</w:t>
            </w:r>
          </w:p>
        </w:tc>
        <w:tc>
          <w:tcPr>
            <w:tcW w:w="1360" w:type="dxa"/>
            <w:vAlign w:val="bottom"/>
          </w:tcPr>
          <w:p>
            <w:pPr>
              <w:jc w:val="center"/>
              <w:ind w:right="8"/>
              <w:spacing w:after="0"/>
              <w:rPr>
                <w:sz w:val="20"/>
                <w:szCs w:val="20"/>
                <w:color w:val="auto"/>
              </w:rPr>
            </w:pPr>
            <w:r>
              <w:rPr>
                <w:rFonts w:ascii="Arial" w:cs="Arial" w:eastAsia="Arial" w:hAnsi="Arial"/>
                <w:sz w:val="14"/>
                <w:szCs w:val="14"/>
                <w:color w:val="58595B"/>
                <w:w w:val="99"/>
              </w:rPr>
              <w:t>85%</w:t>
            </w:r>
          </w:p>
        </w:tc>
        <w:tc>
          <w:tcPr>
            <w:tcW w:w="1340" w:type="dxa"/>
            <w:vAlign w:val="bottom"/>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Pr>
          <w:p>
            <w:pPr>
              <w:jc w:val="center"/>
              <w:ind w:right="28"/>
              <w:spacing w:after="0"/>
              <w:rPr>
                <w:sz w:val="20"/>
                <w:szCs w:val="20"/>
                <w:color w:val="auto"/>
              </w:rPr>
            </w:pPr>
            <w:r>
              <w:rPr>
                <w:rFonts w:ascii="Arial" w:cs="Arial" w:eastAsia="Arial" w:hAnsi="Arial"/>
                <w:sz w:val="14"/>
                <w:szCs w:val="14"/>
                <w:color w:val="58595B"/>
              </w:rPr>
              <w:t>115%</w:t>
            </w:r>
          </w:p>
        </w:tc>
      </w:tr>
      <w:tr>
        <w:trPr>
          <w:trHeight w:val="231"/>
        </w:trPr>
        <w:tc>
          <w:tcPr>
            <w:tcW w:w="520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Annual Bonus Pool Funding (as a % of Target)</w:t>
            </w:r>
          </w:p>
        </w:tc>
        <w:tc>
          <w:tcPr>
            <w:tcW w:w="860" w:type="dxa"/>
            <w:vAlign w:val="bottom"/>
            <w:tcBorders>
              <w:bottom w:val="single" w:sz="8" w:color="58595B"/>
            </w:tcBorders>
            <w:shd w:val="clear" w:color="auto" w:fill="EFEDED"/>
          </w:tcPr>
          <w:p>
            <w:pPr>
              <w:spacing w:after="0"/>
              <w:rPr>
                <w:sz w:val="20"/>
                <w:szCs w:val="20"/>
                <w:color w:val="auto"/>
              </w:rPr>
            </w:pPr>
          </w:p>
        </w:tc>
        <w:tc>
          <w:tcPr>
            <w:tcW w:w="130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360" w:type="dxa"/>
            <w:vAlign w:val="bottom"/>
            <w:tcBorders>
              <w:bottom w:val="single" w:sz="8" w:color="58595B"/>
            </w:tcBorders>
            <w:shd w:val="clear" w:color="auto" w:fill="EFEDED"/>
          </w:tcPr>
          <w:p>
            <w:pPr>
              <w:jc w:val="center"/>
              <w:ind w:right="8"/>
              <w:spacing w:after="0"/>
              <w:rPr>
                <w:sz w:val="20"/>
                <w:szCs w:val="20"/>
                <w:color w:val="auto"/>
              </w:rPr>
            </w:pPr>
            <w:r>
              <w:rPr>
                <w:rFonts w:ascii="Arial" w:cs="Arial" w:eastAsia="Arial" w:hAnsi="Arial"/>
                <w:sz w:val="14"/>
                <w:szCs w:val="14"/>
                <w:color w:val="58595B"/>
                <w:w w:val="99"/>
              </w:rPr>
              <w:t>20%</w:t>
            </w:r>
          </w:p>
        </w:tc>
        <w:tc>
          <w:tcPr>
            <w:tcW w:w="1340" w:type="dxa"/>
            <w:vAlign w:val="bottom"/>
            <w:tcBorders>
              <w:bottom w:val="single" w:sz="8" w:color="58595B"/>
            </w:tcBorders>
            <w:shd w:val="clear" w:color="auto" w:fill="EFEDED"/>
          </w:tcPr>
          <w:p>
            <w:pPr>
              <w:jc w:val="center"/>
              <w:ind w:right="108"/>
              <w:spacing w:after="0"/>
              <w:rPr>
                <w:sz w:val="20"/>
                <w:szCs w:val="20"/>
                <w:color w:val="auto"/>
              </w:rPr>
            </w:pPr>
            <w:r>
              <w:rPr>
                <w:rFonts w:ascii="Arial" w:cs="Arial" w:eastAsia="Arial" w:hAnsi="Arial"/>
                <w:sz w:val="14"/>
                <w:szCs w:val="14"/>
                <w:color w:val="58595B"/>
              </w:rPr>
              <w:t>100%</w:t>
            </w:r>
          </w:p>
        </w:tc>
        <w:tc>
          <w:tcPr>
            <w:tcW w:w="1180" w:type="dxa"/>
            <w:vAlign w:val="bottom"/>
            <w:tcBorders>
              <w:bottom w:val="single" w:sz="8" w:color="58595B"/>
            </w:tcBorders>
            <w:shd w:val="clear" w:color="auto" w:fill="EFEDED"/>
          </w:tcPr>
          <w:p>
            <w:pPr>
              <w:jc w:val="center"/>
              <w:ind w:right="48"/>
              <w:spacing w:after="0"/>
              <w:rPr>
                <w:sz w:val="20"/>
                <w:szCs w:val="20"/>
                <w:color w:val="auto"/>
              </w:rPr>
            </w:pPr>
            <w:r>
              <w:rPr>
                <w:rFonts w:ascii="Arial" w:cs="Arial" w:eastAsia="Arial" w:hAnsi="Arial"/>
                <w:sz w:val="14"/>
                <w:szCs w:val="14"/>
                <w:color w:val="58595B"/>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-899795</wp:posOffset>
            </wp:positionV>
            <wp:extent cx="32918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6" w:lineRule="exact"/>
        <w:rPr>
          <w:sz w:val="20"/>
          <w:szCs w:val="20"/>
          <w:color w:val="auto"/>
        </w:rPr>
      </w:pPr>
    </w:p>
    <w:p>
      <w:pPr>
        <w:ind w:left="340" w:right="140" w:hanging="332"/>
        <w:spacing w:after="0" w:line="267" w:lineRule="auto"/>
        <w:tabs>
          <w:tab w:leader="none" w:pos="338"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See “Appendix A — Non-GAAP Financial Measures”.</w:t>
      </w:r>
    </w:p>
    <w:p>
      <w:pPr>
        <w:spacing w:after="0" w:line="193" w:lineRule="exact"/>
        <w:rPr>
          <w:sz w:val="20"/>
          <w:szCs w:val="20"/>
          <w:color w:val="auto"/>
        </w:rPr>
      </w:pPr>
    </w:p>
    <w:p>
      <w:pPr>
        <w:ind w:right="360"/>
        <w:spacing w:after="0" w:line="356" w:lineRule="auto"/>
        <w:rPr>
          <w:sz w:val="20"/>
          <w:szCs w:val="20"/>
          <w:color w:val="auto"/>
        </w:rPr>
      </w:pPr>
      <w:r>
        <w:rPr>
          <w:rFonts w:ascii="Arial" w:cs="Arial" w:eastAsia="Arial" w:hAnsi="Arial"/>
          <w:sz w:val="16"/>
          <w:szCs w:val="16"/>
          <w:color w:val="58595B"/>
        </w:rPr>
        <w:t>This same funding model will apply for the 2024 performance year. Additionally, the Compensation Committee has discretion to adjust the amount of the bonus pool funding, and subsequently named executive officer awards.</w:t>
      </w:r>
    </w:p>
    <w:p>
      <w:pPr>
        <w:spacing w:after="0" w:line="89"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Our reported results may be adjusted when comparing to our annual bonus targets for unusual events outside the control of Management including currency impact versus budget. We also exclude certain transactions such as material acquisitions or divestitures if these items were not included in the performance target.</w:t>
      </w:r>
    </w:p>
    <w:p>
      <w:pPr>
        <w:spacing w:after="0" w:line="110" w:lineRule="exact"/>
        <w:rPr>
          <w:sz w:val="20"/>
          <w:szCs w:val="20"/>
          <w:color w:val="auto"/>
        </w:rPr>
      </w:pPr>
    </w:p>
    <w:p>
      <w:pPr>
        <w:jc w:val="both"/>
        <w:ind w:right="420"/>
        <w:spacing w:after="0" w:line="328" w:lineRule="auto"/>
        <w:rPr>
          <w:sz w:val="20"/>
          <w:szCs w:val="20"/>
          <w:color w:val="auto"/>
        </w:rPr>
      </w:pPr>
      <w:r>
        <w:rPr>
          <w:rFonts w:ascii="Arial" w:cs="Arial" w:eastAsia="Arial" w:hAnsi="Arial"/>
          <w:sz w:val="16"/>
          <w:szCs w:val="16"/>
          <w:color w:val="58595B"/>
        </w:rPr>
        <w:t>2023 presented numerous operational challenges, including the voluntary global recall and manufacturing stoppage of all products manufactured at our Boston, Massachusetts facility. Despite these challenges, we were able to strengthen our operational capabilities while capitalizing on the growth of our markets and the resilience of our products.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The chart below shows our achievements against the performance targets for each metric in 2023:</w:t>
      </w:r>
    </w:p>
    <w:p>
      <w:pPr>
        <w:sectPr>
          <w:pgSz w:w="11900" w:h="16838" w:orient="portrait"/>
          <w:cols w:equalWidth="0" w:num="1">
            <w:col w:w="11240"/>
          </w:cols>
          <w:pgMar w:left="320" w:top="122" w:right="339" w:bottom="1440" w:gutter="0" w:footer="0" w:header="0"/>
        </w:sectPr>
      </w:pPr>
    </w:p>
    <w:p>
      <w:pPr>
        <w:spacing w:after="0" w:line="374"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58595B"/>
        </w:rPr>
        <w:t>Revenue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Adjusted EBITDA</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58595B"/>
        </w:rPr>
        <w:t>Operating Cash Flow</w:t>
      </w:r>
    </w:p>
    <w:p>
      <w:pPr>
        <w:spacing w:after="0" w:line="69" w:lineRule="exact"/>
        <w:rPr>
          <w:sz w:val="20"/>
          <w:szCs w:val="20"/>
          <w:color w:val="auto"/>
        </w:rPr>
      </w:pPr>
    </w:p>
    <w:p>
      <w:pPr>
        <w:sectPr>
          <w:pgSz w:w="11900" w:h="16838" w:orient="portrait"/>
          <w:cols w:equalWidth="0" w:num="3">
            <w:col w:w="4280" w:space="720"/>
            <w:col w:w="1500" w:space="720"/>
            <w:col w:w="4020"/>
          </w:cols>
          <w:pgMar w:left="320" w:top="122" w:right="339" w:bottom="1440" w:gutter="0" w:footer="0" w:header="0"/>
          <w:type w:val="continuous"/>
        </w:sectPr>
      </w:pPr>
    </w:p>
    <w:p>
      <w:pPr>
        <w:ind w:left="284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83820</wp:posOffset>
            </wp:positionV>
            <wp:extent cx="1585595" cy="137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85595"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83820</wp:posOffset>
            </wp:positionV>
            <wp:extent cx="1577340" cy="1371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7734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8595B"/>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83820</wp:posOffset>
            </wp:positionV>
            <wp:extent cx="1586230" cy="1371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86230" cy="137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60" w:space="720"/>
            <w:col w:w="1620" w:space="720"/>
            <w:col w:w="37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60"/>
        <w:spacing w:after="0"/>
        <w:tabs>
          <w:tab w:leader="none" w:pos="4780" w:val="left"/>
          <w:tab w:leader="none" w:pos="7120" w:val="left"/>
        </w:tabs>
        <w:rPr>
          <w:sz w:val="20"/>
          <w:szCs w:val="20"/>
          <w:color w:val="auto"/>
        </w:rPr>
      </w:pPr>
      <w:r>
        <w:rPr>
          <w:rFonts w:ascii="Arial" w:cs="Arial" w:eastAsia="Arial" w:hAnsi="Arial"/>
          <w:sz w:val="14"/>
          <w:szCs w:val="14"/>
          <w:b w:val="1"/>
          <w:bCs w:val="1"/>
          <w:color w:val="58595B"/>
        </w:rPr>
        <w:t>Achieved 95% of Target</w:t>
      </w:r>
      <w:r>
        <w:rPr>
          <w:sz w:val="20"/>
          <w:szCs w:val="20"/>
          <w:color w:val="auto"/>
        </w:rPr>
        <w:tab/>
      </w:r>
      <w:r>
        <w:rPr>
          <w:rFonts w:ascii="Arial" w:cs="Arial" w:eastAsia="Arial" w:hAnsi="Arial"/>
          <w:sz w:val="14"/>
          <w:szCs w:val="14"/>
          <w:b w:val="1"/>
          <w:bCs w:val="1"/>
          <w:color w:val="58595B"/>
        </w:rPr>
        <w:t>Achieved 85% of Target</w:t>
      </w:r>
      <w:r>
        <w:rPr>
          <w:sz w:val="20"/>
          <w:szCs w:val="20"/>
          <w:color w:val="auto"/>
        </w:rPr>
        <w:tab/>
      </w:r>
      <w:r>
        <w:rPr>
          <w:rFonts w:ascii="Arial" w:cs="Arial" w:eastAsia="Arial" w:hAnsi="Arial"/>
          <w:sz w:val="14"/>
          <w:szCs w:val="14"/>
          <w:b w:val="1"/>
          <w:bCs w:val="1"/>
          <w:color w:val="58595B"/>
        </w:rPr>
        <w:t>Achieved 56% of Target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328" w:lineRule="auto"/>
        <w:rPr>
          <w:sz w:val="20"/>
          <w:szCs w:val="20"/>
          <w:color w:val="auto"/>
        </w:rPr>
      </w:pPr>
      <w:r>
        <w:rPr>
          <w:rFonts w:ascii="Arial" w:cs="Arial" w:eastAsia="Arial" w:hAnsi="Arial"/>
          <w:sz w:val="16"/>
          <w:szCs w:val="16"/>
          <w:color w:val="58595B"/>
        </w:rPr>
        <w:t>The specific revenue metric adjustment reviewed and made by the Compensation Committee for 2023, as reflected in the graph above, included an adjustment for foreign exchange impact versus budget. Revenue was adjusted by $1.0 million to $1,542.6 from $1,541.6. See "Appendix A - Reconciliation of Non-GAAP Financial Measures".</w:t>
      </w:r>
    </w:p>
    <w:p>
      <w:pPr>
        <w:spacing w:after="0" w:line="110"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These achievements did not meet the threshold performance levels for each metric; therefore, the overall annual bonus pool was funded at 0% of target. The Compensation Committee determined that no bonus payout should be made to the NEOs for 2023 performance, except with respect to Mr. Mosebrook. Mr. Mosebrook's compensation was established in respect of his role throughout the year as our Senior Vice President, Finance and Principal Accounting Officer and therefore he was eligible for a bonus payment consistent with the non-NEO general employee population (which includes employees at the senior vice president level).</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2023 Annual Bonus (Paid in March 2024)</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shows the actual annual bonus amounts awarded for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60" w:type="dxa"/>
            <w:vAlign w:val="bottom"/>
            <w:shd w:val="clear" w:color="auto" w:fill="009845"/>
          </w:tcPr>
          <w:p>
            <w:pPr>
              <w:spacing w:after="0"/>
              <w:rPr>
                <w:sz w:val="16"/>
                <w:szCs w:val="16"/>
                <w:color w:val="auto"/>
              </w:rPr>
            </w:pPr>
          </w:p>
        </w:tc>
        <w:tc>
          <w:tcPr>
            <w:tcW w:w="20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TARGET AS A % OF</w:t>
            </w:r>
          </w:p>
        </w:tc>
        <w:tc>
          <w:tcPr>
            <w:tcW w:w="19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TARGET AWARD</w:t>
            </w:r>
          </w:p>
        </w:tc>
        <w:tc>
          <w:tcPr>
            <w:tcW w:w="19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Amount</w:t>
            </w:r>
          </w:p>
        </w:tc>
        <w:tc>
          <w:tcPr>
            <w:tcW w:w="19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Actual as a</w:t>
            </w:r>
          </w:p>
        </w:tc>
      </w:tr>
      <w:tr>
        <w:trPr>
          <w:trHeight w:val="248"/>
        </w:trPr>
        <w:tc>
          <w:tcPr>
            <w:tcW w:w="3460" w:type="dxa"/>
            <w:vAlign w:val="bottom"/>
            <w:tcBorders>
              <w:bottom w:val="single" w:sz="8" w:color="009845"/>
            </w:tcBorders>
            <w:shd w:val="clear" w:color="auto" w:fill="009845"/>
          </w:tcPr>
          <w:p>
            <w:pPr>
              <w:spacing w:after="0"/>
              <w:rPr>
                <w:sz w:val="21"/>
                <w:szCs w:val="21"/>
                <w:color w:val="auto"/>
              </w:rPr>
            </w:pPr>
          </w:p>
        </w:tc>
        <w:tc>
          <w:tcPr>
            <w:tcW w:w="20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tcBorders>
              <w:bottom w:val="single" w:sz="8" w:color="009845"/>
            </w:tcBorders>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OPPORTUNITY</w:t>
            </w:r>
          </w:p>
        </w:tc>
        <w:tc>
          <w:tcPr>
            <w:tcW w:w="19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Awarded</w:t>
            </w:r>
          </w:p>
        </w:tc>
        <w:tc>
          <w:tcPr>
            <w:tcW w:w="19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6"/>
              </w:rPr>
              <w:t>% Of Target</w:t>
            </w:r>
            <w:r>
              <w:rPr>
                <w:rFonts w:ascii="Arial" w:cs="Arial" w:eastAsia="Arial" w:hAnsi="Arial"/>
                <w:sz w:val="18"/>
                <w:szCs w:val="18"/>
                <w:b w:val="1"/>
                <w:bCs w:val="1"/>
                <w:color w:val="FFFFFF"/>
                <w:w w:val="96"/>
                <w:vertAlign w:val="superscript"/>
              </w:rPr>
              <w:t>(4)</w:t>
            </w:r>
          </w:p>
        </w:tc>
      </w:tr>
      <w:tr>
        <w:trPr>
          <w:trHeight w:val="230"/>
        </w:trPr>
        <w:tc>
          <w:tcPr>
            <w:tcW w:w="346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58595B"/>
              </w:rPr>
              <w:t>Jan De Witte</w:t>
            </w:r>
          </w:p>
        </w:tc>
        <w:tc>
          <w:tcPr>
            <w:tcW w:w="2000" w:type="dxa"/>
            <w:vAlign w:val="bottom"/>
            <w:shd w:val="clear" w:color="auto" w:fill="EAEAEA"/>
          </w:tcPr>
          <w:p>
            <w:pPr>
              <w:jc w:val="center"/>
              <w:spacing w:after="0"/>
              <w:rPr>
                <w:sz w:val="20"/>
                <w:szCs w:val="20"/>
                <w:color w:val="auto"/>
              </w:rPr>
            </w:pPr>
            <w:r>
              <w:rPr>
                <w:rFonts w:ascii="Arial" w:cs="Arial" w:eastAsia="Arial" w:hAnsi="Arial"/>
                <w:sz w:val="14"/>
                <w:szCs w:val="14"/>
                <w:color w:val="58595B"/>
              </w:rPr>
              <w:t>110%</w:t>
            </w:r>
          </w:p>
        </w:tc>
        <w:tc>
          <w:tcPr>
            <w:tcW w:w="1920" w:type="dxa"/>
            <w:vAlign w:val="bottom"/>
            <w:shd w:val="clear" w:color="auto" w:fill="EAEAEA"/>
          </w:tcPr>
          <w:p>
            <w:pPr>
              <w:jc w:val="center"/>
              <w:ind w:right="8"/>
              <w:spacing w:after="0"/>
              <w:rPr>
                <w:sz w:val="20"/>
                <w:szCs w:val="20"/>
                <w:color w:val="auto"/>
              </w:rPr>
            </w:pPr>
            <w:r>
              <w:rPr>
                <w:rFonts w:ascii="Arial" w:cs="Arial" w:eastAsia="Arial" w:hAnsi="Arial"/>
                <w:sz w:val="14"/>
                <w:szCs w:val="14"/>
                <w:color w:val="58595B"/>
              </w:rPr>
              <w:t>$973,335</w:t>
            </w:r>
          </w:p>
        </w:tc>
        <w:tc>
          <w:tcPr>
            <w:tcW w:w="1940" w:type="dxa"/>
            <w:vAlign w:val="bottom"/>
            <w:shd w:val="clear" w:color="auto" w:fill="EAEAEA"/>
          </w:tcPr>
          <w:p>
            <w:pPr>
              <w:jc w:val="center"/>
              <w:spacing w:after="0"/>
              <w:rPr>
                <w:sz w:val="20"/>
                <w:szCs w:val="20"/>
                <w:color w:val="auto"/>
              </w:rPr>
            </w:pPr>
            <w:r>
              <w:rPr>
                <w:rFonts w:ascii="Arial" w:cs="Arial" w:eastAsia="Arial" w:hAnsi="Arial"/>
                <w:sz w:val="14"/>
                <w:szCs w:val="14"/>
                <w:color w:val="58595B"/>
              </w:rPr>
              <w:t>$0</w:t>
            </w:r>
          </w:p>
        </w:tc>
        <w:tc>
          <w:tcPr>
            <w:tcW w:w="1920" w:type="dxa"/>
            <w:vAlign w:val="bottom"/>
            <w:shd w:val="clear" w:color="auto" w:fill="EAEAEA"/>
          </w:tcPr>
          <w:p>
            <w:pPr>
              <w:jc w:val="center"/>
              <w:spacing w:after="0"/>
              <w:rPr>
                <w:sz w:val="20"/>
                <w:szCs w:val="20"/>
                <w:color w:val="auto"/>
              </w:rPr>
            </w:pPr>
            <w:r>
              <w:rPr>
                <w:rFonts w:ascii="Arial" w:cs="Arial" w:eastAsia="Arial" w:hAnsi="Arial"/>
                <w:sz w:val="14"/>
                <w:szCs w:val="14"/>
                <w:color w:val="58595B"/>
              </w:rPr>
              <w:t>0%</w:t>
            </w:r>
          </w:p>
        </w:tc>
      </w:tr>
      <w:tr>
        <w:trPr>
          <w:trHeight w:val="229"/>
        </w:trPr>
        <w:tc>
          <w:tcPr>
            <w:tcW w:w="3460" w:type="dxa"/>
            <w:vAlign w:val="bottom"/>
          </w:tcPr>
          <w:p>
            <w:pPr>
              <w:ind w:left="100"/>
              <w:spacing w:after="0"/>
              <w:rPr>
                <w:sz w:val="20"/>
                <w:szCs w:val="20"/>
                <w:color w:val="auto"/>
              </w:rPr>
            </w:pPr>
            <w:r>
              <w:rPr>
                <w:rFonts w:ascii="Arial" w:cs="Arial" w:eastAsia="Arial" w:hAnsi="Arial"/>
                <w:sz w:val="14"/>
                <w:szCs w:val="14"/>
                <w:b w:val="1"/>
                <w:bCs w:val="1"/>
                <w:color w:val="58595B"/>
              </w:rPr>
              <w:t>Lea Knight</w:t>
            </w:r>
            <w:r>
              <w:rPr>
                <w:rFonts w:ascii="Arial" w:cs="Arial" w:eastAsia="Arial" w:hAnsi="Arial"/>
                <w:sz w:val="18"/>
                <w:szCs w:val="18"/>
                <w:b w:val="1"/>
                <w:bCs w:val="1"/>
                <w:color w:val="58595B"/>
                <w:vertAlign w:val="superscript"/>
              </w:rPr>
              <w:t>1</w:t>
            </w:r>
          </w:p>
        </w:tc>
        <w:tc>
          <w:tcPr>
            <w:tcW w:w="2000" w:type="dxa"/>
            <w:vAlign w:val="bottom"/>
          </w:tcPr>
          <w:p>
            <w:pPr>
              <w:jc w:val="center"/>
              <w:spacing w:after="0"/>
              <w:rPr>
                <w:sz w:val="20"/>
                <w:szCs w:val="20"/>
                <w:color w:val="auto"/>
              </w:rPr>
            </w:pPr>
            <w:r>
              <w:rPr>
                <w:rFonts w:ascii="Arial" w:cs="Arial" w:eastAsia="Arial" w:hAnsi="Arial"/>
                <w:sz w:val="14"/>
                <w:szCs w:val="14"/>
                <w:color w:val="58595B"/>
                <w:w w:val="99"/>
              </w:rPr>
              <w:t>90%</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$275,400</w:t>
            </w:r>
          </w:p>
        </w:tc>
        <w:tc>
          <w:tcPr>
            <w:tcW w:w="1940" w:type="dxa"/>
            <w:vAlign w:val="bottom"/>
          </w:tcPr>
          <w:p>
            <w:pPr>
              <w:jc w:val="center"/>
              <w:spacing w:after="0"/>
              <w:rPr>
                <w:sz w:val="20"/>
                <w:szCs w:val="20"/>
                <w:color w:val="auto"/>
              </w:rPr>
            </w:pPr>
            <w:r>
              <w:rPr>
                <w:rFonts w:ascii="Arial" w:cs="Arial" w:eastAsia="Arial" w:hAnsi="Arial"/>
                <w:sz w:val="14"/>
                <w:szCs w:val="14"/>
                <w:color w:val="58595B"/>
              </w:rPr>
              <w:t>$0</w:t>
            </w:r>
          </w:p>
        </w:tc>
        <w:tc>
          <w:tcPr>
            <w:tcW w:w="1920" w:type="dxa"/>
            <w:vAlign w:val="bottom"/>
          </w:tcPr>
          <w:p>
            <w:pPr>
              <w:jc w:val="center"/>
              <w:spacing w:after="0"/>
              <w:rPr>
                <w:sz w:val="20"/>
                <w:szCs w:val="20"/>
                <w:color w:val="auto"/>
              </w:rPr>
            </w:pPr>
            <w:r>
              <w:rPr>
                <w:rFonts w:ascii="Arial" w:cs="Arial" w:eastAsia="Arial" w:hAnsi="Arial"/>
                <w:sz w:val="14"/>
                <w:szCs w:val="14"/>
                <w:color w:val="58595B"/>
              </w:rPr>
              <w:t>0%</w:t>
            </w:r>
          </w:p>
        </w:tc>
      </w:tr>
      <w:tr>
        <w:trPr>
          <w:trHeight w:val="230"/>
        </w:trPr>
        <w:tc>
          <w:tcPr>
            <w:tcW w:w="346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58595B"/>
              </w:rPr>
              <w:t>Jeffrey Mosebrook</w:t>
            </w:r>
            <w:r>
              <w:rPr>
                <w:rFonts w:ascii="Arial" w:cs="Arial" w:eastAsia="Arial" w:hAnsi="Arial"/>
                <w:sz w:val="18"/>
                <w:szCs w:val="18"/>
                <w:b w:val="1"/>
                <w:bCs w:val="1"/>
                <w:color w:val="58595B"/>
                <w:vertAlign w:val="superscript"/>
              </w:rPr>
              <w:t>(2)</w:t>
            </w:r>
          </w:p>
        </w:tc>
        <w:tc>
          <w:tcPr>
            <w:tcW w:w="2000" w:type="dxa"/>
            <w:vAlign w:val="bottom"/>
            <w:shd w:val="clear" w:color="auto" w:fill="EAEAEA"/>
          </w:tcPr>
          <w:p>
            <w:pPr>
              <w:jc w:val="center"/>
              <w:spacing w:after="0"/>
              <w:rPr>
                <w:sz w:val="20"/>
                <w:szCs w:val="20"/>
                <w:color w:val="auto"/>
              </w:rPr>
            </w:pPr>
            <w:r>
              <w:rPr>
                <w:rFonts w:ascii="Arial" w:cs="Arial" w:eastAsia="Arial" w:hAnsi="Arial"/>
                <w:sz w:val="14"/>
                <w:szCs w:val="14"/>
                <w:color w:val="58595B"/>
                <w:w w:val="99"/>
              </w:rPr>
              <w:t>35%</w:t>
            </w:r>
          </w:p>
        </w:tc>
        <w:tc>
          <w:tcPr>
            <w:tcW w:w="1920" w:type="dxa"/>
            <w:vAlign w:val="bottom"/>
            <w:shd w:val="clear" w:color="auto" w:fill="EAEAEA"/>
          </w:tcPr>
          <w:p>
            <w:pPr>
              <w:jc w:val="center"/>
              <w:ind w:right="8"/>
              <w:spacing w:after="0"/>
              <w:rPr>
                <w:sz w:val="20"/>
                <w:szCs w:val="20"/>
                <w:color w:val="auto"/>
              </w:rPr>
            </w:pPr>
            <w:r>
              <w:rPr>
                <w:rFonts w:ascii="Arial" w:cs="Arial" w:eastAsia="Arial" w:hAnsi="Arial"/>
                <w:sz w:val="14"/>
                <w:szCs w:val="14"/>
                <w:color w:val="58595B"/>
              </w:rPr>
              <w:t>$133,000</w:t>
            </w:r>
          </w:p>
        </w:tc>
        <w:tc>
          <w:tcPr>
            <w:tcW w:w="1940" w:type="dxa"/>
            <w:vAlign w:val="bottom"/>
            <w:shd w:val="clear" w:color="auto" w:fill="EAEAEA"/>
          </w:tcPr>
          <w:p>
            <w:pPr>
              <w:jc w:val="center"/>
              <w:spacing w:after="0"/>
              <w:rPr>
                <w:sz w:val="20"/>
                <w:szCs w:val="20"/>
                <w:color w:val="auto"/>
              </w:rPr>
            </w:pPr>
            <w:r>
              <w:rPr>
                <w:rFonts w:ascii="Arial" w:cs="Arial" w:eastAsia="Arial" w:hAnsi="Arial"/>
                <w:sz w:val="14"/>
                <w:szCs w:val="14"/>
                <w:color w:val="58595B"/>
                <w:w w:val="99"/>
              </w:rPr>
              <w:t>$111,888</w:t>
            </w:r>
          </w:p>
        </w:tc>
        <w:tc>
          <w:tcPr>
            <w:tcW w:w="1920" w:type="dxa"/>
            <w:vAlign w:val="bottom"/>
            <w:shd w:val="clear" w:color="auto" w:fill="EAEAEA"/>
          </w:tcPr>
          <w:p>
            <w:pPr>
              <w:jc w:val="center"/>
              <w:spacing w:after="0"/>
              <w:rPr>
                <w:sz w:val="20"/>
                <w:szCs w:val="20"/>
                <w:color w:val="auto"/>
              </w:rPr>
            </w:pPr>
            <w:r>
              <w:rPr>
                <w:rFonts w:ascii="Arial" w:cs="Arial" w:eastAsia="Arial" w:hAnsi="Arial"/>
                <w:sz w:val="14"/>
                <w:szCs w:val="14"/>
                <w:color w:val="58595B"/>
              </w:rPr>
              <w:t>84%</w:t>
            </w:r>
          </w:p>
        </w:tc>
      </w:tr>
      <w:tr>
        <w:trPr>
          <w:trHeight w:val="222"/>
        </w:trPr>
        <w:tc>
          <w:tcPr>
            <w:tcW w:w="3460" w:type="dxa"/>
            <w:vAlign w:val="bottom"/>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2000" w:type="dxa"/>
            <w:vAlign w:val="bottom"/>
          </w:tcPr>
          <w:p>
            <w:pPr>
              <w:jc w:val="center"/>
              <w:spacing w:after="0"/>
              <w:rPr>
                <w:sz w:val="20"/>
                <w:szCs w:val="20"/>
                <w:color w:val="auto"/>
              </w:rPr>
            </w:pPr>
            <w:r>
              <w:rPr>
                <w:rFonts w:ascii="Arial" w:cs="Arial" w:eastAsia="Arial" w:hAnsi="Arial"/>
                <w:sz w:val="14"/>
                <w:szCs w:val="14"/>
                <w:color w:val="58595B"/>
                <w:w w:val="99"/>
              </w:rPr>
              <w:t>60%</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$315,440</w:t>
            </w:r>
          </w:p>
        </w:tc>
        <w:tc>
          <w:tcPr>
            <w:tcW w:w="1940" w:type="dxa"/>
            <w:vAlign w:val="bottom"/>
          </w:tcPr>
          <w:p>
            <w:pPr>
              <w:jc w:val="center"/>
              <w:spacing w:after="0"/>
              <w:rPr>
                <w:sz w:val="20"/>
                <w:szCs w:val="20"/>
                <w:color w:val="auto"/>
              </w:rPr>
            </w:pPr>
            <w:r>
              <w:rPr>
                <w:rFonts w:ascii="Arial" w:cs="Arial" w:eastAsia="Arial" w:hAnsi="Arial"/>
                <w:sz w:val="14"/>
                <w:szCs w:val="14"/>
                <w:color w:val="58595B"/>
              </w:rPr>
              <w:t>$0</w:t>
            </w:r>
          </w:p>
        </w:tc>
        <w:tc>
          <w:tcPr>
            <w:tcW w:w="1920" w:type="dxa"/>
            <w:vAlign w:val="bottom"/>
          </w:tcPr>
          <w:p>
            <w:pPr>
              <w:jc w:val="center"/>
              <w:spacing w:after="0"/>
              <w:rPr>
                <w:sz w:val="20"/>
                <w:szCs w:val="20"/>
                <w:color w:val="auto"/>
              </w:rPr>
            </w:pPr>
            <w:r>
              <w:rPr>
                <w:rFonts w:ascii="Arial" w:cs="Arial" w:eastAsia="Arial" w:hAnsi="Arial"/>
                <w:sz w:val="14"/>
                <w:szCs w:val="14"/>
                <w:color w:val="58595B"/>
              </w:rPr>
              <w:t>0%</w:t>
            </w:r>
          </w:p>
        </w:tc>
      </w:tr>
      <w:tr>
        <w:trPr>
          <w:trHeight w:val="237"/>
        </w:trPr>
        <w:tc>
          <w:tcPr>
            <w:tcW w:w="3460" w:type="dxa"/>
            <w:vAlign w:val="bottom"/>
            <w:shd w:val="clear" w:color="auto" w:fill="EAEAEA"/>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2000" w:type="dxa"/>
            <w:vAlign w:val="bottom"/>
            <w:shd w:val="clear" w:color="auto" w:fill="EAEAEA"/>
          </w:tcPr>
          <w:p>
            <w:pPr>
              <w:jc w:val="center"/>
              <w:spacing w:after="0"/>
              <w:rPr>
                <w:sz w:val="20"/>
                <w:szCs w:val="20"/>
                <w:color w:val="auto"/>
              </w:rPr>
            </w:pPr>
            <w:r>
              <w:rPr>
                <w:rFonts w:ascii="Arial" w:cs="Arial" w:eastAsia="Arial" w:hAnsi="Arial"/>
                <w:sz w:val="14"/>
                <w:szCs w:val="14"/>
                <w:color w:val="58595B"/>
                <w:w w:val="99"/>
              </w:rPr>
              <w:t>85%</w:t>
            </w:r>
          </w:p>
        </w:tc>
        <w:tc>
          <w:tcPr>
            <w:tcW w:w="1920" w:type="dxa"/>
            <w:vAlign w:val="bottom"/>
            <w:shd w:val="clear" w:color="auto" w:fill="EAEAEA"/>
          </w:tcPr>
          <w:p>
            <w:pPr>
              <w:jc w:val="center"/>
              <w:ind w:right="8"/>
              <w:spacing w:after="0"/>
              <w:rPr>
                <w:sz w:val="20"/>
                <w:szCs w:val="20"/>
                <w:color w:val="auto"/>
              </w:rPr>
            </w:pPr>
            <w:r>
              <w:rPr>
                <w:rFonts w:ascii="Arial" w:cs="Arial" w:eastAsia="Arial" w:hAnsi="Arial"/>
                <w:sz w:val="14"/>
                <w:szCs w:val="14"/>
                <w:color w:val="58595B"/>
              </w:rPr>
              <w:t>$531,250</w:t>
            </w:r>
          </w:p>
        </w:tc>
        <w:tc>
          <w:tcPr>
            <w:tcW w:w="1940" w:type="dxa"/>
            <w:vAlign w:val="bottom"/>
            <w:shd w:val="clear" w:color="auto" w:fill="EAEAEA"/>
          </w:tcPr>
          <w:p>
            <w:pPr>
              <w:jc w:val="center"/>
              <w:spacing w:after="0"/>
              <w:rPr>
                <w:sz w:val="20"/>
                <w:szCs w:val="20"/>
                <w:color w:val="auto"/>
              </w:rPr>
            </w:pPr>
            <w:r>
              <w:rPr>
                <w:rFonts w:ascii="Arial" w:cs="Arial" w:eastAsia="Arial" w:hAnsi="Arial"/>
                <w:sz w:val="14"/>
                <w:szCs w:val="14"/>
                <w:color w:val="58595B"/>
              </w:rPr>
              <w:t>$0</w:t>
            </w:r>
          </w:p>
        </w:tc>
        <w:tc>
          <w:tcPr>
            <w:tcW w:w="1920" w:type="dxa"/>
            <w:vAlign w:val="bottom"/>
            <w:shd w:val="clear" w:color="auto" w:fill="EAEAEA"/>
          </w:tcPr>
          <w:p>
            <w:pPr>
              <w:jc w:val="center"/>
              <w:spacing w:after="0"/>
              <w:rPr>
                <w:sz w:val="20"/>
                <w:szCs w:val="20"/>
                <w:color w:val="auto"/>
              </w:rPr>
            </w:pPr>
            <w:r>
              <w:rPr>
                <w:rFonts w:ascii="Arial" w:cs="Arial" w:eastAsia="Arial" w:hAnsi="Arial"/>
                <w:sz w:val="14"/>
                <w:szCs w:val="14"/>
                <w:color w:val="58595B"/>
              </w:rPr>
              <w:t>0%</w:t>
            </w:r>
          </w:p>
        </w:tc>
      </w:tr>
      <w:tr>
        <w:trPr>
          <w:trHeight w:val="222"/>
        </w:trPr>
        <w:tc>
          <w:tcPr>
            <w:tcW w:w="3460" w:type="dxa"/>
            <w:vAlign w:val="bottom"/>
          </w:tcPr>
          <w:p>
            <w:pPr>
              <w:ind w:left="100"/>
              <w:spacing w:after="0"/>
              <w:rPr>
                <w:sz w:val="20"/>
                <w:szCs w:val="20"/>
                <w:color w:val="auto"/>
              </w:rPr>
            </w:pPr>
            <w:r>
              <w:rPr>
                <w:rFonts w:ascii="Arial" w:cs="Arial" w:eastAsia="Arial" w:hAnsi="Arial"/>
                <w:sz w:val="14"/>
                <w:szCs w:val="14"/>
                <w:b w:val="1"/>
                <w:bCs w:val="1"/>
                <w:color w:val="58595B"/>
              </w:rPr>
              <w:t>Eric I. Schwartz</w:t>
            </w:r>
          </w:p>
        </w:tc>
        <w:tc>
          <w:tcPr>
            <w:tcW w:w="2000" w:type="dxa"/>
            <w:vAlign w:val="bottom"/>
          </w:tcPr>
          <w:p>
            <w:pPr>
              <w:jc w:val="center"/>
              <w:spacing w:after="0"/>
              <w:rPr>
                <w:sz w:val="20"/>
                <w:szCs w:val="20"/>
                <w:color w:val="auto"/>
              </w:rPr>
            </w:pPr>
            <w:r>
              <w:rPr>
                <w:rFonts w:ascii="Arial" w:cs="Arial" w:eastAsia="Arial" w:hAnsi="Arial"/>
                <w:sz w:val="14"/>
                <w:szCs w:val="14"/>
                <w:color w:val="58595B"/>
                <w:w w:val="99"/>
              </w:rPr>
              <w:t>70%</w:t>
            </w:r>
          </w:p>
        </w:tc>
        <w:tc>
          <w:tcPr>
            <w:tcW w:w="1920" w:type="dxa"/>
            <w:vAlign w:val="bottom"/>
          </w:tcPr>
          <w:p>
            <w:pPr>
              <w:jc w:val="center"/>
              <w:ind w:right="8"/>
              <w:spacing w:after="0"/>
              <w:rPr>
                <w:sz w:val="20"/>
                <w:szCs w:val="20"/>
                <w:color w:val="auto"/>
              </w:rPr>
            </w:pPr>
            <w:r>
              <w:rPr>
                <w:rFonts w:ascii="Arial" w:cs="Arial" w:eastAsia="Arial" w:hAnsi="Arial"/>
                <w:sz w:val="14"/>
                <w:szCs w:val="14"/>
                <w:color w:val="58595B"/>
              </w:rPr>
              <w:t>$378,342</w:t>
            </w:r>
          </w:p>
        </w:tc>
        <w:tc>
          <w:tcPr>
            <w:tcW w:w="1940" w:type="dxa"/>
            <w:vAlign w:val="bottom"/>
          </w:tcPr>
          <w:p>
            <w:pPr>
              <w:jc w:val="center"/>
              <w:spacing w:after="0"/>
              <w:rPr>
                <w:sz w:val="20"/>
                <w:szCs w:val="20"/>
                <w:color w:val="auto"/>
              </w:rPr>
            </w:pPr>
            <w:r>
              <w:rPr>
                <w:rFonts w:ascii="Arial" w:cs="Arial" w:eastAsia="Arial" w:hAnsi="Arial"/>
                <w:sz w:val="14"/>
                <w:szCs w:val="14"/>
                <w:color w:val="58595B"/>
              </w:rPr>
              <w:t>$0</w:t>
            </w:r>
          </w:p>
        </w:tc>
        <w:tc>
          <w:tcPr>
            <w:tcW w:w="1920" w:type="dxa"/>
            <w:vAlign w:val="bottom"/>
          </w:tcPr>
          <w:p>
            <w:pPr>
              <w:jc w:val="center"/>
              <w:spacing w:after="0"/>
              <w:rPr>
                <w:sz w:val="20"/>
                <w:szCs w:val="20"/>
                <w:color w:val="auto"/>
              </w:rPr>
            </w:pPr>
            <w:r>
              <w:rPr>
                <w:rFonts w:ascii="Arial" w:cs="Arial" w:eastAsia="Arial" w:hAnsi="Arial"/>
                <w:sz w:val="14"/>
                <w:szCs w:val="14"/>
                <w:color w:val="58595B"/>
              </w:rPr>
              <w:t>0%</w:t>
            </w:r>
          </w:p>
        </w:tc>
      </w:tr>
      <w:tr>
        <w:trPr>
          <w:trHeight w:val="237"/>
        </w:trPr>
        <w:tc>
          <w:tcPr>
            <w:tcW w:w="3460" w:type="dxa"/>
            <w:vAlign w:val="bottom"/>
            <w:tcBorders>
              <w:bottom w:val="single" w:sz="8" w:color="58595B"/>
            </w:tcBorders>
            <w:shd w:val="clear" w:color="auto" w:fill="EAEAEA"/>
          </w:tcPr>
          <w:p>
            <w:pPr>
              <w:ind w:left="100"/>
              <w:spacing w:after="0"/>
              <w:rPr>
                <w:sz w:val="20"/>
                <w:szCs w:val="20"/>
                <w:color w:val="auto"/>
              </w:rPr>
            </w:pPr>
            <w:r>
              <w:rPr>
                <w:rFonts w:ascii="Arial" w:cs="Arial" w:eastAsia="Arial" w:hAnsi="Arial"/>
                <w:sz w:val="14"/>
                <w:szCs w:val="14"/>
                <w:b w:val="1"/>
                <w:bCs w:val="1"/>
                <w:color w:val="58595B"/>
              </w:rPr>
              <w:t>Carrie Anderson</w:t>
            </w:r>
            <w:r>
              <w:rPr>
                <w:rFonts w:ascii="Arial" w:cs="Arial" w:eastAsia="Arial" w:hAnsi="Arial"/>
                <w:sz w:val="18"/>
                <w:szCs w:val="18"/>
                <w:b w:val="1"/>
                <w:bCs w:val="1"/>
                <w:color w:val="58595B"/>
                <w:vertAlign w:val="superscript"/>
              </w:rPr>
              <w:t>3</w:t>
            </w:r>
          </w:p>
        </w:tc>
        <w:tc>
          <w:tcPr>
            <w:tcW w:w="2000" w:type="dxa"/>
            <w:vAlign w:val="bottom"/>
            <w:tcBorders>
              <w:bottom w:val="single" w:sz="8" w:color="58595B"/>
            </w:tcBorders>
            <w:shd w:val="clear" w:color="auto" w:fill="EAEAEA"/>
          </w:tcPr>
          <w:p>
            <w:pPr>
              <w:jc w:val="center"/>
              <w:spacing w:after="0"/>
              <w:rPr>
                <w:sz w:val="20"/>
                <w:szCs w:val="20"/>
                <w:color w:val="auto"/>
              </w:rPr>
            </w:pPr>
            <w:r>
              <w:rPr>
                <w:rFonts w:ascii="Arial" w:cs="Arial" w:eastAsia="Arial" w:hAnsi="Arial"/>
                <w:sz w:val="14"/>
                <w:szCs w:val="14"/>
                <w:color w:val="58595B"/>
                <w:w w:val="99"/>
              </w:rPr>
              <w:t>80%</w:t>
            </w:r>
          </w:p>
        </w:tc>
        <w:tc>
          <w:tcPr>
            <w:tcW w:w="1920" w:type="dxa"/>
            <w:vAlign w:val="bottom"/>
            <w:tcBorders>
              <w:bottom w:val="single" w:sz="8" w:color="58595B"/>
            </w:tcBorders>
            <w:shd w:val="clear" w:color="auto" w:fill="EAEAEA"/>
          </w:tcPr>
          <w:p>
            <w:pPr>
              <w:jc w:val="center"/>
              <w:ind w:right="8"/>
              <w:spacing w:after="0"/>
              <w:rPr>
                <w:sz w:val="20"/>
                <w:szCs w:val="20"/>
                <w:color w:val="auto"/>
              </w:rPr>
            </w:pPr>
            <w:r>
              <w:rPr>
                <w:rFonts w:ascii="Arial" w:cs="Arial" w:eastAsia="Arial" w:hAnsi="Arial"/>
                <w:sz w:val="14"/>
                <w:szCs w:val="14"/>
                <w:color w:val="58595B"/>
              </w:rPr>
              <w:t>$464,000</w:t>
            </w:r>
          </w:p>
        </w:tc>
        <w:tc>
          <w:tcPr>
            <w:tcW w:w="1940" w:type="dxa"/>
            <w:vAlign w:val="bottom"/>
            <w:tcBorders>
              <w:bottom w:val="single" w:sz="8" w:color="58595B"/>
            </w:tcBorders>
            <w:shd w:val="clear" w:color="auto" w:fill="EAEAEA"/>
          </w:tcPr>
          <w:p>
            <w:pPr>
              <w:jc w:val="center"/>
              <w:spacing w:after="0"/>
              <w:rPr>
                <w:sz w:val="20"/>
                <w:szCs w:val="20"/>
                <w:color w:val="auto"/>
              </w:rPr>
            </w:pPr>
            <w:r>
              <w:rPr>
                <w:rFonts w:ascii="Arial" w:cs="Arial" w:eastAsia="Arial" w:hAnsi="Arial"/>
                <w:sz w:val="14"/>
                <w:szCs w:val="14"/>
                <w:color w:val="58595B"/>
              </w:rPr>
              <w:t>$0</w:t>
            </w:r>
          </w:p>
        </w:tc>
        <w:tc>
          <w:tcPr>
            <w:tcW w:w="1920" w:type="dxa"/>
            <w:vAlign w:val="bottom"/>
            <w:tcBorders>
              <w:bottom w:val="single" w:sz="8" w:color="58595B"/>
            </w:tcBorders>
            <w:shd w:val="clear" w:color="auto" w:fill="EAEAEA"/>
          </w:tcPr>
          <w:p>
            <w:pPr>
              <w:jc w:val="center"/>
              <w:spacing w:after="0"/>
              <w:rPr>
                <w:sz w:val="20"/>
                <w:szCs w:val="20"/>
                <w:color w:val="auto"/>
              </w:rPr>
            </w:pPr>
            <w:r>
              <w:rPr>
                <w:rFonts w:ascii="Arial" w:cs="Arial" w:eastAsia="Arial" w:hAnsi="Arial"/>
                <w:sz w:val="14"/>
                <w:szCs w:val="14"/>
                <w:color w:val="58595B"/>
              </w:rPr>
              <w:t>0%</w:t>
            </w:r>
          </w:p>
        </w:tc>
      </w:tr>
    </w:tbl>
    <w:p>
      <w:pPr>
        <w:spacing w:after="0" w:line="12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Ms. Knight was eligible for a prorated bonus based on her June 28, 2023 hire date.</w:t>
      </w:r>
    </w:p>
    <w:p>
      <w:pPr>
        <w:spacing w:after="0" w:line="68" w:lineRule="exact"/>
        <w:rPr>
          <w:rFonts w:ascii="Arial" w:cs="Arial" w:eastAsia="Arial" w:hAnsi="Arial"/>
          <w:sz w:val="14"/>
          <w:szCs w:val="14"/>
          <w:color w:val="auto"/>
        </w:rPr>
      </w:pPr>
    </w:p>
    <w:p>
      <w:pPr>
        <w:ind w:left="340" w:right="60" w:hanging="332"/>
        <w:spacing w:after="0" w:line="283" w:lineRule="auto"/>
        <w:tabs>
          <w:tab w:leader="none" w:pos="338"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Mosebrook served as our interim Principal Financial Officer from February 2, 2023 to June 28, 2023 until Ms. Knight was appointed as our Chief Financial Officer. Mr. Mosebrook's compensation was established in respect of his role throughout the year as our Senior Vice President, Finance and Principal Accounting Officer and therefore he was eligible for a bonus payment consistent with the non-NEO general employee population (which includes employees at the senior vice president level).</w:t>
      </w:r>
    </w:p>
    <w:p>
      <w:pPr>
        <w:spacing w:after="0" w:line="10"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Effective February 2, 2023, Ms. Anderson resigned from the Company, therefore, was not eligible for a cash bonus payout in March 2023.</w:t>
      </w:r>
    </w:p>
    <w:p>
      <w:pPr>
        <w:spacing w:after="0" w:line="55" w:lineRule="exact"/>
        <w:rPr>
          <w:rFonts w:ascii="Arial" w:cs="Arial" w:eastAsia="Arial" w:hAnsi="Arial"/>
          <w:sz w:val="14"/>
          <w:szCs w:val="14"/>
          <w:color w:val="auto"/>
        </w:rPr>
      </w:pPr>
    </w:p>
    <w:p>
      <w:pPr>
        <w:ind w:left="340" w:right="120" w:hanging="332"/>
        <w:spacing w:after="0" w:line="305" w:lineRule="auto"/>
        <w:tabs>
          <w:tab w:leader="none" w:pos="338" w:val="left"/>
        </w:tabs>
        <w:numPr>
          <w:ilvl w:val="0"/>
          <w:numId w:val="40"/>
        </w:numPr>
        <w:rPr>
          <w:rFonts w:ascii="Arial" w:cs="Arial" w:eastAsia="Arial" w:hAnsi="Arial"/>
          <w:sz w:val="14"/>
          <w:szCs w:val="14"/>
          <w:color w:val="auto"/>
        </w:rPr>
      </w:pPr>
      <w:r>
        <w:rPr>
          <w:rFonts w:ascii="Arial" w:cs="Arial" w:eastAsia="Arial" w:hAnsi="Arial"/>
          <w:sz w:val="14"/>
          <w:szCs w:val="14"/>
          <w:color w:val="auto"/>
        </w:rPr>
        <w:t>Messrs. Davis and Mosebrook elected to defer a percentage of their 2023 annual bonus paid in March 2024 (to the extent that a bonus was paid) under the Non-Qualified Deferred Compensation Program. Specifically, Mr. Davis deferred 35% and Mr. Mosebrook deferred 10%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Equity Grants</w:t>
      </w:r>
    </w:p>
    <w:p>
      <w:pPr>
        <w:spacing w:after="0" w:line="81" w:lineRule="exact"/>
        <w:rPr>
          <w:sz w:val="20"/>
          <w:szCs w:val="20"/>
          <w:color w:val="auto"/>
        </w:rPr>
      </w:pPr>
    </w:p>
    <w:p>
      <w:pPr>
        <w:jc w:val="both"/>
        <w:ind w:right="300"/>
        <w:spacing w:after="0" w:line="328" w:lineRule="auto"/>
        <w:rPr>
          <w:sz w:val="20"/>
          <w:szCs w:val="20"/>
          <w:color w:val="auto"/>
        </w:rPr>
      </w:pPr>
      <w:r>
        <w:rPr>
          <w:rFonts w:ascii="Arial" w:cs="Arial" w:eastAsia="Arial" w:hAnsi="Arial"/>
          <w:sz w:val="16"/>
          <w:szCs w:val="16"/>
          <w:color w:val="58595B"/>
        </w:rPr>
        <w:t>Equity grants help to align executive interests with those of our stockholders. The Compensation Committee considers Company performance, individual performance, long-term potential and market practice when determining the value and type of equity. We award an annual grant mix of restricted stock or restricted stock units (RSUs), non-qualified stock options and performance stock units (PSUs)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69850</wp:posOffset>
            </wp:positionV>
            <wp:extent cx="2657475" cy="1585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5747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480" w:type="dxa"/>
            <w:vAlign w:val="bottom"/>
            <w:shd w:val="clear" w:color="auto" w:fill="009845"/>
          </w:tcPr>
          <w:p>
            <w:pPr>
              <w:jc w:val="center"/>
              <w:ind w:left="2188"/>
              <w:spacing w:after="0"/>
              <w:rPr>
                <w:sz w:val="20"/>
                <w:szCs w:val="20"/>
                <w:color w:val="auto"/>
              </w:rPr>
            </w:pPr>
            <w:r>
              <w:rPr>
                <w:rFonts w:ascii="Arial" w:cs="Arial" w:eastAsia="Arial" w:hAnsi="Arial"/>
                <w:sz w:val="14"/>
                <w:szCs w:val="14"/>
                <w:b w:val="1"/>
                <w:bCs w:val="1"/>
                <w:color w:val="FFFFFF"/>
              </w:rPr>
              <w:t>Restricted Stock</w:t>
            </w:r>
          </w:p>
        </w:tc>
        <w:tc>
          <w:tcPr>
            <w:tcW w:w="22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2120" w:type="dxa"/>
            <w:vAlign w:val="bottom"/>
            <w:vMerge w:val="restart"/>
            <w:shd w:val="clear" w:color="auto" w:fill="009845"/>
          </w:tcPr>
          <w:p>
            <w:pPr>
              <w:ind w:left="620"/>
              <w:spacing w:after="0"/>
              <w:rPr>
                <w:sz w:val="20"/>
                <w:szCs w:val="20"/>
                <w:color w:val="auto"/>
              </w:rPr>
            </w:pPr>
            <w:r>
              <w:rPr>
                <w:rFonts w:ascii="Arial" w:cs="Arial" w:eastAsia="Arial" w:hAnsi="Arial"/>
                <w:sz w:val="14"/>
                <w:szCs w:val="14"/>
                <w:b w:val="1"/>
                <w:bCs w:val="1"/>
                <w:color w:val="FFFFFF"/>
              </w:rPr>
              <w:t>Non-Qualified</w:t>
            </w:r>
          </w:p>
        </w:tc>
        <w:tc>
          <w:tcPr>
            <w:tcW w:w="2320" w:type="dxa"/>
            <w:vAlign w:val="bottom"/>
            <w:vMerge w:val="restart"/>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64"/>
        </w:trPr>
        <w:tc>
          <w:tcPr>
            <w:tcW w:w="4480" w:type="dxa"/>
            <w:vAlign w:val="bottom"/>
            <w:shd w:val="clear" w:color="auto" w:fill="009845"/>
          </w:tcPr>
          <w:p>
            <w:pPr>
              <w:jc w:val="center"/>
              <w:ind w:left="2168"/>
              <w:spacing w:after="0" w:line="164" w:lineRule="exact"/>
              <w:rPr>
                <w:sz w:val="20"/>
                <w:szCs w:val="20"/>
                <w:color w:val="auto"/>
              </w:rPr>
            </w:pPr>
            <w:r>
              <w:rPr>
                <w:rFonts w:ascii="Arial" w:cs="Arial" w:eastAsia="Arial" w:hAnsi="Arial"/>
                <w:sz w:val="14"/>
                <w:szCs w:val="14"/>
                <w:b w:val="1"/>
                <w:bCs w:val="1"/>
                <w:color w:val="FFFFFF"/>
              </w:rPr>
              <w:t>(all NEOS</w:t>
            </w:r>
            <w:r>
              <w:rPr>
                <w:rFonts w:ascii="Arial" w:cs="Arial" w:eastAsia="Arial" w:hAnsi="Arial"/>
                <w:sz w:val="18"/>
                <w:szCs w:val="18"/>
                <w:b w:val="1"/>
                <w:bCs w:val="1"/>
                <w:color w:val="FFFFFF"/>
                <w:vertAlign w:val="superscript"/>
              </w:rPr>
              <w:t>2</w:t>
            </w:r>
          </w:p>
        </w:tc>
        <w:tc>
          <w:tcPr>
            <w:tcW w:w="22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Units (RSUs)</w:t>
            </w:r>
          </w:p>
        </w:tc>
        <w:tc>
          <w:tcPr>
            <w:tcW w:w="2120" w:type="dxa"/>
            <w:vAlign w:val="bottom"/>
            <w:vMerge w:val="continue"/>
            <w:shd w:val="clear" w:color="auto" w:fill="009845"/>
          </w:tcPr>
          <w:p>
            <w:pPr>
              <w:spacing w:after="0"/>
              <w:rPr>
                <w:sz w:val="14"/>
                <w:szCs w:val="14"/>
                <w:color w:val="auto"/>
              </w:rPr>
            </w:pPr>
          </w:p>
        </w:tc>
        <w:tc>
          <w:tcPr>
            <w:tcW w:w="2320" w:type="dxa"/>
            <w:vAlign w:val="bottom"/>
            <w:vMerge w:val="continue"/>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009845"/>
          </w:tcPr>
          <w:p>
            <w:pPr>
              <w:jc w:val="center"/>
              <w:ind w:left="2188"/>
              <w:spacing w:after="0"/>
              <w:rPr>
                <w:sz w:val="20"/>
                <w:szCs w:val="20"/>
                <w:color w:val="auto"/>
              </w:rPr>
            </w:pPr>
            <w:r>
              <w:rPr>
                <w:rFonts w:ascii="Arial" w:cs="Arial" w:eastAsia="Arial" w:hAnsi="Arial"/>
                <w:sz w:val="14"/>
                <w:szCs w:val="14"/>
                <w:b w:val="1"/>
                <w:bCs w:val="1"/>
                <w:color w:val="FFFFFF"/>
              </w:rPr>
              <w:t>except CEO)</w:t>
            </w:r>
          </w:p>
        </w:tc>
        <w:tc>
          <w:tcPr>
            <w:tcW w:w="22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(CEO ONLY)</w:t>
            </w:r>
          </w:p>
        </w:tc>
        <w:tc>
          <w:tcPr>
            <w:tcW w:w="2120" w:type="dxa"/>
            <w:vAlign w:val="bottom"/>
            <w:shd w:val="clear" w:color="auto" w:fill="009845"/>
          </w:tcPr>
          <w:p>
            <w:pPr>
              <w:ind w:left="600"/>
              <w:spacing w:after="0"/>
              <w:rPr>
                <w:sz w:val="20"/>
                <w:szCs w:val="20"/>
                <w:color w:val="auto"/>
              </w:rPr>
            </w:pPr>
            <w:r>
              <w:rPr>
                <w:rFonts w:ascii="Arial" w:cs="Arial" w:eastAsia="Arial" w:hAnsi="Arial"/>
                <w:sz w:val="14"/>
                <w:szCs w:val="14"/>
                <w:b w:val="1"/>
                <w:bCs w:val="1"/>
                <w:color w:val="FFFFFF"/>
              </w:rPr>
              <w:t>Stock Options</w:t>
            </w:r>
          </w:p>
        </w:tc>
        <w:tc>
          <w:tcPr>
            <w:tcW w:w="2320" w:type="dxa"/>
            <w:vAlign w:val="bottom"/>
            <w:shd w:val="clear" w:color="auto" w:fill="009845"/>
          </w:tcPr>
          <w:p>
            <w:pPr>
              <w:jc w:val="center"/>
              <w:ind w:left="8"/>
              <w:spacing w:after="0"/>
              <w:rPr>
                <w:sz w:val="20"/>
                <w:szCs w:val="20"/>
                <w:color w:val="auto"/>
              </w:rPr>
            </w:pPr>
            <w:r>
              <w:rPr>
                <w:rFonts w:ascii="Arial" w:cs="Arial" w:eastAsia="Arial" w:hAnsi="Arial"/>
                <w:sz w:val="14"/>
                <w:szCs w:val="14"/>
                <w:b w:val="1"/>
                <w:bCs w:val="1"/>
                <w:color w:val="FFFFFF"/>
              </w:rPr>
              <w:t>Stock Units (PSUS)</w:t>
            </w:r>
          </w:p>
        </w:tc>
        <w:tc>
          <w:tcPr>
            <w:tcW w:w="0" w:type="dxa"/>
            <w:vAlign w:val="bottom"/>
          </w:tcPr>
          <w:p>
            <w:pPr>
              <w:spacing w:after="0"/>
              <w:rPr>
                <w:sz w:val="1"/>
                <w:szCs w:val="1"/>
                <w:color w:val="auto"/>
              </w:rPr>
            </w:pPr>
          </w:p>
        </w:tc>
      </w:tr>
      <w:tr>
        <w:trPr>
          <w:trHeight w:val="56"/>
        </w:trPr>
        <w:tc>
          <w:tcPr>
            <w:tcW w:w="4480" w:type="dxa"/>
            <w:vAlign w:val="bottom"/>
            <w:shd w:val="clear" w:color="auto" w:fill="009845"/>
          </w:tcPr>
          <w:p>
            <w:pPr>
              <w:spacing w:after="0"/>
              <w:rPr>
                <w:sz w:val="4"/>
                <w:szCs w:val="4"/>
                <w:color w:val="auto"/>
              </w:rPr>
            </w:pPr>
          </w:p>
        </w:tc>
        <w:tc>
          <w:tcPr>
            <w:tcW w:w="2280" w:type="dxa"/>
            <w:vAlign w:val="bottom"/>
            <w:shd w:val="clear" w:color="auto" w:fill="009845"/>
          </w:tcPr>
          <w:p>
            <w:pPr>
              <w:spacing w:after="0"/>
              <w:rPr>
                <w:sz w:val="4"/>
                <w:szCs w:val="4"/>
                <w:color w:val="auto"/>
              </w:rPr>
            </w:pPr>
          </w:p>
        </w:tc>
        <w:tc>
          <w:tcPr>
            <w:tcW w:w="2120" w:type="dxa"/>
            <w:vAlign w:val="bottom"/>
            <w:shd w:val="clear" w:color="auto" w:fill="009845"/>
          </w:tcPr>
          <w:p>
            <w:pPr>
              <w:spacing w:after="0"/>
              <w:rPr>
                <w:sz w:val="4"/>
                <w:szCs w:val="4"/>
                <w:color w:val="auto"/>
              </w:rPr>
            </w:pPr>
          </w:p>
        </w:tc>
        <w:tc>
          <w:tcPr>
            <w:tcW w:w="2320" w:type="dxa"/>
            <w:vAlign w:val="bottom"/>
            <w:shd w:val="clear" w:color="auto" w:fill="00984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482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5175" cy="148272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74" w:lineRule="exact"/>
        <w:rPr>
          <w:sz w:val="20"/>
          <w:szCs w:val="20"/>
          <w:color w:val="auto"/>
        </w:rPr>
      </w:pPr>
    </w:p>
    <w:p>
      <w:pPr>
        <w:ind w:left="2360"/>
        <w:spacing w:after="0"/>
        <w:rPr>
          <w:sz w:val="20"/>
          <w:szCs w:val="20"/>
          <w:color w:val="auto"/>
        </w:rPr>
      </w:pPr>
      <w:r>
        <w:rPr>
          <w:rFonts w:ascii="Arial" w:cs="Arial" w:eastAsia="Arial" w:hAnsi="Arial"/>
          <w:sz w:val="14"/>
          <w:szCs w:val="14"/>
          <w:color w:val="58595B"/>
        </w:rPr>
        <w:t>Represents actual ownership of</w:t>
      </w:r>
    </w:p>
    <w:p>
      <w:pPr>
        <w:spacing w:after="0" w:line="29" w:lineRule="exact"/>
        <w:rPr>
          <w:sz w:val="20"/>
          <w:szCs w:val="20"/>
          <w:color w:val="auto"/>
        </w:rPr>
      </w:pPr>
    </w:p>
    <w:p>
      <w:pPr>
        <w:ind w:left="2360" w:right="60" w:hanging="2239"/>
        <w:spacing w:after="0" w:line="284" w:lineRule="auto"/>
        <w:tabs>
          <w:tab w:leader="none" w:pos="2340" w:val="left"/>
        </w:tabs>
        <w:rPr>
          <w:sz w:val="20"/>
          <w:szCs w:val="20"/>
          <w:color w:val="auto"/>
        </w:rPr>
      </w:pPr>
      <w:r>
        <w:rPr>
          <w:rFonts w:ascii="Arial" w:cs="Arial" w:eastAsia="Arial" w:hAnsi="Arial"/>
          <w:sz w:val="14"/>
          <w:szCs w:val="14"/>
          <w:b w:val="1"/>
          <w:bCs w:val="1"/>
          <w:color w:val="58595B"/>
        </w:rPr>
        <w:t>Definition</w:t>
      </w:r>
      <w:r>
        <w:rPr>
          <w:sz w:val="20"/>
          <w:szCs w:val="20"/>
          <w:color w:val="auto"/>
        </w:rPr>
        <w:tab/>
      </w:r>
      <w:r>
        <w:rPr>
          <w:rFonts w:ascii="Arial" w:cs="Arial" w:eastAsia="Arial" w:hAnsi="Arial"/>
          <w:sz w:val="14"/>
          <w:szCs w:val="14"/>
          <w:color w:val="58595B"/>
        </w:rPr>
        <w:t>Integra stock that becomes the executive’s upon vesting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4"/>
          <w:szCs w:val="14"/>
          <w:color w:val="58595B"/>
        </w:rPr>
        <w:t>Notional units which are redeemable for Integra stock; their value tracks the value of Integra stock</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4"/>
          <w:szCs w:val="14"/>
          <w:color w:val="58595B"/>
        </w:rPr>
        <w:t>Once vested, stock options give an executive the right to purchase Integra stock at an exercise price equal to the closing price of our common stock on the date of grant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58595B"/>
        </w:rPr>
        <w:t>Notional units which are redeemable for Integra stock subject to performance; their value tracks the value of Integra stock</w:t>
      </w:r>
    </w:p>
    <w:p>
      <w:pPr>
        <w:spacing w:after="0" w:line="130" w:lineRule="exact"/>
        <w:rPr>
          <w:sz w:val="20"/>
          <w:szCs w:val="20"/>
          <w:color w:val="auto"/>
        </w:rPr>
      </w:pPr>
    </w:p>
    <w:p>
      <w:pPr>
        <w:sectPr>
          <w:pgSz w:w="11900" w:h="16838" w:orient="portrait"/>
          <w:cols w:equalWidth="0" w:num="4">
            <w:col w:w="4380" w:space="220"/>
            <w:col w:w="1880" w:space="360"/>
            <w:col w:w="2040" w:space="200"/>
            <w:col w:w="216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190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 of Equity Grant</w:t>
            </w:r>
          </w:p>
        </w:tc>
        <w:tc>
          <w:tcPr>
            <w:tcW w:w="2400" w:type="dxa"/>
            <w:vAlign w:val="bottom"/>
            <w:tcBorders>
              <w:bottom w:val="single" w:sz="8" w:color="58595B"/>
            </w:tcBorders>
          </w:tcPr>
          <w:p>
            <w:pPr>
              <w:ind w:left="440"/>
              <w:spacing w:after="0"/>
              <w:rPr>
                <w:sz w:val="20"/>
                <w:szCs w:val="20"/>
                <w:color w:val="auto"/>
              </w:rPr>
            </w:pPr>
            <w:r>
              <w:rPr>
                <w:rFonts w:ascii="Arial" w:cs="Arial" w:eastAsia="Arial" w:hAnsi="Arial"/>
                <w:sz w:val="14"/>
                <w:szCs w:val="14"/>
                <w:color w:val="58595B"/>
              </w:rPr>
              <w:t>25%</w:t>
            </w:r>
          </w:p>
        </w:tc>
        <w:tc>
          <w:tcPr>
            <w:tcW w:w="2420" w:type="dxa"/>
            <w:vAlign w:val="bottom"/>
            <w:tcBorders>
              <w:bottom w:val="single" w:sz="8" w:color="58595B"/>
            </w:tcBorders>
          </w:tcPr>
          <w:p>
            <w:pPr>
              <w:ind w:left="280"/>
              <w:spacing w:after="0"/>
              <w:rPr>
                <w:sz w:val="20"/>
                <w:szCs w:val="20"/>
                <w:color w:val="auto"/>
              </w:rPr>
            </w:pPr>
            <w:r>
              <w:rPr>
                <w:rFonts w:ascii="Arial" w:cs="Arial" w:eastAsia="Arial" w:hAnsi="Arial"/>
                <w:sz w:val="14"/>
                <w:szCs w:val="14"/>
                <w:color w:val="58595B"/>
              </w:rPr>
              <w:t>25%</w:t>
            </w:r>
          </w:p>
        </w:tc>
        <w:tc>
          <w:tcPr>
            <w:tcW w:w="200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25%</w:t>
            </w:r>
          </w:p>
        </w:tc>
        <w:tc>
          <w:tcPr>
            <w:tcW w:w="2480" w:type="dxa"/>
            <w:vAlign w:val="bottom"/>
            <w:tcBorders>
              <w:bottom w:val="single" w:sz="8" w:color="58595B"/>
            </w:tcBorders>
          </w:tcPr>
          <w:p>
            <w:pPr>
              <w:ind w:left="340"/>
              <w:spacing w:after="0"/>
              <w:rPr>
                <w:sz w:val="20"/>
                <w:szCs w:val="20"/>
                <w:color w:val="auto"/>
              </w:rPr>
            </w:pPr>
            <w:r>
              <w:rPr>
                <w:rFonts w:ascii="Arial" w:cs="Arial" w:eastAsia="Arial" w:hAnsi="Arial"/>
                <w:sz w:val="14"/>
                <w:szCs w:val="14"/>
                <w:color w:val="58595B"/>
              </w:rPr>
              <w:t>50%</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Performance Metric</w:t>
            </w:r>
          </w:p>
        </w:tc>
        <w:tc>
          <w:tcPr>
            <w:tcW w:w="2400" w:type="dxa"/>
            <w:vAlign w:val="bottom"/>
            <w:tcBorders>
              <w:bottom w:val="single" w:sz="8" w:color="58595B"/>
            </w:tcBorders>
          </w:tcPr>
          <w:p>
            <w:pPr>
              <w:ind w:left="440"/>
              <w:spacing w:after="0"/>
              <w:rPr>
                <w:sz w:val="20"/>
                <w:szCs w:val="20"/>
                <w:color w:val="auto"/>
              </w:rPr>
            </w:pPr>
            <w:r>
              <w:rPr>
                <w:rFonts w:ascii="Arial" w:cs="Arial" w:eastAsia="Arial" w:hAnsi="Arial"/>
                <w:sz w:val="14"/>
                <w:szCs w:val="14"/>
                <w:color w:val="58595B"/>
              </w:rPr>
              <w:t>Time</w:t>
            </w:r>
          </w:p>
        </w:tc>
        <w:tc>
          <w:tcPr>
            <w:tcW w:w="2420" w:type="dxa"/>
            <w:vAlign w:val="bottom"/>
            <w:tcBorders>
              <w:bottom w:val="single" w:sz="8" w:color="58595B"/>
            </w:tcBorders>
          </w:tcPr>
          <w:p>
            <w:pPr>
              <w:ind w:left="280"/>
              <w:spacing w:after="0"/>
              <w:rPr>
                <w:sz w:val="20"/>
                <w:szCs w:val="20"/>
                <w:color w:val="auto"/>
              </w:rPr>
            </w:pPr>
            <w:r>
              <w:rPr>
                <w:rFonts w:ascii="Arial" w:cs="Arial" w:eastAsia="Arial" w:hAnsi="Arial"/>
                <w:sz w:val="14"/>
                <w:szCs w:val="14"/>
                <w:color w:val="58595B"/>
              </w:rPr>
              <w:t>Time</w:t>
            </w:r>
          </w:p>
        </w:tc>
        <w:tc>
          <w:tcPr>
            <w:tcW w:w="2000" w:type="dxa"/>
            <w:vAlign w:val="bottom"/>
            <w:tcBorders>
              <w:bottom w:val="single" w:sz="8" w:color="58595B"/>
            </w:tcBorders>
          </w:tcPr>
          <w:p>
            <w:pPr>
              <w:ind w:left="100"/>
              <w:spacing w:after="0"/>
              <w:rPr>
                <w:sz w:val="20"/>
                <w:szCs w:val="20"/>
                <w:color w:val="auto"/>
              </w:rPr>
            </w:pPr>
            <w:r>
              <w:rPr>
                <w:rFonts w:ascii="Arial" w:cs="Arial" w:eastAsia="Arial" w:hAnsi="Arial"/>
                <w:sz w:val="14"/>
                <w:szCs w:val="14"/>
                <w:color w:val="58595B"/>
              </w:rPr>
              <w:t>Stock price</w:t>
            </w:r>
          </w:p>
        </w:tc>
        <w:tc>
          <w:tcPr>
            <w:tcW w:w="2480" w:type="dxa"/>
            <w:vAlign w:val="bottom"/>
            <w:tcBorders>
              <w:bottom w:val="single" w:sz="8" w:color="58595B"/>
            </w:tcBorders>
          </w:tcPr>
          <w:p>
            <w:pPr>
              <w:ind w:left="340"/>
              <w:spacing w:after="0"/>
              <w:rPr>
                <w:sz w:val="20"/>
                <w:szCs w:val="20"/>
                <w:color w:val="auto"/>
              </w:rPr>
            </w:pPr>
            <w:r>
              <w:rPr>
                <w:rFonts w:ascii="Arial" w:cs="Arial" w:eastAsia="Arial" w:hAnsi="Arial"/>
                <w:sz w:val="14"/>
                <w:szCs w:val="14"/>
                <w:color w:val="58595B"/>
              </w:rPr>
              <w:t>Organic revenue growth</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20" w:type="dxa"/>
            <w:vAlign w:val="bottom"/>
          </w:tcPr>
          <w:p>
            <w:pPr>
              <w:ind w:left="280"/>
              <w:spacing w:after="0"/>
              <w:rPr>
                <w:sz w:val="20"/>
                <w:szCs w:val="20"/>
                <w:color w:val="auto"/>
              </w:rPr>
            </w:pPr>
            <w:r>
              <w:rPr>
                <w:rFonts w:ascii="Arial" w:cs="Arial" w:eastAsia="Arial" w:hAnsi="Arial"/>
                <w:sz w:val="14"/>
                <w:szCs w:val="14"/>
                <w:color w:val="58595B"/>
              </w:rPr>
              <w:t>Annually over three years;</w:t>
            </w:r>
          </w:p>
        </w:tc>
        <w:tc>
          <w:tcPr>
            <w:tcW w:w="2000" w:type="dxa"/>
            <w:vAlign w:val="bottom"/>
          </w:tcPr>
          <w:p>
            <w:pPr>
              <w:spacing w:after="0"/>
              <w:rPr>
                <w:sz w:val="16"/>
                <w:szCs w:val="16"/>
                <w:color w:val="auto"/>
              </w:rPr>
            </w:pPr>
          </w:p>
        </w:tc>
        <w:tc>
          <w:tcPr>
            <w:tcW w:w="2480" w:type="dxa"/>
            <w:vAlign w:val="bottom"/>
            <w:vMerge w:val="restart"/>
          </w:tcPr>
          <w:p>
            <w:pPr>
              <w:ind w:left="340"/>
              <w:spacing w:after="0"/>
              <w:rPr>
                <w:sz w:val="20"/>
                <w:szCs w:val="20"/>
                <w:color w:val="auto"/>
              </w:rPr>
            </w:pPr>
            <w:r>
              <w:rPr>
                <w:rFonts w:ascii="Arial" w:cs="Arial" w:eastAsia="Arial" w:hAnsi="Arial"/>
                <w:sz w:val="14"/>
                <w:szCs w:val="14"/>
                <w:color w:val="58595B"/>
              </w:rPr>
              <w:t>Annually over three years based</w:t>
            </w: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2400" w:type="dxa"/>
            <w:vAlign w:val="bottom"/>
            <w:vMerge w:val="restart"/>
          </w:tcPr>
          <w:p>
            <w:pPr>
              <w:ind w:left="440"/>
              <w:spacing w:after="0"/>
              <w:rPr>
                <w:sz w:val="20"/>
                <w:szCs w:val="20"/>
                <w:color w:val="auto"/>
              </w:rPr>
            </w:pPr>
            <w:r>
              <w:rPr>
                <w:rFonts w:ascii="Arial" w:cs="Arial" w:eastAsia="Arial" w:hAnsi="Arial"/>
                <w:sz w:val="14"/>
                <w:szCs w:val="14"/>
                <w:color w:val="58595B"/>
              </w:rPr>
              <w:t>Annually over three years</w:t>
            </w:r>
            <w:r>
              <w:rPr>
                <w:rFonts w:ascii="Arial" w:cs="Arial" w:eastAsia="Arial" w:hAnsi="Arial"/>
                <w:sz w:val="18"/>
                <w:szCs w:val="18"/>
                <w:color w:val="58595B"/>
                <w:vertAlign w:val="superscript"/>
              </w:rPr>
              <w:t>1</w:t>
            </w:r>
          </w:p>
        </w:tc>
        <w:tc>
          <w:tcPr>
            <w:tcW w:w="2420" w:type="dxa"/>
            <w:vAlign w:val="bottom"/>
            <w:vMerge w:val="restart"/>
          </w:tcPr>
          <w:p>
            <w:pPr>
              <w:ind w:left="280"/>
              <w:spacing w:after="0"/>
              <w:rPr>
                <w:sz w:val="20"/>
                <w:szCs w:val="20"/>
                <w:color w:val="auto"/>
              </w:rPr>
            </w:pPr>
            <w:r>
              <w:rPr>
                <w:rFonts w:ascii="Arial" w:cs="Arial" w:eastAsia="Arial" w:hAnsi="Arial"/>
                <w:sz w:val="14"/>
                <w:szCs w:val="14"/>
                <w:color w:val="58595B"/>
              </w:rPr>
              <w:t>payment is generally deferred</w:t>
            </w:r>
          </w:p>
        </w:tc>
        <w:tc>
          <w:tcPr>
            <w:tcW w:w="200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900" w:type="dxa"/>
            <w:vAlign w:val="bottom"/>
          </w:tcPr>
          <w:p>
            <w:pPr>
              <w:ind w:left="100"/>
              <w:spacing w:after="0" w:line="145" w:lineRule="exact"/>
              <w:rPr>
                <w:sz w:val="20"/>
                <w:szCs w:val="20"/>
                <w:color w:val="auto"/>
              </w:rPr>
            </w:pPr>
            <w:r>
              <w:rPr>
                <w:rFonts w:ascii="Arial" w:cs="Arial" w:eastAsia="Arial" w:hAnsi="Arial"/>
                <w:sz w:val="14"/>
                <w:szCs w:val="14"/>
                <w:b w:val="1"/>
                <w:bCs w:val="1"/>
                <w:color w:val="58595B"/>
              </w:rPr>
              <w:t>Vesting</w:t>
            </w:r>
          </w:p>
        </w:tc>
        <w:tc>
          <w:tcPr>
            <w:tcW w:w="240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000" w:type="dxa"/>
            <w:vAlign w:val="bottom"/>
          </w:tcPr>
          <w:p>
            <w:pPr>
              <w:ind w:left="100"/>
              <w:spacing w:after="0" w:line="145" w:lineRule="exact"/>
              <w:rPr>
                <w:sz w:val="20"/>
                <w:szCs w:val="20"/>
                <w:color w:val="auto"/>
              </w:rPr>
            </w:pPr>
            <w:r>
              <w:rPr>
                <w:rFonts w:ascii="Arial" w:cs="Arial" w:eastAsia="Arial" w:hAnsi="Arial"/>
                <w:sz w:val="14"/>
                <w:szCs w:val="14"/>
                <w:color w:val="58595B"/>
              </w:rPr>
              <w:t>Annually over four years</w:t>
            </w:r>
          </w:p>
        </w:tc>
        <w:tc>
          <w:tcPr>
            <w:tcW w:w="2480" w:type="dxa"/>
            <w:vAlign w:val="bottom"/>
          </w:tcPr>
          <w:p>
            <w:pPr>
              <w:ind w:left="340"/>
              <w:spacing w:after="0" w:line="145" w:lineRule="exact"/>
              <w:rPr>
                <w:sz w:val="20"/>
                <w:szCs w:val="20"/>
                <w:color w:val="auto"/>
              </w:rPr>
            </w:pPr>
            <w:r>
              <w:rPr>
                <w:rFonts w:ascii="Arial" w:cs="Arial" w:eastAsia="Arial" w:hAnsi="Arial"/>
                <w:sz w:val="14"/>
                <w:szCs w:val="14"/>
                <w:color w:val="58595B"/>
              </w:rPr>
              <w:t>on achievement of performance</w:t>
            </w:r>
          </w:p>
        </w:tc>
        <w:tc>
          <w:tcPr>
            <w:tcW w:w="0" w:type="dxa"/>
            <w:vAlign w:val="bottom"/>
          </w:tcPr>
          <w:p>
            <w:pPr>
              <w:spacing w:after="0"/>
              <w:rPr>
                <w:sz w:val="1"/>
                <w:szCs w:val="1"/>
                <w:color w:val="auto"/>
              </w:rPr>
            </w:pPr>
          </w:p>
        </w:tc>
      </w:tr>
      <w:tr>
        <w:trPr>
          <w:trHeight w:val="112"/>
        </w:trPr>
        <w:tc>
          <w:tcPr>
            <w:tcW w:w="19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20" w:type="dxa"/>
            <w:vAlign w:val="bottom"/>
          </w:tcPr>
          <w:p>
            <w:pPr>
              <w:ind w:left="280"/>
              <w:spacing w:after="0" w:line="113" w:lineRule="exact"/>
              <w:rPr>
                <w:sz w:val="20"/>
                <w:szCs w:val="20"/>
                <w:color w:val="auto"/>
              </w:rPr>
            </w:pPr>
            <w:r>
              <w:rPr>
                <w:rFonts w:ascii="Arial" w:cs="Arial" w:eastAsia="Arial" w:hAnsi="Arial"/>
                <w:sz w:val="13"/>
                <w:szCs w:val="13"/>
                <w:color w:val="58595B"/>
              </w:rPr>
              <w:t>until after CEO’s departure from</w:t>
            </w:r>
          </w:p>
        </w:tc>
        <w:tc>
          <w:tcPr>
            <w:tcW w:w="2000" w:type="dxa"/>
            <w:vAlign w:val="bottom"/>
          </w:tcPr>
          <w:p>
            <w:pPr>
              <w:spacing w:after="0"/>
              <w:rPr>
                <w:sz w:val="9"/>
                <w:szCs w:val="9"/>
                <w:color w:val="auto"/>
              </w:rPr>
            </w:pPr>
          </w:p>
        </w:tc>
        <w:tc>
          <w:tcPr>
            <w:tcW w:w="2480" w:type="dxa"/>
            <w:vAlign w:val="bottom"/>
            <w:vMerge w:val="restart"/>
          </w:tcPr>
          <w:p>
            <w:pPr>
              <w:ind w:left="340"/>
              <w:spacing w:after="0"/>
              <w:rPr>
                <w:sz w:val="20"/>
                <w:szCs w:val="20"/>
                <w:color w:val="auto"/>
              </w:rPr>
            </w:pPr>
            <w:r>
              <w:rPr>
                <w:rFonts w:ascii="Arial" w:cs="Arial" w:eastAsia="Arial" w:hAnsi="Arial"/>
                <w:sz w:val="14"/>
                <w:szCs w:val="14"/>
                <w:color w:val="58595B"/>
              </w:rPr>
              <w:t>goals</w:t>
            </w: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20" w:type="dxa"/>
            <w:vAlign w:val="bottom"/>
            <w:vMerge w:val="restart"/>
          </w:tcPr>
          <w:p>
            <w:pPr>
              <w:ind w:left="280"/>
              <w:spacing w:after="0"/>
              <w:rPr>
                <w:sz w:val="20"/>
                <w:szCs w:val="20"/>
                <w:color w:val="auto"/>
              </w:rPr>
            </w:pPr>
            <w:r>
              <w:rPr>
                <w:rFonts w:ascii="Arial" w:cs="Arial" w:eastAsia="Arial" w:hAnsi="Arial"/>
                <w:sz w:val="14"/>
                <w:szCs w:val="14"/>
                <w:color w:val="58595B"/>
              </w:rPr>
              <w:t>Integra</w:t>
            </w:r>
          </w:p>
        </w:tc>
        <w:tc>
          <w:tcPr>
            <w:tcW w:w="200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900" w:type="dxa"/>
            <w:vAlign w:val="bottom"/>
            <w:tcBorders>
              <w:bottom w:val="single" w:sz="8" w:color="58595B"/>
            </w:tcBorders>
          </w:tcPr>
          <w:p>
            <w:pPr>
              <w:spacing w:after="0" w:line="20" w:lineRule="exact"/>
              <w:rPr>
                <w:sz w:val="1"/>
                <w:szCs w:val="1"/>
                <w:color w:val="auto"/>
              </w:rPr>
            </w:pPr>
          </w:p>
        </w:tc>
        <w:tc>
          <w:tcPr>
            <w:tcW w:w="2400" w:type="dxa"/>
            <w:vAlign w:val="bottom"/>
            <w:tcBorders>
              <w:bottom w:val="single" w:sz="8" w:color="58595B"/>
            </w:tcBorders>
          </w:tcPr>
          <w:p>
            <w:pPr>
              <w:spacing w:after="0" w:line="20" w:lineRule="exact"/>
              <w:rPr>
                <w:sz w:val="1"/>
                <w:szCs w:val="1"/>
                <w:color w:val="auto"/>
              </w:rPr>
            </w:pPr>
          </w:p>
        </w:tc>
        <w:tc>
          <w:tcPr>
            <w:tcW w:w="2420" w:type="dxa"/>
            <w:vAlign w:val="bottom"/>
            <w:tcBorders>
              <w:bottom w:val="single" w:sz="8" w:color="58595B"/>
            </w:tcBorders>
          </w:tcPr>
          <w:p>
            <w:pPr>
              <w:spacing w:after="0" w:line="20" w:lineRule="exact"/>
              <w:rPr>
                <w:sz w:val="1"/>
                <w:szCs w:val="1"/>
                <w:color w:val="auto"/>
              </w:rPr>
            </w:pPr>
          </w:p>
        </w:tc>
        <w:tc>
          <w:tcPr>
            <w:tcW w:w="2000" w:type="dxa"/>
            <w:vAlign w:val="bottom"/>
            <w:tcBorders>
              <w:bottom w:val="single" w:sz="8" w:color="58595B"/>
            </w:tcBorders>
          </w:tcPr>
          <w:p>
            <w:pPr>
              <w:spacing w:after="0" w:line="20" w:lineRule="exact"/>
              <w:rPr>
                <w:sz w:val="1"/>
                <w:szCs w:val="1"/>
                <w:color w:val="auto"/>
              </w:rPr>
            </w:pPr>
          </w:p>
        </w:tc>
        <w:tc>
          <w:tcPr>
            <w:tcW w:w="2480" w:type="dxa"/>
            <w:vAlign w:val="bottom"/>
            <w:tcBorders>
              <w:bottom w:val="single" w:sz="8" w:color="58595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40" w:hanging="332"/>
        <w:spacing w:after="0" w:line="269" w:lineRule="auto"/>
        <w:tabs>
          <w:tab w:leader="none" w:pos="338"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Knight, in consideration of her forfeiture of unvested equity from her prior employer when she joined the Company in June 2023, received a one-time restricted award in the amount of $1,000,000 granted on July 1, 2023. Her award was provided in two grants as follows: $750,000 in restricted stock award that vests in three equal installments on the anniversary dates of the grant for the forfeiture of unvested equity and 2023 bonus from her previous employer and $250,000 in restricted stock that vests on the third anniversary of the grant date for sign-on attraction.</w:t>
      </w:r>
    </w:p>
    <w:p>
      <w:pPr>
        <w:spacing w:after="0" w:line="20" w:lineRule="exact"/>
        <w:rPr>
          <w:rFonts w:ascii="Arial" w:cs="Arial" w:eastAsia="Arial" w:hAnsi="Arial"/>
          <w:sz w:val="14"/>
          <w:szCs w:val="14"/>
          <w:color w:val="auto"/>
        </w:rPr>
      </w:pPr>
    </w:p>
    <w:p>
      <w:pPr>
        <w:ind w:left="340" w:right="640" w:hanging="332"/>
        <w:spacing w:after="0" w:line="305" w:lineRule="auto"/>
        <w:tabs>
          <w:tab w:leader="none" w:pos="338"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Mosebrook's equity grants consists of 50% PSUs and 50% restricted stock consistent with the annual equity grants awarded to other non-NEO US senior vice presidents.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Annual Equity Compensation Grants</w:t>
      </w:r>
    </w:p>
    <w:p>
      <w:pPr>
        <w:spacing w:after="0" w:line="8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58595B"/>
        </w:rPr>
        <w:t>Annual equity grants are typically made in March of each year. The following criteria are evaluated for each of our NEOs when determining the value of their annual equity award:</w:t>
      </w:r>
    </w:p>
    <w:p>
      <w:pPr>
        <w:spacing w:after="0" w:line="101" w:lineRule="exact"/>
        <w:rPr>
          <w:sz w:val="20"/>
          <w:szCs w:val="20"/>
          <w:color w:val="auto"/>
        </w:rPr>
      </w:pPr>
    </w:p>
    <w:p>
      <w:pPr>
        <w:ind w:left="620" w:hanging="126"/>
        <w:spacing w:after="0"/>
        <w:tabs>
          <w:tab w:leader="none" w:pos="62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Performance over the long term;</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Performance during the prior year;</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Long-term potential and succession planning;</w:t>
      </w:r>
    </w:p>
    <w:p>
      <w:pPr>
        <w:spacing w:after="0" w:line="221" w:lineRule="exact"/>
        <w:rPr>
          <w:rFonts w:ascii="Arial" w:cs="Arial" w:eastAsia="Arial" w:hAnsi="Arial"/>
          <w:sz w:val="16"/>
          <w:szCs w:val="16"/>
          <w:color w:val="58595B"/>
        </w:rPr>
      </w:pPr>
    </w:p>
    <w:p>
      <w:pPr>
        <w:ind w:left="620" w:hanging="126"/>
        <w:spacing w:after="0"/>
        <w:tabs>
          <w:tab w:leader="none" w:pos="62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Retention considerations;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Leadership and innovation; and</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2"/>
        </w:numPr>
        <w:rPr>
          <w:rFonts w:ascii="Arial" w:cs="Arial" w:eastAsia="Arial" w:hAnsi="Arial"/>
          <w:sz w:val="16"/>
          <w:szCs w:val="16"/>
          <w:color w:val="58595B"/>
        </w:rPr>
      </w:pPr>
      <w:r>
        <w:rPr>
          <w:rFonts w:ascii="Arial" w:cs="Arial" w:eastAsia="Arial" w:hAnsi="Arial"/>
          <w:sz w:val="16"/>
          <w:szCs w:val="16"/>
          <w:color w:val="58595B"/>
        </w:rPr>
        <w:t>Market practices for comparable positions.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009845"/>
        </w:rPr>
        <w:t>2023 Equity Compensation Decisions</w:t>
      </w:r>
    </w:p>
    <w:p>
      <w:pPr>
        <w:spacing w:after="0" w:line="178"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58595B"/>
        </w:rPr>
        <w:t>The Compensation Committee reviewed the target total direct compensation of our NEOs compared to our peers and made market adjustments to annual equity grant values to continue to be competitive with our peer group.</w:t>
      </w:r>
    </w:p>
    <w:p>
      <w:pPr>
        <w:spacing w:after="0" w:line="115"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In March 2023, NEOs, each received an annual equity grant of PSUs, non-qualified stock options and restricted stock (RSUs for Mr. De Witte). Ms. Knight, in consideration of her forfeiture of unvested equity from her prior employer when she joined the Company in June 2023, received a one-time restricted award in the amount of $1,000,000 granted on July 1, 2023. Her award was provided in two grants as follows: $750,000 in restricted stock award that vests in three equal installments on the anniversary dates of the grant for the forfeiture of unvested equity and 2023 bonus from her previous employer and $250,000 in restricted stock that vests on the third anniversary of the grant date for sign-on attraction.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009845"/>
          </w:tcPr>
          <w:p>
            <w:pPr>
              <w:spacing w:after="0"/>
              <w:rPr>
                <w:sz w:val="18"/>
                <w:szCs w:val="18"/>
                <w:color w:val="auto"/>
              </w:rPr>
            </w:pPr>
          </w:p>
        </w:tc>
        <w:tc>
          <w:tcPr>
            <w:tcW w:w="200" w:type="dxa"/>
            <w:vAlign w:val="bottom"/>
            <w:shd w:val="clear" w:color="auto" w:fill="009845"/>
          </w:tcPr>
          <w:p>
            <w:pPr>
              <w:spacing w:after="0"/>
              <w:rPr>
                <w:sz w:val="18"/>
                <w:szCs w:val="18"/>
                <w:color w:val="auto"/>
              </w:rPr>
            </w:pPr>
          </w:p>
        </w:tc>
        <w:tc>
          <w:tcPr>
            <w:tcW w:w="1380" w:type="dxa"/>
            <w:vAlign w:val="bottom"/>
            <w:shd w:val="clear" w:color="auto" w:fill="009845"/>
          </w:tcPr>
          <w:p>
            <w:pPr>
              <w:spacing w:after="0"/>
              <w:rPr>
                <w:sz w:val="18"/>
                <w:szCs w:val="18"/>
                <w:color w:val="auto"/>
              </w:rPr>
            </w:pPr>
          </w:p>
        </w:tc>
        <w:tc>
          <w:tcPr>
            <w:tcW w:w="340" w:type="dxa"/>
            <w:vAlign w:val="bottom"/>
            <w:shd w:val="clear" w:color="auto" w:fill="009845"/>
          </w:tcPr>
          <w:p>
            <w:pPr>
              <w:spacing w:after="0"/>
              <w:rPr>
                <w:sz w:val="18"/>
                <w:szCs w:val="18"/>
                <w:color w:val="auto"/>
              </w:rPr>
            </w:pPr>
          </w:p>
        </w:tc>
        <w:tc>
          <w:tcPr>
            <w:tcW w:w="3400" w:type="dxa"/>
            <w:vAlign w:val="bottom"/>
            <w:gridSpan w:val="4"/>
            <w:shd w:val="clear" w:color="auto" w:fill="009845"/>
          </w:tcPr>
          <w:p>
            <w:pPr>
              <w:jc w:val="center"/>
              <w:ind w:left="568"/>
              <w:spacing w:after="0"/>
              <w:rPr>
                <w:sz w:val="20"/>
                <w:szCs w:val="20"/>
                <w:color w:val="auto"/>
              </w:rPr>
            </w:pPr>
            <w:r>
              <w:rPr>
                <w:rFonts w:ascii="Arial" w:cs="Arial" w:eastAsia="Arial" w:hAnsi="Arial"/>
                <w:sz w:val="14"/>
                <w:szCs w:val="14"/>
                <w:b w:val="1"/>
                <w:bCs w:val="1"/>
                <w:color w:val="FFFFFF"/>
              </w:rPr>
              <w:t>FAIR MARKET VALUE AT GRANT – 2023</w:t>
            </w:r>
          </w:p>
        </w:tc>
        <w:tc>
          <w:tcPr>
            <w:tcW w:w="960" w:type="dxa"/>
            <w:vAlign w:val="bottom"/>
            <w:shd w:val="clear" w:color="auto" w:fill="009845"/>
          </w:tcPr>
          <w:p>
            <w:pPr>
              <w:spacing w:after="0"/>
              <w:rPr>
                <w:sz w:val="18"/>
                <w:szCs w:val="18"/>
                <w:color w:val="auto"/>
              </w:rPr>
            </w:pPr>
          </w:p>
        </w:tc>
        <w:tc>
          <w:tcPr>
            <w:tcW w:w="500" w:type="dxa"/>
            <w:vAlign w:val="bottom"/>
            <w:shd w:val="clear" w:color="auto" w:fill="009845"/>
          </w:tcPr>
          <w:p>
            <w:pPr>
              <w:spacing w:after="0"/>
              <w:rPr>
                <w:sz w:val="18"/>
                <w:szCs w:val="18"/>
                <w:color w:val="auto"/>
              </w:rPr>
            </w:pPr>
          </w:p>
        </w:tc>
        <w:tc>
          <w:tcPr>
            <w:tcW w:w="1100" w:type="dxa"/>
            <w:vAlign w:val="bottom"/>
            <w:shd w:val="clear" w:color="auto" w:fill="009845"/>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009845"/>
          </w:tcPr>
          <w:p>
            <w:pPr>
              <w:spacing w:after="0"/>
              <w:rPr>
                <w:sz w:val="19"/>
                <w:szCs w:val="19"/>
                <w:color w:val="auto"/>
              </w:rPr>
            </w:pPr>
          </w:p>
        </w:tc>
        <w:tc>
          <w:tcPr>
            <w:tcW w:w="200" w:type="dxa"/>
            <w:vAlign w:val="bottom"/>
            <w:shd w:val="clear" w:color="auto" w:fill="009845"/>
          </w:tcPr>
          <w:p>
            <w:pPr>
              <w:spacing w:after="0"/>
              <w:rPr>
                <w:sz w:val="19"/>
                <w:szCs w:val="19"/>
                <w:color w:val="auto"/>
              </w:rPr>
            </w:pPr>
          </w:p>
        </w:tc>
        <w:tc>
          <w:tcPr>
            <w:tcW w:w="1380" w:type="dxa"/>
            <w:vAlign w:val="bottom"/>
            <w:vMerge w:val="restart"/>
            <w:shd w:val="clear" w:color="auto" w:fill="009845"/>
          </w:tcPr>
          <w:p>
            <w:pPr>
              <w:jc w:val="right"/>
              <w:ind w:right="268"/>
              <w:spacing w:after="0"/>
              <w:rPr>
                <w:sz w:val="20"/>
                <w:szCs w:val="20"/>
                <w:color w:val="auto"/>
              </w:rPr>
            </w:pPr>
            <w:r>
              <w:rPr>
                <w:rFonts w:ascii="Arial" w:cs="Arial" w:eastAsia="Arial" w:hAnsi="Arial"/>
                <w:sz w:val="14"/>
                <w:szCs w:val="14"/>
                <w:b w:val="1"/>
                <w:bCs w:val="1"/>
                <w:color w:val="FFFFFF"/>
              </w:rPr>
              <w:t>RESTRICTED</w:t>
            </w:r>
          </w:p>
        </w:tc>
        <w:tc>
          <w:tcPr>
            <w:tcW w:w="340" w:type="dxa"/>
            <w:vAlign w:val="bottom"/>
            <w:shd w:val="clear" w:color="auto" w:fill="009845"/>
          </w:tcPr>
          <w:p>
            <w:pPr>
              <w:spacing w:after="0"/>
              <w:rPr>
                <w:sz w:val="19"/>
                <w:szCs w:val="19"/>
                <w:color w:val="auto"/>
              </w:rPr>
            </w:pPr>
          </w:p>
        </w:tc>
        <w:tc>
          <w:tcPr>
            <w:tcW w:w="1200" w:type="dxa"/>
            <w:vAlign w:val="bottom"/>
            <w:shd w:val="clear" w:color="auto" w:fill="009845"/>
          </w:tcPr>
          <w:p>
            <w:pPr>
              <w:spacing w:after="0"/>
              <w:rPr>
                <w:sz w:val="19"/>
                <w:szCs w:val="19"/>
                <w:color w:val="auto"/>
              </w:rPr>
            </w:pPr>
          </w:p>
        </w:tc>
        <w:tc>
          <w:tcPr>
            <w:tcW w:w="180" w:type="dxa"/>
            <w:vAlign w:val="bottom"/>
            <w:shd w:val="clear" w:color="auto" w:fill="009845"/>
          </w:tcPr>
          <w:p>
            <w:pPr>
              <w:spacing w:after="0"/>
              <w:rPr>
                <w:sz w:val="19"/>
                <w:szCs w:val="19"/>
                <w:color w:val="auto"/>
              </w:rPr>
            </w:pPr>
          </w:p>
        </w:tc>
        <w:tc>
          <w:tcPr>
            <w:tcW w:w="140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NON-QUALIFIED</w:t>
            </w:r>
          </w:p>
        </w:tc>
        <w:tc>
          <w:tcPr>
            <w:tcW w:w="620" w:type="dxa"/>
            <w:vAlign w:val="bottom"/>
            <w:shd w:val="clear" w:color="auto" w:fill="009845"/>
          </w:tcPr>
          <w:p>
            <w:pPr>
              <w:spacing w:after="0"/>
              <w:rPr>
                <w:sz w:val="19"/>
                <w:szCs w:val="19"/>
                <w:color w:val="auto"/>
              </w:rPr>
            </w:pPr>
          </w:p>
        </w:tc>
        <w:tc>
          <w:tcPr>
            <w:tcW w:w="960" w:type="dxa"/>
            <w:vAlign w:val="bottom"/>
            <w:shd w:val="clear" w:color="auto" w:fill="009845"/>
          </w:tcPr>
          <w:p>
            <w:pPr>
              <w:spacing w:after="0"/>
              <w:rPr>
                <w:sz w:val="19"/>
                <w:szCs w:val="19"/>
                <w:color w:val="auto"/>
              </w:rPr>
            </w:pPr>
          </w:p>
        </w:tc>
        <w:tc>
          <w:tcPr>
            <w:tcW w:w="500" w:type="dxa"/>
            <w:vAlign w:val="bottom"/>
            <w:shd w:val="clear" w:color="auto" w:fill="009845"/>
          </w:tcPr>
          <w:p>
            <w:pPr>
              <w:spacing w:after="0"/>
              <w:rPr>
                <w:sz w:val="19"/>
                <w:szCs w:val="19"/>
                <w:color w:val="auto"/>
              </w:rPr>
            </w:pPr>
          </w:p>
        </w:tc>
        <w:tc>
          <w:tcPr>
            <w:tcW w:w="1100" w:type="dxa"/>
            <w:vAlign w:val="bottom"/>
            <w:shd w:val="clear" w:color="auto" w:fill="009845"/>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009845"/>
          </w:tcPr>
          <w:p>
            <w:pPr>
              <w:spacing w:after="0"/>
              <w:rPr>
                <w:sz w:val="14"/>
                <w:szCs w:val="14"/>
                <w:color w:val="auto"/>
              </w:rPr>
            </w:pPr>
          </w:p>
        </w:tc>
        <w:tc>
          <w:tcPr>
            <w:tcW w:w="200" w:type="dxa"/>
            <w:vAlign w:val="bottom"/>
            <w:shd w:val="clear" w:color="auto" w:fill="009845"/>
          </w:tcPr>
          <w:p>
            <w:pPr>
              <w:spacing w:after="0"/>
              <w:rPr>
                <w:sz w:val="14"/>
                <w:szCs w:val="14"/>
                <w:color w:val="auto"/>
              </w:rPr>
            </w:pPr>
          </w:p>
        </w:tc>
        <w:tc>
          <w:tcPr>
            <w:tcW w:w="1380" w:type="dxa"/>
            <w:vAlign w:val="bottom"/>
            <w:vMerge w:val="continue"/>
            <w:shd w:val="clear" w:color="auto" w:fill="009845"/>
          </w:tcPr>
          <w:p>
            <w:pPr>
              <w:spacing w:after="0"/>
              <w:rPr>
                <w:sz w:val="14"/>
                <w:szCs w:val="14"/>
                <w:color w:val="auto"/>
              </w:rPr>
            </w:pPr>
          </w:p>
        </w:tc>
        <w:tc>
          <w:tcPr>
            <w:tcW w:w="340" w:type="dxa"/>
            <w:vAlign w:val="bottom"/>
            <w:shd w:val="clear" w:color="auto" w:fill="009845"/>
          </w:tcPr>
          <w:p>
            <w:pPr>
              <w:spacing w:after="0"/>
              <w:rPr>
                <w:sz w:val="14"/>
                <w:szCs w:val="14"/>
                <w:color w:val="auto"/>
              </w:rPr>
            </w:pPr>
          </w:p>
        </w:tc>
        <w:tc>
          <w:tcPr>
            <w:tcW w:w="1200" w:type="dxa"/>
            <w:vAlign w:val="bottom"/>
            <w:shd w:val="clear" w:color="auto" w:fill="009845"/>
          </w:tcPr>
          <w:p>
            <w:pPr>
              <w:spacing w:after="0"/>
              <w:rPr>
                <w:sz w:val="14"/>
                <w:szCs w:val="14"/>
                <w:color w:val="auto"/>
              </w:rPr>
            </w:pPr>
          </w:p>
        </w:tc>
        <w:tc>
          <w:tcPr>
            <w:tcW w:w="180" w:type="dxa"/>
            <w:vAlign w:val="bottom"/>
            <w:shd w:val="clear" w:color="auto" w:fill="009845"/>
          </w:tcPr>
          <w:p>
            <w:pPr>
              <w:spacing w:after="0"/>
              <w:rPr>
                <w:sz w:val="14"/>
                <w:szCs w:val="14"/>
                <w:color w:val="auto"/>
              </w:rPr>
            </w:pPr>
          </w:p>
        </w:tc>
        <w:tc>
          <w:tcPr>
            <w:tcW w:w="140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STOCK</w:t>
            </w:r>
          </w:p>
        </w:tc>
        <w:tc>
          <w:tcPr>
            <w:tcW w:w="620" w:type="dxa"/>
            <w:vAlign w:val="bottom"/>
            <w:shd w:val="clear" w:color="auto" w:fill="009845"/>
          </w:tcPr>
          <w:p>
            <w:pPr>
              <w:spacing w:after="0"/>
              <w:rPr>
                <w:sz w:val="14"/>
                <w:szCs w:val="14"/>
                <w:color w:val="auto"/>
              </w:rPr>
            </w:pPr>
          </w:p>
        </w:tc>
        <w:tc>
          <w:tcPr>
            <w:tcW w:w="960" w:type="dxa"/>
            <w:vAlign w:val="bottom"/>
            <w:shd w:val="clear" w:color="auto" w:fill="009845"/>
          </w:tcPr>
          <w:p>
            <w:pPr>
              <w:spacing w:after="0"/>
              <w:rPr>
                <w:sz w:val="14"/>
                <w:szCs w:val="14"/>
                <w:color w:val="auto"/>
              </w:rPr>
            </w:pPr>
          </w:p>
        </w:tc>
        <w:tc>
          <w:tcPr>
            <w:tcW w:w="500" w:type="dxa"/>
            <w:vAlign w:val="bottom"/>
            <w:shd w:val="clear" w:color="auto" w:fill="009845"/>
          </w:tcPr>
          <w:p>
            <w:pPr>
              <w:spacing w:after="0"/>
              <w:rPr>
                <w:sz w:val="14"/>
                <w:szCs w:val="14"/>
                <w:color w:val="auto"/>
              </w:rPr>
            </w:pPr>
          </w:p>
        </w:tc>
        <w:tc>
          <w:tcPr>
            <w:tcW w:w="1100" w:type="dxa"/>
            <w:vAlign w:val="bottom"/>
            <w:shd w:val="clear" w:color="auto" w:fill="009845"/>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009845"/>
            </w:tcBorders>
            <w:shd w:val="clear" w:color="auto" w:fill="009845"/>
          </w:tcPr>
          <w:p>
            <w:pPr>
              <w:spacing w:after="0"/>
              <w:rPr>
                <w:sz w:val="21"/>
                <w:szCs w:val="21"/>
                <w:color w:val="auto"/>
              </w:rPr>
            </w:pPr>
          </w:p>
        </w:tc>
        <w:tc>
          <w:tcPr>
            <w:tcW w:w="200" w:type="dxa"/>
            <w:vAlign w:val="bottom"/>
            <w:tcBorders>
              <w:bottom w:val="single" w:sz="8" w:color="009845"/>
            </w:tcBorders>
            <w:shd w:val="clear" w:color="auto" w:fill="009845"/>
          </w:tcPr>
          <w:p>
            <w:pPr>
              <w:spacing w:after="0"/>
              <w:rPr>
                <w:sz w:val="21"/>
                <w:szCs w:val="21"/>
                <w:color w:val="auto"/>
              </w:rPr>
            </w:pPr>
          </w:p>
        </w:tc>
        <w:tc>
          <w:tcPr>
            <w:tcW w:w="1380" w:type="dxa"/>
            <w:vAlign w:val="bottom"/>
            <w:tcBorders>
              <w:bottom w:val="single" w:sz="8" w:color="009845"/>
            </w:tcBorders>
            <w:shd w:val="clear" w:color="auto" w:fill="009845"/>
          </w:tcPr>
          <w:p>
            <w:pPr>
              <w:jc w:val="right"/>
              <w:ind w:right="468"/>
              <w:spacing w:after="0"/>
              <w:rPr>
                <w:sz w:val="20"/>
                <w:szCs w:val="20"/>
                <w:color w:val="auto"/>
              </w:rPr>
            </w:pPr>
            <w:r>
              <w:rPr>
                <w:rFonts w:ascii="Arial" w:cs="Arial" w:eastAsia="Arial" w:hAnsi="Arial"/>
                <w:sz w:val="14"/>
                <w:szCs w:val="14"/>
                <w:b w:val="1"/>
                <w:bCs w:val="1"/>
                <w:color w:val="FFFFFF"/>
              </w:rPr>
              <w:t>STOCK</w:t>
            </w:r>
          </w:p>
        </w:tc>
        <w:tc>
          <w:tcPr>
            <w:tcW w:w="340" w:type="dxa"/>
            <w:vAlign w:val="bottom"/>
            <w:tcBorders>
              <w:bottom w:val="single" w:sz="8" w:color="009845"/>
            </w:tcBorders>
            <w:shd w:val="clear" w:color="auto" w:fill="009845"/>
          </w:tcPr>
          <w:p>
            <w:pPr>
              <w:spacing w:after="0"/>
              <w:rPr>
                <w:sz w:val="21"/>
                <w:szCs w:val="21"/>
                <w:color w:val="auto"/>
              </w:rPr>
            </w:pPr>
          </w:p>
        </w:tc>
        <w:tc>
          <w:tcPr>
            <w:tcW w:w="1200" w:type="dxa"/>
            <w:vAlign w:val="bottom"/>
            <w:tcBorders>
              <w:bottom w:val="single" w:sz="8" w:color="009845"/>
            </w:tcBorders>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rPr>
              <w:t>RSUs</w:t>
            </w:r>
          </w:p>
        </w:tc>
        <w:tc>
          <w:tcPr>
            <w:tcW w:w="180" w:type="dxa"/>
            <w:vAlign w:val="bottom"/>
            <w:tcBorders>
              <w:bottom w:val="single" w:sz="8" w:color="009845"/>
            </w:tcBorders>
            <w:shd w:val="clear" w:color="auto" w:fill="009845"/>
          </w:tcPr>
          <w:p>
            <w:pPr>
              <w:spacing w:after="0"/>
              <w:rPr>
                <w:sz w:val="21"/>
                <w:szCs w:val="21"/>
                <w:color w:val="auto"/>
              </w:rPr>
            </w:pPr>
          </w:p>
        </w:tc>
        <w:tc>
          <w:tcPr>
            <w:tcW w:w="140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OPTIONS</w:t>
            </w:r>
          </w:p>
        </w:tc>
        <w:tc>
          <w:tcPr>
            <w:tcW w:w="620" w:type="dxa"/>
            <w:vAlign w:val="bottom"/>
            <w:tcBorders>
              <w:bottom w:val="single" w:sz="8" w:color="009845"/>
            </w:tcBorders>
            <w:shd w:val="clear" w:color="auto" w:fill="009845"/>
          </w:tcPr>
          <w:p>
            <w:pPr>
              <w:spacing w:after="0"/>
              <w:rPr>
                <w:sz w:val="21"/>
                <w:szCs w:val="21"/>
                <w:color w:val="auto"/>
              </w:rPr>
            </w:pPr>
          </w:p>
        </w:tc>
        <w:tc>
          <w:tcPr>
            <w:tcW w:w="960" w:type="dxa"/>
            <w:vAlign w:val="bottom"/>
            <w:tcBorders>
              <w:bottom w:val="single" w:sz="8" w:color="009845"/>
            </w:tcBorders>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w w:val="98"/>
              </w:rPr>
              <w:t>PSUs</w:t>
            </w:r>
          </w:p>
        </w:tc>
        <w:tc>
          <w:tcPr>
            <w:tcW w:w="500" w:type="dxa"/>
            <w:vAlign w:val="bottom"/>
            <w:tcBorders>
              <w:bottom w:val="single" w:sz="8" w:color="009845"/>
            </w:tcBorders>
            <w:shd w:val="clear" w:color="auto" w:fill="009845"/>
          </w:tcPr>
          <w:p>
            <w:pPr>
              <w:spacing w:after="0"/>
              <w:rPr>
                <w:sz w:val="21"/>
                <w:szCs w:val="21"/>
                <w:color w:val="auto"/>
              </w:rPr>
            </w:pPr>
          </w:p>
        </w:tc>
        <w:tc>
          <w:tcPr>
            <w:tcW w:w="1100" w:type="dxa"/>
            <w:vAlign w:val="bottom"/>
            <w:tcBorders>
              <w:bottom w:val="single" w:sz="8" w:color="009845"/>
            </w:tcBorders>
            <w:shd w:val="clear" w:color="auto" w:fill="009845"/>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2"/>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Jan De Witte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58595B"/>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58595B"/>
              </w:rPr>
              <w:t>1,375,043</w:t>
            </w: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1400" w:type="dxa"/>
            <w:vAlign w:val="bottom"/>
          </w:tcPr>
          <w:p>
            <w:pPr>
              <w:jc w:val="right"/>
              <w:spacing w:after="0"/>
              <w:rPr>
                <w:sz w:val="20"/>
                <w:szCs w:val="20"/>
                <w:color w:val="auto"/>
              </w:rPr>
            </w:pPr>
            <w:r>
              <w:rPr>
                <w:rFonts w:ascii="Arial" w:cs="Arial" w:eastAsia="Arial" w:hAnsi="Arial"/>
                <w:sz w:val="14"/>
                <w:szCs w:val="14"/>
                <w:color w:val="58595B"/>
              </w:rPr>
              <w:t>1,375,013</w:t>
            </w:r>
          </w:p>
        </w:tc>
        <w:tc>
          <w:tcPr>
            <w:tcW w:w="62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tcPr>
          <w:p>
            <w:pPr>
              <w:jc w:val="right"/>
              <w:spacing w:after="0"/>
              <w:rPr>
                <w:sz w:val="20"/>
                <w:szCs w:val="20"/>
                <w:color w:val="auto"/>
              </w:rPr>
            </w:pPr>
            <w:r>
              <w:rPr>
                <w:rFonts w:ascii="Arial" w:cs="Arial" w:eastAsia="Arial" w:hAnsi="Arial"/>
                <w:sz w:val="14"/>
                <w:szCs w:val="14"/>
                <w:color w:val="58595B"/>
              </w:rPr>
              <w:t>2,750,033</w:t>
            </w:r>
          </w:p>
        </w:tc>
        <w:tc>
          <w:tcPr>
            <w:tcW w:w="50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5,500,089</w:t>
            </w:r>
          </w:p>
        </w:tc>
        <w:tc>
          <w:tcPr>
            <w:tcW w:w="0" w:type="dxa"/>
            <w:vAlign w:val="bottom"/>
          </w:tcPr>
          <w:p>
            <w:pPr>
              <w:spacing w:after="0"/>
              <w:rPr>
                <w:sz w:val="1"/>
                <w:szCs w:val="1"/>
                <w:color w:val="auto"/>
              </w:rPr>
            </w:pPr>
          </w:p>
        </w:tc>
      </w:tr>
      <w:tr>
        <w:trPr>
          <w:trHeight w:val="237"/>
        </w:trPr>
        <w:tc>
          <w:tcPr>
            <w:tcW w:w="304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Lea Knight</w:t>
            </w:r>
          </w:p>
        </w:tc>
        <w:tc>
          <w:tcPr>
            <w:tcW w:w="2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1,000,031</w:t>
            </w:r>
          </w:p>
        </w:tc>
        <w:tc>
          <w:tcPr>
            <w:tcW w:w="340" w:type="dxa"/>
            <w:vAlign w:val="bottom"/>
            <w:shd w:val="clear" w:color="auto" w:fill="EFEDED"/>
          </w:tcPr>
          <w:p>
            <w:pPr>
              <w:spacing w:after="0"/>
              <w:rPr>
                <w:sz w:val="20"/>
                <w:szCs w:val="20"/>
                <w:color w:val="auto"/>
              </w:rPr>
            </w:pPr>
          </w:p>
        </w:tc>
        <w:tc>
          <w:tcPr>
            <w:tcW w:w="1200" w:type="dxa"/>
            <w:vAlign w:val="bottom"/>
            <w:shd w:val="clear" w:color="auto" w:fill="EFEDED"/>
          </w:tcPr>
          <w:p>
            <w:pPr>
              <w:spacing w:after="0"/>
              <w:rPr>
                <w:sz w:val="20"/>
                <w:szCs w:val="20"/>
                <w:color w:val="auto"/>
              </w:rPr>
            </w:pPr>
          </w:p>
        </w:tc>
        <w:tc>
          <w:tcPr>
            <w:tcW w:w="180" w:type="dxa"/>
            <w:vAlign w:val="bottom"/>
            <w:shd w:val="clear" w:color="auto" w:fill="EFEDED"/>
          </w:tcPr>
          <w:p>
            <w:pPr>
              <w:spacing w:after="0"/>
              <w:rPr>
                <w:sz w:val="20"/>
                <w:szCs w:val="20"/>
                <w:color w:val="auto"/>
              </w:rPr>
            </w:pPr>
          </w:p>
        </w:tc>
        <w:tc>
          <w:tcPr>
            <w:tcW w:w="1400" w:type="dxa"/>
            <w:vAlign w:val="bottom"/>
            <w:shd w:val="clear" w:color="auto" w:fill="EFEDED"/>
          </w:tcPr>
          <w:p>
            <w:pPr>
              <w:spacing w:after="0"/>
              <w:rPr>
                <w:sz w:val="20"/>
                <w:szCs w:val="20"/>
                <w:color w:val="auto"/>
              </w:rPr>
            </w:pPr>
          </w:p>
        </w:tc>
        <w:tc>
          <w:tcPr>
            <w:tcW w:w="620" w:type="dxa"/>
            <w:vAlign w:val="bottom"/>
            <w:shd w:val="clear" w:color="auto" w:fill="EFEDED"/>
          </w:tcPr>
          <w:p>
            <w:pPr>
              <w:spacing w:after="0"/>
              <w:rPr>
                <w:sz w:val="20"/>
                <w:szCs w:val="20"/>
                <w:color w:val="auto"/>
              </w:rPr>
            </w:pPr>
          </w:p>
        </w:tc>
        <w:tc>
          <w:tcPr>
            <w:tcW w:w="960" w:type="dxa"/>
            <w:vAlign w:val="bottom"/>
            <w:shd w:val="clear" w:color="auto" w:fill="EFEDED"/>
          </w:tcPr>
          <w:p>
            <w:pPr>
              <w:spacing w:after="0"/>
              <w:rPr>
                <w:sz w:val="20"/>
                <w:szCs w:val="20"/>
                <w:color w:val="auto"/>
              </w:rPr>
            </w:pPr>
          </w:p>
        </w:tc>
        <w:tc>
          <w:tcPr>
            <w:tcW w:w="50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1,000,031</w:t>
            </w:r>
          </w:p>
        </w:tc>
        <w:tc>
          <w:tcPr>
            <w:tcW w:w="0" w:type="dxa"/>
            <w:vAlign w:val="bottom"/>
          </w:tcPr>
          <w:p>
            <w:pPr>
              <w:spacing w:after="0"/>
              <w:rPr>
                <w:sz w:val="1"/>
                <w:szCs w:val="1"/>
                <w:color w:val="auto"/>
              </w:rPr>
            </w:pPr>
          </w:p>
        </w:tc>
      </w:tr>
      <w:tr>
        <w:trPr>
          <w:trHeight w:val="229"/>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Jeffrey Mosebrook</w:t>
            </w:r>
            <w:r>
              <w:rPr>
                <w:rFonts w:ascii="Arial" w:cs="Arial" w:eastAsia="Arial" w:hAnsi="Arial"/>
                <w:sz w:val="18"/>
                <w:szCs w:val="18"/>
                <w:b w:val="1"/>
                <w:bCs w:val="1"/>
                <w:color w:val="58595B"/>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58595B"/>
              </w:rPr>
              <w:t>663,298</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tcPr>
          <w:p>
            <w:pPr>
              <w:jc w:val="right"/>
              <w:spacing w:after="0"/>
              <w:rPr>
                <w:sz w:val="20"/>
                <w:szCs w:val="20"/>
                <w:color w:val="auto"/>
              </w:rPr>
            </w:pPr>
            <w:r>
              <w:rPr>
                <w:rFonts w:ascii="Arial" w:cs="Arial" w:eastAsia="Arial" w:hAnsi="Arial"/>
                <w:sz w:val="14"/>
                <w:szCs w:val="14"/>
                <w:color w:val="58595B"/>
              </w:rPr>
              <w:t>96,858</w:t>
            </w:r>
          </w:p>
        </w:tc>
        <w:tc>
          <w:tcPr>
            <w:tcW w:w="50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760,156</w:t>
            </w:r>
          </w:p>
        </w:tc>
        <w:tc>
          <w:tcPr>
            <w:tcW w:w="0" w:type="dxa"/>
            <w:vAlign w:val="bottom"/>
          </w:tcPr>
          <w:p>
            <w:pPr>
              <w:spacing w:after="0"/>
              <w:rPr>
                <w:sz w:val="1"/>
                <w:szCs w:val="1"/>
                <w:color w:val="auto"/>
              </w:rPr>
            </w:pPr>
          </w:p>
        </w:tc>
      </w:tr>
      <w:tr>
        <w:trPr>
          <w:trHeight w:val="230"/>
        </w:trPr>
        <w:tc>
          <w:tcPr>
            <w:tcW w:w="304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2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223,481</w:t>
            </w:r>
          </w:p>
        </w:tc>
        <w:tc>
          <w:tcPr>
            <w:tcW w:w="340" w:type="dxa"/>
            <w:vAlign w:val="bottom"/>
            <w:shd w:val="clear" w:color="auto" w:fill="EFEDED"/>
          </w:tcPr>
          <w:p>
            <w:pPr>
              <w:spacing w:after="0"/>
              <w:rPr>
                <w:sz w:val="19"/>
                <w:szCs w:val="19"/>
                <w:color w:val="auto"/>
              </w:rPr>
            </w:pPr>
          </w:p>
        </w:tc>
        <w:tc>
          <w:tcPr>
            <w:tcW w:w="1200" w:type="dxa"/>
            <w:vAlign w:val="bottom"/>
            <w:shd w:val="clear" w:color="auto" w:fill="EFEDED"/>
          </w:tcPr>
          <w:p>
            <w:pPr>
              <w:spacing w:after="0"/>
              <w:rPr>
                <w:sz w:val="19"/>
                <w:szCs w:val="19"/>
                <w:color w:val="auto"/>
              </w:rPr>
            </w:pPr>
          </w:p>
        </w:tc>
        <w:tc>
          <w:tcPr>
            <w:tcW w:w="1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223,439</w:t>
            </w:r>
          </w:p>
        </w:tc>
        <w:tc>
          <w:tcPr>
            <w:tcW w:w="620" w:type="dxa"/>
            <w:vAlign w:val="bottom"/>
            <w:shd w:val="clear" w:color="auto" w:fill="EFEDED"/>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446,910</w:t>
            </w:r>
          </w:p>
        </w:tc>
        <w:tc>
          <w:tcPr>
            <w:tcW w:w="50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893,830</w:t>
            </w:r>
          </w:p>
        </w:tc>
        <w:tc>
          <w:tcPr>
            <w:tcW w:w="0" w:type="dxa"/>
            <w:vAlign w:val="bottom"/>
          </w:tcPr>
          <w:p>
            <w:pPr>
              <w:spacing w:after="0"/>
              <w:rPr>
                <w:sz w:val="1"/>
                <w:szCs w:val="1"/>
                <w:color w:val="auto"/>
              </w:rPr>
            </w:pPr>
          </w:p>
        </w:tc>
      </w:tr>
      <w:tr>
        <w:trPr>
          <w:trHeight w:val="222"/>
        </w:trPr>
        <w:tc>
          <w:tcPr>
            <w:tcW w:w="3040" w:type="dxa"/>
            <w:vAlign w:val="bottom"/>
          </w:tcPr>
          <w:p>
            <w:pPr>
              <w:ind w:left="100"/>
              <w:spacing w:after="0"/>
              <w:rPr>
                <w:sz w:val="20"/>
                <w:szCs w:val="20"/>
                <w:color w:val="auto"/>
              </w:rPr>
            </w:pPr>
            <w:r>
              <w:rPr>
                <w:rFonts w:ascii="Arial" w:cs="Arial" w:eastAsia="Arial" w:hAnsi="Arial"/>
                <w:sz w:val="14"/>
                <w:szCs w:val="14"/>
                <w:b w:val="1"/>
                <w:bCs w:val="1"/>
                <w:color w:val="58595B"/>
              </w:rPr>
              <w:t>Michael J. McBreen</w:t>
            </w:r>
          </w:p>
        </w:tc>
        <w:tc>
          <w:tcPr>
            <w:tcW w:w="200" w:type="dxa"/>
            <w:vAlign w:val="bottom"/>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58595B"/>
              </w:rPr>
              <w:t>929,772</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58595B"/>
              </w:rPr>
              <w:t>$</w:t>
            </w:r>
          </w:p>
        </w:tc>
        <w:tc>
          <w:tcPr>
            <w:tcW w:w="1400" w:type="dxa"/>
            <w:vAlign w:val="bottom"/>
          </w:tcPr>
          <w:p>
            <w:pPr>
              <w:jc w:val="right"/>
              <w:spacing w:after="0"/>
              <w:rPr>
                <w:sz w:val="20"/>
                <w:szCs w:val="20"/>
                <w:color w:val="auto"/>
              </w:rPr>
            </w:pPr>
            <w:r>
              <w:rPr>
                <w:rFonts w:ascii="Arial" w:cs="Arial" w:eastAsia="Arial" w:hAnsi="Arial"/>
                <w:sz w:val="14"/>
                <w:szCs w:val="14"/>
                <w:color w:val="58595B"/>
              </w:rPr>
              <w:t>429,701</w:t>
            </w:r>
          </w:p>
        </w:tc>
        <w:tc>
          <w:tcPr>
            <w:tcW w:w="620" w:type="dxa"/>
            <w:vAlign w:val="bottom"/>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tcPr>
          <w:p>
            <w:pPr>
              <w:jc w:val="right"/>
              <w:spacing w:after="0"/>
              <w:rPr>
                <w:sz w:val="20"/>
                <w:szCs w:val="20"/>
                <w:color w:val="auto"/>
              </w:rPr>
            </w:pPr>
            <w:r>
              <w:rPr>
                <w:rFonts w:ascii="Arial" w:cs="Arial" w:eastAsia="Arial" w:hAnsi="Arial"/>
                <w:sz w:val="14"/>
                <w:szCs w:val="14"/>
                <w:color w:val="58595B"/>
              </w:rPr>
              <w:t>859,402</w:t>
            </w:r>
          </w:p>
        </w:tc>
        <w:tc>
          <w:tcPr>
            <w:tcW w:w="50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58595B"/>
              </w:rPr>
              <w:t>2,218,875</w:t>
            </w:r>
          </w:p>
        </w:tc>
        <w:tc>
          <w:tcPr>
            <w:tcW w:w="0" w:type="dxa"/>
            <w:vAlign w:val="bottom"/>
          </w:tcPr>
          <w:p>
            <w:pPr>
              <w:spacing w:after="0"/>
              <w:rPr>
                <w:sz w:val="1"/>
                <w:szCs w:val="1"/>
                <w:color w:val="auto"/>
              </w:rPr>
            </w:pPr>
          </w:p>
        </w:tc>
      </w:tr>
      <w:tr>
        <w:trPr>
          <w:trHeight w:val="237"/>
        </w:trPr>
        <w:tc>
          <w:tcPr>
            <w:tcW w:w="304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Eric I. Schwartz</w:t>
            </w:r>
          </w:p>
        </w:tc>
        <w:tc>
          <w:tcPr>
            <w:tcW w:w="20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268,051</w:t>
            </w:r>
          </w:p>
        </w:tc>
        <w:tc>
          <w:tcPr>
            <w:tcW w:w="340" w:type="dxa"/>
            <w:vAlign w:val="bottom"/>
            <w:shd w:val="clear" w:color="auto" w:fill="EFEDED"/>
          </w:tcPr>
          <w:p>
            <w:pPr>
              <w:spacing w:after="0"/>
              <w:rPr>
                <w:sz w:val="20"/>
                <w:szCs w:val="20"/>
                <w:color w:val="auto"/>
              </w:rPr>
            </w:pPr>
          </w:p>
        </w:tc>
        <w:tc>
          <w:tcPr>
            <w:tcW w:w="1200" w:type="dxa"/>
            <w:vAlign w:val="bottom"/>
            <w:shd w:val="clear" w:color="auto" w:fill="EFEDED"/>
          </w:tcPr>
          <w:p>
            <w:pPr>
              <w:spacing w:after="0"/>
              <w:rPr>
                <w:sz w:val="20"/>
                <w:szCs w:val="20"/>
                <w:color w:val="auto"/>
              </w:rPr>
            </w:pPr>
          </w:p>
        </w:tc>
        <w:tc>
          <w:tcPr>
            <w:tcW w:w="18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w:t>
            </w:r>
          </w:p>
        </w:tc>
        <w:tc>
          <w:tcPr>
            <w:tcW w:w="140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268,002</w:t>
            </w:r>
          </w:p>
        </w:tc>
        <w:tc>
          <w:tcPr>
            <w:tcW w:w="620" w:type="dxa"/>
            <w:vAlign w:val="bottom"/>
            <w:shd w:val="clear" w:color="auto" w:fill="EFEDED"/>
          </w:tcPr>
          <w:p>
            <w:pPr>
              <w:jc w:val="right"/>
              <w:ind w:right="428"/>
              <w:spacing w:after="0"/>
              <w:rPr>
                <w:sz w:val="20"/>
                <w:szCs w:val="20"/>
                <w:color w:val="auto"/>
              </w:rPr>
            </w:pPr>
            <w:r>
              <w:rPr>
                <w:rFonts w:ascii="Arial" w:cs="Arial" w:eastAsia="Arial" w:hAnsi="Arial"/>
                <w:sz w:val="14"/>
                <w:szCs w:val="14"/>
                <w:color w:val="58595B"/>
              </w:rPr>
              <w:t>$</w:t>
            </w:r>
          </w:p>
        </w:tc>
        <w:tc>
          <w:tcPr>
            <w:tcW w:w="96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536,049</w:t>
            </w:r>
          </w:p>
        </w:tc>
        <w:tc>
          <w:tcPr>
            <w:tcW w:w="50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1100" w:type="dxa"/>
            <w:vAlign w:val="bottom"/>
            <w:shd w:val="clear" w:color="auto" w:fill="EFEDED"/>
          </w:tcPr>
          <w:p>
            <w:pPr>
              <w:jc w:val="right"/>
              <w:ind w:right="8"/>
              <w:spacing w:after="0"/>
              <w:rPr>
                <w:sz w:val="20"/>
                <w:szCs w:val="20"/>
                <w:color w:val="auto"/>
              </w:rPr>
            </w:pPr>
            <w:r>
              <w:rPr>
                <w:rFonts w:ascii="Arial" w:cs="Arial" w:eastAsia="Arial" w:hAnsi="Arial"/>
                <w:sz w:val="14"/>
                <w:szCs w:val="14"/>
                <w:color w:val="58595B"/>
              </w:rPr>
              <w:t>1,072,102</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Carrie Anderson</w:t>
            </w:r>
            <w:r>
              <w:rPr>
                <w:rFonts w:ascii="Arial" w:cs="Arial" w:eastAsia="Arial" w:hAnsi="Arial"/>
                <w:sz w:val="18"/>
                <w:szCs w:val="18"/>
                <w:b w:val="1"/>
                <w:bCs w:val="1"/>
                <w:color w:val="58595B"/>
                <w:vertAlign w:val="superscript"/>
              </w:rPr>
              <w:t>2</w:t>
            </w:r>
          </w:p>
        </w:tc>
        <w:tc>
          <w:tcPr>
            <w:tcW w:w="200" w:type="dxa"/>
            <w:vAlign w:val="bottom"/>
            <w:tcBorders>
              <w:bottom w:val="single" w:sz="8" w:color="58595B"/>
            </w:tcBorders>
          </w:tcPr>
          <w:p>
            <w:pPr>
              <w:jc w:val="right"/>
              <w:ind w:right="28"/>
              <w:spacing w:after="0"/>
              <w:rPr>
                <w:sz w:val="20"/>
                <w:szCs w:val="20"/>
                <w:color w:val="auto"/>
              </w:rPr>
            </w:pPr>
            <w:r>
              <w:rPr>
                <w:rFonts w:ascii="Arial" w:cs="Arial" w:eastAsia="Arial" w:hAnsi="Arial"/>
                <w:sz w:val="14"/>
                <w:szCs w:val="14"/>
                <w:color w:val="58595B"/>
              </w:rPr>
              <w:t>$</w:t>
            </w:r>
          </w:p>
        </w:tc>
        <w:tc>
          <w:tcPr>
            <w:tcW w:w="1380" w:type="dxa"/>
            <w:vAlign w:val="bottom"/>
            <w:tcBorders>
              <w:bottom w:val="single" w:sz="8" w:color="58595B"/>
            </w:tcBorders>
          </w:tcPr>
          <w:p>
            <w:pPr>
              <w:jc w:val="right"/>
              <w:ind w:right="8"/>
              <w:spacing w:after="0"/>
              <w:rPr>
                <w:sz w:val="20"/>
                <w:szCs w:val="20"/>
                <w:color w:val="auto"/>
              </w:rPr>
            </w:pPr>
            <w:r>
              <w:rPr>
                <w:rFonts w:ascii="Arial" w:cs="Arial" w:eastAsia="Arial" w:hAnsi="Arial"/>
                <w:sz w:val="14"/>
                <w:szCs w:val="14"/>
                <w:color w:val="58595B"/>
              </w:rPr>
              <w:t>—</w:t>
            </w:r>
          </w:p>
        </w:tc>
        <w:tc>
          <w:tcPr>
            <w:tcW w:w="340" w:type="dxa"/>
            <w:vAlign w:val="bottom"/>
            <w:tcBorders>
              <w:bottom w:val="single" w:sz="8" w:color="58595B"/>
            </w:tcBorders>
          </w:tcPr>
          <w:p>
            <w:pPr>
              <w:spacing w:after="0"/>
              <w:rPr>
                <w:sz w:val="19"/>
                <w:szCs w:val="19"/>
                <w:color w:val="auto"/>
              </w:rPr>
            </w:pPr>
          </w:p>
        </w:tc>
        <w:tc>
          <w:tcPr>
            <w:tcW w:w="1200" w:type="dxa"/>
            <w:vAlign w:val="bottom"/>
            <w:tcBorders>
              <w:bottom w:val="single" w:sz="8" w:color="58595B"/>
            </w:tcBorders>
          </w:tcPr>
          <w:p>
            <w:pPr>
              <w:spacing w:after="0"/>
              <w:rPr>
                <w:sz w:val="19"/>
                <w:szCs w:val="19"/>
                <w:color w:val="auto"/>
              </w:rPr>
            </w:pPr>
          </w:p>
        </w:tc>
        <w:tc>
          <w:tcPr>
            <w:tcW w:w="180" w:type="dxa"/>
            <w:vAlign w:val="bottom"/>
            <w:tcBorders>
              <w:bottom w:val="single" w:sz="8" w:color="58595B"/>
            </w:tcBorders>
          </w:tcPr>
          <w:p>
            <w:pPr>
              <w:jc w:val="right"/>
              <w:spacing w:after="0"/>
              <w:rPr>
                <w:sz w:val="20"/>
                <w:szCs w:val="20"/>
                <w:color w:val="auto"/>
              </w:rPr>
            </w:pPr>
            <w:r>
              <w:rPr>
                <w:rFonts w:ascii="Arial" w:cs="Arial" w:eastAsia="Arial" w:hAnsi="Arial"/>
                <w:sz w:val="14"/>
                <w:szCs w:val="14"/>
                <w:color w:val="58595B"/>
              </w:rPr>
              <w:t>$</w:t>
            </w:r>
          </w:p>
        </w:tc>
        <w:tc>
          <w:tcPr>
            <w:tcW w:w="2020" w:type="dxa"/>
            <w:vAlign w:val="bottom"/>
            <w:tcBorders>
              <w:bottom w:val="single" w:sz="8" w:color="58595B"/>
            </w:tcBorders>
            <w:gridSpan w:val="2"/>
          </w:tcPr>
          <w:p>
            <w:pPr>
              <w:jc w:val="right"/>
              <w:ind w:right="428"/>
              <w:spacing w:after="0"/>
              <w:rPr>
                <w:sz w:val="20"/>
                <w:szCs w:val="20"/>
                <w:color w:val="auto"/>
              </w:rPr>
            </w:pPr>
            <w:r>
              <w:rPr>
                <w:rFonts w:ascii="Arial" w:cs="Arial" w:eastAsia="Arial" w:hAnsi="Arial"/>
                <w:sz w:val="14"/>
                <w:szCs w:val="14"/>
                <w:color w:val="58595B"/>
              </w:rPr>
              <w:t>— $</w:t>
            </w:r>
          </w:p>
        </w:tc>
        <w:tc>
          <w:tcPr>
            <w:tcW w:w="1460" w:type="dxa"/>
            <w:vAlign w:val="bottom"/>
            <w:tcBorders>
              <w:bottom w:val="single" w:sz="8" w:color="58595B"/>
            </w:tcBorders>
            <w:gridSpan w:val="2"/>
          </w:tcPr>
          <w:p>
            <w:pPr>
              <w:jc w:val="right"/>
              <w:ind w:right="308"/>
              <w:spacing w:after="0"/>
              <w:rPr>
                <w:sz w:val="20"/>
                <w:szCs w:val="20"/>
                <w:color w:val="auto"/>
              </w:rPr>
            </w:pPr>
            <w:r>
              <w:rPr>
                <w:rFonts w:ascii="Arial" w:cs="Arial" w:eastAsia="Arial" w:hAnsi="Arial"/>
                <w:sz w:val="14"/>
                <w:szCs w:val="14"/>
                <w:color w:val="58595B"/>
              </w:rPr>
              <w:t>— $</w:t>
            </w:r>
          </w:p>
        </w:tc>
        <w:tc>
          <w:tcPr>
            <w:tcW w:w="1100" w:type="dxa"/>
            <w:vAlign w:val="bottom"/>
            <w:tcBorders>
              <w:bottom w:val="single" w:sz="8" w:color="58595B"/>
            </w:tcBorders>
          </w:tcPr>
          <w:p>
            <w:pPr>
              <w:jc w:val="right"/>
              <w:ind w:right="8"/>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-1430655</wp:posOffset>
            </wp:positionV>
            <wp:extent cx="50063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19" w:lineRule="exact"/>
        <w:rPr>
          <w:sz w:val="20"/>
          <w:szCs w:val="20"/>
          <w:color w:val="auto"/>
        </w:rPr>
      </w:pPr>
    </w:p>
    <w:p>
      <w:pPr>
        <w:ind w:left="340" w:hanging="332"/>
        <w:spacing w:after="0" w:line="267" w:lineRule="auto"/>
        <w:tabs>
          <w:tab w:leader="none" w:pos="338"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Mosebrook's compensation was established in respect of his role throughout the year as our Senior Vice President, Finance and Principal Accounting Officer. As a result, the discussion of how we establish the compensation for the NEOs does not apply to him. His annual equity award is in the form of 50% performance shares units and 50% restricted stock units consistent with other US senior vice presidents. In consideration of serving as Interim PFO while retaining his Senior Vice President, Finance and PAO role for the full year, Mr. Mosebrook was awarded a restricted stock valued at $500,000 with 2-year cliff vesting. His annual equity award included a restricted stock award valued at $163,262 with 3-year ratable vesting.</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Effective February 2, 2023, Ms. Anderson resigned from the company, therefore, she did not receive an annual equity award in March 2023.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Using Organic Revenue Growth As The PSU Performance Metric</w:t>
      </w:r>
    </w:p>
    <w:p>
      <w:pPr>
        <w:spacing w:after="0" w:line="81"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b w:val="1"/>
          <w:bCs w:val="1"/>
          <w:color w:val="58595B"/>
        </w:rPr>
        <w:t xml:space="preserve">Annual organic revenue growth </w:t>
      </w:r>
      <w:r>
        <w:rPr>
          <w:rFonts w:ascii="Arial" w:cs="Arial" w:eastAsia="Arial" w:hAnsi="Arial"/>
          <w:sz w:val="16"/>
          <w:szCs w:val="16"/>
          <w:color w:val="58595B"/>
        </w:rPr>
        <w:t>is the performance metric for PSU awards as it is a key indicator of the strength of our business and stockholder return.</w:t>
      </w:r>
      <w:r>
        <w:rPr>
          <w:rFonts w:ascii="Arial" w:cs="Arial" w:eastAsia="Arial" w:hAnsi="Arial"/>
          <w:sz w:val="16"/>
          <w:szCs w:val="16"/>
          <w:b w:val="1"/>
          <w:bCs w:val="1"/>
          <w:color w:val="58595B"/>
        </w:rPr>
        <w:t xml:space="preserve"> </w:t>
      </w:r>
      <w:r>
        <w:rPr>
          <w:rFonts w:ascii="Arial" w:cs="Arial" w:eastAsia="Arial" w:hAnsi="Arial"/>
          <w:sz w:val="16"/>
          <w:szCs w:val="16"/>
          <w:color w:val="58595B"/>
        </w:rPr>
        <w:t>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123" w:lineRule="exact"/>
        <w:rPr>
          <w:sz w:val="20"/>
          <w:szCs w:val="20"/>
          <w:color w:val="auto"/>
        </w:rPr>
      </w:pPr>
    </w:p>
    <w:p>
      <w:pPr>
        <w:ind w:right="420"/>
        <w:spacing w:after="0" w:line="319" w:lineRule="auto"/>
        <w:rPr>
          <w:sz w:val="20"/>
          <w:szCs w:val="20"/>
          <w:color w:val="auto"/>
        </w:rPr>
      </w:pPr>
      <w:r>
        <w:rPr>
          <w:rFonts w:ascii="Arial" w:cs="Arial" w:eastAsia="Arial" w:hAnsi="Arial"/>
          <w:sz w:val="16"/>
          <w:szCs w:val="16"/>
          <w:color w:val="58595B"/>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Vesting For Equity Grants</w:t>
      </w:r>
    </w:p>
    <w:p>
      <w:pPr>
        <w:spacing w:after="0" w:line="72"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color w:val="58595B"/>
        </w:rPr>
        <w:t>For the 2020, 2022 and 2023 PSU grants, each NEO, including Mr. Mosebrook, is eligible to receive shares of the Company’s common stock ranging from 0% to 150% of target based on the Company’s achievement of an annual organic revenue growth goal over the prior year’s organic revenue amount during each fiscal year of the performance period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009845"/>
          </w:tcPr>
          <w:p>
            <w:pPr>
              <w:spacing w:after="0"/>
              <w:rPr>
                <w:sz w:val="18"/>
                <w:szCs w:val="18"/>
                <w:color w:val="auto"/>
              </w:rPr>
            </w:pPr>
          </w:p>
        </w:tc>
        <w:tc>
          <w:tcPr>
            <w:tcW w:w="2000" w:type="dxa"/>
            <w:vAlign w:val="bottom"/>
            <w:shd w:val="clear" w:color="auto" w:fill="009845"/>
          </w:tcPr>
          <w:p>
            <w:pPr>
              <w:spacing w:after="0"/>
              <w:rPr>
                <w:sz w:val="18"/>
                <w:szCs w:val="18"/>
                <w:color w:val="auto"/>
              </w:rPr>
            </w:pPr>
          </w:p>
        </w:tc>
        <w:tc>
          <w:tcPr>
            <w:tcW w:w="4560" w:type="dxa"/>
            <w:vAlign w:val="bottom"/>
            <w:gridSpan w:val="2"/>
            <w:shd w:val="clear" w:color="auto" w:fill="009845"/>
          </w:tcPr>
          <w:p>
            <w:pPr>
              <w:ind w:left="120"/>
              <w:spacing w:after="0"/>
              <w:rPr>
                <w:sz w:val="20"/>
                <w:szCs w:val="20"/>
                <w:color w:val="auto"/>
              </w:rPr>
            </w:pPr>
            <w:r>
              <w:rPr>
                <w:rFonts w:ascii="Arial" w:cs="Arial" w:eastAsia="Arial" w:hAnsi="Arial"/>
                <w:sz w:val="14"/>
                <w:szCs w:val="14"/>
                <w:b w:val="1"/>
                <w:bCs w:val="1"/>
                <w:color w:val="FFFFFF"/>
              </w:rPr>
              <w:t>GROWTH IN ANNUAL ORGANIC REVENUE OVER PRIOR YEAR</w:t>
            </w:r>
          </w:p>
        </w:tc>
        <w:tc>
          <w:tcPr>
            <w:tcW w:w="2020" w:type="dxa"/>
            <w:vAlign w:val="bottom"/>
            <w:shd w:val="clear" w:color="auto" w:fill="009845"/>
          </w:tcPr>
          <w:p>
            <w:pPr>
              <w:spacing w:after="0"/>
              <w:rPr>
                <w:sz w:val="18"/>
                <w:szCs w:val="18"/>
                <w:color w:val="auto"/>
              </w:rPr>
            </w:pPr>
          </w:p>
        </w:tc>
      </w:tr>
      <w:tr>
        <w:trPr>
          <w:trHeight w:val="220"/>
        </w:trPr>
        <w:tc>
          <w:tcPr>
            <w:tcW w:w="2660" w:type="dxa"/>
            <w:vAlign w:val="bottom"/>
            <w:shd w:val="clear" w:color="auto" w:fill="009845"/>
          </w:tcPr>
          <w:p>
            <w:pPr>
              <w:spacing w:after="0"/>
              <w:rPr>
                <w:sz w:val="19"/>
                <w:szCs w:val="19"/>
                <w:color w:val="auto"/>
              </w:rPr>
            </w:pPr>
          </w:p>
        </w:tc>
        <w:tc>
          <w:tcPr>
            <w:tcW w:w="2000" w:type="dxa"/>
            <w:vAlign w:val="bottom"/>
            <w:shd w:val="clear" w:color="auto" w:fill="009845"/>
          </w:tcPr>
          <w:p>
            <w:pPr>
              <w:jc w:val="center"/>
              <w:ind w:left="48"/>
              <w:spacing w:after="0"/>
              <w:rPr>
                <w:sz w:val="20"/>
                <w:szCs w:val="20"/>
                <w:color w:val="auto"/>
              </w:rPr>
            </w:pPr>
            <w:r>
              <w:rPr>
                <w:rFonts w:ascii="Arial" w:cs="Arial" w:eastAsia="Arial" w:hAnsi="Arial"/>
                <w:sz w:val="14"/>
                <w:szCs w:val="14"/>
                <w:b w:val="1"/>
                <w:bCs w:val="1"/>
                <w:color w:val="FFFFFF"/>
              </w:rPr>
              <w:t>2020</w:t>
            </w:r>
          </w:p>
        </w:tc>
        <w:tc>
          <w:tcPr>
            <w:tcW w:w="2280" w:type="dxa"/>
            <w:vAlign w:val="bottom"/>
            <w:shd w:val="clear" w:color="auto" w:fill="009845"/>
          </w:tcPr>
          <w:p>
            <w:pPr>
              <w:jc w:val="center"/>
              <w:ind w:left="88"/>
              <w:spacing w:after="0"/>
              <w:rPr>
                <w:sz w:val="20"/>
                <w:szCs w:val="20"/>
                <w:color w:val="auto"/>
              </w:rPr>
            </w:pPr>
            <w:r>
              <w:rPr>
                <w:rFonts w:ascii="Arial" w:cs="Arial" w:eastAsia="Arial" w:hAnsi="Arial"/>
                <w:sz w:val="14"/>
                <w:szCs w:val="14"/>
                <w:b w:val="1"/>
                <w:bCs w:val="1"/>
                <w:color w:val="FFFFFF"/>
              </w:rPr>
              <w:t>2022</w:t>
            </w:r>
          </w:p>
        </w:tc>
        <w:tc>
          <w:tcPr>
            <w:tcW w:w="228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2023</w:t>
            </w:r>
          </w:p>
        </w:tc>
        <w:tc>
          <w:tcPr>
            <w:tcW w:w="202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PERFORMANCE</w:t>
            </w:r>
          </w:p>
        </w:tc>
      </w:tr>
      <w:tr>
        <w:trPr>
          <w:trHeight w:val="196"/>
        </w:trPr>
        <w:tc>
          <w:tcPr>
            <w:tcW w:w="2660" w:type="dxa"/>
            <w:vAlign w:val="bottom"/>
            <w:shd w:val="clear" w:color="auto" w:fill="009845"/>
          </w:tcPr>
          <w:p>
            <w:pPr>
              <w:spacing w:after="0"/>
              <w:rPr>
                <w:sz w:val="17"/>
                <w:szCs w:val="17"/>
                <w:color w:val="auto"/>
              </w:rPr>
            </w:pPr>
          </w:p>
        </w:tc>
        <w:tc>
          <w:tcPr>
            <w:tcW w:w="2000" w:type="dxa"/>
            <w:vAlign w:val="bottom"/>
            <w:shd w:val="clear" w:color="auto" w:fill="009845"/>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280" w:type="dxa"/>
            <w:vAlign w:val="bottom"/>
            <w:shd w:val="clear" w:color="auto" w:fill="009845"/>
          </w:tcPr>
          <w:p>
            <w:pPr>
              <w:ind w:left="420"/>
              <w:spacing w:after="0"/>
              <w:rPr>
                <w:sz w:val="20"/>
                <w:szCs w:val="20"/>
                <w:color w:val="auto"/>
              </w:rPr>
            </w:pPr>
            <w:r>
              <w:rPr>
                <w:rFonts w:ascii="Arial" w:cs="Arial" w:eastAsia="Arial" w:hAnsi="Arial"/>
                <w:sz w:val="14"/>
                <w:szCs w:val="14"/>
                <w:b w:val="1"/>
                <w:bCs w:val="1"/>
                <w:color w:val="FFFFFF"/>
              </w:rPr>
              <w:t>PERFORMANCE GOAL</w:t>
            </w:r>
          </w:p>
        </w:tc>
        <w:tc>
          <w:tcPr>
            <w:tcW w:w="2280" w:type="dxa"/>
            <w:vAlign w:val="bottom"/>
            <w:shd w:val="clear" w:color="auto" w:fill="009845"/>
          </w:tcPr>
          <w:p>
            <w:pPr>
              <w:ind w:left="280"/>
              <w:spacing w:after="0"/>
              <w:rPr>
                <w:sz w:val="20"/>
                <w:szCs w:val="20"/>
                <w:color w:val="auto"/>
              </w:rPr>
            </w:pPr>
            <w:r>
              <w:rPr>
                <w:rFonts w:ascii="Arial" w:cs="Arial" w:eastAsia="Arial" w:hAnsi="Arial"/>
                <w:sz w:val="14"/>
                <w:szCs w:val="14"/>
                <w:b w:val="1"/>
                <w:bCs w:val="1"/>
                <w:color w:val="FFFFFF"/>
              </w:rPr>
              <w:t>PERFORMANCE GOAL</w:t>
            </w:r>
          </w:p>
        </w:tc>
        <w:tc>
          <w:tcPr>
            <w:tcW w:w="2020" w:type="dxa"/>
            <w:vAlign w:val="bottom"/>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VESTING PERCENTAGE</w:t>
            </w:r>
          </w:p>
        </w:tc>
      </w:tr>
      <w:tr>
        <w:trPr>
          <w:trHeight w:val="70"/>
        </w:trPr>
        <w:tc>
          <w:tcPr>
            <w:tcW w:w="2660" w:type="dxa"/>
            <w:vAlign w:val="bottom"/>
            <w:shd w:val="clear" w:color="auto" w:fill="009845"/>
          </w:tcPr>
          <w:p>
            <w:pPr>
              <w:spacing w:after="0"/>
              <w:rPr>
                <w:sz w:val="6"/>
                <w:szCs w:val="6"/>
                <w:color w:val="auto"/>
              </w:rPr>
            </w:pPr>
          </w:p>
        </w:tc>
        <w:tc>
          <w:tcPr>
            <w:tcW w:w="2000" w:type="dxa"/>
            <w:vAlign w:val="bottom"/>
            <w:shd w:val="clear" w:color="auto" w:fill="009845"/>
          </w:tcPr>
          <w:p>
            <w:pPr>
              <w:spacing w:after="0"/>
              <w:rPr>
                <w:sz w:val="6"/>
                <w:szCs w:val="6"/>
                <w:color w:val="auto"/>
              </w:rPr>
            </w:pPr>
          </w:p>
        </w:tc>
        <w:tc>
          <w:tcPr>
            <w:tcW w:w="2280" w:type="dxa"/>
            <w:vAlign w:val="bottom"/>
            <w:shd w:val="clear" w:color="auto" w:fill="009845"/>
          </w:tcPr>
          <w:p>
            <w:pPr>
              <w:spacing w:after="0"/>
              <w:rPr>
                <w:sz w:val="6"/>
                <w:szCs w:val="6"/>
                <w:color w:val="auto"/>
              </w:rPr>
            </w:pPr>
          </w:p>
        </w:tc>
        <w:tc>
          <w:tcPr>
            <w:tcW w:w="2280" w:type="dxa"/>
            <w:vAlign w:val="bottom"/>
            <w:shd w:val="clear" w:color="auto" w:fill="009845"/>
          </w:tcPr>
          <w:p>
            <w:pPr>
              <w:spacing w:after="0"/>
              <w:rPr>
                <w:sz w:val="6"/>
                <w:szCs w:val="6"/>
                <w:color w:val="auto"/>
              </w:rPr>
            </w:pPr>
          </w:p>
        </w:tc>
        <w:tc>
          <w:tcPr>
            <w:tcW w:w="2020" w:type="dxa"/>
            <w:vAlign w:val="bottom"/>
            <w:shd w:val="clear" w:color="auto" w:fill="009845"/>
          </w:tcPr>
          <w:p>
            <w:pPr>
              <w:spacing w:after="0"/>
              <w:rPr>
                <w:sz w:val="6"/>
                <w:szCs w:val="6"/>
                <w:color w:val="auto"/>
              </w:rPr>
            </w:pPr>
          </w:p>
        </w:tc>
      </w:tr>
      <w:tr>
        <w:trPr>
          <w:trHeight w:val="208"/>
        </w:trPr>
        <w:tc>
          <w:tcPr>
            <w:tcW w:w="2660" w:type="dxa"/>
            <w:vAlign w:val="bottom"/>
          </w:tcPr>
          <w:p>
            <w:pPr>
              <w:ind w:left="100"/>
              <w:spacing w:after="0"/>
              <w:rPr>
                <w:sz w:val="20"/>
                <w:szCs w:val="20"/>
                <w:color w:val="auto"/>
              </w:rPr>
            </w:pPr>
            <w:r>
              <w:rPr>
                <w:rFonts w:ascii="Arial" w:cs="Arial" w:eastAsia="Arial" w:hAnsi="Arial"/>
                <w:sz w:val="14"/>
                <w:szCs w:val="14"/>
                <w:color w:val="58595B"/>
              </w:rPr>
              <w:t>Below Threshold Level</w:t>
            </w:r>
          </w:p>
        </w:tc>
        <w:tc>
          <w:tcPr>
            <w:tcW w:w="2000" w:type="dxa"/>
            <w:vAlign w:val="bottom"/>
          </w:tcPr>
          <w:p>
            <w:pPr>
              <w:jc w:val="center"/>
              <w:ind w:left="68"/>
              <w:spacing w:after="0"/>
              <w:rPr>
                <w:sz w:val="20"/>
                <w:szCs w:val="20"/>
                <w:color w:val="auto"/>
              </w:rPr>
            </w:pPr>
            <w:r>
              <w:rPr>
                <w:rFonts w:ascii="Arial" w:cs="Arial" w:eastAsia="Arial" w:hAnsi="Arial"/>
                <w:sz w:val="14"/>
                <w:szCs w:val="14"/>
                <w:color w:val="58595B"/>
              </w:rPr>
              <w:t>&lt;2%</w:t>
            </w:r>
          </w:p>
        </w:tc>
        <w:tc>
          <w:tcPr>
            <w:tcW w:w="2280" w:type="dxa"/>
            <w:vAlign w:val="bottom"/>
          </w:tcPr>
          <w:p>
            <w:pPr>
              <w:jc w:val="center"/>
              <w:ind w:left="68"/>
              <w:spacing w:after="0"/>
              <w:rPr>
                <w:sz w:val="20"/>
                <w:szCs w:val="20"/>
                <w:color w:val="auto"/>
              </w:rPr>
            </w:pPr>
            <w:r>
              <w:rPr>
                <w:rFonts w:ascii="Arial" w:cs="Arial" w:eastAsia="Arial" w:hAnsi="Arial"/>
                <w:sz w:val="14"/>
                <w:szCs w:val="14"/>
                <w:color w:val="58595B"/>
              </w:rPr>
              <w:t>&lt;2%</w:t>
            </w:r>
          </w:p>
        </w:tc>
        <w:tc>
          <w:tcPr>
            <w:tcW w:w="2280" w:type="dxa"/>
            <w:vAlign w:val="bottom"/>
          </w:tcPr>
          <w:p>
            <w:pPr>
              <w:jc w:val="center"/>
              <w:ind w:right="48"/>
              <w:spacing w:after="0"/>
              <w:rPr>
                <w:sz w:val="20"/>
                <w:szCs w:val="20"/>
                <w:color w:val="auto"/>
              </w:rPr>
            </w:pPr>
            <w:r>
              <w:rPr>
                <w:rFonts w:ascii="Arial" w:cs="Arial" w:eastAsia="Arial" w:hAnsi="Arial"/>
                <w:sz w:val="14"/>
                <w:szCs w:val="14"/>
                <w:color w:val="58595B"/>
                <w:w w:val="98"/>
              </w:rPr>
              <w:t>&lt;2%</w:t>
            </w:r>
          </w:p>
        </w:tc>
        <w:tc>
          <w:tcPr>
            <w:tcW w:w="2020" w:type="dxa"/>
            <w:vAlign w:val="bottom"/>
          </w:tcPr>
          <w:p>
            <w:pPr>
              <w:jc w:val="center"/>
              <w:ind w:right="48"/>
              <w:spacing w:after="0"/>
              <w:rPr>
                <w:sz w:val="20"/>
                <w:szCs w:val="20"/>
                <w:color w:val="auto"/>
              </w:rPr>
            </w:pPr>
            <w:r>
              <w:rPr>
                <w:rFonts w:ascii="Arial" w:cs="Arial" w:eastAsia="Arial" w:hAnsi="Arial"/>
                <w:sz w:val="14"/>
                <w:szCs w:val="14"/>
                <w:color w:val="58595B"/>
              </w:rPr>
              <w:t>0%</w:t>
            </w:r>
          </w:p>
        </w:tc>
      </w:tr>
      <w:tr>
        <w:trPr>
          <w:trHeight w:val="22"/>
        </w:trPr>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0"/>
        </w:trPr>
        <w:tc>
          <w:tcPr>
            <w:tcW w:w="26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Threshold Level</w:t>
            </w:r>
          </w:p>
        </w:tc>
        <w:tc>
          <w:tcPr>
            <w:tcW w:w="2000" w:type="dxa"/>
            <w:vAlign w:val="bottom"/>
            <w:tcBorders>
              <w:bottom w:val="single" w:sz="8" w:color="EFEDED"/>
            </w:tcBorders>
            <w:shd w:val="clear" w:color="auto" w:fill="EFEDED"/>
          </w:tcPr>
          <w:p>
            <w:pPr>
              <w:jc w:val="center"/>
              <w:ind w:left="68"/>
              <w:spacing w:after="0"/>
              <w:rPr>
                <w:sz w:val="20"/>
                <w:szCs w:val="20"/>
                <w:color w:val="auto"/>
              </w:rPr>
            </w:pPr>
            <w:r>
              <w:rPr>
                <w:rFonts w:ascii="Arial" w:cs="Arial" w:eastAsia="Arial" w:hAnsi="Arial"/>
                <w:sz w:val="14"/>
                <w:szCs w:val="14"/>
                <w:color w:val="58595B"/>
              </w:rPr>
              <w:t>2%</w:t>
            </w:r>
          </w:p>
        </w:tc>
        <w:tc>
          <w:tcPr>
            <w:tcW w:w="2280" w:type="dxa"/>
            <w:vAlign w:val="bottom"/>
            <w:tcBorders>
              <w:bottom w:val="single" w:sz="8" w:color="EFEDED"/>
            </w:tcBorders>
            <w:shd w:val="clear" w:color="auto" w:fill="EFEDED"/>
          </w:tcPr>
          <w:p>
            <w:pPr>
              <w:jc w:val="center"/>
              <w:ind w:left="68"/>
              <w:spacing w:after="0"/>
              <w:rPr>
                <w:sz w:val="20"/>
                <w:szCs w:val="20"/>
                <w:color w:val="auto"/>
              </w:rPr>
            </w:pPr>
            <w:r>
              <w:rPr>
                <w:rFonts w:ascii="Arial" w:cs="Arial" w:eastAsia="Arial" w:hAnsi="Arial"/>
                <w:sz w:val="14"/>
                <w:szCs w:val="14"/>
                <w:color w:val="58595B"/>
              </w:rPr>
              <w:t>2%</w:t>
            </w:r>
          </w:p>
        </w:tc>
        <w:tc>
          <w:tcPr>
            <w:tcW w:w="2280" w:type="dxa"/>
            <w:vAlign w:val="bottom"/>
            <w:tcBorders>
              <w:bottom w:val="single" w:sz="8" w:color="EFEDED"/>
            </w:tcBorders>
            <w:shd w:val="clear" w:color="auto" w:fill="EFEDED"/>
          </w:tcPr>
          <w:p>
            <w:pPr>
              <w:jc w:val="center"/>
              <w:ind w:right="48"/>
              <w:spacing w:after="0"/>
              <w:rPr>
                <w:sz w:val="20"/>
                <w:szCs w:val="20"/>
                <w:color w:val="auto"/>
              </w:rPr>
            </w:pPr>
            <w:r>
              <w:rPr>
                <w:rFonts w:ascii="Arial" w:cs="Arial" w:eastAsia="Arial" w:hAnsi="Arial"/>
                <w:sz w:val="14"/>
                <w:szCs w:val="14"/>
                <w:color w:val="58595B"/>
                <w:w w:val="98"/>
              </w:rPr>
              <w:t>2%</w:t>
            </w:r>
          </w:p>
        </w:tc>
        <w:tc>
          <w:tcPr>
            <w:tcW w:w="2020" w:type="dxa"/>
            <w:vAlign w:val="bottom"/>
            <w:tcBorders>
              <w:bottom w:val="single" w:sz="8" w:color="EFEDED"/>
            </w:tcBorders>
            <w:shd w:val="clear" w:color="auto" w:fill="EFEDED"/>
          </w:tcPr>
          <w:p>
            <w:pPr>
              <w:jc w:val="center"/>
              <w:ind w:right="48"/>
              <w:spacing w:after="0"/>
              <w:rPr>
                <w:sz w:val="20"/>
                <w:szCs w:val="20"/>
                <w:color w:val="auto"/>
              </w:rPr>
            </w:pPr>
            <w:r>
              <w:rPr>
                <w:rFonts w:ascii="Arial" w:cs="Arial" w:eastAsia="Arial" w:hAnsi="Arial"/>
                <w:sz w:val="14"/>
                <w:szCs w:val="14"/>
                <w:color w:val="58595B"/>
              </w:rPr>
              <w:t>50%</w:t>
            </w:r>
          </w:p>
        </w:tc>
      </w:tr>
      <w:tr>
        <w:trPr>
          <w:trHeight w:val="208"/>
        </w:trPr>
        <w:tc>
          <w:tcPr>
            <w:tcW w:w="2660" w:type="dxa"/>
            <w:vAlign w:val="bottom"/>
          </w:tcPr>
          <w:p>
            <w:pPr>
              <w:ind w:left="100"/>
              <w:spacing w:after="0"/>
              <w:rPr>
                <w:sz w:val="20"/>
                <w:szCs w:val="20"/>
                <w:color w:val="auto"/>
              </w:rPr>
            </w:pPr>
            <w:r>
              <w:rPr>
                <w:rFonts w:ascii="Arial" w:cs="Arial" w:eastAsia="Arial" w:hAnsi="Arial"/>
                <w:sz w:val="14"/>
                <w:szCs w:val="14"/>
                <w:color w:val="58595B"/>
              </w:rPr>
              <w:t>Target Level</w:t>
            </w:r>
          </w:p>
        </w:tc>
        <w:tc>
          <w:tcPr>
            <w:tcW w:w="2000" w:type="dxa"/>
            <w:vAlign w:val="bottom"/>
          </w:tcPr>
          <w:p>
            <w:pPr>
              <w:jc w:val="center"/>
              <w:ind w:left="68"/>
              <w:spacing w:after="0"/>
              <w:rPr>
                <w:sz w:val="20"/>
                <w:szCs w:val="20"/>
                <w:color w:val="auto"/>
              </w:rPr>
            </w:pPr>
            <w:r>
              <w:rPr>
                <w:rFonts w:ascii="Arial" w:cs="Arial" w:eastAsia="Arial" w:hAnsi="Arial"/>
                <w:sz w:val="14"/>
                <w:szCs w:val="14"/>
                <w:color w:val="58595B"/>
              </w:rPr>
              <w:t>5%</w:t>
            </w:r>
          </w:p>
        </w:tc>
        <w:tc>
          <w:tcPr>
            <w:tcW w:w="2280" w:type="dxa"/>
            <w:vAlign w:val="bottom"/>
          </w:tcPr>
          <w:p>
            <w:pPr>
              <w:jc w:val="center"/>
              <w:ind w:left="68"/>
              <w:spacing w:after="0"/>
              <w:rPr>
                <w:sz w:val="20"/>
                <w:szCs w:val="20"/>
                <w:color w:val="auto"/>
              </w:rPr>
            </w:pPr>
            <w:r>
              <w:rPr>
                <w:rFonts w:ascii="Arial" w:cs="Arial" w:eastAsia="Arial" w:hAnsi="Arial"/>
                <w:sz w:val="14"/>
                <w:szCs w:val="14"/>
                <w:color w:val="58595B"/>
              </w:rPr>
              <w:t>5.3%</w:t>
            </w:r>
          </w:p>
        </w:tc>
        <w:tc>
          <w:tcPr>
            <w:tcW w:w="2280" w:type="dxa"/>
            <w:vAlign w:val="bottom"/>
          </w:tcPr>
          <w:p>
            <w:pPr>
              <w:jc w:val="center"/>
              <w:ind w:right="48"/>
              <w:spacing w:after="0"/>
              <w:rPr>
                <w:sz w:val="20"/>
                <w:szCs w:val="20"/>
                <w:color w:val="auto"/>
              </w:rPr>
            </w:pPr>
            <w:r>
              <w:rPr>
                <w:rFonts w:ascii="Arial" w:cs="Arial" w:eastAsia="Arial" w:hAnsi="Arial"/>
                <w:sz w:val="14"/>
                <w:szCs w:val="14"/>
                <w:color w:val="58595B"/>
              </w:rPr>
              <w:t>5.7%</w:t>
            </w:r>
          </w:p>
        </w:tc>
        <w:tc>
          <w:tcPr>
            <w:tcW w:w="2020" w:type="dxa"/>
            <w:vAlign w:val="bottom"/>
          </w:tcPr>
          <w:p>
            <w:pPr>
              <w:jc w:val="center"/>
              <w:ind w:right="48"/>
              <w:spacing w:after="0"/>
              <w:rPr>
                <w:sz w:val="20"/>
                <w:szCs w:val="20"/>
                <w:color w:val="auto"/>
              </w:rPr>
            </w:pPr>
            <w:r>
              <w:rPr>
                <w:rFonts w:ascii="Arial" w:cs="Arial" w:eastAsia="Arial" w:hAnsi="Arial"/>
                <w:sz w:val="14"/>
                <w:szCs w:val="14"/>
                <w:color w:val="58595B"/>
              </w:rPr>
              <w:t>100%</w:t>
            </w:r>
          </w:p>
        </w:tc>
      </w:tr>
      <w:tr>
        <w:trPr>
          <w:trHeight w:val="22"/>
        </w:trPr>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0"/>
        </w:trPr>
        <w:tc>
          <w:tcPr>
            <w:tcW w:w="26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Maximum Level</w:t>
            </w:r>
          </w:p>
        </w:tc>
        <w:tc>
          <w:tcPr>
            <w:tcW w:w="2000" w:type="dxa"/>
            <w:vAlign w:val="bottom"/>
            <w:tcBorders>
              <w:bottom w:val="single" w:sz="8" w:color="EFEDED"/>
            </w:tcBorders>
            <w:shd w:val="clear" w:color="auto" w:fill="EFEDED"/>
          </w:tcPr>
          <w:p>
            <w:pPr>
              <w:jc w:val="center"/>
              <w:ind w:left="68"/>
              <w:spacing w:after="0"/>
              <w:rPr>
                <w:sz w:val="20"/>
                <w:szCs w:val="20"/>
                <w:color w:val="auto"/>
              </w:rPr>
            </w:pPr>
            <w:r>
              <w:rPr>
                <w:rFonts w:ascii="Arial" w:cs="Arial" w:eastAsia="Arial" w:hAnsi="Arial"/>
                <w:sz w:val="14"/>
                <w:szCs w:val="14"/>
                <w:color w:val="58595B"/>
              </w:rPr>
              <w:t>7%</w:t>
            </w:r>
          </w:p>
        </w:tc>
        <w:tc>
          <w:tcPr>
            <w:tcW w:w="2280" w:type="dxa"/>
            <w:vAlign w:val="bottom"/>
            <w:tcBorders>
              <w:bottom w:val="single" w:sz="8" w:color="EFEDED"/>
            </w:tcBorders>
            <w:shd w:val="clear" w:color="auto" w:fill="EFEDED"/>
          </w:tcPr>
          <w:p>
            <w:pPr>
              <w:jc w:val="center"/>
              <w:ind w:left="68"/>
              <w:spacing w:after="0"/>
              <w:rPr>
                <w:sz w:val="20"/>
                <w:szCs w:val="20"/>
                <w:color w:val="auto"/>
              </w:rPr>
            </w:pPr>
            <w:r>
              <w:rPr>
                <w:rFonts w:ascii="Arial" w:cs="Arial" w:eastAsia="Arial" w:hAnsi="Arial"/>
                <w:sz w:val="14"/>
                <w:szCs w:val="14"/>
                <w:color w:val="58595B"/>
              </w:rPr>
              <w:t>7%</w:t>
            </w:r>
          </w:p>
        </w:tc>
        <w:tc>
          <w:tcPr>
            <w:tcW w:w="2280" w:type="dxa"/>
            <w:vAlign w:val="bottom"/>
            <w:tcBorders>
              <w:bottom w:val="single" w:sz="8" w:color="EFEDED"/>
            </w:tcBorders>
            <w:shd w:val="clear" w:color="auto" w:fill="EFEDED"/>
          </w:tcPr>
          <w:p>
            <w:pPr>
              <w:jc w:val="center"/>
              <w:ind w:right="48"/>
              <w:spacing w:after="0"/>
              <w:rPr>
                <w:sz w:val="20"/>
                <w:szCs w:val="20"/>
                <w:color w:val="auto"/>
              </w:rPr>
            </w:pPr>
            <w:r>
              <w:rPr>
                <w:rFonts w:ascii="Arial" w:cs="Arial" w:eastAsia="Arial" w:hAnsi="Arial"/>
                <w:sz w:val="14"/>
                <w:szCs w:val="14"/>
                <w:color w:val="58595B"/>
                <w:w w:val="98"/>
              </w:rPr>
              <w:t>7%</w:t>
            </w:r>
          </w:p>
        </w:tc>
        <w:tc>
          <w:tcPr>
            <w:tcW w:w="2020" w:type="dxa"/>
            <w:vAlign w:val="bottom"/>
            <w:tcBorders>
              <w:bottom w:val="single" w:sz="8" w:color="EFEDED"/>
            </w:tcBorders>
            <w:shd w:val="clear" w:color="auto" w:fill="EFEDED"/>
          </w:tcPr>
          <w:p>
            <w:pPr>
              <w:jc w:val="center"/>
              <w:ind w:right="48"/>
              <w:spacing w:after="0"/>
              <w:rPr>
                <w:sz w:val="20"/>
                <w:szCs w:val="20"/>
                <w:color w:val="auto"/>
              </w:rPr>
            </w:pPr>
            <w:r>
              <w:rPr>
                <w:rFonts w:ascii="Arial" w:cs="Arial" w:eastAsia="Arial" w:hAnsi="Arial"/>
                <w:sz w:val="14"/>
                <w:szCs w:val="14"/>
                <w:color w:val="58595B"/>
              </w:rPr>
              <w:t>150%</w:t>
            </w:r>
          </w:p>
        </w:tc>
      </w:tr>
      <w:tr>
        <w:trPr>
          <w:trHeight w:val="20"/>
        </w:trPr>
        <w:tc>
          <w:tcPr>
            <w:tcW w:w="2660" w:type="dxa"/>
            <w:vAlign w:val="bottom"/>
            <w:shd w:val="clear" w:color="auto" w:fill="58595B"/>
          </w:tcPr>
          <w:p>
            <w:pPr>
              <w:spacing w:after="0" w:line="20" w:lineRule="exact"/>
              <w:rPr>
                <w:sz w:val="1"/>
                <w:szCs w:val="1"/>
                <w:color w:val="auto"/>
              </w:rPr>
            </w:pPr>
          </w:p>
        </w:tc>
        <w:tc>
          <w:tcPr>
            <w:tcW w:w="2000" w:type="dxa"/>
            <w:vAlign w:val="bottom"/>
            <w:shd w:val="clear" w:color="auto" w:fill="58595B"/>
          </w:tcPr>
          <w:p>
            <w:pPr>
              <w:spacing w:after="0" w:line="20" w:lineRule="exact"/>
              <w:rPr>
                <w:sz w:val="1"/>
                <w:szCs w:val="1"/>
                <w:color w:val="auto"/>
              </w:rPr>
            </w:pPr>
          </w:p>
        </w:tc>
        <w:tc>
          <w:tcPr>
            <w:tcW w:w="2280" w:type="dxa"/>
            <w:vAlign w:val="bottom"/>
            <w:shd w:val="clear" w:color="auto" w:fill="58595B"/>
          </w:tcPr>
          <w:p>
            <w:pPr>
              <w:spacing w:after="0" w:line="20" w:lineRule="exact"/>
              <w:rPr>
                <w:sz w:val="1"/>
                <w:szCs w:val="1"/>
                <w:color w:val="auto"/>
              </w:rPr>
            </w:pPr>
          </w:p>
        </w:tc>
        <w:tc>
          <w:tcPr>
            <w:tcW w:w="2280" w:type="dxa"/>
            <w:vAlign w:val="bottom"/>
            <w:shd w:val="clear" w:color="auto" w:fill="58595B"/>
          </w:tcPr>
          <w:p>
            <w:pPr>
              <w:spacing w:after="0" w:line="20" w:lineRule="exact"/>
              <w:rPr>
                <w:sz w:val="1"/>
                <w:szCs w:val="1"/>
                <w:color w:val="auto"/>
              </w:rPr>
            </w:pPr>
          </w:p>
        </w:tc>
        <w:tc>
          <w:tcPr>
            <w:tcW w:w="202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-890905</wp:posOffset>
            </wp:positionV>
            <wp:extent cx="54521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For the 2021 grants, to further align the interests of our executives and those of our stockholders and enhance our performance-oriented incentives to drive sustainable long-term performance with the uncertainty of the 2020 COVID-19 pandemic, the Compensation Committee increased the 2021 grant’s maximum vesting percentage to 200% when the Company achieves exceptional organic revenue growth of 14% or more. Each NEO is eligible to receive shares of the Company’s common stock ranging from 0% to 200% of target for the 2021 grant based on the Company’s achievement of the annual organic revenue growth goal over the prior year’s organic revenue amount during each fiscal year of the performance period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40" w:type="dxa"/>
            <w:vAlign w:val="bottom"/>
            <w:shd w:val="clear" w:color="auto" w:fill="009845"/>
          </w:tcPr>
          <w:p>
            <w:pPr>
              <w:spacing w:after="0"/>
              <w:rPr>
                <w:sz w:val="16"/>
                <w:szCs w:val="16"/>
                <w:color w:val="auto"/>
              </w:rPr>
            </w:pPr>
          </w:p>
        </w:tc>
        <w:tc>
          <w:tcPr>
            <w:tcW w:w="4300" w:type="dxa"/>
            <w:vAlign w:val="bottom"/>
            <w:gridSpan w:val="2"/>
            <w:shd w:val="clear" w:color="auto" w:fill="009845"/>
          </w:tcPr>
          <w:p>
            <w:pPr>
              <w:jc w:val="center"/>
              <w:spacing w:after="0"/>
              <w:rPr>
                <w:sz w:val="20"/>
                <w:szCs w:val="20"/>
                <w:color w:val="auto"/>
              </w:rPr>
            </w:pPr>
            <w:r>
              <w:rPr>
                <w:rFonts w:ascii="Arial" w:cs="Arial" w:eastAsia="Arial" w:hAnsi="Arial"/>
                <w:sz w:val="14"/>
                <w:szCs w:val="14"/>
                <w:b w:val="1"/>
                <w:bCs w:val="1"/>
                <w:color w:val="FFFFFF"/>
              </w:rPr>
              <w:t>GROWTH IN ANNUAL ORGANIC REVENUE OVER PRIOR</w:t>
            </w:r>
          </w:p>
        </w:tc>
      </w:tr>
      <w:tr>
        <w:trPr>
          <w:trHeight w:val="196"/>
        </w:trPr>
        <w:tc>
          <w:tcPr>
            <w:tcW w:w="6940" w:type="dxa"/>
            <w:vAlign w:val="bottom"/>
            <w:shd w:val="clear" w:color="auto" w:fill="009845"/>
          </w:tcPr>
          <w:p>
            <w:pPr>
              <w:spacing w:after="0"/>
              <w:rPr>
                <w:sz w:val="17"/>
                <w:szCs w:val="17"/>
                <w:color w:val="auto"/>
              </w:rPr>
            </w:pPr>
          </w:p>
        </w:tc>
        <w:tc>
          <w:tcPr>
            <w:tcW w:w="2380" w:type="dxa"/>
            <w:vAlign w:val="bottom"/>
            <w:shd w:val="clear" w:color="auto" w:fill="009845"/>
          </w:tcPr>
          <w:p>
            <w:pPr>
              <w:jc w:val="center"/>
              <w:ind w:left="1868"/>
              <w:spacing w:after="0"/>
              <w:rPr>
                <w:sz w:val="20"/>
                <w:szCs w:val="20"/>
                <w:color w:val="auto"/>
              </w:rPr>
            </w:pPr>
            <w:r>
              <w:rPr>
                <w:rFonts w:ascii="Arial" w:cs="Arial" w:eastAsia="Arial" w:hAnsi="Arial"/>
                <w:sz w:val="14"/>
                <w:szCs w:val="14"/>
                <w:b w:val="1"/>
                <w:bCs w:val="1"/>
                <w:color w:val="FFFFFF"/>
              </w:rPr>
              <w:t>YEAR</w:t>
            </w:r>
          </w:p>
        </w:tc>
        <w:tc>
          <w:tcPr>
            <w:tcW w:w="1920" w:type="dxa"/>
            <w:vAlign w:val="bottom"/>
            <w:shd w:val="clear" w:color="auto" w:fill="009845"/>
          </w:tcPr>
          <w:p>
            <w:pPr>
              <w:spacing w:after="0"/>
              <w:rPr>
                <w:sz w:val="17"/>
                <w:szCs w:val="17"/>
                <w:color w:val="auto"/>
              </w:rPr>
            </w:pPr>
          </w:p>
        </w:tc>
      </w:tr>
      <w:tr>
        <w:trPr>
          <w:trHeight w:val="222"/>
        </w:trPr>
        <w:tc>
          <w:tcPr>
            <w:tcW w:w="6940" w:type="dxa"/>
            <w:vAlign w:val="bottom"/>
            <w:shd w:val="clear" w:color="auto" w:fill="009845"/>
          </w:tcPr>
          <w:p>
            <w:pPr>
              <w:spacing w:after="0"/>
              <w:rPr>
                <w:sz w:val="19"/>
                <w:szCs w:val="19"/>
                <w:color w:val="auto"/>
              </w:rPr>
            </w:pPr>
          </w:p>
        </w:tc>
        <w:tc>
          <w:tcPr>
            <w:tcW w:w="2380" w:type="dxa"/>
            <w:vAlign w:val="bottom"/>
            <w:shd w:val="clear" w:color="auto" w:fill="009845"/>
          </w:tcPr>
          <w:p>
            <w:pPr>
              <w:spacing w:after="0"/>
              <w:rPr>
                <w:sz w:val="19"/>
                <w:szCs w:val="19"/>
                <w:color w:val="auto"/>
              </w:rPr>
            </w:pPr>
          </w:p>
        </w:tc>
        <w:tc>
          <w:tcPr>
            <w:tcW w:w="1920" w:type="dxa"/>
            <w:vAlign w:val="bottom"/>
            <w:shd w:val="clear" w:color="auto" w:fill="009845"/>
          </w:tcPr>
          <w:p>
            <w:pPr>
              <w:jc w:val="center"/>
              <w:ind w:right="148"/>
              <w:spacing w:after="0"/>
              <w:rPr>
                <w:sz w:val="20"/>
                <w:szCs w:val="20"/>
                <w:color w:val="auto"/>
              </w:rPr>
            </w:pPr>
            <w:r>
              <w:rPr>
                <w:rFonts w:ascii="Arial" w:cs="Arial" w:eastAsia="Arial" w:hAnsi="Arial"/>
                <w:sz w:val="14"/>
                <w:szCs w:val="14"/>
                <w:b w:val="1"/>
                <w:bCs w:val="1"/>
                <w:color w:val="FFFFFF"/>
              </w:rPr>
              <w:t>PERFORMANCE</w:t>
            </w:r>
          </w:p>
        </w:tc>
      </w:tr>
      <w:tr>
        <w:trPr>
          <w:trHeight w:val="196"/>
        </w:trPr>
        <w:tc>
          <w:tcPr>
            <w:tcW w:w="6940" w:type="dxa"/>
            <w:vAlign w:val="bottom"/>
            <w:shd w:val="clear" w:color="auto" w:fill="009845"/>
          </w:tcPr>
          <w:p>
            <w:pPr>
              <w:spacing w:after="0"/>
              <w:rPr>
                <w:sz w:val="17"/>
                <w:szCs w:val="17"/>
                <w:color w:val="auto"/>
              </w:rPr>
            </w:pPr>
          </w:p>
        </w:tc>
        <w:tc>
          <w:tcPr>
            <w:tcW w:w="23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2021 PERFORMANCE GOAL</w:t>
            </w:r>
          </w:p>
        </w:tc>
        <w:tc>
          <w:tcPr>
            <w:tcW w:w="1920" w:type="dxa"/>
            <w:vAlign w:val="bottom"/>
            <w:shd w:val="clear" w:color="auto" w:fill="009845"/>
          </w:tcPr>
          <w:p>
            <w:pPr>
              <w:jc w:val="center"/>
              <w:ind w:right="148"/>
              <w:spacing w:after="0"/>
              <w:rPr>
                <w:sz w:val="20"/>
                <w:szCs w:val="20"/>
                <w:color w:val="auto"/>
              </w:rPr>
            </w:pPr>
            <w:r>
              <w:rPr>
                <w:rFonts w:ascii="Arial" w:cs="Arial" w:eastAsia="Arial" w:hAnsi="Arial"/>
                <w:sz w:val="14"/>
                <w:szCs w:val="14"/>
                <w:b w:val="1"/>
                <w:bCs w:val="1"/>
                <w:color w:val="FFFFFF"/>
              </w:rPr>
              <w:t>VESTING PERCENTAGE</w:t>
            </w:r>
          </w:p>
        </w:tc>
      </w:tr>
      <w:tr>
        <w:trPr>
          <w:trHeight w:val="70"/>
        </w:trPr>
        <w:tc>
          <w:tcPr>
            <w:tcW w:w="6940" w:type="dxa"/>
            <w:vAlign w:val="bottom"/>
            <w:shd w:val="clear" w:color="auto" w:fill="009845"/>
          </w:tcPr>
          <w:p>
            <w:pPr>
              <w:spacing w:after="0"/>
              <w:rPr>
                <w:sz w:val="6"/>
                <w:szCs w:val="6"/>
                <w:color w:val="auto"/>
              </w:rPr>
            </w:pPr>
          </w:p>
        </w:tc>
        <w:tc>
          <w:tcPr>
            <w:tcW w:w="2380" w:type="dxa"/>
            <w:vAlign w:val="bottom"/>
            <w:shd w:val="clear" w:color="auto" w:fill="009845"/>
          </w:tcPr>
          <w:p>
            <w:pPr>
              <w:spacing w:after="0"/>
              <w:rPr>
                <w:sz w:val="6"/>
                <w:szCs w:val="6"/>
                <w:color w:val="auto"/>
              </w:rPr>
            </w:pPr>
          </w:p>
        </w:tc>
        <w:tc>
          <w:tcPr>
            <w:tcW w:w="1920" w:type="dxa"/>
            <w:vAlign w:val="bottom"/>
            <w:shd w:val="clear" w:color="auto" w:fill="009845"/>
          </w:tcPr>
          <w:p>
            <w:pPr>
              <w:spacing w:after="0"/>
              <w:rPr>
                <w:sz w:val="6"/>
                <w:szCs w:val="6"/>
                <w:color w:val="auto"/>
              </w:rPr>
            </w:pPr>
          </w:p>
        </w:tc>
      </w:tr>
      <w:tr>
        <w:trPr>
          <w:trHeight w:val="208"/>
        </w:trPr>
        <w:tc>
          <w:tcPr>
            <w:tcW w:w="6940" w:type="dxa"/>
            <w:vAlign w:val="bottom"/>
          </w:tcPr>
          <w:p>
            <w:pPr>
              <w:ind w:left="100"/>
              <w:spacing w:after="0"/>
              <w:rPr>
                <w:sz w:val="20"/>
                <w:szCs w:val="20"/>
                <w:color w:val="auto"/>
              </w:rPr>
            </w:pPr>
            <w:r>
              <w:rPr>
                <w:rFonts w:ascii="Arial" w:cs="Arial" w:eastAsia="Arial" w:hAnsi="Arial"/>
                <w:sz w:val="14"/>
                <w:szCs w:val="14"/>
                <w:color w:val="58595B"/>
              </w:rPr>
              <w:t>Below Threshold Level</w:t>
            </w:r>
          </w:p>
        </w:tc>
        <w:tc>
          <w:tcPr>
            <w:tcW w:w="2380" w:type="dxa"/>
            <w:vAlign w:val="bottom"/>
          </w:tcPr>
          <w:p>
            <w:pPr>
              <w:jc w:val="center"/>
              <w:ind w:right="148"/>
              <w:spacing w:after="0"/>
              <w:rPr>
                <w:sz w:val="20"/>
                <w:szCs w:val="20"/>
                <w:color w:val="auto"/>
              </w:rPr>
            </w:pPr>
            <w:r>
              <w:rPr>
                <w:rFonts w:ascii="Arial" w:cs="Arial" w:eastAsia="Arial" w:hAnsi="Arial"/>
                <w:sz w:val="14"/>
                <w:szCs w:val="14"/>
                <w:color w:val="58595B"/>
                <w:w w:val="98"/>
              </w:rPr>
              <w:t>&lt;2%</w:t>
            </w:r>
          </w:p>
        </w:tc>
        <w:tc>
          <w:tcPr>
            <w:tcW w:w="1920" w:type="dxa"/>
            <w:vAlign w:val="bottom"/>
          </w:tcPr>
          <w:p>
            <w:pPr>
              <w:jc w:val="center"/>
              <w:ind w:right="148"/>
              <w:spacing w:after="0"/>
              <w:rPr>
                <w:sz w:val="20"/>
                <w:szCs w:val="20"/>
                <w:color w:val="auto"/>
              </w:rPr>
            </w:pPr>
            <w:r>
              <w:rPr>
                <w:rFonts w:ascii="Arial" w:cs="Arial" w:eastAsia="Arial" w:hAnsi="Arial"/>
                <w:sz w:val="14"/>
                <w:szCs w:val="14"/>
                <w:color w:val="58595B"/>
              </w:rPr>
              <w:t>0%</w:t>
            </w:r>
          </w:p>
        </w:tc>
      </w:tr>
      <w:tr>
        <w:trPr>
          <w:trHeight w:val="22"/>
        </w:trPr>
        <w:tc>
          <w:tcPr>
            <w:tcW w:w="6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09"/>
        </w:trPr>
        <w:tc>
          <w:tcPr>
            <w:tcW w:w="69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Threshold Level</w:t>
            </w:r>
          </w:p>
        </w:tc>
        <w:tc>
          <w:tcPr>
            <w:tcW w:w="2380" w:type="dxa"/>
            <w:vAlign w:val="bottom"/>
            <w:tcBorders>
              <w:bottom w:val="single" w:sz="8" w:color="EFEDED"/>
            </w:tcBorders>
            <w:shd w:val="clear" w:color="auto" w:fill="EFEDED"/>
          </w:tcPr>
          <w:p>
            <w:pPr>
              <w:jc w:val="center"/>
              <w:ind w:right="148"/>
              <w:spacing w:after="0"/>
              <w:rPr>
                <w:sz w:val="20"/>
                <w:szCs w:val="20"/>
                <w:color w:val="auto"/>
              </w:rPr>
            </w:pPr>
            <w:r>
              <w:rPr>
                <w:rFonts w:ascii="Arial" w:cs="Arial" w:eastAsia="Arial" w:hAnsi="Arial"/>
                <w:sz w:val="14"/>
                <w:szCs w:val="14"/>
                <w:color w:val="58595B"/>
                <w:w w:val="98"/>
              </w:rPr>
              <w:t>2%</w:t>
            </w:r>
          </w:p>
        </w:tc>
        <w:tc>
          <w:tcPr>
            <w:tcW w:w="1920" w:type="dxa"/>
            <w:vAlign w:val="bottom"/>
            <w:tcBorders>
              <w:bottom w:val="single" w:sz="8" w:color="EFEDED"/>
            </w:tcBorders>
            <w:shd w:val="clear" w:color="auto" w:fill="EFEDED"/>
          </w:tcPr>
          <w:p>
            <w:pPr>
              <w:jc w:val="center"/>
              <w:ind w:right="148"/>
              <w:spacing w:after="0"/>
              <w:rPr>
                <w:sz w:val="20"/>
                <w:szCs w:val="20"/>
                <w:color w:val="auto"/>
              </w:rPr>
            </w:pPr>
            <w:r>
              <w:rPr>
                <w:rFonts w:ascii="Arial" w:cs="Arial" w:eastAsia="Arial" w:hAnsi="Arial"/>
                <w:sz w:val="14"/>
                <w:szCs w:val="14"/>
                <w:color w:val="58595B"/>
              </w:rPr>
              <w:t>50%</w:t>
            </w:r>
          </w:p>
        </w:tc>
      </w:tr>
      <w:tr>
        <w:trPr>
          <w:trHeight w:val="208"/>
        </w:trPr>
        <w:tc>
          <w:tcPr>
            <w:tcW w:w="6940" w:type="dxa"/>
            <w:vAlign w:val="bottom"/>
          </w:tcPr>
          <w:p>
            <w:pPr>
              <w:ind w:left="100"/>
              <w:spacing w:after="0"/>
              <w:rPr>
                <w:sz w:val="20"/>
                <w:szCs w:val="20"/>
                <w:color w:val="auto"/>
              </w:rPr>
            </w:pPr>
            <w:r>
              <w:rPr>
                <w:rFonts w:ascii="Arial" w:cs="Arial" w:eastAsia="Arial" w:hAnsi="Arial"/>
                <w:sz w:val="14"/>
                <w:szCs w:val="14"/>
                <w:color w:val="58595B"/>
              </w:rPr>
              <w:t>Target Level</w:t>
            </w:r>
          </w:p>
        </w:tc>
        <w:tc>
          <w:tcPr>
            <w:tcW w:w="2380" w:type="dxa"/>
            <w:vAlign w:val="bottom"/>
          </w:tcPr>
          <w:p>
            <w:pPr>
              <w:jc w:val="center"/>
              <w:ind w:right="148"/>
              <w:spacing w:after="0"/>
              <w:rPr>
                <w:sz w:val="20"/>
                <w:szCs w:val="20"/>
                <w:color w:val="auto"/>
              </w:rPr>
            </w:pPr>
            <w:r>
              <w:rPr>
                <w:rFonts w:ascii="Arial" w:cs="Arial" w:eastAsia="Arial" w:hAnsi="Arial"/>
                <w:sz w:val="14"/>
                <w:szCs w:val="14"/>
                <w:color w:val="58595B"/>
                <w:w w:val="98"/>
              </w:rPr>
              <w:t>5%</w:t>
            </w:r>
          </w:p>
        </w:tc>
        <w:tc>
          <w:tcPr>
            <w:tcW w:w="1920" w:type="dxa"/>
            <w:vAlign w:val="bottom"/>
          </w:tcPr>
          <w:p>
            <w:pPr>
              <w:jc w:val="center"/>
              <w:ind w:right="148"/>
              <w:spacing w:after="0"/>
              <w:rPr>
                <w:sz w:val="20"/>
                <w:szCs w:val="20"/>
                <w:color w:val="auto"/>
              </w:rPr>
            </w:pPr>
            <w:r>
              <w:rPr>
                <w:rFonts w:ascii="Arial" w:cs="Arial" w:eastAsia="Arial" w:hAnsi="Arial"/>
                <w:sz w:val="14"/>
                <w:szCs w:val="14"/>
                <w:color w:val="58595B"/>
              </w:rPr>
              <w:t>100%</w:t>
            </w:r>
          </w:p>
        </w:tc>
      </w:tr>
      <w:tr>
        <w:trPr>
          <w:trHeight w:val="22"/>
        </w:trPr>
        <w:tc>
          <w:tcPr>
            <w:tcW w:w="6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0"/>
        </w:trPr>
        <w:tc>
          <w:tcPr>
            <w:tcW w:w="69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Maximum Level</w:t>
            </w:r>
          </w:p>
        </w:tc>
        <w:tc>
          <w:tcPr>
            <w:tcW w:w="2380" w:type="dxa"/>
            <w:vAlign w:val="bottom"/>
            <w:tcBorders>
              <w:bottom w:val="single" w:sz="8" w:color="EFEDED"/>
            </w:tcBorders>
            <w:shd w:val="clear" w:color="auto" w:fill="EFEDED"/>
          </w:tcPr>
          <w:p>
            <w:pPr>
              <w:jc w:val="center"/>
              <w:ind w:right="148"/>
              <w:spacing w:after="0"/>
              <w:rPr>
                <w:sz w:val="20"/>
                <w:szCs w:val="20"/>
                <w:color w:val="auto"/>
              </w:rPr>
            </w:pPr>
            <w:r>
              <w:rPr>
                <w:rFonts w:ascii="Arial" w:cs="Arial" w:eastAsia="Arial" w:hAnsi="Arial"/>
                <w:sz w:val="14"/>
                <w:szCs w:val="14"/>
                <w:color w:val="58595B"/>
                <w:w w:val="99"/>
              </w:rPr>
              <w:t>14%</w:t>
            </w:r>
          </w:p>
        </w:tc>
        <w:tc>
          <w:tcPr>
            <w:tcW w:w="1920" w:type="dxa"/>
            <w:vAlign w:val="bottom"/>
            <w:tcBorders>
              <w:bottom w:val="single" w:sz="8" w:color="EFEDED"/>
            </w:tcBorders>
            <w:shd w:val="clear" w:color="auto" w:fill="EFEDED"/>
          </w:tcPr>
          <w:p>
            <w:pPr>
              <w:jc w:val="center"/>
              <w:ind w:right="148"/>
              <w:spacing w:after="0"/>
              <w:rPr>
                <w:sz w:val="20"/>
                <w:szCs w:val="20"/>
                <w:color w:val="auto"/>
              </w:rPr>
            </w:pPr>
            <w:r>
              <w:rPr>
                <w:rFonts w:ascii="Arial" w:cs="Arial" w:eastAsia="Arial" w:hAnsi="Arial"/>
                <w:sz w:val="14"/>
                <w:szCs w:val="14"/>
                <w:color w:val="58595B"/>
              </w:rPr>
              <w:t>200%</w:t>
            </w:r>
          </w:p>
        </w:tc>
      </w:tr>
      <w:tr>
        <w:trPr>
          <w:trHeight w:val="20"/>
        </w:trPr>
        <w:tc>
          <w:tcPr>
            <w:tcW w:w="6940" w:type="dxa"/>
            <w:vAlign w:val="bottom"/>
            <w:shd w:val="clear" w:color="auto" w:fill="58595B"/>
          </w:tcPr>
          <w:p>
            <w:pPr>
              <w:spacing w:after="0" w:line="20" w:lineRule="exact"/>
              <w:rPr>
                <w:sz w:val="1"/>
                <w:szCs w:val="1"/>
                <w:color w:val="auto"/>
              </w:rPr>
            </w:pPr>
          </w:p>
        </w:tc>
        <w:tc>
          <w:tcPr>
            <w:tcW w:w="2380" w:type="dxa"/>
            <w:vAlign w:val="bottom"/>
            <w:shd w:val="clear" w:color="auto" w:fill="58595B"/>
          </w:tcPr>
          <w:p>
            <w:pPr>
              <w:spacing w:after="0" w:line="20" w:lineRule="exact"/>
              <w:rPr>
                <w:sz w:val="1"/>
                <w:szCs w:val="1"/>
                <w:color w:val="auto"/>
              </w:rPr>
            </w:pPr>
          </w:p>
        </w:tc>
        <w:tc>
          <w:tcPr>
            <w:tcW w:w="192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-890905</wp:posOffset>
            </wp:positionV>
            <wp:extent cx="27260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063740" cy="2311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63740" cy="231140"/>
                    </a:xfrm>
                    <a:prstGeom prst="rect">
                      <a:avLst/>
                    </a:prstGeom>
                    <a:noFill/>
                  </pic:spPr>
                </pic:pic>
              </a:graphicData>
            </a:graphic>
          </wp:anchor>
        </w:drawing>
      </w:r>
    </w:p>
    <w:p>
      <w:pPr>
        <w:spacing w:after="0" w:line="330" w:lineRule="exact"/>
        <w:rPr>
          <w:sz w:val="20"/>
          <w:szCs w:val="20"/>
          <w:color w:val="auto"/>
        </w:rPr>
      </w:pPr>
    </w:p>
    <w:p>
      <w:pPr>
        <w:ind w:left="100"/>
        <w:spacing w:after="0"/>
        <w:tabs>
          <w:tab w:leader="none" w:pos="4520" w:val="left"/>
        </w:tabs>
        <w:rPr>
          <w:sz w:val="20"/>
          <w:szCs w:val="20"/>
          <w:color w:val="auto"/>
        </w:rPr>
      </w:pPr>
      <w:r>
        <w:rPr>
          <w:rFonts w:ascii="Arial" w:cs="Arial" w:eastAsia="Arial" w:hAnsi="Arial"/>
          <w:sz w:val="22"/>
          <w:szCs w:val="22"/>
          <w:b w:val="1"/>
          <w:bCs w:val="1"/>
          <w:color w:val="FFFFFF"/>
        </w:rPr>
        <w:t>If...</w:t>
      </w:r>
      <w:r>
        <w:rPr>
          <w:sz w:val="20"/>
          <w:szCs w:val="20"/>
          <w:color w:val="auto"/>
        </w:rPr>
        <w:tab/>
      </w:r>
      <w:r>
        <w:rPr>
          <w:rFonts w:ascii="Arial" w:cs="Arial" w:eastAsia="Arial" w:hAnsi="Arial"/>
          <w:sz w:val="21"/>
          <w:szCs w:val="21"/>
          <w:b w:val="1"/>
          <w:bCs w:val="1"/>
          <w:color w:val="FFFFFF"/>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063740" cy="8915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63740" cy="8915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88" w:lineRule="exact"/>
        <w:rPr>
          <w:sz w:val="20"/>
          <w:szCs w:val="20"/>
          <w:color w:val="auto"/>
        </w:rPr>
      </w:pPr>
    </w:p>
    <w:p>
      <w:pPr>
        <w:ind w:left="100" w:right="160"/>
        <w:spacing w:after="0" w:line="349" w:lineRule="auto"/>
        <w:rPr>
          <w:sz w:val="20"/>
          <w:szCs w:val="20"/>
          <w:color w:val="auto"/>
        </w:rPr>
      </w:pPr>
      <w:r>
        <w:rPr>
          <w:rFonts w:ascii="Arial" w:cs="Arial" w:eastAsia="Arial" w:hAnsi="Arial"/>
          <w:sz w:val="16"/>
          <w:szCs w:val="16"/>
          <w:b w:val="1"/>
          <w:bCs w:val="1"/>
          <w:color w:val="58595B"/>
        </w:rPr>
        <w:t>Growth in annual organic revenue over prior year is between threshold and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2726055" cy="10198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2605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 w:right="160"/>
        <w:spacing w:after="0" w:line="349" w:lineRule="auto"/>
        <w:rPr>
          <w:sz w:val="20"/>
          <w:szCs w:val="20"/>
          <w:color w:val="auto"/>
        </w:rPr>
      </w:pPr>
      <w:r>
        <w:rPr>
          <w:rFonts w:ascii="Arial" w:cs="Arial" w:eastAsia="Arial" w:hAnsi="Arial"/>
          <w:sz w:val="16"/>
          <w:szCs w:val="16"/>
          <w:b w:val="1"/>
          <w:bCs w:val="1"/>
          <w:color w:val="58595B"/>
        </w:rPr>
        <w:t>Growth in annual organic revenue over prior year is between target and maximum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621030</wp:posOffset>
            </wp:positionV>
            <wp:extent cx="2726055" cy="9429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2605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line="322" w:lineRule="auto"/>
        <w:rPr>
          <w:sz w:val="20"/>
          <w:szCs w:val="20"/>
          <w:color w:val="auto"/>
        </w:rPr>
      </w:pPr>
      <w:r>
        <w:rPr>
          <w:rFonts w:ascii="Arial" w:cs="Arial" w:eastAsia="Arial" w:hAnsi="Arial"/>
          <w:sz w:val="16"/>
          <w:szCs w:val="16"/>
          <w:b w:val="1"/>
          <w:bCs w:val="1"/>
          <w:color w:val="58595B"/>
        </w:rPr>
        <w:t>Target performance in a particular year is not attained but the Company achieves its cumulative goal (an average three-year annual organic revenue growth rate of at least target level)</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For 2020, 2021, 2022 and 2023 Grants</w:t>
      </w:r>
    </w:p>
    <w:p>
      <w:pPr>
        <w:spacing w:after="0" w:line="50" w:lineRule="exact"/>
        <w:rPr>
          <w:sz w:val="20"/>
          <w:szCs w:val="20"/>
          <w:color w:val="auto"/>
        </w:rPr>
      </w:pPr>
    </w:p>
    <w:p>
      <w:pPr>
        <w:ind w:right="140"/>
        <w:spacing w:after="0" w:line="333" w:lineRule="auto"/>
        <w:rPr>
          <w:sz w:val="20"/>
          <w:szCs w:val="20"/>
          <w:color w:val="auto"/>
        </w:rPr>
      </w:pPr>
      <w:r>
        <w:rPr>
          <w:rFonts w:ascii="Arial" w:cs="Arial" w:eastAsia="Arial" w:hAnsi="Arial"/>
          <w:sz w:val="14"/>
          <w:szCs w:val="14"/>
          <w:color w:val="58595B"/>
        </w:rPr>
        <w:t>Performance vesting percentage is determined by extrapolating between threshold level— anchor points of 3% annual organic revenue growth (with a 70% performance vesting percentage) and 4% annual organic revenue growth (with an 85% performance vesting percentage)—and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257810</wp:posOffset>
            </wp:positionV>
            <wp:extent cx="4251960" cy="10198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51960" cy="101981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For 2020 and 2023 Grants</w:t>
      </w:r>
    </w:p>
    <w:p>
      <w:pPr>
        <w:spacing w:after="0" w:line="39" w:lineRule="exact"/>
        <w:rPr>
          <w:sz w:val="20"/>
          <w:szCs w:val="20"/>
          <w:color w:val="auto"/>
        </w:rPr>
      </w:pPr>
    </w:p>
    <w:p>
      <w:pPr>
        <w:ind w:left="80" w:right="700"/>
        <w:spacing w:after="0" w:line="302" w:lineRule="auto"/>
        <w:rPr>
          <w:sz w:val="20"/>
          <w:szCs w:val="20"/>
          <w:color w:val="auto"/>
        </w:rPr>
      </w:pPr>
      <w:r>
        <w:rPr>
          <w:rFonts w:ascii="Arial" w:cs="Arial" w:eastAsia="Arial" w:hAnsi="Arial"/>
          <w:sz w:val="14"/>
          <w:szCs w:val="14"/>
          <w:color w:val="58595B"/>
        </w:rPr>
        <w:t>Performance vesting percentage is determined by linear interpolation between target level and maximum level.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For 2021 and 2022 Grants</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4"/>
          <w:szCs w:val="14"/>
          <w:color w:val="58595B"/>
        </w:rPr>
        <w:t>Performance vesting percentage is determined by extrapolating between target level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194310</wp:posOffset>
            </wp:positionV>
            <wp:extent cx="4251960" cy="942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51960" cy="94297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0" w:right="160"/>
        <w:spacing w:after="0" w:line="285" w:lineRule="auto"/>
        <w:rPr>
          <w:sz w:val="20"/>
          <w:szCs w:val="20"/>
          <w:color w:val="auto"/>
        </w:rPr>
      </w:pPr>
      <w:r>
        <w:rPr>
          <w:rFonts w:ascii="Arial" w:cs="Arial" w:eastAsia="Arial" w:hAnsi="Arial"/>
          <w:sz w:val="14"/>
          <w:szCs w:val="14"/>
          <w:color w:val="58595B"/>
        </w:rPr>
        <w:t>Additional PSUs will vest on the third anniversary of the grant date (as though the performance goal for the fiscal year was achieved at target level).</w:t>
      </w:r>
    </w:p>
    <w:p>
      <w:pPr>
        <w:spacing w:after="0" w:line="813" w:lineRule="exact"/>
        <w:rPr>
          <w:sz w:val="20"/>
          <w:szCs w:val="20"/>
          <w:color w:val="auto"/>
        </w:rPr>
      </w:pPr>
    </w:p>
    <w:p>
      <w:pPr>
        <w:sectPr>
          <w:pgSz w:w="11900" w:h="16838" w:orient="portrait"/>
          <w:cols w:equalWidth="0" w:num="2">
            <w:col w:w="4240" w:space="220"/>
            <w:col w:w="6780"/>
          </w:cols>
          <w:pgMar w:left="320" w:top="122"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PSU Grant Vesting</w:t>
      </w:r>
    </w:p>
    <w:p>
      <w:pPr>
        <w:spacing w:after="0" w:line="72" w:lineRule="exact"/>
        <w:rPr>
          <w:sz w:val="20"/>
          <w:szCs w:val="20"/>
          <w:color w:val="auto"/>
        </w:rPr>
      </w:pPr>
    </w:p>
    <w:p>
      <w:pPr>
        <w:jc w:val="both"/>
        <w:ind w:right="420"/>
        <w:spacing w:after="0" w:line="328" w:lineRule="auto"/>
        <w:rPr>
          <w:sz w:val="20"/>
          <w:szCs w:val="20"/>
          <w:color w:val="auto"/>
        </w:rPr>
      </w:pPr>
      <w:r>
        <w:rPr>
          <w:rFonts w:ascii="Arial" w:cs="Arial" w:eastAsia="Arial" w:hAnsi="Arial"/>
          <w:sz w:val="16"/>
          <w:szCs w:val="16"/>
          <w:color w:val="58595B"/>
        </w:rPr>
        <w:t>2023 presented numerous operational challenges, including the voluntary global recall and manufacturing stoppage of all products manufactured at our Boston, Massachusetts facility. Despite these challenges, we were able to strengthen our operational capabilities while capitalizing on the growth of our markets and the resilience of our products.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47</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58595B"/>
        </w:rPr>
        <w:t>Vesting of the following PSU grants in 2023 and 2024 was determined based on the achievement of the Company’s annual organic revenue growth goal for the 2022 and 2023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73025</wp:posOffset>
            </wp:positionV>
            <wp:extent cx="5915025" cy="32232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1502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Performance Results For PSUs Vesting In 2024 Based On 2023 Performance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20" w:type="dxa"/>
            <w:vAlign w:val="bottom"/>
            <w:shd w:val="clear" w:color="auto" w:fill="009845"/>
          </w:tcPr>
          <w:p>
            <w:pPr>
              <w:spacing w:after="0"/>
              <w:rPr>
                <w:sz w:val="15"/>
                <w:szCs w:val="15"/>
                <w:color w:val="auto"/>
              </w:rPr>
            </w:pPr>
          </w:p>
        </w:tc>
        <w:tc>
          <w:tcPr>
            <w:tcW w:w="19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Performance</w:t>
            </w:r>
          </w:p>
        </w:tc>
        <w:tc>
          <w:tcPr>
            <w:tcW w:w="18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2021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2022 Grant</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2023 Grant</w:t>
            </w:r>
          </w:p>
        </w:tc>
        <w:tc>
          <w:tcPr>
            <w:tcW w:w="0" w:type="dxa"/>
            <w:vAlign w:val="bottom"/>
          </w:tcPr>
          <w:p>
            <w:pPr>
              <w:spacing w:after="0"/>
              <w:rPr>
                <w:sz w:val="1"/>
                <w:szCs w:val="1"/>
                <w:color w:val="auto"/>
              </w:rPr>
            </w:pPr>
          </w:p>
        </w:tc>
      </w:tr>
      <w:tr>
        <w:trPr>
          <w:trHeight w:val="196"/>
        </w:trPr>
        <w:tc>
          <w:tcPr>
            <w:tcW w:w="3720" w:type="dxa"/>
            <w:vAlign w:val="bottom"/>
            <w:shd w:val="clear" w:color="auto" w:fill="009845"/>
          </w:tcPr>
          <w:p>
            <w:pPr>
              <w:spacing w:after="0"/>
              <w:rPr>
                <w:sz w:val="17"/>
                <w:szCs w:val="17"/>
                <w:color w:val="auto"/>
              </w:rPr>
            </w:pPr>
          </w:p>
        </w:tc>
        <w:tc>
          <w:tcPr>
            <w:tcW w:w="198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Vesting %</w:t>
            </w:r>
          </w:p>
        </w:tc>
        <w:tc>
          <w:tcPr>
            <w:tcW w:w="182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3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2 Vesting</w:t>
            </w:r>
          </w:p>
        </w:tc>
        <w:tc>
          <w:tcPr>
            <w:tcW w:w="18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Year 1 Vesting</w:t>
            </w:r>
          </w:p>
        </w:tc>
        <w:tc>
          <w:tcPr>
            <w:tcW w:w="0" w:type="dxa"/>
            <w:vAlign w:val="bottom"/>
          </w:tcPr>
          <w:p>
            <w:pPr>
              <w:spacing w:after="0"/>
              <w:rPr>
                <w:sz w:val="1"/>
                <w:szCs w:val="1"/>
                <w:color w:val="auto"/>
              </w:rPr>
            </w:pPr>
          </w:p>
        </w:tc>
      </w:tr>
      <w:tr>
        <w:trPr>
          <w:trHeight w:val="83"/>
        </w:trPr>
        <w:tc>
          <w:tcPr>
            <w:tcW w:w="3720" w:type="dxa"/>
            <w:vAlign w:val="bottom"/>
            <w:shd w:val="clear" w:color="auto" w:fill="009845"/>
          </w:tcPr>
          <w:p>
            <w:pPr>
              <w:spacing w:after="0"/>
              <w:rPr>
                <w:sz w:val="7"/>
                <w:szCs w:val="7"/>
                <w:color w:val="auto"/>
              </w:rPr>
            </w:pPr>
          </w:p>
        </w:tc>
        <w:tc>
          <w:tcPr>
            <w:tcW w:w="1980" w:type="dxa"/>
            <w:vAlign w:val="bottom"/>
            <w:shd w:val="clear" w:color="auto" w:fill="009845"/>
          </w:tcPr>
          <w:p>
            <w:pPr>
              <w:spacing w:after="0"/>
              <w:rPr>
                <w:sz w:val="7"/>
                <w:szCs w:val="7"/>
                <w:color w:val="auto"/>
              </w:rPr>
            </w:pPr>
          </w:p>
        </w:tc>
        <w:tc>
          <w:tcPr>
            <w:tcW w:w="1820" w:type="dxa"/>
            <w:vAlign w:val="bottom"/>
            <w:shd w:val="clear" w:color="auto" w:fill="009845"/>
          </w:tcPr>
          <w:p>
            <w:pPr>
              <w:spacing w:after="0"/>
              <w:rPr>
                <w:sz w:val="7"/>
                <w:szCs w:val="7"/>
                <w:color w:val="auto"/>
              </w:rPr>
            </w:pPr>
          </w:p>
        </w:tc>
        <w:tc>
          <w:tcPr>
            <w:tcW w:w="1860" w:type="dxa"/>
            <w:vAlign w:val="bottom"/>
            <w:shd w:val="clear" w:color="auto" w:fill="009845"/>
          </w:tcPr>
          <w:p>
            <w:pPr>
              <w:spacing w:after="0"/>
              <w:rPr>
                <w:sz w:val="7"/>
                <w:szCs w:val="7"/>
                <w:color w:val="auto"/>
              </w:rPr>
            </w:pPr>
          </w:p>
        </w:tc>
        <w:tc>
          <w:tcPr>
            <w:tcW w:w="1860" w:type="dxa"/>
            <w:vAlign w:val="bottom"/>
            <w:shd w:val="clear" w:color="auto" w:fill="009845"/>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00"/>
              <w:spacing w:after="0"/>
              <w:rPr>
                <w:sz w:val="20"/>
                <w:szCs w:val="20"/>
                <w:color w:val="auto"/>
              </w:rPr>
            </w:pPr>
            <w:r>
              <w:rPr>
                <w:rFonts w:ascii="Arial" w:cs="Arial" w:eastAsia="Arial" w:hAnsi="Arial"/>
                <w:sz w:val="14"/>
                <w:szCs w:val="14"/>
                <w:color w:val="58595B"/>
              </w:rPr>
              <w:t>Baseline</w:t>
            </w:r>
            <w:r>
              <w:rPr>
                <w:rFonts w:ascii="Arial" w:cs="Arial" w:eastAsia="Arial" w:hAnsi="Arial"/>
                <w:sz w:val="18"/>
                <w:szCs w:val="18"/>
                <w:color w:val="58595B"/>
                <w:vertAlign w:val="superscript"/>
              </w:rPr>
              <w:t>1</w:t>
            </w:r>
          </w:p>
        </w:tc>
        <w:tc>
          <w:tcPr>
            <w:tcW w:w="19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58595B"/>
              </w:rPr>
              <w:t>$1,542.4</w:t>
            </w:r>
          </w:p>
        </w:tc>
        <w:tc>
          <w:tcPr>
            <w:tcW w:w="1860" w:type="dxa"/>
            <w:vAlign w:val="bottom"/>
          </w:tcPr>
          <w:p>
            <w:pPr>
              <w:jc w:val="center"/>
              <w:spacing w:after="0"/>
              <w:rPr>
                <w:sz w:val="20"/>
                <w:szCs w:val="20"/>
                <w:color w:val="auto"/>
              </w:rPr>
            </w:pPr>
            <w:r>
              <w:rPr>
                <w:rFonts w:ascii="Arial" w:cs="Arial" w:eastAsia="Arial" w:hAnsi="Arial"/>
                <w:sz w:val="14"/>
                <w:szCs w:val="14"/>
                <w:color w:val="58595B"/>
              </w:rPr>
              <w:t>$1,542.4</w:t>
            </w:r>
          </w:p>
        </w:tc>
        <w:tc>
          <w:tcPr>
            <w:tcW w:w="1860" w:type="dxa"/>
            <w:vAlign w:val="bottom"/>
          </w:tcPr>
          <w:p>
            <w:pPr>
              <w:jc w:val="center"/>
              <w:spacing w:after="0"/>
              <w:rPr>
                <w:sz w:val="20"/>
                <w:szCs w:val="20"/>
                <w:color w:val="auto"/>
              </w:rPr>
            </w:pPr>
            <w:r>
              <w:rPr>
                <w:rFonts w:ascii="Arial" w:cs="Arial" w:eastAsia="Arial" w:hAnsi="Arial"/>
                <w:sz w:val="14"/>
                <w:szCs w:val="14"/>
                <w:color w:val="58595B"/>
              </w:rPr>
              <w:t>$1,542.4</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color w:val="58595B"/>
              </w:rPr>
              <w:t>Target Level</w:t>
            </w:r>
          </w:p>
        </w:tc>
        <w:tc>
          <w:tcPr>
            <w:tcW w:w="1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100%</w:t>
            </w:r>
          </w:p>
        </w:tc>
        <w:tc>
          <w:tcPr>
            <w:tcW w:w="18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w w:val="98"/>
              </w:rPr>
              <w:t>5%</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5.3%</w:t>
            </w:r>
          </w:p>
        </w:tc>
        <w:tc>
          <w:tcPr>
            <w:tcW w:w="18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4"/>
                <w:szCs w:val="14"/>
                <w:color w:val="58595B"/>
              </w:rPr>
              <w:t>5.7%</w:t>
            </w:r>
          </w:p>
        </w:tc>
        <w:tc>
          <w:tcPr>
            <w:tcW w:w="0" w:type="dxa"/>
            <w:vAlign w:val="bottom"/>
          </w:tcPr>
          <w:p>
            <w:pPr>
              <w:spacing w:after="0"/>
              <w:rPr>
                <w:sz w:val="1"/>
                <w:szCs w:val="1"/>
                <w:color w:val="auto"/>
              </w:rPr>
            </w:pPr>
          </w:p>
        </w:tc>
      </w:tr>
      <w:tr>
        <w:trPr>
          <w:trHeight w:val="180"/>
        </w:trPr>
        <w:tc>
          <w:tcPr>
            <w:tcW w:w="3720" w:type="dxa"/>
            <w:vAlign w:val="bottom"/>
            <w:vMerge w:val="restart"/>
          </w:tcPr>
          <w:p>
            <w:pPr>
              <w:ind w:left="100"/>
              <w:spacing w:after="0"/>
              <w:rPr>
                <w:sz w:val="20"/>
                <w:szCs w:val="20"/>
                <w:color w:val="auto"/>
              </w:rPr>
            </w:pPr>
            <w:r>
              <w:rPr>
                <w:rFonts w:ascii="Arial" w:cs="Arial" w:eastAsia="Arial" w:hAnsi="Arial"/>
                <w:sz w:val="14"/>
                <w:szCs w:val="14"/>
                <w:color w:val="58595B"/>
              </w:rPr>
              <w:t>Maximum Level</w:t>
            </w:r>
          </w:p>
        </w:tc>
        <w:tc>
          <w:tcPr>
            <w:tcW w:w="1980" w:type="dxa"/>
            <w:vAlign w:val="bottom"/>
          </w:tcPr>
          <w:p>
            <w:pPr>
              <w:jc w:val="center"/>
              <w:spacing w:after="0"/>
              <w:rPr>
                <w:sz w:val="20"/>
                <w:szCs w:val="20"/>
                <w:color w:val="auto"/>
              </w:rPr>
            </w:pPr>
            <w:r>
              <w:rPr>
                <w:rFonts w:ascii="Arial" w:cs="Arial" w:eastAsia="Arial" w:hAnsi="Arial"/>
                <w:sz w:val="14"/>
                <w:szCs w:val="14"/>
                <w:color w:val="58595B"/>
              </w:rPr>
              <w:t>150% in 2022/2023</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58595B"/>
                <w:w w:val="99"/>
              </w:rPr>
              <w:t>14%</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58595B"/>
                <w:w w:val="98"/>
              </w:rPr>
              <w:t>7%</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58595B"/>
              </w:rPr>
              <w:t>7%</w:t>
            </w:r>
          </w:p>
        </w:tc>
        <w:tc>
          <w:tcPr>
            <w:tcW w:w="0" w:type="dxa"/>
            <w:vAlign w:val="bottom"/>
          </w:tcPr>
          <w:p>
            <w:pPr>
              <w:spacing w:after="0"/>
              <w:rPr>
                <w:sz w:val="1"/>
                <w:szCs w:val="1"/>
                <w:color w:val="auto"/>
              </w:rPr>
            </w:pPr>
          </w:p>
        </w:tc>
      </w:tr>
      <w:tr>
        <w:trPr>
          <w:trHeight w:val="109"/>
        </w:trPr>
        <w:tc>
          <w:tcPr>
            <w:tcW w:w="3720" w:type="dxa"/>
            <w:vAlign w:val="bottom"/>
            <w:vMerge w:val="continue"/>
          </w:tcPr>
          <w:p>
            <w:pPr>
              <w:spacing w:after="0"/>
              <w:rPr>
                <w:sz w:val="9"/>
                <w:szCs w:val="9"/>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color w:val="58595B"/>
              </w:rPr>
              <w:t>200% in 2021</w:t>
            </w:r>
          </w:p>
        </w:tc>
        <w:tc>
          <w:tcPr>
            <w:tcW w:w="182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ACTUAL</w:t>
            </w:r>
            <w:r>
              <w:rPr>
                <w:rFonts w:ascii="Arial" w:cs="Arial" w:eastAsia="Arial" w:hAnsi="Arial"/>
                <w:sz w:val="18"/>
                <w:szCs w:val="18"/>
                <w:b w:val="1"/>
                <w:bCs w:val="1"/>
                <w:color w:val="58595B"/>
                <w:vertAlign w:val="superscript"/>
              </w:rPr>
              <w:t>1</w:t>
            </w:r>
          </w:p>
        </w:tc>
        <w:tc>
          <w:tcPr>
            <w:tcW w:w="1980" w:type="dxa"/>
            <w:vAlign w:val="bottom"/>
            <w:shd w:val="clear" w:color="auto" w:fill="EFEDED"/>
          </w:tcPr>
          <w:p>
            <w:pPr>
              <w:spacing w:after="0"/>
              <w:rPr>
                <w:sz w:val="19"/>
                <w:szCs w:val="19"/>
                <w:color w:val="auto"/>
              </w:rPr>
            </w:pPr>
          </w:p>
        </w:tc>
        <w:tc>
          <w:tcPr>
            <w:tcW w:w="18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$1,557.7</w:t>
            </w:r>
          </w:p>
        </w:tc>
        <w:tc>
          <w:tcPr>
            <w:tcW w:w="18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$1,557.7</w:t>
            </w:r>
          </w:p>
        </w:tc>
        <w:tc>
          <w:tcPr>
            <w:tcW w:w="186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$1,557.7</w:t>
            </w:r>
          </w:p>
        </w:tc>
        <w:tc>
          <w:tcPr>
            <w:tcW w:w="0" w:type="dxa"/>
            <w:vAlign w:val="bottom"/>
          </w:tcPr>
          <w:p>
            <w:pPr>
              <w:spacing w:after="0"/>
              <w:rPr>
                <w:sz w:val="1"/>
                <w:szCs w:val="1"/>
                <w:color w:val="auto"/>
              </w:rPr>
            </w:pPr>
          </w:p>
        </w:tc>
      </w:tr>
      <w:tr>
        <w:trPr>
          <w:trHeight w:val="208"/>
        </w:trPr>
        <w:tc>
          <w:tcPr>
            <w:tcW w:w="3720" w:type="dxa"/>
            <w:vAlign w:val="bottom"/>
          </w:tcPr>
          <w:p>
            <w:pPr>
              <w:ind w:left="100"/>
              <w:spacing w:after="0"/>
              <w:rPr>
                <w:sz w:val="20"/>
                <w:szCs w:val="20"/>
                <w:color w:val="auto"/>
              </w:rPr>
            </w:pPr>
            <w:r>
              <w:rPr>
                <w:rFonts w:ascii="Arial" w:cs="Arial" w:eastAsia="Arial" w:hAnsi="Arial"/>
                <w:sz w:val="14"/>
                <w:szCs w:val="14"/>
                <w:color w:val="58595B"/>
              </w:rPr>
              <w:t>% Increase over Baseline</w:t>
            </w:r>
          </w:p>
        </w:tc>
        <w:tc>
          <w:tcPr>
            <w:tcW w:w="19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Pr>
          <w:p>
            <w:pPr>
              <w:jc w:val="center"/>
              <w:spacing w:after="0"/>
              <w:rPr>
                <w:sz w:val="20"/>
                <w:szCs w:val="20"/>
                <w:color w:val="auto"/>
              </w:rPr>
            </w:pPr>
            <w:r>
              <w:rPr>
                <w:rFonts w:ascii="Arial" w:cs="Arial" w:eastAsia="Arial" w:hAnsi="Arial"/>
                <w:sz w:val="14"/>
                <w:szCs w:val="14"/>
                <w:color w:val="58595B"/>
              </w:rPr>
              <w:t>0%</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tcBorders>
              <w:bottom w:val="single" w:sz="8" w:color="58595B"/>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ACTUAL VESTING PERCENTAGE</w:t>
            </w:r>
          </w:p>
        </w:tc>
        <w:tc>
          <w:tcPr>
            <w:tcW w:w="1980" w:type="dxa"/>
            <w:vAlign w:val="bottom"/>
            <w:tcBorders>
              <w:bottom w:val="single" w:sz="8" w:color="58595B"/>
            </w:tcBorders>
            <w:shd w:val="clear" w:color="auto" w:fill="EFEDED"/>
          </w:tcPr>
          <w:p>
            <w:pPr>
              <w:spacing w:after="0"/>
              <w:rPr>
                <w:sz w:val="19"/>
                <w:szCs w:val="19"/>
                <w:color w:val="auto"/>
              </w:rPr>
            </w:pPr>
          </w:p>
        </w:tc>
        <w:tc>
          <w:tcPr>
            <w:tcW w:w="182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w w:val="98"/>
              </w:rPr>
              <w:t>0%</w:t>
            </w:r>
          </w:p>
        </w:tc>
        <w:tc>
          <w:tcPr>
            <w:tcW w:w="186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4"/>
                <w:szCs w:val="14"/>
                <w:color w:val="58595B"/>
              </w:rPr>
              <w:t>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See “Appendix A — Non-GAAP Financial Measures”.</w:t>
      </w:r>
    </w:p>
    <w:p>
      <w:pPr>
        <w:spacing w:after="0" w:line="293" w:lineRule="exact"/>
        <w:rPr>
          <w:sz w:val="20"/>
          <w:szCs w:val="20"/>
          <w:color w:val="auto"/>
        </w:rPr>
      </w:pPr>
    </w:p>
    <w:p>
      <w:pPr>
        <w:ind w:right="520"/>
        <w:spacing w:after="0" w:line="328" w:lineRule="auto"/>
        <w:rPr>
          <w:sz w:val="20"/>
          <w:szCs w:val="20"/>
          <w:color w:val="auto"/>
        </w:rPr>
      </w:pPr>
      <w:r>
        <w:rPr>
          <w:rFonts w:ascii="Arial" w:cs="Arial" w:eastAsia="Arial" w:hAnsi="Arial"/>
          <w:sz w:val="16"/>
          <w:szCs w:val="16"/>
          <w:color w:val="58595B"/>
        </w:rPr>
        <w:t>For the 2021 PSU grant, the Company's average three-year annual organic revenue growth rate was 6.1% which exceeded the 5% target for the performance period. Accordingly, pursuant to the terms of the 2021 PSU, shares vested on March 12, 2024, the third anniversary of the grant date, as though the performance goal for each of fiscal year 2022 and 2023 was achieved at target level.</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48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Other Benefits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Retirement Savings Programs</w:t>
      </w:r>
    </w:p>
    <w:p>
      <w:pPr>
        <w:spacing w:after="0" w:line="8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58595B"/>
        </w:rPr>
        <w:t>In 2023, we provided retirement benefits to our NEOs through the defined contribution retirement savings plan, which is the same plan available to all employees. Company matching contributions for our NEOs are shown in the "Breakdown of All Other Compensation — 2023" table appearing in the CD&amp;A of this proxy statement. A non-qualified deferred compensation program exists for all employees who meet the IRS annual compensation limit of Section 401(a)(17) of the Internal Revenue code of 1986, as amended (the "Code") and conforms with the requirements of Section 409A of the Code. Employees may defer up to 75% of base salary and up to 100% of performance-based cash bonus on a pre-tax basis. Messrs. Davis and Mosebrook elected to defer their base salary and 2023 annual bonus (to the extent paid) under the non-qualified deferred compensation program.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Other Benefits</w:t>
      </w:r>
    </w:p>
    <w:p>
      <w:pPr>
        <w:spacing w:after="0" w:line="72" w:lineRule="exact"/>
        <w:rPr>
          <w:sz w:val="20"/>
          <w:szCs w:val="20"/>
          <w:color w:val="auto"/>
        </w:rPr>
      </w:pPr>
    </w:p>
    <w:p>
      <w:pPr>
        <w:ind w:right="340"/>
        <w:spacing w:after="0" w:line="328" w:lineRule="auto"/>
        <w:rPr>
          <w:sz w:val="20"/>
          <w:szCs w:val="20"/>
          <w:color w:val="auto"/>
        </w:rPr>
      </w:pPr>
      <w:r>
        <w:rPr>
          <w:rFonts w:ascii="Arial" w:cs="Arial" w:eastAsia="Arial" w:hAnsi="Arial"/>
          <w:sz w:val="16"/>
          <w:szCs w:val="16"/>
          <w:color w:val="58595B"/>
        </w:rPr>
        <w:t>In 2023, our NEOs participated in benefits offerings on the same basis as all other employees except for the Executive Physical Exam Program (with the exception of Mr. Mosebrook), which provides payment for a comprehensive annual physical exam for each of our NEOs and aligns with the Company’s culture of health and wellness, which supports improved executive performance.</w:t>
      </w:r>
    </w:p>
    <w:p>
      <w:pPr>
        <w:spacing w:after="0" w:line="110"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58595B"/>
        </w:rPr>
        <w:t>Ms. Knight was reimbursed for $20,839 for certain relocation-related expenses consistent with the Company’s relocation policy shown in the "Breakdown of All Other Compensation — 2023" table appearing in the CD&amp;A of this proxy statement.</w:t>
      </w:r>
    </w:p>
    <w:p>
      <w:pPr>
        <w:sectPr>
          <w:pgSz w:w="11900" w:h="16838" w:orient="portrait"/>
          <w:cols w:equalWidth="0" w:num="1">
            <w:col w:w="11240"/>
          </w:cols>
          <w:pgMar w:left="320" w:top="122"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009845"/>
        </w:rPr>
        <w:t>Other Key Features Of Our Executive Compensation Program</w:t>
      </w:r>
    </w:p>
    <w:p>
      <w:pPr>
        <w:spacing w:after="0" w:line="70" w:lineRule="exact"/>
        <w:rPr>
          <w:sz w:val="20"/>
          <w:szCs w:val="20"/>
          <w:color w:val="auto"/>
        </w:rPr>
      </w:pPr>
    </w:p>
    <w:p>
      <w:pPr>
        <w:ind w:left="20"/>
        <w:spacing w:after="0" w:line="310" w:lineRule="auto"/>
        <w:rPr>
          <w:sz w:val="20"/>
          <w:szCs w:val="20"/>
          <w:color w:val="auto"/>
        </w:rPr>
      </w:pPr>
      <w:r>
        <w:rPr>
          <w:rFonts w:ascii="Arial" w:cs="Arial" w:eastAsia="Arial" w:hAnsi="Arial"/>
          <w:sz w:val="16"/>
          <w:szCs w:val="16"/>
          <w:color w:val="58595B"/>
        </w:rPr>
        <w:t>As we chart the course for the Company's future, we have implemented policies aimed at fostering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do not encourage excessive or unnecessary risk-taking behavior. The risk-mitigating features incorporated within our compensation programs are outlined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009845"/>
        </w:rPr>
        <w:t xml:space="preserve">The Compensation Committee reviewed management’s </w:t>
      </w:r>
      <w:r>
        <w:rPr>
          <w:rFonts w:ascii="Arial" w:cs="Arial" w:eastAsia="Arial" w:hAnsi="Arial"/>
          <w:sz w:val="18"/>
          <w:szCs w:val="18"/>
          <w:b w:val="1"/>
          <w:bCs w:val="1"/>
          <w:color w:val="009845"/>
        </w:rPr>
        <w:t>risk assessment report</w:t>
      </w:r>
      <w:r>
        <w:rPr>
          <w:rFonts w:ascii="Arial" w:cs="Arial" w:eastAsia="Arial" w:hAnsi="Arial"/>
          <w:sz w:val="18"/>
          <w:szCs w:val="18"/>
          <w:color w:val="009845"/>
        </w:rPr>
        <w:t xml:space="preserve">, and as a result of the risk assessment, the Compensation Committee </w:t>
      </w:r>
      <w:r>
        <w:rPr>
          <w:rFonts w:ascii="Arial" w:cs="Arial" w:eastAsia="Arial" w:hAnsi="Arial"/>
          <w:sz w:val="18"/>
          <w:szCs w:val="18"/>
          <w:b w:val="1"/>
          <w:bCs w:val="1"/>
          <w:color w:val="009845"/>
        </w:rPr>
        <w:t>does not believe</w:t>
      </w:r>
      <w:r>
        <w:rPr>
          <w:rFonts w:ascii="Arial" w:cs="Arial" w:eastAsia="Arial" w:hAnsi="Arial"/>
          <w:sz w:val="18"/>
          <w:szCs w:val="18"/>
          <w:color w:val="009845"/>
        </w:rPr>
        <w:t xml:space="preserve"> </w:t>
      </w:r>
      <w:r>
        <w:rPr>
          <w:rFonts w:ascii="Arial" w:cs="Arial" w:eastAsia="Arial" w:hAnsi="Arial"/>
          <w:sz w:val="18"/>
          <w:szCs w:val="18"/>
          <w:b w:val="1"/>
          <w:bCs w:val="1"/>
          <w:color w:val="009845"/>
        </w:rPr>
        <w:t>risks relating to our compensation programs are reasonably likely to have a material adverse effect on the Company</w:t>
      </w:r>
      <w:r>
        <w:rPr>
          <w:rFonts w:ascii="Arial" w:cs="Arial" w:eastAsia="Arial" w:hAnsi="Arial"/>
          <w:sz w:val="18"/>
          <w:szCs w:val="18"/>
          <w:color w:val="0098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-1224915</wp:posOffset>
            </wp:positionV>
            <wp:extent cx="2588895" cy="1491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88895" cy="149161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6880" w:space="540"/>
            <w:col w:w="3820"/>
          </w:cols>
          <w:pgMar w:left="320" w:top="122"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Stock Ownership Guidelines</w:t>
      </w:r>
    </w:p>
    <w:p>
      <w:pPr>
        <w:spacing w:after="0" w:line="7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Our stock ownership guidelines require all executive officers to hold a minimum number of shares of our stock while serving in these leadership positions. The guidelines are intended to align the interests of executives with those of our stockholders by requiring executives to be subject to the same long-term stock price volatility our stockholders experience. Named executive officers have five years from their appointment/hire date to meet their stock ownership guidelines. For purposes of measuring compliance with these guidelines, the following are counted to determine whether the required ownership interest has been satisfied: (i) shares of common stock owned directly or indirectly by the executive officer or his or her immediate family members, (ii) vested shares of restricted stock and shares underlying vested RSUs, and (iii) unvested shares of restricted stock and shares underlying unvested RSUs (provided, in each case, such shares or units vest based on time and not performance). Shares underlying unexercised stock options (whether vested or unvested) and performance-based awards do not count towards satisfying these guidelines.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58595B"/>
        </w:rPr>
        <w:t>The minimum ownership threshold is based on a multiple of base compensation: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Position</w:t>
            </w:r>
          </w:p>
        </w:tc>
        <w:tc>
          <w:tcPr>
            <w:tcW w:w="2920" w:type="dxa"/>
            <w:vAlign w:val="bottom"/>
            <w:shd w:val="clear" w:color="auto" w:fill="009845"/>
          </w:tcPr>
          <w:p>
            <w:pPr>
              <w:ind w:left="20"/>
              <w:spacing w:after="0"/>
              <w:rPr>
                <w:sz w:val="20"/>
                <w:szCs w:val="20"/>
                <w:color w:val="auto"/>
              </w:rPr>
            </w:pPr>
            <w:r>
              <w:rPr>
                <w:rFonts w:ascii="Arial" w:cs="Arial" w:eastAsia="Arial" w:hAnsi="Arial"/>
                <w:sz w:val="14"/>
                <w:szCs w:val="14"/>
                <w:b w:val="1"/>
                <w:bCs w:val="1"/>
                <w:color w:val="FFFFFF"/>
              </w:rPr>
              <w:t>Stock Ownership Guideline</w:t>
            </w:r>
          </w:p>
        </w:tc>
        <w:tc>
          <w:tcPr>
            <w:tcW w:w="0" w:type="dxa"/>
            <w:vAlign w:val="bottom"/>
          </w:tcPr>
          <w:p>
            <w:pPr>
              <w:spacing w:after="0"/>
              <w:rPr>
                <w:sz w:val="1"/>
                <w:szCs w:val="1"/>
                <w:color w:val="auto"/>
              </w:rPr>
            </w:pPr>
          </w:p>
        </w:tc>
      </w:tr>
      <w:tr>
        <w:trPr>
          <w:trHeight w:val="67"/>
        </w:trPr>
        <w:tc>
          <w:tcPr>
            <w:tcW w:w="8320" w:type="dxa"/>
            <w:vAlign w:val="bottom"/>
            <w:shd w:val="clear" w:color="auto" w:fill="009845"/>
          </w:tcPr>
          <w:p>
            <w:pPr>
              <w:spacing w:after="0"/>
              <w:rPr>
                <w:sz w:val="5"/>
                <w:szCs w:val="5"/>
                <w:color w:val="auto"/>
              </w:rPr>
            </w:pPr>
          </w:p>
        </w:tc>
        <w:tc>
          <w:tcPr>
            <w:tcW w:w="2920" w:type="dxa"/>
            <w:vAlign w:val="bottom"/>
            <w:shd w:val="clear" w:color="auto" w:fill="009845"/>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320" w:type="dxa"/>
            <w:vAlign w:val="bottom"/>
          </w:tcPr>
          <w:p>
            <w:pPr>
              <w:ind w:left="100"/>
              <w:spacing w:after="0"/>
              <w:rPr>
                <w:sz w:val="20"/>
                <w:szCs w:val="20"/>
                <w:color w:val="auto"/>
              </w:rPr>
            </w:pPr>
            <w:r>
              <w:rPr>
                <w:rFonts w:ascii="Arial" w:cs="Arial" w:eastAsia="Arial" w:hAnsi="Arial"/>
                <w:sz w:val="16"/>
                <w:szCs w:val="16"/>
                <w:color w:val="58595B"/>
              </w:rPr>
              <w:t>CEO</w:t>
            </w:r>
          </w:p>
        </w:tc>
        <w:tc>
          <w:tcPr>
            <w:tcW w:w="2920" w:type="dxa"/>
            <w:vAlign w:val="bottom"/>
            <w:vMerge w:val="restart"/>
          </w:tcPr>
          <w:p>
            <w:pPr>
              <w:ind w:left="20"/>
              <w:spacing w:after="0"/>
              <w:rPr>
                <w:sz w:val="20"/>
                <w:szCs w:val="20"/>
                <w:color w:val="auto"/>
              </w:rPr>
            </w:pPr>
            <w:r>
              <w:rPr>
                <w:rFonts w:ascii="Arial" w:cs="Arial" w:eastAsia="Arial" w:hAnsi="Arial"/>
                <w:sz w:val="16"/>
                <w:szCs w:val="16"/>
                <w:color w:val="58595B"/>
              </w:rPr>
              <w:t>6 times base salary</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3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8320" w:type="dxa"/>
            <w:vAlign w:val="bottom"/>
            <w:shd w:val="clear" w:color="auto" w:fill="EFEDED"/>
          </w:tcPr>
          <w:p>
            <w:pPr>
              <w:ind w:left="100"/>
              <w:spacing w:after="0"/>
              <w:rPr>
                <w:sz w:val="20"/>
                <w:szCs w:val="20"/>
                <w:color w:val="auto"/>
              </w:rPr>
            </w:pPr>
            <w:r>
              <w:rPr>
                <w:rFonts w:ascii="Arial" w:cs="Arial" w:eastAsia="Arial" w:hAnsi="Arial"/>
                <w:sz w:val="16"/>
                <w:szCs w:val="16"/>
                <w:color w:val="58595B"/>
              </w:rPr>
              <w:t>CFO</w:t>
            </w:r>
          </w:p>
        </w:tc>
        <w:tc>
          <w:tcPr>
            <w:tcW w:w="2920" w:type="dxa"/>
            <w:vAlign w:val="bottom"/>
            <w:vMerge w:val="restart"/>
            <w:shd w:val="clear" w:color="auto" w:fill="EFEDED"/>
          </w:tcPr>
          <w:p>
            <w:pPr>
              <w:ind w:left="20"/>
              <w:spacing w:after="0"/>
              <w:rPr>
                <w:sz w:val="20"/>
                <w:szCs w:val="20"/>
                <w:color w:val="auto"/>
              </w:rPr>
            </w:pPr>
            <w:r>
              <w:rPr>
                <w:rFonts w:ascii="Arial" w:cs="Arial" w:eastAsia="Arial" w:hAnsi="Arial"/>
                <w:sz w:val="16"/>
                <w:szCs w:val="16"/>
                <w:color w:val="58595B"/>
              </w:rPr>
              <w:t>2 times base salary</w:t>
            </w:r>
          </w:p>
        </w:tc>
        <w:tc>
          <w:tcPr>
            <w:tcW w:w="0" w:type="dxa"/>
            <w:vAlign w:val="bottom"/>
          </w:tcPr>
          <w:p>
            <w:pPr>
              <w:spacing w:after="0"/>
              <w:rPr>
                <w:sz w:val="1"/>
                <w:szCs w:val="1"/>
                <w:color w:val="auto"/>
              </w:rPr>
            </w:pPr>
          </w:p>
        </w:tc>
      </w:tr>
      <w:tr>
        <w:trPr>
          <w:trHeight w:val="81"/>
        </w:trPr>
        <w:tc>
          <w:tcPr>
            <w:tcW w:w="8320" w:type="dxa"/>
            <w:vAlign w:val="bottom"/>
            <w:shd w:val="clear" w:color="auto" w:fill="EFEDED"/>
          </w:tcPr>
          <w:p>
            <w:pPr>
              <w:spacing w:after="0"/>
              <w:rPr>
                <w:sz w:val="7"/>
                <w:szCs w:val="7"/>
                <w:color w:val="auto"/>
              </w:rPr>
            </w:pPr>
          </w:p>
        </w:tc>
        <w:tc>
          <w:tcPr>
            <w:tcW w:w="2920" w:type="dxa"/>
            <w:vAlign w:val="bottom"/>
            <w:vMerge w:val="continue"/>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320" w:type="dxa"/>
            <w:vAlign w:val="bottom"/>
            <w:shd w:val="clear" w:color="auto" w:fill="EFEDED"/>
          </w:tcPr>
          <w:p>
            <w:pPr>
              <w:spacing w:after="0"/>
              <w:rPr>
                <w:sz w:val="10"/>
                <w:szCs w:val="10"/>
                <w:color w:val="auto"/>
              </w:rPr>
            </w:pPr>
          </w:p>
        </w:tc>
        <w:tc>
          <w:tcPr>
            <w:tcW w:w="2920" w:type="dxa"/>
            <w:vAlign w:val="bottom"/>
            <w:shd w:val="clear" w:color="auto" w:fill="EFEDED"/>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8320" w:type="dxa"/>
            <w:vAlign w:val="bottom"/>
          </w:tcPr>
          <w:p>
            <w:pPr>
              <w:ind w:left="100"/>
              <w:spacing w:after="0"/>
              <w:rPr>
                <w:sz w:val="20"/>
                <w:szCs w:val="20"/>
                <w:color w:val="auto"/>
              </w:rPr>
            </w:pPr>
            <w:r>
              <w:rPr>
                <w:rFonts w:ascii="Arial" w:cs="Arial" w:eastAsia="Arial" w:hAnsi="Arial"/>
                <w:sz w:val="16"/>
                <w:szCs w:val="16"/>
                <w:color w:val="58595B"/>
              </w:rPr>
              <w:t>All other Executive Officers</w:t>
            </w:r>
          </w:p>
        </w:tc>
        <w:tc>
          <w:tcPr>
            <w:tcW w:w="2920" w:type="dxa"/>
            <w:vAlign w:val="bottom"/>
            <w:vMerge w:val="restart"/>
          </w:tcPr>
          <w:p>
            <w:pPr>
              <w:ind w:left="20"/>
              <w:spacing w:after="0"/>
              <w:rPr>
                <w:sz w:val="20"/>
                <w:szCs w:val="20"/>
                <w:color w:val="auto"/>
              </w:rPr>
            </w:pPr>
            <w:r>
              <w:rPr>
                <w:rFonts w:ascii="Arial" w:cs="Arial" w:eastAsia="Arial" w:hAnsi="Arial"/>
                <w:sz w:val="16"/>
                <w:szCs w:val="16"/>
                <w:color w:val="58595B"/>
              </w:rPr>
              <w:t>1 times base salary</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320" w:type="dxa"/>
            <w:vAlign w:val="bottom"/>
            <w:tcBorders>
              <w:bottom w:val="single" w:sz="8" w:color="58595B"/>
            </w:tcBorders>
          </w:tcPr>
          <w:p>
            <w:pPr>
              <w:spacing w:after="0"/>
              <w:rPr>
                <w:sz w:val="10"/>
                <w:szCs w:val="10"/>
                <w:color w:val="auto"/>
              </w:rPr>
            </w:pPr>
          </w:p>
        </w:tc>
        <w:tc>
          <w:tcPr>
            <w:tcW w:w="2920" w:type="dxa"/>
            <w:vAlign w:val="bottom"/>
            <w:tcBorders>
              <w:bottom w:val="single" w:sz="8" w:color="58595B"/>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2024 Proxy Statement</w:t>
      </w:r>
      <w:r>
        <w:rPr>
          <w:sz w:val="20"/>
          <w:szCs w:val="20"/>
          <w:color w:val="auto"/>
        </w:rPr>
        <w:tab/>
      </w:r>
      <w:r>
        <w:rPr>
          <w:rFonts w:ascii="Arial" w:cs="Arial" w:eastAsia="Arial" w:hAnsi="Arial"/>
          <w:sz w:val="12"/>
          <w:szCs w:val="12"/>
          <w:b w:val="1"/>
          <w:bCs w:val="1"/>
          <w:color w:val="009845"/>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Currently, all of our NEOs to whom the guidelines are applicable are in compliance with the stock ownership guidelines. Consistent with the terms of the guidelines, Mr. De Witte and Ms. Knight each has five years from the commencement of their employment with the Company, or until December 1, 2026 and June 28, 2028, respectively, to comply with the stock ownership guidelines and are each currently progressing towards meeting the ownership guidelines. Mr. Mosebrook is not subject to the guidelines as his role as PFO was on an interim basis.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Clawback Policy</w:t>
      </w:r>
    </w:p>
    <w:p>
      <w:pPr>
        <w:spacing w:after="0" w:line="8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58595B"/>
        </w:rPr>
        <w:t>We have a compensation recoupment, or clawback, policy, which we adopted in October 2023 to comply with Nasdaq listing standards implementing Exchange Act Rule 10D-1. The clawback policy includes mandatory recoupment of excess incentive-based compensation received by a covered executive (including the NEOs) on or after October 2, 2023 in the event of a restatement of the Company’s financial statements due to material non-compliance with any financial reporting requirement under federal securities laws, as required by Exchange Act Rule 10D-1. We maintain a separate clawback policy applicable if a restatement of our financial results is required to correct a material error or inaccuracy due to the fraud or intentional misconduct of any employee (including the NEOs). If applicable, the Compensation Committee can recoup from an employee (including the NEOs) the bonuses or equity awards awarded on or after January 1, 2013 and cancel outstanding annual bonus or equity award opportunities.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Anti-Hedging and Anti-Pledging Policies</w:t>
      </w:r>
    </w:p>
    <w:p>
      <w:pPr>
        <w:spacing w:after="0" w:line="81"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in the Company’s trading window group, trading is permitted only during scheduled trading windows and requires a pre-clearance by our legal department. Subject to our trading window policy and applicable rules and regulations, our NEOs may enter into a trading plan under Rule 10b5-1 of the Securities Exchange Act of 1934.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Impact of Accounting and Tax Requirements on Compensation</w:t>
      </w:r>
    </w:p>
    <w:p>
      <w:pPr>
        <w:spacing w:after="0" w:line="81" w:lineRule="exact"/>
        <w:rPr>
          <w:sz w:val="20"/>
          <w:szCs w:val="20"/>
          <w:color w:val="auto"/>
        </w:rPr>
      </w:pPr>
    </w:p>
    <w:p>
      <w:pPr>
        <w:jc w:val="both"/>
        <w:ind w:right="120"/>
        <w:spacing w:after="0" w:line="319" w:lineRule="auto"/>
        <w:rPr>
          <w:sz w:val="20"/>
          <w:szCs w:val="20"/>
          <w:color w:val="auto"/>
        </w:rPr>
      </w:pPr>
      <w:r>
        <w:rPr>
          <w:rFonts w:ascii="Arial" w:cs="Arial" w:eastAsia="Arial" w:hAnsi="Arial"/>
          <w:sz w:val="16"/>
          <w:szCs w:val="16"/>
          <w:color w:val="58595B"/>
        </w:rPr>
        <w:t>The Compensation Committee endeavors to structure executive compensation in a manner that is either compliant with, or exempt from, the application of Section 409A, the provisions of which may impose additional taxes on employees. In addition, the Compensation Committee considers that Section 162(m) of the Code limits the deductibility of compensation paid to the CEO, CFO and other NEOs and certain other officers to $1.0 million per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Accounting</w:t>
      </w:r>
    </w:p>
    <w:p>
      <w:pPr>
        <w:spacing w:after="0" w:line="81"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Compensation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137"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Although the Compensation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09845"/>
        </w:rPr>
        <w:t>Employment and Post-Employment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CEO Employment Agreement: Mr. De Witte</w:t>
      </w:r>
    </w:p>
    <w:p>
      <w:pPr>
        <w:spacing w:after="0" w:line="72"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In connection with his appointment as President and CEO of the Company, the Company entered into an employment agreement (the “De Witte Agreement”) pursuant to which Mr. De Witte commenced employment on December 1, 2021. The initial term of the De Witte Agreement expires on the third anniversary of the Effective Date (as defined in the De Witte Agreement), unless terminated earlier, and is subject to an automatic one-year renewal term unless either party gives timely written notice of termination.</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58595B"/>
        </w:rPr>
        <w:t>Under the De Witte Agreement, Mr. De Witte's annual base salary is $850,000 per annum, subject to annual review and may be increased in the sole discretion of the Company but may not be decreased without Mr. De Witte's express written consent. Mr. De Witte is eligible for an annual bonus opportunity targeted at 110% of his annual base salary (pro-rated for any partial year of service). Mr. De Witte’s bonus opportunity will range from 50% of his target annual bonus opportunity (if threshold performance goals are achieved) to a maximum of 200% of his base salary. The actual amount of any such annual bonus paid to Mr. De Witte shall be based on company performance and the satisfaction of performance objectives established and evaluated by the Compensation Committee. Consistent with Company policies, Mr. De Witte, as an employee of the Company, will not be entitled to any compensation for his service as a director on the Board.</w:t>
      </w:r>
    </w:p>
    <w:p>
      <w:pPr>
        <w:spacing w:after="0" w:line="140"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58595B"/>
        </w:rPr>
        <w:t>Pursuant to the terms of the De Witte Agreement, Mr. De Witte received a one-time grant of restricted stock units with a grant date value of $2,000,000 (the “initial equity award”), an award that was granted under, and is governed by, the Fifth Amended and Restated Integra LifeSciences Holdings Corporation 2003 Equity Incentive Plan. These restricted stock units will vest in three substantially equal annual installments beginning on the first anniversary of the grant date and shall be delivered to Mr. De Witte within 30 days following the first business day that occurs immediately following the six- month period after the date of his separation of service as deferred compensation. This award is subject to accelerated vesting upon termination of employment by reason of death or disability or upon a qualifying termination on or within 24 months following the date of a change in control.</w:t>
      </w:r>
    </w:p>
    <w:p>
      <w:pPr>
        <w:spacing w:after="0" w:line="122"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58595B"/>
        </w:rPr>
        <w:t>Mr. De Witte is eligible to receive an annual equity-based award, with the amount, form and mix of such award to be determined by the Company’s Compensation Committee in its discretion. The terms and conditions, including vesting conditions, of any awards granted as part of an annual equity award shall be set forth in separate award agreements to be entered into by Mr. De Witte and the Company.</w:t>
      </w:r>
    </w:p>
    <w:p>
      <w:pPr>
        <w:spacing w:after="0" w:line="110" w:lineRule="exact"/>
        <w:rPr>
          <w:sz w:val="20"/>
          <w:szCs w:val="20"/>
          <w:color w:val="auto"/>
        </w:rPr>
      </w:pPr>
    </w:p>
    <w:p>
      <w:pPr>
        <w:ind w:right="260"/>
        <w:spacing w:after="0" w:line="356" w:lineRule="auto"/>
        <w:rPr>
          <w:sz w:val="20"/>
          <w:szCs w:val="20"/>
          <w:color w:val="auto"/>
        </w:rPr>
      </w:pPr>
      <w:r>
        <w:rPr>
          <w:rFonts w:ascii="Arial" w:cs="Arial" w:eastAsia="Arial" w:hAnsi="Arial"/>
          <w:sz w:val="16"/>
          <w:szCs w:val="16"/>
          <w:color w:val="58595B"/>
        </w:rPr>
        <w:t>In connection with his appointment as President and CEO and the commencement of his employment, Mr. De Witte received relocation reimbursement in the amount of $144,156, consistent with the terms of the De Witte Agreement and the Company's relocation policy.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58595B"/>
        </w:rPr>
        <w:t>Under the De Witte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IF MR. DE WITTE’S EMPLOYMENT IS</w:t>
            </w:r>
          </w:p>
        </w:tc>
        <w:tc>
          <w:tcPr>
            <w:tcW w:w="140" w:type="dxa"/>
            <w:vAlign w:val="bottom"/>
          </w:tcPr>
          <w:p>
            <w:pPr>
              <w:spacing w:after="0"/>
              <w:rPr>
                <w:sz w:val="16"/>
                <w:szCs w:val="16"/>
                <w:color w:val="auto"/>
              </w:rPr>
            </w:pPr>
          </w:p>
        </w:tc>
        <w:tc>
          <w:tcPr>
            <w:tcW w:w="752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THEN...</w:t>
            </w:r>
          </w:p>
        </w:tc>
        <w:tc>
          <w:tcPr>
            <w:tcW w:w="0" w:type="dxa"/>
            <w:vAlign w:val="bottom"/>
          </w:tcPr>
          <w:p>
            <w:pPr>
              <w:spacing w:after="0"/>
              <w:rPr>
                <w:sz w:val="1"/>
                <w:szCs w:val="1"/>
                <w:color w:val="auto"/>
              </w:rPr>
            </w:pPr>
          </w:p>
        </w:tc>
      </w:tr>
      <w:tr>
        <w:trPr>
          <w:trHeight w:val="102"/>
        </w:trPr>
        <w:tc>
          <w:tcPr>
            <w:tcW w:w="3580" w:type="dxa"/>
            <w:vAlign w:val="bottom"/>
            <w:vMerge w:val="restart"/>
            <w:shd w:val="clear" w:color="auto" w:fill="009845"/>
          </w:tcPr>
          <w:p>
            <w:pPr>
              <w:ind w:left="100"/>
              <w:spacing w:after="0"/>
              <w:rPr>
                <w:sz w:val="20"/>
                <w:szCs w:val="20"/>
                <w:color w:val="auto"/>
              </w:rPr>
            </w:pPr>
            <w:r>
              <w:rPr>
                <w:rFonts w:ascii="Arial" w:cs="Arial" w:eastAsia="Arial" w:hAnsi="Arial"/>
                <w:sz w:val="14"/>
                <w:szCs w:val="14"/>
                <w:b w:val="1"/>
                <w:bCs w:val="1"/>
                <w:color w:val="FFFFFF"/>
              </w:rPr>
              <w:t>TERMINATED...</w:t>
            </w:r>
          </w:p>
        </w:tc>
        <w:tc>
          <w:tcPr>
            <w:tcW w:w="140" w:type="dxa"/>
            <w:vAlign w:val="bottom"/>
          </w:tcPr>
          <w:p>
            <w:pPr>
              <w:spacing w:after="0"/>
              <w:rPr>
                <w:sz w:val="8"/>
                <w:szCs w:val="8"/>
                <w:color w:val="auto"/>
              </w:rPr>
            </w:pPr>
          </w:p>
        </w:tc>
        <w:tc>
          <w:tcPr>
            <w:tcW w:w="7520" w:type="dxa"/>
            <w:vAlign w:val="bottom"/>
            <w:vMerge w:val="continue"/>
            <w:shd w:val="clear" w:color="auto" w:fill="009845"/>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580" w:type="dxa"/>
            <w:vAlign w:val="bottom"/>
            <w:vMerge w:val="continue"/>
            <w:shd w:val="clear" w:color="auto" w:fill="009845"/>
          </w:tcPr>
          <w:p>
            <w:pPr>
              <w:spacing w:after="0"/>
              <w:rPr>
                <w:sz w:val="9"/>
                <w:szCs w:val="9"/>
                <w:color w:val="auto"/>
              </w:rPr>
            </w:pPr>
          </w:p>
        </w:tc>
        <w:tc>
          <w:tcPr>
            <w:tcW w:w="140" w:type="dxa"/>
            <w:vAlign w:val="bottom"/>
          </w:tcPr>
          <w:p>
            <w:pPr>
              <w:spacing w:after="0"/>
              <w:rPr>
                <w:sz w:val="9"/>
                <w:szCs w:val="9"/>
                <w:color w:val="auto"/>
              </w:rPr>
            </w:pPr>
          </w:p>
        </w:tc>
        <w:tc>
          <w:tcPr>
            <w:tcW w:w="7520" w:type="dxa"/>
            <w:vAlign w:val="bottom"/>
            <w:shd w:val="clear" w:color="auto" w:fill="009845"/>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401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right="60"/>
        <w:spacing w:after="0" w:line="324" w:lineRule="auto"/>
        <w:rPr>
          <w:sz w:val="20"/>
          <w:szCs w:val="20"/>
          <w:color w:val="auto"/>
        </w:rPr>
      </w:pPr>
      <w:r>
        <w:rPr>
          <w:rFonts w:ascii="Arial" w:cs="Arial" w:eastAsia="Arial" w:hAnsi="Arial"/>
          <w:sz w:val="16"/>
          <w:szCs w:val="16"/>
          <w:color w:val="58595B"/>
        </w:rPr>
        <w:t>Outside the context of a change in control by the Company other than for “cause,” death or “disability,” or by Mr. De Witte for “good reason” (each, as defined in the De Witte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2271395" cy="15347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7139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line="324" w:lineRule="auto"/>
        <w:rPr>
          <w:sz w:val="20"/>
          <w:szCs w:val="20"/>
          <w:color w:val="auto"/>
        </w:rPr>
      </w:pPr>
      <w:r>
        <w:rPr>
          <w:rFonts w:ascii="Arial" w:cs="Arial" w:eastAsia="Arial" w:hAnsi="Arial"/>
          <w:sz w:val="16"/>
          <w:szCs w:val="16"/>
          <w:color w:val="58595B"/>
        </w:rPr>
        <w:t>Within twenty-four months following a change in control by the Company other than for "cause," death or "disability," or by Mr. De Witte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2271395" cy="7886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713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6"/>
          <w:szCs w:val="16"/>
          <w:color w:val="58595B"/>
        </w:rPr>
        <w:t>Due to his death</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color w:val="58595B"/>
        </w:rPr>
        <w:t>In addition to accrued amounts, Mr. De Witte will be entitled to:</w:t>
      </w:r>
    </w:p>
    <w:p>
      <w:pPr>
        <w:spacing w:after="0" w:line="167" w:lineRule="exact"/>
        <w:rPr>
          <w:sz w:val="20"/>
          <w:szCs w:val="20"/>
          <w:color w:val="auto"/>
        </w:rPr>
      </w:pPr>
    </w:p>
    <w:p>
      <w:pPr>
        <w:ind w:left="241" w:right="240" w:hanging="241"/>
        <w:spacing w:after="0" w:line="339" w:lineRule="auto"/>
        <w:tabs>
          <w:tab w:leader="none" w:pos="203"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A severance amount equal to 2.0 times his then-current annual base salary payable over the two-year period following such termination;</w:t>
      </w:r>
    </w:p>
    <w:p>
      <w:pPr>
        <w:spacing w:after="0" w:line="60" w:lineRule="exact"/>
        <w:rPr>
          <w:rFonts w:ascii="Arial" w:cs="Arial" w:eastAsia="Arial" w:hAnsi="Arial"/>
          <w:sz w:val="16"/>
          <w:szCs w:val="16"/>
          <w:color w:val="58595B"/>
        </w:rPr>
      </w:pPr>
    </w:p>
    <w:p>
      <w:pPr>
        <w:ind w:left="241" w:right="340" w:hanging="241"/>
        <w:spacing w:after="0" w:line="339" w:lineRule="auto"/>
        <w:tabs>
          <w:tab w:leader="none" w:pos="203"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A monthly cash payment equal to Mr. De Witte’s monthly COBRA premium cost for family health coverage for up to 18 months following such termination; and,</w:t>
      </w:r>
    </w:p>
    <w:p>
      <w:pPr>
        <w:spacing w:after="0" w:line="47" w:lineRule="exact"/>
        <w:rPr>
          <w:rFonts w:ascii="Arial" w:cs="Arial" w:eastAsia="Arial" w:hAnsi="Arial"/>
          <w:sz w:val="16"/>
          <w:szCs w:val="16"/>
          <w:color w:val="58595B"/>
        </w:rPr>
      </w:pPr>
    </w:p>
    <w:p>
      <w:pPr>
        <w:ind w:left="201" w:hanging="201"/>
        <w:spacing w:after="0"/>
        <w:tabs>
          <w:tab w:leader="none" w:pos="201" w:val="left"/>
        </w:tabs>
        <w:numPr>
          <w:ilvl w:val="0"/>
          <w:numId w:val="45"/>
        </w:numPr>
        <w:rPr>
          <w:rFonts w:ascii="Arial" w:cs="Arial" w:eastAsia="Arial" w:hAnsi="Arial"/>
          <w:sz w:val="16"/>
          <w:szCs w:val="16"/>
          <w:color w:val="58595B"/>
        </w:rPr>
      </w:pPr>
      <w:r>
        <w:rPr>
          <w:rFonts w:ascii="Arial" w:cs="Arial" w:eastAsia="Arial" w:hAnsi="Arial"/>
          <w:sz w:val="16"/>
          <w:szCs w:val="16"/>
          <w:color w:val="58595B"/>
        </w:rPr>
        <w:t>Full accelerated vesting of the initial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312420</wp:posOffset>
            </wp:positionV>
            <wp:extent cx="4774565" cy="15347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7456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 w:right="20"/>
        <w:spacing w:after="0" w:line="312" w:lineRule="auto"/>
        <w:rPr>
          <w:sz w:val="20"/>
          <w:szCs w:val="20"/>
          <w:color w:val="auto"/>
        </w:rPr>
      </w:pPr>
      <w:r>
        <w:rPr>
          <w:rFonts w:ascii="Arial" w:cs="Arial" w:eastAsia="Arial" w:hAnsi="Arial"/>
          <w:sz w:val="16"/>
          <w:szCs w:val="16"/>
          <w:color w:val="58595B"/>
        </w:rPr>
        <w:t>Mr. De Witte will be entitled to receive (i) a severance award in the form of a lump sum 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his outstanding equity awards and, to the extent any outstanding equity award is a stock option, such option will remain exercisable until the earlier of the first anniversary of the termination date and the option’s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259715</wp:posOffset>
            </wp:positionV>
            <wp:extent cx="4774565" cy="7886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74565" cy="78867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 w:right="40"/>
        <w:spacing w:after="0" w:line="328" w:lineRule="auto"/>
        <w:rPr>
          <w:sz w:val="20"/>
          <w:szCs w:val="20"/>
          <w:color w:val="auto"/>
        </w:rPr>
      </w:pPr>
      <w:r>
        <w:rPr>
          <w:rFonts w:ascii="Arial" w:cs="Arial" w:eastAsia="Arial" w:hAnsi="Arial"/>
          <w:sz w:val="16"/>
          <w:szCs w:val="16"/>
          <w:color w:val="58595B"/>
        </w:rPr>
        <w:t>Mr. De Witte’s estate will receive a lump sum cash payment equal to Mr. De Witte’s annual base salary, and a monthly cash payment equal to Mr. De Witte's monthly COBRA premium for family health coverage for up to twelve months after his termination date.</w:t>
      </w:r>
    </w:p>
    <w:p>
      <w:pPr>
        <w:spacing w:after="0" w:line="200" w:lineRule="exact"/>
        <w:rPr>
          <w:sz w:val="20"/>
          <w:szCs w:val="20"/>
          <w:color w:val="auto"/>
        </w:rPr>
      </w:pPr>
    </w:p>
    <w:p>
      <w:pPr>
        <w:sectPr>
          <w:pgSz w:w="11900" w:h="16838" w:orient="portrait"/>
          <w:cols w:equalWidth="0" w:num="2">
            <w:col w:w="3560" w:space="259"/>
            <w:col w:w="7421"/>
          </w:cols>
          <w:pgMar w:left="320" w:top="122"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58595B"/>
        </w:rPr>
        <w:t>Mr. De Witte’s right to receive the severance payments pursuant to the De Witte Agreement (other than upon his death) is contingent on Mr. De Witte’s execution of a general release of claims against the Company.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De Witte than receiving the full amount of such payments.</w:t>
      </w:r>
    </w:p>
    <w:p>
      <w:pPr>
        <w:spacing w:after="0" w:line="132"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color w:val="58595B"/>
        </w:rPr>
        <w:t>The De Witte Agreement contains non-compete and non-solicitation covenants that extend for up to 18 months following a termination of Mr. De Witte’s employment.</w:t>
      </w:r>
    </w:p>
    <w:p>
      <w:pPr>
        <w:spacing w:after="0" w:line="101"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58595B"/>
        </w:rPr>
        <w:t>In connection with his appointment, Mr. De Witte also entered into the Company’s standard indemnification agreement, the form of which is filed as Exhibit 10.1 to the Company’s Current Report on Form 8-K filed with the SEC on July 19, 2022. Pursuant to the terms of the indemnification agreement, the Company may be required, among other things, to indemnify Mr. De Witte for some expenses, including attorneys’ fees, judgments, fines and settlement amounts incurred by him in any action or proceeding arising out of his services as an executive officer and director of the Company.</w:t>
      </w:r>
    </w:p>
    <w:p>
      <w:pPr>
        <w:spacing w:after="0" w:line="113"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58595B"/>
        </w:rPr>
        <w:t>On February 27, 2024, Mr. De Witte informed our Board of his intention to retire from his position as President and Chief Executive Officer and director of the Company. To ensure a smooth transition, Mr. De Witte will remain at the Company and continue to serve as President and Chief Executive Officer and as a Board member until the effective date of the Board’s appointment of his successor.</w:t>
      </w:r>
    </w:p>
    <w:p>
      <w:pPr>
        <w:spacing w:after="0" w:line="110"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In connection with his retirement and the services Mr. De Witte will provide during the transition period, the Company and Mr. De Witte entered into a letter agreement, dated February 27, 2024 (the “Letter Agreement”), modifying the De Witte Agreement. The Letter Agreement provides that unless earlier terminated pursuant to the terms of the De Witte Agreement, Mr. De Witte’s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3"/>
          <w:szCs w:val="13"/>
          <w:b w:val="1"/>
          <w:bCs w:val="1"/>
          <w:color w:val="009845"/>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employment as President and Chief Executive Officer will terminate on the earlier of January 18, 2025 and the appointment of a new Chief Executive Officer of the Company (the “Transition Date”). Mr. De Witte further agreed that none of (i) the termination of his employment as of the Transition Date, (ii) the appointment of his successor, (iii) the appointment of Stuart Essig, Ph.D. to the role of Executive Chairman of the Board or (iv) the entering into either the Letter Agreement or the Consulting Agreement (as defined below) will constitute a breach of, or Good Reason (as defined in the De Witte Agreement) for purposes of, the De Witte Agreement or any other agreement between him and the Company.</w:t>
      </w:r>
    </w:p>
    <w:p>
      <w:pPr>
        <w:spacing w:after="0" w:line="118"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The Company and Mr. De Witte also agreed to enter into a Consulting Agreement to be effective as of the Transition Date (the “Consulting Agreement”). Pursuant to the Consulting Agreement, subject to execution and non-revocation of a customary release of claims against the Company, Mr. De Witte will serve as Senior Advisor to the CEO and provide transition services to the Company from the Transition Date to March 15, 2026 (the “Consulting Period”). Mr. De Witte will be entitled to: (i) a consulting payment equal to his 2024 base salary (pro-rated for any partial service) for the period beginning on the Transition Date and ending on January 18, 2025 (payable in periodic installments in accordance with the Company’s regular payroll practices in effect from time to time), (ii) eligibility for an annual cash bonus opportunity, targeted at 125% of his 2024 base salary, under the Company’s annual bonus program for 2024, subject to the achievement of applicable performance objectives set forth in the Company’s annual bonus program as well as Mr. De Witte’s successful execution of the Company’s 2024 business strategy and, if applicable, contribution to a smooth CEO transition (as determined by the Board in its sole discretion); (iii) continued vesting of outstanding equity awards during Mr. De Witte’s continued service to the Company during the Consulting Period; and (iv) the ability to exercise vested stock options for the lesser of (a) the stated term of the stock options and (b) six months following his cessation of service to the Company under the Consulting Agreement. Mr. De Witte will also be eligible to receive reimbursement of up to $150,000 in relocation expenses. Following the Transition Date, Mr. De Witte, at his sole expense, may continue his current health, dental, and vision insurance coverage for him and his eligible dependents during the Consulting Period, so long as Mr. De Witte elects and maintains eligibility for COBRA continuation coverage.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Change-in-Control Severance Agreements for Other Named Executive Officers</w:t>
      </w:r>
    </w:p>
    <w:p>
      <w:pPr>
        <w:spacing w:after="0" w:line="81"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Effective January 1 through December 31, 2023, we adopted a change in control severance program (the “Program”) under which Mses. Anderson and Knight and Messrs. Davis, McBreen, Mosebrook and Schwartz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58595B"/>
        </w:rPr>
        <w:t>In the event of a qualifying termination, the Change-in-Control Severance Agreements provide for:</w:t>
      </w:r>
    </w:p>
    <w:p>
      <w:pPr>
        <w:spacing w:after="0" w:line="221" w:lineRule="exact"/>
        <w:rPr>
          <w:sz w:val="20"/>
          <w:szCs w:val="20"/>
          <w:color w:val="auto"/>
        </w:rPr>
      </w:pPr>
    </w:p>
    <w:p>
      <w:pPr>
        <w:ind w:left="660" w:right="100" w:hanging="166"/>
        <w:spacing w:after="0" w:line="339" w:lineRule="auto"/>
        <w:tabs>
          <w:tab w:leader="none" w:pos="622"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A lump sum payment equal to 1.5 times (or 2.0 times in the case of Mses. Knight and Anderson) the sum of the executive’s annual base salary and target bonus;</w:t>
      </w:r>
    </w:p>
    <w:p>
      <w:pPr>
        <w:spacing w:after="0" w:line="114" w:lineRule="exact"/>
        <w:rPr>
          <w:rFonts w:ascii="Arial" w:cs="Arial" w:eastAsia="Arial" w:hAnsi="Arial"/>
          <w:sz w:val="16"/>
          <w:szCs w:val="16"/>
          <w:color w:val="58595B"/>
        </w:rPr>
      </w:pPr>
    </w:p>
    <w:p>
      <w:pPr>
        <w:ind w:left="620" w:hanging="126"/>
        <w:spacing w:after="0"/>
        <w:tabs>
          <w:tab w:leader="none" w:pos="620"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A lump sum payment equal to a pro rata portion of the executive’s target annual bonus for the partial fiscal year in which the termination occurs;</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Company-subsidized COBRA premium payments for up to eighteen months following the termination date; and</w:t>
      </w:r>
    </w:p>
    <w:p>
      <w:pPr>
        <w:spacing w:after="0" w:line="207" w:lineRule="exact"/>
        <w:rPr>
          <w:rFonts w:ascii="Arial" w:cs="Arial" w:eastAsia="Arial" w:hAnsi="Arial"/>
          <w:sz w:val="16"/>
          <w:szCs w:val="16"/>
          <w:color w:val="58595B"/>
        </w:rPr>
      </w:pPr>
    </w:p>
    <w:p>
      <w:pPr>
        <w:ind w:left="620" w:hanging="126"/>
        <w:spacing w:after="0"/>
        <w:tabs>
          <w:tab w:leader="none" w:pos="620" w:val="left"/>
        </w:tabs>
        <w:numPr>
          <w:ilvl w:val="0"/>
          <w:numId w:val="46"/>
        </w:numPr>
        <w:rPr>
          <w:rFonts w:ascii="Arial" w:cs="Arial" w:eastAsia="Arial" w:hAnsi="Arial"/>
          <w:sz w:val="16"/>
          <w:szCs w:val="16"/>
          <w:color w:val="58595B"/>
        </w:rPr>
      </w:pPr>
      <w:r>
        <w:rPr>
          <w:rFonts w:ascii="Arial" w:cs="Arial" w:eastAsia="Arial" w:hAnsi="Arial"/>
          <w:sz w:val="16"/>
          <w:szCs w:val="16"/>
          <w:color w:val="58595B"/>
        </w:rPr>
        <w:t>Company-paid outplacement services for up to twelve months following the termination date.</w:t>
      </w:r>
    </w:p>
    <w:p>
      <w:pPr>
        <w:spacing w:after="0" w:line="2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58595B"/>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58595B"/>
        </w:rPr>
        <w:t>The Program was renewed effective January 1, 2024 and will expire December 31, 2024 unless renewed again.</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36"/>
          <w:szCs w:val="36"/>
          <w:color w:val="009845"/>
        </w:rPr>
        <w:t>COMPENSATION COMMITTEE REPORT</w:t>
      </w:r>
    </w:p>
    <w:p>
      <w:pPr>
        <w:spacing w:after="0" w:line="200" w:lineRule="exact"/>
        <w:rPr>
          <w:sz w:val="20"/>
          <w:szCs w:val="20"/>
          <w:color w:val="auto"/>
        </w:rPr>
      </w:pPr>
    </w:p>
    <w:p>
      <w:pPr>
        <w:spacing w:after="0" w:line="220"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58595B"/>
        </w:rPr>
        <w:t>We have reviewed and discussed with management the Compensation Discussion and Analysis required by Item 402(b) of Regulation S-K, which appears in this proxy statement. Based on this review and discussion, we have recommended to the Board of Directors that the Compensation Discussion and Analysis be included in this proxy statement and incorporated into our 2023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Respectfully submitted,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Compensation Committee of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Keith Bradley, Ph.D. (Chair)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Jeffrey A. Graves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Renee Lo</w:t>
      </w:r>
    </w:p>
    <w:p>
      <w:pPr>
        <w:spacing w:after="0" w:line="286"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59" w:name="page60"/>
    <w:bookmarkEnd w:id="59"/>
    <w:p>
      <w:pPr>
        <w:spacing w:after="0"/>
        <w:rPr>
          <w:sz w:val="20"/>
          <w:szCs w:val="20"/>
          <w:color w:val="auto"/>
        </w:rPr>
      </w:pPr>
      <w:r>
        <w:rPr>
          <w:rFonts w:ascii="Arial" w:cs="Arial" w:eastAsia="Arial" w:hAnsi="Arial"/>
          <w:sz w:val="36"/>
          <w:szCs w:val="36"/>
          <w:color w:val="009845"/>
        </w:rPr>
        <w:t>COMPENSATION OF EXECUTIVE OFFICERS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Summary Compensation Table</w:t>
      </w:r>
    </w:p>
    <w:p>
      <w:pPr>
        <w:spacing w:after="0" w:line="193"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58595B"/>
        </w:rPr>
        <w:t>The following table sets forth information regarding compensation paid to our current President and Chief Executive Officer, each person serving as our principal financial officer in 2023, and each of our three other most highly compensated executive officers based on total compensation earned during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00" w:type="dxa"/>
            <w:vAlign w:val="bottom"/>
            <w:shd w:val="clear" w:color="auto" w:fill="EFEDED"/>
          </w:tcPr>
          <w:p>
            <w:pPr>
              <w:spacing w:after="0"/>
              <w:rPr>
                <w:sz w:val="13"/>
                <w:szCs w:val="13"/>
                <w:color w:val="auto"/>
              </w:rPr>
            </w:pPr>
          </w:p>
        </w:tc>
        <w:tc>
          <w:tcPr>
            <w:tcW w:w="66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680" w:type="dxa"/>
            <w:vAlign w:val="bottom"/>
            <w:shd w:val="clear" w:color="auto" w:fill="EFEDED"/>
          </w:tcPr>
          <w:p>
            <w:pPr>
              <w:spacing w:after="0"/>
              <w:rPr>
                <w:sz w:val="13"/>
                <w:szCs w:val="13"/>
                <w:color w:val="auto"/>
              </w:rPr>
            </w:pPr>
          </w:p>
        </w:tc>
        <w:tc>
          <w:tcPr>
            <w:tcW w:w="900" w:type="dxa"/>
            <w:vAlign w:val="bottom"/>
            <w:shd w:val="clear" w:color="auto" w:fill="EFEDED"/>
          </w:tcPr>
          <w:p>
            <w:pPr>
              <w:spacing w:after="0"/>
              <w:rPr>
                <w:sz w:val="13"/>
                <w:szCs w:val="13"/>
                <w:color w:val="auto"/>
              </w:rPr>
            </w:pPr>
          </w:p>
        </w:tc>
        <w:tc>
          <w:tcPr>
            <w:tcW w:w="900" w:type="dxa"/>
            <w:vAlign w:val="bottom"/>
            <w:shd w:val="clear" w:color="auto" w:fill="EFEDED"/>
          </w:tcPr>
          <w:p>
            <w:pPr>
              <w:spacing w:after="0"/>
              <w:rPr>
                <w:sz w:val="13"/>
                <w:szCs w:val="13"/>
                <w:color w:val="auto"/>
              </w:rPr>
            </w:pPr>
          </w:p>
        </w:tc>
        <w:tc>
          <w:tcPr>
            <w:tcW w:w="1340" w:type="dxa"/>
            <w:vAlign w:val="bottom"/>
            <w:shd w:val="clear" w:color="auto" w:fill="EFEDED"/>
          </w:tcPr>
          <w:p>
            <w:pPr>
              <w:spacing w:after="0"/>
              <w:rPr>
                <w:sz w:val="13"/>
                <w:szCs w:val="13"/>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Change in</w:t>
            </w:r>
          </w:p>
        </w:tc>
        <w:tc>
          <w:tcPr>
            <w:tcW w:w="1320" w:type="dxa"/>
            <w:vAlign w:val="bottom"/>
            <w:shd w:val="clear" w:color="auto" w:fill="EFEDED"/>
          </w:tcPr>
          <w:p>
            <w:pPr>
              <w:spacing w:after="0"/>
              <w:rPr>
                <w:sz w:val="13"/>
                <w:szCs w:val="13"/>
                <w:color w:val="auto"/>
              </w:rPr>
            </w:pPr>
          </w:p>
        </w:tc>
        <w:tc>
          <w:tcPr>
            <w:tcW w:w="1140" w:type="dxa"/>
            <w:vAlign w:val="bottom"/>
            <w:shd w:val="clear" w:color="auto" w:fill="EF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FEDED"/>
          </w:tcPr>
          <w:p>
            <w:pPr>
              <w:spacing w:after="0"/>
              <w:rPr>
                <w:sz w:val="14"/>
                <w:szCs w:val="14"/>
                <w:color w:val="auto"/>
              </w:rPr>
            </w:pPr>
          </w:p>
        </w:tc>
        <w:tc>
          <w:tcPr>
            <w:tcW w:w="66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Pension</w:t>
            </w:r>
          </w:p>
        </w:tc>
        <w:tc>
          <w:tcPr>
            <w:tcW w:w="1320" w:type="dxa"/>
            <w:vAlign w:val="bottom"/>
            <w:shd w:val="clear" w:color="auto" w:fill="EFEDED"/>
          </w:tcPr>
          <w:p>
            <w:pPr>
              <w:spacing w:after="0"/>
              <w:rPr>
                <w:sz w:val="14"/>
                <w:szCs w:val="14"/>
                <w:color w:val="auto"/>
              </w:rPr>
            </w:pPr>
          </w:p>
        </w:tc>
        <w:tc>
          <w:tcPr>
            <w:tcW w:w="11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Value and</w:t>
            </w:r>
          </w:p>
        </w:tc>
        <w:tc>
          <w:tcPr>
            <w:tcW w:w="132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Nonqualified</w:t>
            </w:r>
          </w:p>
        </w:tc>
        <w:tc>
          <w:tcPr>
            <w:tcW w:w="1320" w:type="dxa"/>
            <w:vAlign w:val="bottom"/>
            <w:shd w:val="clear" w:color="auto" w:fill="EFEDED"/>
          </w:tcPr>
          <w:p>
            <w:pPr>
              <w:spacing w:after="0"/>
              <w:rPr>
                <w:sz w:val="12"/>
                <w:szCs w:val="12"/>
                <w:color w:val="auto"/>
              </w:rPr>
            </w:pP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Non-Equity</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Deferred</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spacing w:after="0"/>
              <w:rPr>
                <w:sz w:val="12"/>
                <w:szCs w:val="12"/>
                <w:color w:val="auto"/>
              </w:rPr>
            </w:pP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spacing w:after="0"/>
              <w:rPr>
                <w:sz w:val="12"/>
                <w:szCs w:val="12"/>
                <w:color w:val="auto"/>
              </w:rPr>
            </w:pPr>
          </w:p>
        </w:tc>
        <w:tc>
          <w:tcPr>
            <w:tcW w:w="680" w:type="dxa"/>
            <w:vAlign w:val="bottom"/>
            <w:shd w:val="clear" w:color="auto" w:fill="EFEDED"/>
          </w:tcPr>
          <w:p>
            <w:pPr>
              <w:spacing w:after="0"/>
              <w:rPr>
                <w:sz w:val="12"/>
                <w:szCs w:val="12"/>
                <w:color w:val="auto"/>
              </w:rPr>
            </w:pP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Stock</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Incentive Plan</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32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7"/>
              </w:rPr>
              <w:t>Compensation</w:t>
            </w:r>
          </w:p>
        </w:tc>
        <w:tc>
          <w:tcPr>
            <w:tcW w:w="114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 and Principal</w:t>
            </w:r>
          </w:p>
        </w:tc>
        <w:tc>
          <w:tcPr>
            <w:tcW w:w="66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Salary</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Bonus</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Awards(1)</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Awards(1)</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Compensation (2)</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Earnings</w:t>
            </w:r>
          </w:p>
        </w:tc>
        <w:tc>
          <w:tcPr>
            <w:tcW w:w="132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rPr>
              <w:t>(3)</w:t>
            </w:r>
          </w:p>
        </w:tc>
        <w:tc>
          <w:tcPr>
            <w:tcW w:w="114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6"/>
              </w:rPr>
              <w:t>Total</w:t>
            </w:r>
          </w:p>
        </w:tc>
        <w:tc>
          <w:tcPr>
            <w:tcW w:w="0" w:type="dxa"/>
            <w:vAlign w:val="bottom"/>
          </w:tcPr>
          <w:p>
            <w:pPr>
              <w:spacing w:after="0"/>
              <w:rPr>
                <w:sz w:val="1"/>
                <w:szCs w:val="1"/>
                <w:color w:val="auto"/>
              </w:rPr>
            </w:pPr>
          </w:p>
        </w:tc>
      </w:tr>
      <w:tr>
        <w:trPr>
          <w:trHeight w:val="162"/>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Position</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Year</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2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rPr>
              <w:t>($)</w:t>
            </w:r>
          </w:p>
        </w:tc>
        <w:tc>
          <w:tcPr>
            <w:tcW w:w="11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172"/>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(b)</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32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7"/>
              </w:rPr>
              <w:t>(i)</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0" w:type="dxa"/>
            <w:vAlign w:val="bottom"/>
          </w:tcPr>
          <w:p>
            <w:pPr>
              <w:spacing w:after="0"/>
              <w:rPr>
                <w:sz w:val="1"/>
                <w:szCs w:val="1"/>
                <w:color w:val="auto"/>
              </w:rPr>
            </w:pPr>
          </w:p>
        </w:tc>
      </w:tr>
      <w:tr>
        <w:trPr>
          <w:trHeight w:val="76"/>
        </w:trPr>
        <w:tc>
          <w:tcPr>
            <w:tcW w:w="2000" w:type="dxa"/>
            <w:vAlign w:val="bottom"/>
            <w:shd w:val="clear" w:color="auto" w:fill="EFEDED"/>
          </w:tcPr>
          <w:p>
            <w:pPr>
              <w:spacing w:after="0"/>
              <w:rPr>
                <w:sz w:val="6"/>
                <w:szCs w:val="6"/>
                <w:color w:val="auto"/>
              </w:rPr>
            </w:pPr>
          </w:p>
        </w:tc>
        <w:tc>
          <w:tcPr>
            <w:tcW w:w="66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68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134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11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875,467</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4,125,076</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1,375,013</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13,200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6,388,756</w:t>
            </w:r>
          </w:p>
        </w:tc>
        <w:tc>
          <w:tcPr>
            <w:tcW w:w="0" w:type="dxa"/>
            <w:vAlign w:val="bottom"/>
          </w:tcPr>
          <w:p>
            <w:pPr>
              <w:spacing w:after="0"/>
              <w:rPr>
                <w:sz w:val="1"/>
                <w:szCs w:val="1"/>
                <w:color w:val="auto"/>
              </w:rPr>
            </w:pPr>
          </w:p>
        </w:tc>
      </w:tr>
      <w:tr>
        <w:trPr>
          <w:trHeight w:val="185"/>
        </w:trPr>
        <w:tc>
          <w:tcPr>
            <w:tcW w:w="200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00"/>
              <w:spacing w:after="0"/>
              <w:rPr>
                <w:sz w:val="20"/>
                <w:szCs w:val="20"/>
                <w:color w:val="auto"/>
              </w:rPr>
            </w:pPr>
            <w:r>
              <w:rPr>
                <w:rFonts w:ascii="Arial" w:cs="Arial" w:eastAsia="Arial" w:hAnsi="Arial"/>
                <w:sz w:val="13"/>
                <w:szCs w:val="13"/>
                <w:color w:val="58595B"/>
              </w:rPr>
              <w:t>President and Chief Executive</w:t>
            </w: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850,000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6,500,093</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1,000,014</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813,450</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7"/>
              </w:rPr>
              <w:t>156,356</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9,319,913</w:t>
            </w:r>
          </w:p>
        </w:tc>
        <w:tc>
          <w:tcPr>
            <w:tcW w:w="0" w:type="dxa"/>
            <w:vAlign w:val="bottom"/>
          </w:tcPr>
          <w:p>
            <w:pPr>
              <w:spacing w:after="0"/>
              <w:rPr>
                <w:sz w:val="1"/>
                <w:szCs w:val="1"/>
                <w:color w:val="auto"/>
              </w:rPr>
            </w:pPr>
          </w:p>
        </w:tc>
      </w:tr>
      <w:tr>
        <w:trPr>
          <w:trHeight w:val="96"/>
        </w:trPr>
        <w:tc>
          <w:tcPr>
            <w:tcW w:w="2000" w:type="dxa"/>
            <w:vAlign w:val="bottom"/>
            <w:vMerge w:val="restart"/>
          </w:tcPr>
          <w:p>
            <w:pPr>
              <w:ind w:left="100"/>
              <w:spacing w:after="0"/>
              <w:rPr>
                <w:sz w:val="20"/>
                <w:szCs w:val="20"/>
                <w:color w:val="auto"/>
              </w:rPr>
            </w:pPr>
            <w:r>
              <w:rPr>
                <w:rFonts w:ascii="Arial" w:cs="Arial" w:eastAsia="Arial" w:hAnsi="Arial"/>
                <w:sz w:val="13"/>
                <w:szCs w:val="13"/>
                <w:color w:val="58595B"/>
              </w:rPr>
              <w:t>Officer and Director</w:t>
            </w: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tcPr>
          <w:p>
            <w:pPr>
              <w:jc w:val="center"/>
              <w:spacing w:after="0"/>
              <w:rPr>
                <w:sz w:val="20"/>
                <w:szCs w:val="20"/>
                <w:color w:val="auto"/>
              </w:rPr>
            </w:pPr>
            <w:r>
              <w:rPr>
                <w:rFonts w:ascii="Arial" w:cs="Arial" w:eastAsia="Arial" w:hAnsi="Arial"/>
                <w:sz w:val="13"/>
                <w:szCs w:val="13"/>
                <w:color w:val="58595B"/>
                <w:w w:val="95"/>
              </w:rPr>
              <w:t>58,846</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144,384</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48,543</w:t>
            </w:r>
          </w:p>
        </w:tc>
        <w:tc>
          <w:tcPr>
            <w:tcW w:w="1140" w:type="dxa"/>
            <w:vAlign w:val="bottom"/>
          </w:tcPr>
          <w:p>
            <w:pPr>
              <w:jc w:val="center"/>
              <w:ind w:right="17"/>
              <w:spacing w:after="0"/>
              <w:rPr>
                <w:sz w:val="20"/>
                <w:szCs w:val="20"/>
                <w:color w:val="auto"/>
              </w:rPr>
            </w:pPr>
            <w:r>
              <w:rPr>
                <w:rFonts w:ascii="Arial" w:cs="Arial" w:eastAsia="Arial" w:hAnsi="Arial"/>
                <w:sz w:val="13"/>
                <w:szCs w:val="13"/>
                <w:color w:val="58595B"/>
                <w:w w:val="97"/>
              </w:rPr>
              <w:t>251,773</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295,385</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350,000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1,000,000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27,762</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1,673,147</w:t>
            </w:r>
          </w:p>
        </w:tc>
        <w:tc>
          <w:tcPr>
            <w:tcW w:w="0" w:type="dxa"/>
            <w:vAlign w:val="bottom"/>
          </w:tcPr>
          <w:p>
            <w:pPr>
              <w:spacing w:after="0"/>
              <w:rPr>
                <w:sz w:val="1"/>
                <w:szCs w:val="1"/>
                <w:color w:val="auto"/>
              </w:rPr>
            </w:pPr>
          </w:p>
        </w:tc>
      </w:tr>
      <w:tr>
        <w:trPr>
          <w:trHeight w:val="185"/>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 xml:space="preserve">Lea Knight </w:t>
            </w:r>
            <w:r>
              <w:rPr>
                <w:rFonts w:ascii="Arial" w:cs="Arial" w:eastAsia="Arial" w:hAnsi="Arial"/>
                <w:sz w:val="16"/>
                <w:szCs w:val="16"/>
                <w:b w:val="1"/>
                <w:bCs w:val="1"/>
                <w:color w:val="58595B"/>
                <w:vertAlign w:val="superscript"/>
              </w:rPr>
              <w:t>5</w:t>
            </w:r>
          </w:p>
        </w:tc>
        <w:tc>
          <w:tcPr>
            <w:tcW w:w="660" w:type="dxa"/>
            <w:vAlign w:val="bottom"/>
            <w:shd w:val="clear" w:color="auto" w:fill="EFEDED"/>
          </w:tcPr>
          <w:p>
            <w:pPr>
              <w:spacing w:after="0"/>
              <w:rPr>
                <w:sz w:val="16"/>
                <w:szCs w:val="16"/>
                <w:color w:val="auto"/>
              </w:rPr>
            </w:pPr>
          </w:p>
        </w:tc>
        <w:tc>
          <w:tcPr>
            <w:tcW w:w="1080" w:type="dxa"/>
            <w:vAlign w:val="bottom"/>
            <w:shd w:val="clear" w:color="auto" w:fill="EFEDED"/>
          </w:tcPr>
          <w:p>
            <w:pPr>
              <w:spacing w:after="0"/>
              <w:rPr>
                <w:sz w:val="16"/>
                <w:szCs w:val="16"/>
                <w:color w:val="auto"/>
              </w:rPr>
            </w:pPr>
          </w:p>
        </w:tc>
        <w:tc>
          <w:tcPr>
            <w:tcW w:w="680" w:type="dxa"/>
            <w:vAlign w:val="bottom"/>
            <w:shd w:val="clear" w:color="auto" w:fill="EFEDED"/>
          </w:tcPr>
          <w:p>
            <w:pPr>
              <w:spacing w:after="0"/>
              <w:rPr>
                <w:sz w:val="16"/>
                <w:szCs w:val="16"/>
                <w:color w:val="auto"/>
              </w:rPr>
            </w:pPr>
          </w:p>
        </w:tc>
        <w:tc>
          <w:tcPr>
            <w:tcW w:w="900" w:type="dxa"/>
            <w:vAlign w:val="bottom"/>
            <w:shd w:val="clear" w:color="auto" w:fill="EFEDED"/>
          </w:tcPr>
          <w:p>
            <w:pPr>
              <w:spacing w:after="0"/>
              <w:rPr>
                <w:sz w:val="16"/>
                <w:szCs w:val="16"/>
                <w:color w:val="auto"/>
              </w:rPr>
            </w:pPr>
          </w:p>
        </w:tc>
        <w:tc>
          <w:tcPr>
            <w:tcW w:w="900" w:type="dxa"/>
            <w:vAlign w:val="bottom"/>
            <w:shd w:val="clear" w:color="auto" w:fill="EFEDED"/>
          </w:tcPr>
          <w:p>
            <w:pPr>
              <w:spacing w:after="0"/>
              <w:rPr>
                <w:sz w:val="16"/>
                <w:szCs w:val="16"/>
                <w:color w:val="auto"/>
              </w:rPr>
            </w:pPr>
          </w:p>
        </w:tc>
        <w:tc>
          <w:tcPr>
            <w:tcW w:w="1340" w:type="dxa"/>
            <w:vAlign w:val="bottom"/>
            <w:shd w:val="clear" w:color="auto" w:fill="EFEDED"/>
          </w:tcPr>
          <w:p>
            <w:pPr>
              <w:spacing w:after="0"/>
              <w:rPr>
                <w:sz w:val="16"/>
                <w:szCs w:val="16"/>
                <w:color w:val="auto"/>
              </w:rPr>
            </w:pPr>
          </w:p>
        </w:tc>
        <w:tc>
          <w:tcPr>
            <w:tcW w:w="1220" w:type="dxa"/>
            <w:vAlign w:val="bottom"/>
            <w:shd w:val="clear" w:color="auto" w:fill="EFEDED"/>
          </w:tcPr>
          <w:p>
            <w:pPr>
              <w:spacing w:after="0"/>
              <w:rPr>
                <w:sz w:val="16"/>
                <w:szCs w:val="16"/>
                <w:color w:val="auto"/>
              </w:rPr>
            </w:pPr>
          </w:p>
        </w:tc>
        <w:tc>
          <w:tcPr>
            <w:tcW w:w="1320" w:type="dxa"/>
            <w:vAlign w:val="bottom"/>
            <w:shd w:val="clear" w:color="auto" w:fill="EFEDED"/>
          </w:tcPr>
          <w:p>
            <w:pPr>
              <w:spacing w:after="0"/>
              <w:rPr>
                <w:sz w:val="16"/>
                <w:szCs w:val="16"/>
                <w:color w:val="auto"/>
              </w:rPr>
            </w:pPr>
          </w:p>
        </w:tc>
        <w:tc>
          <w:tcPr>
            <w:tcW w:w="114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Executive Vice President</w:t>
            </w:r>
          </w:p>
        </w:tc>
        <w:tc>
          <w:tcPr>
            <w:tcW w:w="66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320" w:type="dxa"/>
            <w:vAlign w:val="bottom"/>
            <w:shd w:val="clear" w:color="auto" w:fill="EFEDED"/>
          </w:tcPr>
          <w:p>
            <w:pPr>
              <w:spacing w:after="0"/>
              <w:rPr>
                <w:sz w:val="14"/>
                <w:szCs w:val="14"/>
                <w:color w:val="auto"/>
              </w:rPr>
            </w:pPr>
          </w:p>
        </w:tc>
        <w:tc>
          <w:tcPr>
            <w:tcW w:w="11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and Chief Financial Officer</w:t>
            </w:r>
          </w:p>
        </w:tc>
        <w:tc>
          <w:tcPr>
            <w:tcW w:w="66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320" w:type="dxa"/>
            <w:vAlign w:val="bottom"/>
            <w:shd w:val="clear" w:color="auto" w:fill="EFEDED"/>
          </w:tcPr>
          <w:p>
            <w:pPr>
              <w:spacing w:after="0"/>
              <w:rPr>
                <w:sz w:val="14"/>
                <w:szCs w:val="14"/>
                <w:color w:val="auto"/>
              </w:rPr>
            </w:pPr>
          </w:p>
        </w:tc>
        <w:tc>
          <w:tcPr>
            <w:tcW w:w="11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00" w:type="dxa"/>
            <w:vAlign w:val="bottom"/>
            <w:shd w:val="clear" w:color="auto" w:fill="EFEDED"/>
          </w:tcPr>
          <w:p>
            <w:pPr>
              <w:spacing w:after="0"/>
              <w:rPr>
                <w:sz w:val="24"/>
                <w:szCs w:val="24"/>
                <w:color w:val="auto"/>
              </w:rPr>
            </w:pPr>
          </w:p>
        </w:tc>
        <w:tc>
          <w:tcPr>
            <w:tcW w:w="660" w:type="dxa"/>
            <w:vAlign w:val="bottom"/>
            <w:shd w:val="clear" w:color="auto" w:fill="EFEDED"/>
          </w:tcPr>
          <w:p>
            <w:pPr>
              <w:spacing w:after="0"/>
              <w:rPr>
                <w:sz w:val="24"/>
                <w:szCs w:val="24"/>
                <w:color w:val="auto"/>
              </w:rPr>
            </w:pPr>
          </w:p>
        </w:tc>
        <w:tc>
          <w:tcPr>
            <w:tcW w:w="1080" w:type="dxa"/>
            <w:vAlign w:val="bottom"/>
            <w:shd w:val="clear" w:color="auto" w:fill="EFEDED"/>
          </w:tcPr>
          <w:p>
            <w:pPr>
              <w:spacing w:after="0"/>
              <w:rPr>
                <w:sz w:val="24"/>
                <w:szCs w:val="24"/>
                <w:color w:val="auto"/>
              </w:rPr>
            </w:pPr>
          </w:p>
        </w:tc>
        <w:tc>
          <w:tcPr>
            <w:tcW w:w="680" w:type="dxa"/>
            <w:vAlign w:val="bottom"/>
            <w:shd w:val="clear" w:color="auto" w:fill="EFEDED"/>
          </w:tcPr>
          <w:p>
            <w:pPr>
              <w:spacing w:after="0"/>
              <w:rPr>
                <w:sz w:val="24"/>
                <w:szCs w:val="24"/>
                <w:color w:val="auto"/>
              </w:rPr>
            </w:pPr>
          </w:p>
        </w:tc>
        <w:tc>
          <w:tcPr>
            <w:tcW w:w="900" w:type="dxa"/>
            <w:vAlign w:val="bottom"/>
            <w:shd w:val="clear" w:color="auto" w:fill="EFEDED"/>
          </w:tcPr>
          <w:p>
            <w:pPr>
              <w:spacing w:after="0"/>
              <w:rPr>
                <w:sz w:val="24"/>
                <w:szCs w:val="24"/>
                <w:color w:val="auto"/>
              </w:rPr>
            </w:pPr>
          </w:p>
        </w:tc>
        <w:tc>
          <w:tcPr>
            <w:tcW w:w="900" w:type="dxa"/>
            <w:vAlign w:val="bottom"/>
            <w:shd w:val="clear" w:color="auto" w:fill="EFEDED"/>
          </w:tcPr>
          <w:p>
            <w:pPr>
              <w:spacing w:after="0"/>
              <w:rPr>
                <w:sz w:val="24"/>
                <w:szCs w:val="24"/>
                <w:color w:val="auto"/>
              </w:rPr>
            </w:pPr>
          </w:p>
        </w:tc>
        <w:tc>
          <w:tcPr>
            <w:tcW w:w="1340" w:type="dxa"/>
            <w:vAlign w:val="bottom"/>
            <w:shd w:val="clear" w:color="auto" w:fill="EFEDED"/>
          </w:tcPr>
          <w:p>
            <w:pPr>
              <w:spacing w:after="0"/>
              <w:rPr>
                <w:sz w:val="24"/>
                <w:szCs w:val="24"/>
                <w:color w:val="auto"/>
              </w:rPr>
            </w:pPr>
          </w:p>
        </w:tc>
        <w:tc>
          <w:tcPr>
            <w:tcW w:w="1220" w:type="dxa"/>
            <w:vAlign w:val="bottom"/>
            <w:shd w:val="clear" w:color="auto" w:fill="EFEDED"/>
          </w:tcPr>
          <w:p>
            <w:pPr>
              <w:spacing w:after="0"/>
              <w:rPr>
                <w:sz w:val="24"/>
                <w:szCs w:val="24"/>
                <w:color w:val="auto"/>
              </w:rPr>
            </w:pPr>
          </w:p>
        </w:tc>
        <w:tc>
          <w:tcPr>
            <w:tcW w:w="1320" w:type="dxa"/>
            <w:vAlign w:val="bottom"/>
            <w:shd w:val="clear" w:color="auto" w:fill="EFEDED"/>
          </w:tcPr>
          <w:p>
            <w:pPr>
              <w:spacing w:after="0"/>
              <w:rPr>
                <w:sz w:val="24"/>
                <w:szCs w:val="24"/>
                <w:color w:val="auto"/>
              </w:rPr>
            </w:pPr>
          </w:p>
        </w:tc>
        <w:tc>
          <w:tcPr>
            <w:tcW w:w="11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368,050</w:t>
            </w:r>
          </w:p>
        </w:tc>
        <w:tc>
          <w:tcPr>
            <w:tcW w:w="680" w:type="dxa"/>
            <w:vAlign w:val="bottom"/>
          </w:tcPr>
          <w:p>
            <w:pPr>
              <w:jc w:val="center"/>
              <w:spacing w:after="0"/>
              <w:rPr>
                <w:sz w:val="20"/>
                <w:szCs w:val="20"/>
                <w:color w:val="auto"/>
              </w:rPr>
            </w:pPr>
            <w:r>
              <w:rPr>
                <w:rFonts w:ascii="Arial" w:cs="Arial" w:eastAsia="Arial" w:hAnsi="Arial"/>
                <w:sz w:val="13"/>
                <w:szCs w:val="13"/>
                <w:color w:val="58595B"/>
                <w:w w:val="93"/>
              </w:rPr>
              <w:t>111,888</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760,156</w:t>
            </w:r>
          </w:p>
        </w:tc>
        <w:tc>
          <w:tcPr>
            <w:tcW w:w="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13,200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1,253,294</w:t>
            </w:r>
          </w:p>
        </w:tc>
        <w:tc>
          <w:tcPr>
            <w:tcW w:w="0" w:type="dxa"/>
            <w:vAlign w:val="bottom"/>
          </w:tcPr>
          <w:p>
            <w:pPr>
              <w:spacing w:after="0"/>
              <w:rPr>
                <w:sz w:val="1"/>
                <w:szCs w:val="1"/>
                <w:color w:val="auto"/>
              </w:rPr>
            </w:pPr>
          </w:p>
        </w:tc>
      </w:tr>
      <w:tr>
        <w:trPr>
          <w:trHeight w:val="185"/>
        </w:trPr>
        <w:tc>
          <w:tcPr>
            <w:tcW w:w="2000" w:type="dxa"/>
            <w:vAlign w:val="bottom"/>
          </w:tcPr>
          <w:p>
            <w:pPr>
              <w:ind w:left="100"/>
              <w:spacing w:after="0"/>
              <w:rPr>
                <w:sz w:val="20"/>
                <w:szCs w:val="20"/>
                <w:color w:val="auto"/>
              </w:rPr>
            </w:pPr>
            <w:r>
              <w:rPr>
                <w:rFonts w:ascii="Arial" w:cs="Arial" w:eastAsia="Arial" w:hAnsi="Arial"/>
                <w:sz w:val="13"/>
                <w:szCs w:val="13"/>
                <w:b w:val="1"/>
                <w:bCs w:val="1"/>
                <w:color w:val="58595B"/>
              </w:rPr>
              <w:t>Jeffrey Mosebrook</w:t>
            </w:r>
            <w:r>
              <w:rPr>
                <w:rFonts w:ascii="Arial" w:cs="Arial" w:eastAsia="Arial" w:hAnsi="Arial"/>
                <w:sz w:val="16"/>
                <w:szCs w:val="16"/>
                <w:b w:val="1"/>
                <w:bCs w:val="1"/>
                <w:color w:val="58595B"/>
                <w:vertAlign w:val="superscript"/>
              </w:rPr>
              <w:t>4</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00"/>
              <w:spacing w:after="0"/>
              <w:rPr>
                <w:sz w:val="20"/>
                <w:szCs w:val="20"/>
                <w:color w:val="auto"/>
              </w:rPr>
            </w:pPr>
            <w:r>
              <w:rPr>
                <w:rFonts w:ascii="Arial" w:cs="Arial" w:eastAsia="Arial" w:hAnsi="Arial"/>
                <w:sz w:val="13"/>
                <w:szCs w:val="13"/>
                <w:color w:val="58595B"/>
              </w:rPr>
              <w:t>Senior Vice President, Finance</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100"/>
              <w:spacing w:after="0"/>
              <w:rPr>
                <w:sz w:val="20"/>
                <w:szCs w:val="20"/>
                <w:color w:val="auto"/>
              </w:rPr>
            </w:pPr>
            <w:r>
              <w:rPr>
                <w:rFonts w:ascii="Arial" w:cs="Arial" w:eastAsia="Arial" w:hAnsi="Arial"/>
                <w:sz w:val="13"/>
                <w:szCs w:val="13"/>
                <w:color w:val="58595B"/>
              </w:rPr>
              <w:t>and Interim PFO</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515,990</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670,392</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223,439</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13,062</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1,422,883</w:t>
            </w:r>
          </w:p>
        </w:tc>
        <w:tc>
          <w:tcPr>
            <w:tcW w:w="0" w:type="dxa"/>
            <w:vAlign w:val="bottom"/>
          </w:tcPr>
          <w:p>
            <w:pPr>
              <w:spacing w:after="0"/>
              <w:rPr>
                <w:sz w:val="1"/>
                <w:szCs w:val="1"/>
                <w:color w:val="auto"/>
              </w:rPr>
            </w:pPr>
          </w:p>
        </w:tc>
      </w:tr>
      <w:tr>
        <w:trPr>
          <w:trHeight w:val="185"/>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660" w:type="dxa"/>
            <w:vAlign w:val="bottom"/>
            <w:shd w:val="clear" w:color="auto" w:fill="EFEDED"/>
          </w:tcPr>
          <w:p>
            <w:pPr>
              <w:spacing w:after="0"/>
              <w:rPr>
                <w:sz w:val="16"/>
                <w:szCs w:val="16"/>
                <w:color w:val="auto"/>
              </w:rPr>
            </w:pPr>
          </w:p>
        </w:tc>
        <w:tc>
          <w:tcPr>
            <w:tcW w:w="1080" w:type="dxa"/>
            <w:vAlign w:val="bottom"/>
            <w:shd w:val="clear" w:color="auto" w:fill="EFEDED"/>
          </w:tcPr>
          <w:p>
            <w:pPr>
              <w:spacing w:after="0"/>
              <w:rPr>
                <w:sz w:val="16"/>
                <w:szCs w:val="16"/>
                <w:color w:val="auto"/>
              </w:rPr>
            </w:pPr>
          </w:p>
        </w:tc>
        <w:tc>
          <w:tcPr>
            <w:tcW w:w="680" w:type="dxa"/>
            <w:vAlign w:val="bottom"/>
            <w:shd w:val="clear" w:color="auto" w:fill="EFEDED"/>
          </w:tcPr>
          <w:p>
            <w:pPr>
              <w:spacing w:after="0"/>
              <w:rPr>
                <w:sz w:val="16"/>
                <w:szCs w:val="16"/>
                <w:color w:val="auto"/>
              </w:rPr>
            </w:pPr>
          </w:p>
        </w:tc>
        <w:tc>
          <w:tcPr>
            <w:tcW w:w="900" w:type="dxa"/>
            <w:vAlign w:val="bottom"/>
            <w:shd w:val="clear" w:color="auto" w:fill="EFEDED"/>
          </w:tcPr>
          <w:p>
            <w:pPr>
              <w:spacing w:after="0"/>
              <w:rPr>
                <w:sz w:val="16"/>
                <w:szCs w:val="16"/>
                <w:color w:val="auto"/>
              </w:rPr>
            </w:pPr>
          </w:p>
        </w:tc>
        <w:tc>
          <w:tcPr>
            <w:tcW w:w="900" w:type="dxa"/>
            <w:vAlign w:val="bottom"/>
            <w:shd w:val="clear" w:color="auto" w:fill="EFEDED"/>
          </w:tcPr>
          <w:p>
            <w:pPr>
              <w:spacing w:after="0"/>
              <w:rPr>
                <w:sz w:val="16"/>
                <w:szCs w:val="16"/>
                <w:color w:val="auto"/>
              </w:rPr>
            </w:pPr>
          </w:p>
        </w:tc>
        <w:tc>
          <w:tcPr>
            <w:tcW w:w="1340" w:type="dxa"/>
            <w:vAlign w:val="bottom"/>
            <w:shd w:val="clear" w:color="auto" w:fill="EFEDED"/>
          </w:tcPr>
          <w:p>
            <w:pPr>
              <w:spacing w:after="0"/>
              <w:rPr>
                <w:sz w:val="16"/>
                <w:szCs w:val="16"/>
                <w:color w:val="auto"/>
              </w:rPr>
            </w:pPr>
          </w:p>
        </w:tc>
        <w:tc>
          <w:tcPr>
            <w:tcW w:w="1220" w:type="dxa"/>
            <w:vAlign w:val="bottom"/>
            <w:shd w:val="clear" w:color="auto" w:fill="EFEDED"/>
          </w:tcPr>
          <w:p>
            <w:pPr>
              <w:spacing w:after="0"/>
              <w:rPr>
                <w:sz w:val="16"/>
                <w:szCs w:val="16"/>
                <w:color w:val="auto"/>
              </w:rPr>
            </w:pPr>
          </w:p>
        </w:tc>
        <w:tc>
          <w:tcPr>
            <w:tcW w:w="1320" w:type="dxa"/>
            <w:vAlign w:val="bottom"/>
            <w:shd w:val="clear" w:color="auto" w:fill="EFEDED"/>
          </w:tcPr>
          <w:p>
            <w:pPr>
              <w:spacing w:after="0"/>
              <w:rPr>
                <w:sz w:val="16"/>
                <w:szCs w:val="16"/>
                <w:color w:val="auto"/>
              </w:rPr>
            </w:pPr>
          </w:p>
        </w:tc>
        <w:tc>
          <w:tcPr>
            <w:tcW w:w="114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Executive Vice President,</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498,030</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938,496</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212,809</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271,000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1,932,535</w:t>
            </w:r>
          </w:p>
        </w:tc>
        <w:tc>
          <w:tcPr>
            <w:tcW w:w="0" w:type="dxa"/>
            <w:vAlign w:val="bottom"/>
          </w:tcPr>
          <w:p>
            <w:pPr>
              <w:spacing w:after="0"/>
              <w:rPr>
                <w:sz w:val="1"/>
                <w:szCs w:val="1"/>
                <w:color w:val="auto"/>
              </w:rPr>
            </w:pPr>
          </w:p>
        </w:tc>
      </w:tr>
      <w:tr>
        <w:trPr>
          <w:trHeight w:val="166"/>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President, Tissue Technologies</w:t>
            </w:r>
          </w:p>
        </w:tc>
        <w:tc>
          <w:tcPr>
            <w:tcW w:w="66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320" w:type="dxa"/>
            <w:vAlign w:val="bottom"/>
            <w:shd w:val="clear" w:color="auto" w:fill="EFEDED"/>
          </w:tcPr>
          <w:p>
            <w:pPr>
              <w:spacing w:after="0"/>
              <w:rPr>
                <w:sz w:val="14"/>
                <w:szCs w:val="14"/>
                <w:color w:val="auto"/>
              </w:rPr>
            </w:pPr>
          </w:p>
        </w:tc>
        <w:tc>
          <w:tcPr>
            <w:tcW w:w="11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EFEDED"/>
          </w:tcPr>
          <w:p>
            <w:pPr>
              <w:spacing w:after="0"/>
              <w:rPr>
                <w:sz w:val="18"/>
                <w:szCs w:val="18"/>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487,022</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875,970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208,551</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375,000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11,301</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1,957,844</w:t>
            </w:r>
          </w:p>
        </w:tc>
        <w:tc>
          <w:tcPr>
            <w:tcW w:w="0" w:type="dxa"/>
            <w:vAlign w:val="bottom"/>
          </w:tcPr>
          <w:p>
            <w:pPr>
              <w:spacing w:after="0"/>
              <w:rPr>
                <w:sz w:val="1"/>
                <w:szCs w:val="1"/>
                <w:color w:val="auto"/>
              </w:rPr>
            </w:pPr>
          </w:p>
        </w:tc>
      </w:tr>
      <w:tr>
        <w:trPr>
          <w:trHeight w:val="108"/>
        </w:trPr>
        <w:tc>
          <w:tcPr>
            <w:tcW w:w="2000" w:type="dxa"/>
            <w:vAlign w:val="bottom"/>
            <w:shd w:val="clear" w:color="auto" w:fill="EFEDED"/>
          </w:tcPr>
          <w:p>
            <w:pPr>
              <w:spacing w:after="0"/>
              <w:rPr>
                <w:sz w:val="9"/>
                <w:szCs w:val="9"/>
                <w:color w:val="auto"/>
              </w:rPr>
            </w:pPr>
          </w:p>
        </w:tc>
        <w:tc>
          <w:tcPr>
            <w:tcW w:w="66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68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1340" w:type="dxa"/>
            <w:vAlign w:val="bottom"/>
            <w:shd w:val="clear" w:color="auto" w:fill="EFEDED"/>
          </w:tcPr>
          <w:p>
            <w:pPr>
              <w:spacing w:after="0"/>
              <w:rPr>
                <w:sz w:val="9"/>
                <w:szCs w:val="9"/>
                <w:color w:val="auto"/>
              </w:rPr>
            </w:pPr>
          </w:p>
        </w:tc>
        <w:tc>
          <w:tcPr>
            <w:tcW w:w="1220" w:type="dxa"/>
            <w:vAlign w:val="bottom"/>
            <w:shd w:val="clear" w:color="auto" w:fill="EFEDED"/>
          </w:tcPr>
          <w:p>
            <w:pPr>
              <w:spacing w:after="0"/>
              <w:rPr>
                <w:sz w:val="9"/>
                <w:szCs w:val="9"/>
                <w:color w:val="auto"/>
              </w:rPr>
            </w:pPr>
          </w:p>
        </w:tc>
        <w:tc>
          <w:tcPr>
            <w:tcW w:w="1320" w:type="dxa"/>
            <w:vAlign w:val="bottom"/>
            <w:shd w:val="clear" w:color="auto" w:fill="EFEDED"/>
          </w:tcPr>
          <w:p>
            <w:pPr>
              <w:spacing w:after="0"/>
              <w:rPr>
                <w:sz w:val="9"/>
                <w:szCs w:val="9"/>
                <w:color w:val="auto"/>
              </w:rPr>
            </w:pPr>
          </w:p>
        </w:tc>
        <w:tc>
          <w:tcPr>
            <w:tcW w:w="1140" w:type="dxa"/>
            <w:vAlign w:val="bottom"/>
            <w:shd w:val="clear" w:color="auto" w:fill="EFEDED"/>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598,077</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1,789,174</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429,701</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13,200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2,830,152</w:t>
            </w:r>
          </w:p>
        </w:tc>
        <w:tc>
          <w:tcPr>
            <w:tcW w:w="0" w:type="dxa"/>
            <w:vAlign w:val="bottom"/>
          </w:tcPr>
          <w:p>
            <w:pPr>
              <w:spacing w:after="0"/>
              <w:rPr>
                <w:sz w:val="1"/>
                <w:szCs w:val="1"/>
                <w:color w:val="auto"/>
              </w:rPr>
            </w:pPr>
          </w:p>
        </w:tc>
      </w:tr>
      <w:tr>
        <w:trPr>
          <w:trHeight w:val="118"/>
        </w:trPr>
        <w:tc>
          <w:tcPr>
            <w:tcW w:w="20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00"/>
              <w:spacing w:after="0"/>
              <w:rPr>
                <w:sz w:val="20"/>
                <w:szCs w:val="20"/>
                <w:color w:val="auto"/>
              </w:rPr>
            </w:pPr>
            <w:r>
              <w:rPr>
                <w:rFonts w:ascii="Arial" w:cs="Arial" w:eastAsia="Arial" w:hAnsi="Arial"/>
                <w:sz w:val="13"/>
                <w:szCs w:val="13"/>
                <w:color w:val="58595B"/>
              </w:rPr>
              <w:t>Executive Vice President,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58595B"/>
                <w:w w:val="97"/>
              </w:rPr>
              <w:t>494,469</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58595B"/>
                <w:w w:val="96"/>
              </w:rPr>
              <w:t>1,150,884</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58595B"/>
                <w:w w:val="93"/>
              </w:rPr>
              <w:t>216,929</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58595B"/>
                <w:w w:val="93"/>
              </w:rPr>
              <w:t>274,100</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58595B"/>
                <w:w w:val="96"/>
              </w:rPr>
              <w:t>2,148,582</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100"/>
              <w:spacing w:after="0"/>
              <w:rPr>
                <w:sz w:val="20"/>
                <w:szCs w:val="20"/>
                <w:color w:val="auto"/>
              </w:rPr>
            </w:pPr>
            <w:r>
              <w:rPr>
                <w:rFonts w:ascii="Arial" w:cs="Arial" w:eastAsia="Arial" w:hAnsi="Arial"/>
                <w:sz w:val="13"/>
                <w:szCs w:val="13"/>
                <w:color w:val="58595B"/>
              </w:rPr>
              <w:t>President, Codman Specialty</w:t>
            </w: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100"/>
              <w:spacing w:after="0"/>
              <w:rPr>
                <w:sz w:val="20"/>
                <w:szCs w:val="20"/>
                <w:color w:val="auto"/>
              </w:rPr>
            </w:pPr>
            <w:r>
              <w:rPr>
                <w:rFonts w:ascii="Arial" w:cs="Arial" w:eastAsia="Arial" w:hAnsi="Arial"/>
                <w:sz w:val="13"/>
                <w:szCs w:val="13"/>
                <w:color w:val="58595B"/>
              </w:rPr>
              <w:t>Surgical</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58595B"/>
                <w:w w:val="97"/>
              </w:rPr>
              <w:t>459,969</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58595B"/>
                <w:w w:val="93"/>
              </w:rPr>
              <w:t>827,483</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58595B"/>
                <w:w w:val="93"/>
              </w:rPr>
              <w:t>197,007</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58595B"/>
                <w:w w:val="93"/>
              </w:rPr>
              <w:t>385,000</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58595B"/>
                <w:w w:val="95"/>
              </w:rPr>
              <w:t>10,908</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58595B"/>
                <w:w w:val="96"/>
              </w:rPr>
              <w:t>1,880,367</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00" w:type="dxa"/>
            <w:vAlign w:val="bottom"/>
            <w:shd w:val="clear" w:color="auto" w:fill="EFEDED"/>
          </w:tcPr>
          <w:p>
            <w:pPr>
              <w:spacing w:after="0"/>
              <w:rPr>
                <w:sz w:val="22"/>
                <w:szCs w:val="22"/>
                <w:color w:val="auto"/>
              </w:rPr>
            </w:pP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536,318</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804,100</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268,002</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13,200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1,621,620</w:t>
            </w:r>
          </w:p>
        </w:tc>
        <w:tc>
          <w:tcPr>
            <w:tcW w:w="0" w:type="dxa"/>
            <w:vAlign w:val="bottom"/>
          </w:tcPr>
          <w:p>
            <w:pPr>
              <w:spacing w:after="0"/>
              <w:rPr>
                <w:sz w:val="1"/>
                <w:szCs w:val="1"/>
                <w:color w:val="auto"/>
              </w:rPr>
            </w:pPr>
          </w:p>
        </w:tc>
      </w:tr>
      <w:tr>
        <w:trPr>
          <w:trHeight w:val="185"/>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Eric I. Schwartz</w:t>
            </w:r>
          </w:p>
        </w:tc>
        <w:tc>
          <w:tcPr>
            <w:tcW w:w="660" w:type="dxa"/>
            <w:vAlign w:val="bottom"/>
            <w:shd w:val="clear" w:color="auto" w:fill="EFEDED"/>
          </w:tcPr>
          <w:p>
            <w:pPr>
              <w:spacing w:after="0"/>
              <w:rPr>
                <w:sz w:val="16"/>
                <w:szCs w:val="16"/>
                <w:color w:val="auto"/>
              </w:rPr>
            </w:pPr>
          </w:p>
        </w:tc>
        <w:tc>
          <w:tcPr>
            <w:tcW w:w="1080" w:type="dxa"/>
            <w:vAlign w:val="bottom"/>
            <w:shd w:val="clear" w:color="auto" w:fill="EFEDED"/>
          </w:tcPr>
          <w:p>
            <w:pPr>
              <w:spacing w:after="0"/>
              <w:rPr>
                <w:sz w:val="16"/>
                <w:szCs w:val="16"/>
                <w:color w:val="auto"/>
              </w:rPr>
            </w:pPr>
          </w:p>
        </w:tc>
        <w:tc>
          <w:tcPr>
            <w:tcW w:w="680" w:type="dxa"/>
            <w:vAlign w:val="bottom"/>
            <w:shd w:val="clear" w:color="auto" w:fill="EFEDED"/>
          </w:tcPr>
          <w:p>
            <w:pPr>
              <w:spacing w:after="0"/>
              <w:rPr>
                <w:sz w:val="16"/>
                <w:szCs w:val="16"/>
                <w:color w:val="auto"/>
              </w:rPr>
            </w:pPr>
          </w:p>
        </w:tc>
        <w:tc>
          <w:tcPr>
            <w:tcW w:w="900" w:type="dxa"/>
            <w:vAlign w:val="bottom"/>
            <w:shd w:val="clear" w:color="auto" w:fill="EFEDED"/>
          </w:tcPr>
          <w:p>
            <w:pPr>
              <w:spacing w:after="0"/>
              <w:rPr>
                <w:sz w:val="16"/>
                <w:szCs w:val="16"/>
                <w:color w:val="auto"/>
              </w:rPr>
            </w:pPr>
          </w:p>
        </w:tc>
        <w:tc>
          <w:tcPr>
            <w:tcW w:w="900" w:type="dxa"/>
            <w:vAlign w:val="bottom"/>
            <w:shd w:val="clear" w:color="auto" w:fill="EFEDED"/>
          </w:tcPr>
          <w:p>
            <w:pPr>
              <w:spacing w:after="0"/>
              <w:rPr>
                <w:sz w:val="16"/>
                <w:szCs w:val="16"/>
                <w:color w:val="auto"/>
              </w:rPr>
            </w:pPr>
          </w:p>
        </w:tc>
        <w:tc>
          <w:tcPr>
            <w:tcW w:w="1340" w:type="dxa"/>
            <w:vAlign w:val="bottom"/>
            <w:shd w:val="clear" w:color="auto" w:fill="EFEDED"/>
          </w:tcPr>
          <w:p>
            <w:pPr>
              <w:spacing w:after="0"/>
              <w:rPr>
                <w:sz w:val="16"/>
                <w:szCs w:val="16"/>
                <w:color w:val="auto"/>
              </w:rPr>
            </w:pPr>
          </w:p>
        </w:tc>
        <w:tc>
          <w:tcPr>
            <w:tcW w:w="1220" w:type="dxa"/>
            <w:vAlign w:val="bottom"/>
            <w:shd w:val="clear" w:color="auto" w:fill="EFEDED"/>
          </w:tcPr>
          <w:p>
            <w:pPr>
              <w:spacing w:after="0"/>
              <w:rPr>
                <w:sz w:val="16"/>
                <w:szCs w:val="16"/>
                <w:color w:val="auto"/>
              </w:rPr>
            </w:pPr>
          </w:p>
        </w:tc>
        <w:tc>
          <w:tcPr>
            <w:tcW w:w="1320" w:type="dxa"/>
            <w:vAlign w:val="bottom"/>
            <w:shd w:val="clear" w:color="auto" w:fill="EFEDED"/>
          </w:tcPr>
          <w:p>
            <w:pPr>
              <w:spacing w:after="0"/>
              <w:rPr>
                <w:sz w:val="16"/>
                <w:szCs w:val="16"/>
                <w:color w:val="auto"/>
              </w:rPr>
            </w:pPr>
          </w:p>
        </w:tc>
        <w:tc>
          <w:tcPr>
            <w:tcW w:w="1140" w:type="dxa"/>
            <w:vAlign w:val="bottom"/>
            <w:shd w:val="clear" w:color="auto" w:fill="EFED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Executive Vice President, Chief</w:t>
            </w:r>
          </w:p>
        </w:tc>
        <w:tc>
          <w:tcPr>
            <w:tcW w:w="66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7"/>
              </w:rPr>
              <w:t>525,000</w:t>
            </w:r>
          </w:p>
        </w:tc>
        <w:tc>
          <w:tcPr>
            <w:tcW w:w="68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1,912,606</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637,500</w:t>
            </w:r>
          </w:p>
        </w:tc>
        <w:tc>
          <w:tcPr>
            <w:tcW w:w="13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310,000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3,397,306</w:t>
            </w:r>
          </w:p>
        </w:tc>
        <w:tc>
          <w:tcPr>
            <w:tcW w:w="0" w:type="dxa"/>
            <w:vAlign w:val="bottom"/>
          </w:tcPr>
          <w:p>
            <w:pPr>
              <w:spacing w:after="0"/>
              <w:rPr>
                <w:sz w:val="1"/>
                <w:szCs w:val="1"/>
                <w:color w:val="auto"/>
              </w:rPr>
            </w:pPr>
          </w:p>
        </w:tc>
      </w:tr>
      <w:tr>
        <w:trPr>
          <w:trHeight w:val="166"/>
        </w:trPr>
        <w:tc>
          <w:tcPr>
            <w:tcW w:w="2000" w:type="dxa"/>
            <w:vAlign w:val="bottom"/>
            <w:shd w:val="clear" w:color="auto" w:fill="EFEDED"/>
          </w:tcPr>
          <w:p>
            <w:pPr>
              <w:ind w:left="100"/>
              <w:spacing w:after="0"/>
              <w:rPr>
                <w:sz w:val="20"/>
                <w:szCs w:val="20"/>
                <w:color w:val="auto"/>
              </w:rPr>
            </w:pPr>
            <w:r>
              <w:rPr>
                <w:rFonts w:ascii="Arial" w:cs="Arial" w:eastAsia="Arial" w:hAnsi="Arial"/>
                <w:sz w:val="13"/>
                <w:szCs w:val="13"/>
                <w:color w:val="58595B"/>
              </w:rPr>
              <w:t>Legal Officer &amp; Secretary</w:t>
            </w:r>
          </w:p>
        </w:tc>
        <w:tc>
          <w:tcPr>
            <w:tcW w:w="660" w:type="dxa"/>
            <w:vAlign w:val="bottom"/>
            <w:shd w:val="clear" w:color="auto" w:fill="EFEDED"/>
          </w:tcPr>
          <w:p>
            <w:pPr>
              <w:spacing w:after="0"/>
              <w:rPr>
                <w:sz w:val="14"/>
                <w:szCs w:val="14"/>
                <w:color w:val="auto"/>
              </w:rPr>
            </w:pPr>
          </w:p>
        </w:tc>
        <w:tc>
          <w:tcPr>
            <w:tcW w:w="1080" w:type="dxa"/>
            <w:vAlign w:val="bottom"/>
            <w:shd w:val="clear" w:color="auto" w:fill="EFEDED"/>
          </w:tcPr>
          <w:p>
            <w:pPr>
              <w:spacing w:after="0"/>
              <w:rPr>
                <w:sz w:val="14"/>
                <w:szCs w:val="14"/>
                <w:color w:val="auto"/>
              </w:rPr>
            </w:pPr>
          </w:p>
        </w:tc>
        <w:tc>
          <w:tcPr>
            <w:tcW w:w="68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13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320" w:type="dxa"/>
            <w:vAlign w:val="bottom"/>
            <w:shd w:val="clear" w:color="auto" w:fill="EFEDED"/>
          </w:tcPr>
          <w:p>
            <w:pPr>
              <w:spacing w:after="0"/>
              <w:rPr>
                <w:sz w:val="14"/>
                <w:szCs w:val="14"/>
                <w:color w:val="auto"/>
              </w:rPr>
            </w:pPr>
          </w:p>
        </w:tc>
        <w:tc>
          <w:tcPr>
            <w:tcW w:w="11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000" w:type="dxa"/>
            <w:vAlign w:val="bottom"/>
            <w:shd w:val="clear" w:color="auto" w:fill="EFEDED"/>
          </w:tcPr>
          <w:p>
            <w:pPr>
              <w:spacing w:after="0"/>
              <w:rPr>
                <w:sz w:val="24"/>
                <w:szCs w:val="24"/>
                <w:color w:val="auto"/>
              </w:rPr>
            </w:pPr>
          </w:p>
        </w:tc>
        <w:tc>
          <w:tcPr>
            <w:tcW w:w="660" w:type="dxa"/>
            <w:vAlign w:val="bottom"/>
            <w:shd w:val="clear" w:color="auto" w:fill="EFEDED"/>
          </w:tcPr>
          <w:p>
            <w:pPr>
              <w:spacing w:after="0"/>
              <w:rPr>
                <w:sz w:val="24"/>
                <w:szCs w:val="24"/>
                <w:color w:val="auto"/>
              </w:rPr>
            </w:pPr>
          </w:p>
        </w:tc>
        <w:tc>
          <w:tcPr>
            <w:tcW w:w="1080" w:type="dxa"/>
            <w:vAlign w:val="bottom"/>
            <w:shd w:val="clear" w:color="auto" w:fill="EFEDED"/>
          </w:tcPr>
          <w:p>
            <w:pPr>
              <w:spacing w:after="0"/>
              <w:rPr>
                <w:sz w:val="24"/>
                <w:szCs w:val="24"/>
                <w:color w:val="auto"/>
              </w:rPr>
            </w:pPr>
          </w:p>
        </w:tc>
        <w:tc>
          <w:tcPr>
            <w:tcW w:w="680" w:type="dxa"/>
            <w:vAlign w:val="bottom"/>
            <w:shd w:val="clear" w:color="auto" w:fill="EFEDED"/>
          </w:tcPr>
          <w:p>
            <w:pPr>
              <w:spacing w:after="0"/>
              <w:rPr>
                <w:sz w:val="24"/>
                <w:szCs w:val="24"/>
                <w:color w:val="auto"/>
              </w:rPr>
            </w:pPr>
          </w:p>
        </w:tc>
        <w:tc>
          <w:tcPr>
            <w:tcW w:w="900" w:type="dxa"/>
            <w:vAlign w:val="bottom"/>
            <w:shd w:val="clear" w:color="auto" w:fill="EFEDED"/>
          </w:tcPr>
          <w:p>
            <w:pPr>
              <w:spacing w:after="0"/>
              <w:rPr>
                <w:sz w:val="24"/>
                <w:szCs w:val="24"/>
                <w:color w:val="auto"/>
              </w:rPr>
            </w:pPr>
          </w:p>
        </w:tc>
        <w:tc>
          <w:tcPr>
            <w:tcW w:w="900" w:type="dxa"/>
            <w:vAlign w:val="bottom"/>
            <w:shd w:val="clear" w:color="auto" w:fill="EFEDED"/>
          </w:tcPr>
          <w:p>
            <w:pPr>
              <w:spacing w:after="0"/>
              <w:rPr>
                <w:sz w:val="24"/>
                <w:szCs w:val="24"/>
                <w:color w:val="auto"/>
              </w:rPr>
            </w:pPr>
          </w:p>
        </w:tc>
        <w:tc>
          <w:tcPr>
            <w:tcW w:w="1340" w:type="dxa"/>
            <w:vAlign w:val="bottom"/>
            <w:shd w:val="clear" w:color="auto" w:fill="EFEDED"/>
          </w:tcPr>
          <w:p>
            <w:pPr>
              <w:spacing w:after="0"/>
              <w:rPr>
                <w:sz w:val="24"/>
                <w:szCs w:val="24"/>
                <w:color w:val="auto"/>
              </w:rPr>
            </w:pPr>
          </w:p>
        </w:tc>
        <w:tc>
          <w:tcPr>
            <w:tcW w:w="1220" w:type="dxa"/>
            <w:vAlign w:val="bottom"/>
            <w:shd w:val="clear" w:color="auto" w:fill="EFEDED"/>
          </w:tcPr>
          <w:p>
            <w:pPr>
              <w:spacing w:after="0"/>
              <w:rPr>
                <w:sz w:val="24"/>
                <w:szCs w:val="24"/>
                <w:color w:val="auto"/>
              </w:rPr>
            </w:pPr>
          </w:p>
        </w:tc>
        <w:tc>
          <w:tcPr>
            <w:tcW w:w="1320" w:type="dxa"/>
            <w:vAlign w:val="bottom"/>
            <w:shd w:val="clear" w:color="auto" w:fill="EFEDED"/>
          </w:tcPr>
          <w:p>
            <w:pPr>
              <w:spacing w:after="0"/>
              <w:rPr>
                <w:sz w:val="24"/>
                <w:szCs w:val="24"/>
                <w:color w:val="auto"/>
              </w:rPr>
            </w:pPr>
          </w:p>
        </w:tc>
        <w:tc>
          <w:tcPr>
            <w:tcW w:w="11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2023</w:t>
            </w:r>
          </w:p>
        </w:tc>
        <w:tc>
          <w:tcPr>
            <w:tcW w:w="1080" w:type="dxa"/>
            <w:vAlign w:val="bottom"/>
          </w:tcPr>
          <w:p>
            <w:pPr>
              <w:jc w:val="center"/>
              <w:spacing w:after="0"/>
              <w:rPr>
                <w:sz w:val="20"/>
                <w:szCs w:val="20"/>
                <w:color w:val="auto"/>
              </w:rPr>
            </w:pPr>
            <w:r>
              <w:rPr>
                <w:rFonts w:ascii="Arial" w:cs="Arial" w:eastAsia="Arial" w:hAnsi="Arial"/>
                <w:sz w:val="13"/>
                <w:szCs w:val="13"/>
                <w:color w:val="58595B"/>
                <w:w w:val="95"/>
              </w:rPr>
              <w:t>64,692</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ind w:right="17"/>
              <w:spacing w:after="0"/>
              <w:rPr>
                <w:sz w:val="20"/>
                <w:szCs w:val="20"/>
                <w:color w:val="auto"/>
              </w:rPr>
            </w:pPr>
            <w:r>
              <w:rPr>
                <w:rFonts w:ascii="Arial" w:cs="Arial" w:eastAsia="Arial" w:hAnsi="Arial"/>
                <w:sz w:val="13"/>
                <w:szCs w:val="13"/>
                <w:color w:val="58595B"/>
                <w:w w:val="98"/>
              </w:rPr>
              <w:t>2,588</w:t>
            </w:r>
          </w:p>
        </w:tc>
        <w:tc>
          <w:tcPr>
            <w:tcW w:w="1140" w:type="dxa"/>
            <w:vAlign w:val="bottom"/>
          </w:tcPr>
          <w:p>
            <w:pPr>
              <w:jc w:val="center"/>
              <w:ind w:right="17"/>
              <w:spacing w:after="0"/>
              <w:rPr>
                <w:sz w:val="20"/>
                <w:szCs w:val="20"/>
                <w:color w:val="auto"/>
              </w:rPr>
            </w:pPr>
            <w:r>
              <w:rPr>
                <w:rFonts w:ascii="Arial" w:cs="Arial" w:eastAsia="Arial" w:hAnsi="Arial"/>
                <w:sz w:val="13"/>
                <w:szCs w:val="13"/>
                <w:color w:val="58595B"/>
                <w:w w:val="95"/>
              </w:rPr>
              <w:t>67,280</w:t>
            </w:r>
          </w:p>
        </w:tc>
        <w:tc>
          <w:tcPr>
            <w:tcW w:w="0" w:type="dxa"/>
            <w:vAlign w:val="bottom"/>
          </w:tcPr>
          <w:p>
            <w:pPr>
              <w:spacing w:after="0"/>
              <w:rPr>
                <w:sz w:val="1"/>
                <w:szCs w:val="1"/>
                <w:color w:val="auto"/>
              </w:rPr>
            </w:pPr>
          </w:p>
        </w:tc>
      </w:tr>
      <w:tr>
        <w:trPr>
          <w:trHeight w:val="185"/>
        </w:trPr>
        <w:tc>
          <w:tcPr>
            <w:tcW w:w="2000" w:type="dxa"/>
            <w:vAlign w:val="bottom"/>
          </w:tcPr>
          <w:p>
            <w:pPr>
              <w:ind w:left="100"/>
              <w:spacing w:after="0"/>
              <w:rPr>
                <w:sz w:val="20"/>
                <w:szCs w:val="20"/>
                <w:color w:val="auto"/>
              </w:rPr>
            </w:pPr>
            <w:r>
              <w:rPr>
                <w:rFonts w:ascii="Arial" w:cs="Arial" w:eastAsia="Arial" w:hAnsi="Arial"/>
                <w:sz w:val="13"/>
                <w:szCs w:val="13"/>
                <w:b w:val="1"/>
                <w:bCs w:val="1"/>
                <w:color w:val="58595B"/>
              </w:rPr>
              <w:t>Carrie L. Anderson</w:t>
            </w:r>
            <w:r>
              <w:rPr>
                <w:rFonts w:ascii="Arial" w:cs="Arial" w:eastAsia="Arial" w:hAnsi="Arial"/>
                <w:sz w:val="16"/>
                <w:szCs w:val="16"/>
                <w:b w:val="1"/>
                <w:bCs w:val="1"/>
                <w:color w:val="58595B"/>
                <w:vertAlign w:val="superscript"/>
              </w:rPr>
              <w:t>6</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00"/>
              <w:spacing w:after="0"/>
              <w:rPr>
                <w:sz w:val="20"/>
                <w:szCs w:val="20"/>
                <w:color w:val="auto"/>
              </w:rPr>
            </w:pPr>
            <w:r>
              <w:rPr>
                <w:rFonts w:ascii="Arial" w:cs="Arial" w:eastAsia="Arial" w:hAnsi="Arial"/>
                <w:sz w:val="13"/>
                <w:szCs w:val="13"/>
                <w:color w:val="58595B"/>
                <w:w w:val="99"/>
              </w:rPr>
              <w:t>Former Executive Vice President</w:t>
            </w: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2022</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565,404</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1,968,080</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406,010</w:t>
            </w:r>
          </w:p>
        </w:tc>
        <w:tc>
          <w:tcPr>
            <w:tcW w:w="13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12,200</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2,951,694</w:t>
            </w:r>
          </w:p>
        </w:tc>
        <w:tc>
          <w:tcPr>
            <w:tcW w:w="0" w:type="dxa"/>
            <w:vAlign w:val="bottom"/>
          </w:tcPr>
          <w:p>
            <w:pPr>
              <w:spacing w:after="0"/>
              <w:rPr>
                <w:sz w:val="1"/>
                <w:szCs w:val="1"/>
                <w:color w:val="auto"/>
              </w:rPr>
            </w:pPr>
          </w:p>
        </w:tc>
      </w:tr>
      <w:tr>
        <w:trPr>
          <w:trHeight w:val="166"/>
        </w:trPr>
        <w:tc>
          <w:tcPr>
            <w:tcW w:w="2000" w:type="dxa"/>
            <w:vAlign w:val="bottom"/>
          </w:tcPr>
          <w:p>
            <w:pPr>
              <w:ind w:left="100"/>
              <w:spacing w:after="0"/>
              <w:rPr>
                <w:sz w:val="20"/>
                <w:szCs w:val="20"/>
                <w:color w:val="auto"/>
              </w:rPr>
            </w:pPr>
            <w:r>
              <w:rPr>
                <w:rFonts w:ascii="Arial" w:cs="Arial" w:eastAsia="Arial" w:hAnsi="Arial"/>
                <w:sz w:val="13"/>
                <w:szCs w:val="13"/>
                <w:color w:val="58595B"/>
              </w:rPr>
              <w:t>and Chief Financial Officer</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58595B"/>
                <w:w w:val="96"/>
              </w:rPr>
              <w:t>2021</w:t>
            </w:r>
          </w:p>
        </w:tc>
        <w:tc>
          <w:tcPr>
            <w:tcW w:w="1080" w:type="dxa"/>
            <w:vAlign w:val="bottom"/>
          </w:tcPr>
          <w:p>
            <w:pPr>
              <w:jc w:val="center"/>
              <w:spacing w:after="0"/>
              <w:rPr>
                <w:sz w:val="20"/>
                <w:szCs w:val="20"/>
                <w:color w:val="auto"/>
              </w:rPr>
            </w:pPr>
            <w:r>
              <w:rPr>
                <w:rFonts w:ascii="Arial" w:cs="Arial" w:eastAsia="Arial" w:hAnsi="Arial"/>
                <w:sz w:val="13"/>
                <w:szCs w:val="13"/>
                <w:color w:val="58595B"/>
                <w:w w:val="97"/>
              </w:rPr>
              <w:t>518,462</w:t>
            </w:r>
          </w:p>
        </w:tc>
        <w:tc>
          <w:tcPr>
            <w:tcW w:w="6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58595B"/>
                <w:w w:val="96"/>
              </w:rPr>
              <w:t>1,246,979</w:t>
            </w:r>
          </w:p>
        </w:tc>
        <w:tc>
          <w:tcPr>
            <w:tcW w:w="900" w:type="dxa"/>
            <w:vAlign w:val="bottom"/>
          </w:tcPr>
          <w:p>
            <w:pPr>
              <w:jc w:val="center"/>
              <w:spacing w:after="0"/>
              <w:rPr>
                <w:sz w:val="20"/>
                <w:szCs w:val="20"/>
                <w:color w:val="auto"/>
              </w:rPr>
            </w:pPr>
            <w:r>
              <w:rPr>
                <w:rFonts w:ascii="Arial" w:cs="Arial" w:eastAsia="Arial" w:hAnsi="Arial"/>
                <w:sz w:val="13"/>
                <w:szCs w:val="13"/>
                <w:color w:val="58595B"/>
                <w:w w:val="93"/>
              </w:rPr>
              <w:t>328,142</w:t>
            </w:r>
          </w:p>
        </w:tc>
        <w:tc>
          <w:tcPr>
            <w:tcW w:w="1340" w:type="dxa"/>
            <w:vAlign w:val="bottom"/>
          </w:tcPr>
          <w:p>
            <w:pPr>
              <w:jc w:val="center"/>
              <w:spacing w:after="0"/>
              <w:rPr>
                <w:sz w:val="20"/>
                <w:szCs w:val="20"/>
                <w:color w:val="auto"/>
              </w:rPr>
            </w:pPr>
            <w:r>
              <w:rPr>
                <w:rFonts w:ascii="Arial" w:cs="Arial" w:eastAsia="Arial" w:hAnsi="Arial"/>
                <w:sz w:val="13"/>
                <w:szCs w:val="13"/>
                <w:color w:val="58595B"/>
                <w:w w:val="93"/>
              </w:rPr>
              <w:t>515,000</w:t>
            </w:r>
          </w:p>
        </w:tc>
        <w:tc>
          <w:tcPr>
            <w:tcW w:w="12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20" w:type="dxa"/>
            <w:vAlign w:val="bottom"/>
          </w:tcPr>
          <w:p>
            <w:pPr>
              <w:jc w:val="center"/>
              <w:spacing w:after="0"/>
              <w:rPr>
                <w:sz w:val="20"/>
                <w:szCs w:val="20"/>
                <w:color w:val="auto"/>
              </w:rPr>
            </w:pPr>
            <w:r>
              <w:rPr>
                <w:rFonts w:ascii="Arial" w:cs="Arial" w:eastAsia="Arial" w:hAnsi="Arial"/>
                <w:sz w:val="13"/>
                <w:szCs w:val="13"/>
                <w:color w:val="58595B"/>
                <w:w w:val="95"/>
              </w:rPr>
              <w:t>28,081</w:t>
            </w:r>
          </w:p>
        </w:tc>
        <w:tc>
          <w:tcPr>
            <w:tcW w:w="1140" w:type="dxa"/>
            <w:vAlign w:val="bottom"/>
          </w:tcPr>
          <w:p>
            <w:pPr>
              <w:jc w:val="center"/>
              <w:spacing w:after="0"/>
              <w:rPr>
                <w:sz w:val="20"/>
                <w:szCs w:val="20"/>
                <w:color w:val="auto"/>
              </w:rPr>
            </w:pPr>
            <w:r>
              <w:rPr>
                <w:rFonts w:ascii="Arial" w:cs="Arial" w:eastAsia="Arial" w:hAnsi="Arial"/>
                <w:sz w:val="13"/>
                <w:szCs w:val="13"/>
                <w:color w:val="58595B"/>
                <w:w w:val="96"/>
              </w:rPr>
              <w:t>2,636,663</w:t>
            </w:r>
          </w:p>
        </w:tc>
        <w:tc>
          <w:tcPr>
            <w:tcW w:w="0" w:type="dxa"/>
            <w:vAlign w:val="bottom"/>
          </w:tcPr>
          <w:p>
            <w:pPr>
              <w:spacing w:after="0"/>
              <w:rPr>
                <w:sz w:val="1"/>
                <w:szCs w:val="1"/>
                <w:color w:val="auto"/>
              </w:rPr>
            </w:pPr>
          </w:p>
        </w:tc>
      </w:tr>
      <w:tr>
        <w:trPr>
          <w:trHeight w:val="109"/>
        </w:trPr>
        <w:tc>
          <w:tcPr>
            <w:tcW w:w="2000" w:type="dxa"/>
            <w:vAlign w:val="bottom"/>
            <w:tcBorders>
              <w:bottom w:val="single" w:sz="8" w:color="58595B"/>
            </w:tcBorders>
          </w:tcPr>
          <w:p>
            <w:pPr>
              <w:spacing w:after="0"/>
              <w:rPr>
                <w:sz w:val="9"/>
                <w:szCs w:val="9"/>
                <w:color w:val="auto"/>
              </w:rPr>
            </w:pPr>
          </w:p>
        </w:tc>
        <w:tc>
          <w:tcPr>
            <w:tcW w:w="660" w:type="dxa"/>
            <w:vAlign w:val="bottom"/>
            <w:tcBorders>
              <w:bottom w:val="single" w:sz="8" w:color="58595B"/>
            </w:tcBorders>
          </w:tcPr>
          <w:p>
            <w:pPr>
              <w:spacing w:after="0"/>
              <w:rPr>
                <w:sz w:val="9"/>
                <w:szCs w:val="9"/>
                <w:color w:val="auto"/>
              </w:rPr>
            </w:pPr>
          </w:p>
        </w:tc>
        <w:tc>
          <w:tcPr>
            <w:tcW w:w="1080" w:type="dxa"/>
            <w:vAlign w:val="bottom"/>
            <w:tcBorders>
              <w:bottom w:val="single" w:sz="8" w:color="58595B"/>
            </w:tcBorders>
          </w:tcPr>
          <w:p>
            <w:pPr>
              <w:spacing w:after="0"/>
              <w:rPr>
                <w:sz w:val="9"/>
                <w:szCs w:val="9"/>
                <w:color w:val="auto"/>
              </w:rPr>
            </w:pPr>
          </w:p>
        </w:tc>
        <w:tc>
          <w:tcPr>
            <w:tcW w:w="680" w:type="dxa"/>
            <w:vAlign w:val="bottom"/>
            <w:tcBorders>
              <w:bottom w:val="single" w:sz="8" w:color="58595B"/>
            </w:tcBorders>
          </w:tcPr>
          <w:p>
            <w:pPr>
              <w:spacing w:after="0"/>
              <w:rPr>
                <w:sz w:val="9"/>
                <w:szCs w:val="9"/>
                <w:color w:val="auto"/>
              </w:rPr>
            </w:pPr>
          </w:p>
        </w:tc>
        <w:tc>
          <w:tcPr>
            <w:tcW w:w="900" w:type="dxa"/>
            <w:vAlign w:val="bottom"/>
            <w:tcBorders>
              <w:bottom w:val="single" w:sz="8" w:color="58595B"/>
            </w:tcBorders>
          </w:tcPr>
          <w:p>
            <w:pPr>
              <w:spacing w:after="0"/>
              <w:rPr>
                <w:sz w:val="9"/>
                <w:szCs w:val="9"/>
                <w:color w:val="auto"/>
              </w:rPr>
            </w:pPr>
          </w:p>
        </w:tc>
        <w:tc>
          <w:tcPr>
            <w:tcW w:w="900" w:type="dxa"/>
            <w:vAlign w:val="bottom"/>
            <w:tcBorders>
              <w:bottom w:val="single" w:sz="8" w:color="58595B"/>
            </w:tcBorders>
          </w:tcPr>
          <w:p>
            <w:pPr>
              <w:spacing w:after="0"/>
              <w:rPr>
                <w:sz w:val="9"/>
                <w:szCs w:val="9"/>
                <w:color w:val="auto"/>
              </w:rPr>
            </w:pPr>
          </w:p>
        </w:tc>
        <w:tc>
          <w:tcPr>
            <w:tcW w:w="1340" w:type="dxa"/>
            <w:vAlign w:val="bottom"/>
            <w:tcBorders>
              <w:bottom w:val="single" w:sz="8" w:color="58595B"/>
            </w:tcBorders>
          </w:tcPr>
          <w:p>
            <w:pPr>
              <w:spacing w:after="0"/>
              <w:rPr>
                <w:sz w:val="9"/>
                <w:szCs w:val="9"/>
                <w:color w:val="auto"/>
              </w:rPr>
            </w:pPr>
          </w:p>
        </w:tc>
        <w:tc>
          <w:tcPr>
            <w:tcW w:w="1220" w:type="dxa"/>
            <w:vAlign w:val="bottom"/>
            <w:tcBorders>
              <w:bottom w:val="single" w:sz="8" w:color="58595B"/>
            </w:tcBorders>
          </w:tcPr>
          <w:p>
            <w:pPr>
              <w:spacing w:after="0"/>
              <w:rPr>
                <w:sz w:val="9"/>
                <w:szCs w:val="9"/>
                <w:color w:val="auto"/>
              </w:rPr>
            </w:pPr>
          </w:p>
        </w:tc>
        <w:tc>
          <w:tcPr>
            <w:tcW w:w="1320" w:type="dxa"/>
            <w:vAlign w:val="bottom"/>
            <w:tcBorders>
              <w:bottom w:val="single" w:sz="8" w:color="58595B"/>
            </w:tcBorders>
          </w:tcPr>
          <w:p>
            <w:pPr>
              <w:spacing w:after="0"/>
              <w:rPr>
                <w:sz w:val="9"/>
                <w:szCs w:val="9"/>
                <w:color w:val="auto"/>
              </w:rPr>
            </w:pPr>
          </w:p>
        </w:tc>
        <w:tc>
          <w:tcPr>
            <w:tcW w:w="1140" w:type="dxa"/>
            <w:vAlign w:val="bottom"/>
            <w:tcBorders>
              <w:bottom w:val="single" w:sz="8" w:color="58595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73" w:lineRule="auto"/>
        <w:tabs>
          <w:tab w:leader="none" w:pos="338"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based on the closing price of the Company’s common stock on the grant dates in 2023, 2022, and 2021. For a discussion on the assumptions used to estimate the fair value of the stock options, please see Note 10, “Stock-Based Compensation,” to our consolidated financial statements included in our Annual Report on Form 10-</w:t>
      </w:r>
    </w:p>
    <w:p>
      <w:pPr>
        <w:sectPr>
          <w:pgSz w:w="11900" w:h="16838" w:orient="portrait"/>
          <w:cols w:equalWidth="0" w:num="1">
            <w:col w:w="11240"/>
          </w:cols>
          <w:pgMar w:left="320" w:top="1249" w:right="339" w:bottom="1440" w:gutter="0" w:footer="0" w:header="0"/>
        </w:sectPr>
      </w:pPr>
    </w:p>
    <w:p>
      <w:pPr>
        <w:spacing w:after="0" w:line="346" w:lineRule="exact"/>
        <w:rPr>
          <w:sz w:val="20"/>
          <w:szCs w:val="20"/>
          <w:color w:val="auto"/>
        </w:rPr>
      </w:pPr>
    </w:p>
    <w:p>
      <w:pPr>
        <w:ind w:left="20"/>
        <w:spacing w:after="0"/>
        <w:tabs>
          <w:tab w:leader="none" w:pos="11060" w:val="left"/>
        </w:tabs>
        <w:rPr>
          <w:sz w:val="20"/>
          <w:szCs w:val="20"/>
          <w:color w:val="auto"/>
        </w:rPr>
      </w:pPr>
      <w:r>
        <w:rPr>
          <w:rFonts w:ascii="Arial" w:cs="Arial" w:eastAsia="Arial" w:hAnsi="Arial"/>
          <w:sz w:val="13"/>
          <w:szCs w:val="13"/>
          <w:color w:val="58595B"/>
        </w:rPr>
        <w:t>2024 Proxy Statement</w:t>
      </w:r>
      <w:r>
        <w:rPr>
          <w:sz w:val="20"/>
          <w:szCs w:val="20"/>
          <w:color w:val="auto"/>
        </w:rPr>
        <w:tab/>
      </w:r>
      <w:r>
        <w:rPr>
          <w:rFonts w:ascii="Arial" w:cs="Arial" w:eastAsia="Arial" w:hAnsi="Arial"/>
          <w:sz w:val="12"/>
          <w:szCs w:val="12"/>
          <w:b w:val="1"/>
          <w:bCs w:val="1"/>
          <w:color w:val="009845"/>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120"/>
        <w:spacing w:after="0" w:line="267" w:lineRule="auto"/>
        <w:rPr>
          <w:sz w:val="20"/>
          <w:szCs w:val="20"/>
          <w:color w:val="auto"/>
        </w:rPr>
      </w:pPr>
      <w:r>
        <w:rPr>
          <w:rFonts w:ascii="Arial" w:cs="Arial" w:eastAsia="Arial" w:hAnsi="Arial"/>
          <w:sz w:val="14"/>
          <w:szCs w:val="14"/>
          <w:color w:val="auto"/>
        </w:rPr>
        <w:t>K for the year ended December 31, 2023. The grant date fair value of performance stock unit awards is shown in this column at Target, which represents the probable outcome of the performance conditions. The value if the maximum goals are achieved and calculated as of the grant date is $4,125,050 for Mr. De Witte, $670,365 for Mr. Davis, $1,289,103 for Mr. McBreen, $145,287 for Mr. Mosebrook and $804,073 for Mr. Schwartz. Ms. Knight joined the company on June 28, 2023 after the annual equity award in March 2023. Her new hire stock award in the form of a restricted stock award is shown. Effective February 2, 2023, Ms. Anderson resigned from the company, therefore, did not receive an annual equity award in March 2023.</w:t>
      </w:r>
    </w:p>
    <w:p>
      <w:pPr>
        <w:spacing w:after="0" w:line="22" w:lineRule="exact"/>
        <w:rPr>
          <w:sz w:val="20"/>
          <w:szCs w:val="20"/>
          <w:color w:val="auto"/>
        </w:rPr>
      </w:pPr>
    </w:p>
    <w:p>
      <w:pPr>
        <w:ind w:left="340" w:right="80" w:hanging="332"/>
        <w:spacing w:after="0" w:line="269" w:lineRule="auto"/>
        <w:tabs>
          <w:tab w:leader="none" w:pos="3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amounts in column (g) reflect cash awards for 2023, 2022 and 2021, as applicable, earned pursuant to the terms of the Performance Incentive Compensation Plan. See “— Compensation Discussion and Analysis — Analysis of 2023 Compensation Decisions, Annual Bonus” for more information. Messrs. Davis and Mosebrook elected to defer a percentage of their 2023 annual bonus paid (to the extent paid) in March 2024 under the Non-Qualified Deferred Compensation Program. Deferral amounts are shown in the Nonqualified Deferred Compensation Table below.</w:t>
      </w:r>
    </w:p>
    <w:p>
      <w:pPr>
        <w:spacing w:after="0" w:line="20" w:lineRule="exact"/>
        <w:rPr>
          <w:rFonts w:ascii="Arial" w:cs="Arial" w:eastAsia="Arial" w:hAnsi="Arial"/>
          <w:sz w:val="14"/>
          <w:szCs w:val="14"/>
          <w:color w:val="auto"/>
        </w:rPr>
      </w:pPr>
    </w:p>
    <w:p>
      <w:pPr>
        <w:ind w:left="340" w:right="100" w:hanging="332"/>
        <w:spacing w:after="0" w:line="301" w:lineRule="auto"/>
        <w:tabs>
          <w:tab w:leader="none" w:pos="3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consists of relocation expenses (for Ms. Knight) and 401(k) employer matching contributions (for all NEOs) ). Refer to "Breakdown of All Other Compensation — 2023" table below for detail.</w:t>
      </w:r>
    </w:p>
    <w:p>
      <w:pPr>
        <w:spacing w:after="0" w:line="1" w:lineRule="exact"/>
        <w:rPr>
          <w:rFonts w:ascii="Arial" w:cs="Arial" w:eastAsia="Arial" w:hAnsi="Arial"/>
          <w:sz w:val="14"/>
          <w:szCs w:val="14"/>
          <w:color w:val="auto"/>
        </w:rPr>
      </w:pPr>
    </w:p>
    <w:p>
      <w:pPr>
        <w:ind w:left="340" w:hanging="332"/>
        <w:spacing w:after="0" w:line="273" w:lineRule="auto"/>
        <w:tabs>
          <w:tab w:leader="none" w:pos="3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Mosebrook served as our interim Principal Financial Officer from February 2, 2023 to June 28, 2023, until the appointment of Ms. Knight as our Chief Financial Officer. As Mr. Mosebrook was not an NEO for the fiscal years 2022 or 2021, in accordance with SEC disclosure rules, information regarding his compensation in those years is not included.</w:t>
      </w:r>
    </w:p>
    <w:p>
      <w:pPr>
        <w:spacing w:after="0" w:line="17" w:lineRule="exact"/>
        <w:rPr>
          <w:rFonts w:ascii="Arial" w:cs="Arial" w:eastAsia="Arial" w:hAnsi="Arial"/>
          <w:sz w:val="14"/>
          <w:szCs w:val="14"/>
          <w:color w:val="auto"/>
        </w:rPr>
      </w:pPr>
    </w:p>
    <w:p>
      <w:pPr>
        <w:ind w:left="340" w:right="60"/>
        <w:spacing w:after="0" w:line="283" w:lineRule="auto"/>
        <w:rPr>
          <w:rFonts w:ascii="Arial" w:cs="Arial" w:eastAsia="Arial" w:hAnsi="Arial"/>
          <w:sz w:val="14"/>
          <w:szCs w:val="14"/>
          <w:color w:val="auto"/>
        </w:rPr>
      </w:pPr>
      <w:r>
        <w:rPr>
          <w:rFonts w:ascii="Arial" w:cs="Arial" w:eastAsia="Arial" w:hAnsi="Arial"/>
          <w:sz w:val="14"/>
          <w:szCs w:val="14"/>
          <w:color w:val="auto"/>
        </w:rPr>
        <w:t>Mr. Mosebrook's compensation was established in respect of his role throughout the year as our Senior Vice President, Finance and Principal Accounting Officer, therefore he was eligible for a bonus payment consistent with other non-NEO employees at the senior vice president level and the general employee population. His bonus award was $111,888.</w:t>
      </w:r>
    </w:p>
    <w:p>
      <w:pPr>
        <w:spacing w:after="0" w:line="10" w:lineRule="exact"/>
        <w:rPr>
          <w:rFonts w:ascii="Arial" w:cs="Arial" w:eastAsia="Arial" w:hAnsi="Arial"/>
          <w:sz w:val="14"/>
          <w:szCs w:val="14"/>
          <w:color w:val="auto"/>
        </w:rPr>
      </w:pPr>
    </w:p>
    <w:p>
      <w:pPr>
        <w:ind w:left="340" w:right="180" w:hanging="332"/>
        <w:spacing w:after="0" w:line="285" w:lineRule="auto"/>
        <w:tabs>
          <w:tab w:leader="none" w:pos="338"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consideration of Ms. Knight’s repayment of a cash sign-on received from her prior employer, the Compensation Committee awarded Ms. Knight a one-time payment of $350,000 in June 2023 when she joined the Company.</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 Anderson resigned from the Company effective February 2, 2023. Ms. Anderson was not eligible for a cash bonus payment to be paid in March 2023.</w:t>
      </w: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color w:val="009845"/>
        </w:rPr>
        <w:t>Breakdown Of All Other Compensation —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shd w:val="clear" w:color="auto" w:fill="EFEDED"/>
          </w:tcPr>
          <w:p>
            <w:pPr>
              <w:spacing w:after="0"/>
              <w:rPr>
                <w:sz w:val="14"/>
                <w:szCs w:val="14"/>
                <w:color w:val="auto"/>
              </w:rPr>
            </w:pPr>
          </w:p>
        </w:tc>
        <w:tc>
          <w:tcPr>
            <w:tcW w:w="1380" w:type="dxa"/>
            <w:vAlign w:val="bottom"/>
            <w:shd w:val="clear" w:color="auto" w:fill="EFEDED"/>
          </w:tcPr>
          <w:p>
            <w:pPr>
              <w:spacing w:after="0"/>
              <w:rPr>
                <w:sz w:val="14"/>
                <w:szCs w:val="14"/>
                <w:color w:val="auto"/>
              </w:rPr>
            </w:pP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rPr>
              <w:t>401(k)</w:t>
            </w:r>
          </w:p>
        </w:tc>
        <w:tc>
          <w:tcPr>
            <w:tcW w:w="180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EFEDED"/>
          </w:tcPr>
          <w:p>
            <w:pPr>
              <w:spacing w:after="0"/>
              <w:rPr>
                <w:sz w:val="12"/>
                <w:szCs w:val="12"/>
                <w:color w:val="auto"/>
              </w:rPr>
            </w:pPr>
          </w:p>
        </w:tc>
        <w:tc>
          <w:tcPr>
            <w:tcW w:w="138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Relocation</w:t>
            </w: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7"/>
              </w:rPr>
              <w:t>Employer</w:t>
            </w:r>
          </w:p>
        </w:tc>
        <w:tc>
          <w:tcPr>
            <w:tcW w:w="180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EFEDED"/>
          </w:tcPr>
          <w:p>
            <w:pPr>
              <w:spacing w:after="0"/>
              <w:rPr>
                <w:sz w:val="12"/>
                <w:szCs w:val="12"/>
                <w:color w:val="auto"/>
              </w:rPr>
            </w:pPr>
          </w:p>
        </w:tc>
        <w:tc>
          <w:tcPr>
            <w:tcW w:w="1380" w:type="dxa"/>
            <w:vAlign w:val="bottom"/>
            <w:vMerge w:val="continue"/>
            <w:shd w:val="clear" w:color="auto" w:fill="EFEDED"/>
          </w:tcPr>
          <w:p>
            <w:pPr>
              <w:spacing w:after="0"/>
              <w:rPr>
                <w:sz w:val="12"/>
                <w:szCs w:val="12"/>
                <w:color w:val="auto"/>
              </w:rPr>
            </w:pP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4"/>
              </w:rPr>
              <w:t>Matching</w:t>
            </w:r>
          </w:p>
        </w:tc>
        <w:tc>
          <w:tcPr>
            <w:tcW w:w="180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EFEDED"/>
          </w:tcPr>
          <w:p>
            <w:pPr>
              <w:spacing w:after="0"/>
              <w:rPr>
                <w:sz w:val="12"/>
                <w:szCs w:val="12"/>
                <w:color w:val="auto"/>
              </w:rPr>
            </w:pP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Expenses</w:t>
            </w: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4"/>
              </w:rPr>
              <w:t>Contribution</w:t>
            </w:r>
          </w:p>
        </w:tc>
        <w:tc>
          <w:tcPr>
            <w:tcW w:w="180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6"/>
              </w:rPr>
              <w:t>Separation Agreement</w:t>
            </w:r>
          </w:p>
        </w:tc>
        <w:tc>
          <w:tcPr>
            <w:tcW w:w="1160" w:type="dxa"/>
            <w:vAlign w:val="bottom"/>
            <w:shd w:val="clear" w:color="auto" w:fill="EFEDED"/>
          </w:tcPr>
          <w:p>
            <w:pPr>
              <w:ind w:left="320"/>
              <w:spacing w:after="0"/>
              <w:rPr>
                <w:sz w:val="20"/>
                <w:szCs w:val="20"/>
                <w:color w:val="auto"/>
              </w:rPr>
            </w:pPr>
            <w:r>
              <w:rPr>
                <w:rFonts w:ascii="Arial" w:cs="Arial" w:eastAsia="Arial" w:hAnsi="Arial"/>
                <w:sz w:val="13"/>
                <w:szCs w:val="13"/>
                <w:b w:val="1"/>
                <w:bCs w:val="1"/>
                <w:color w:val="58595B"/>
              </w:rPr>
              <w:t>Total</w:t>
            </w:r>
          </w:p>
        </w:tc>
        <w:tc>
          <w:tcPr>
            <w:tcW w:w="0" w:type="dxa"/>
            <w:vAlign w:val="bottom"/>
          </w:tcPr>
          <w:p>
            <w:pPr>
              <w:spacing w:after="0"/>
              <w:rPr>
                <w:sz w:val="1"/>
                <w:szCs w:val="1"/>
                <w:color w:val="auto"/>
              </w:rPr>
            </w:pPr>
          </w:p>
        </w:tc>
      </w:tr>
      <w:tr>
        <w:trPr>
          <w:trHeight w:val="185"/>
        </w:trPr>
        <w:tc>
          <w:tcPr>
            <w:tcW w:w="56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80" w:type="dxa"/>
            <w:vAlign w:val="bottom"/>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87"/>
              </w:rPr>
              <w:t>($)</w:t>
            </w:r>
          </w:p>
        </w:tc>
        <w:tc>
          <w:tcPr>
            <w:tcW w:w="180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5"/>
              </w:rPr>
              <w:t>Payment</w:t>
            </w:r>
          </w:p>
        </w:tc>
        <w:tc>
          <w:tcPr>
            <w:tcW w:w="1160" w:type="dxa"/>
            <w:vAlign w:val="bottom"/>
            <w:shd w:val="clear" w:color="auto" w:fill="EFEDED"/>
          </w:tcPr>
          <w:p>
            <w:pPr>
              <w:jc w:val="center"/>
              <w:ind w:right="177"/>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62"/>
        </w:trPr>
        <w:tc>
          <w:tcPr>
            <w:tcW w:w="5620" w:type="dxa"/>
            <w:vAlign w:val="bottom"/>
            <w:shd w:val="clear" w:color="auto" w:fill="EFEDED"/>
          </w:tcPr>
          <w:p>
            <w:pPr>
              <w:spacing w:after="0"/>
              <w:rPr>
                <w:sz w:val="5"/>
                <w:szCs w:val="5"/>
                <w:color w:val="auto"/>
              </w:rPr>
            </w:pPr>
          </w:p>
        </w:tc>
        <w:tc>
          <w:tcPr>
            <w:tcW w:w="1380" w:type="dxa"/>
            <w:vAlign w:val="bottom"/>
            <w:shd w:val="clear" w:color="auto" w:fill="EFEDED"/>
          </w:tcPr>
          <w:p>
            <w:pPr>
              <w:spacing w:after="0"/>
              <w:rPr>
                <w:sz w:val="5"/>
                <w:szCs w:val="5"/>
                <w:color w:val="auto"/>
              </w:rPr>
            </w:pPr>
          </w:p>
        </w:tc>
        <w:tc>
          <w:tcPr>
            <w:tcW w:w="1280" w:type="dxa"/>
            <w:vAlign w:val="bottom"/>
            <w:shd w:val="clear" w:color="auto" w:fill="EFEDED"/>
          </w:tcPr>
          <w:p>
            <w:pPr>
              <w:spacing w:after="0"/>
              <w:rPr>
                <w:sz w:val="5"/>
                <w:szCs w:val="5"/>
                <w:color w:val="auto"/>
              </w:rPr>
            </w:pPr>
          </w:p>
        </w:tc>
        <w:tc>
          <w:tcPr>
            <w:tcW w:w="1800" w:type="dxa"/>
            <w:vAlign w:val="bottom"/>
            <w:shd w:val="clear" w:color="auto" w:fill="EFEDED"/>
          </w:tcPr>
          <w:p>
            <w:pPr>
              <w:spacing w:after="0"/>
              <w:rPr>
                <w:sz w:val="5"/>
                <w:szCs w:val="5"/>
                <w:color w:val="auto"/>
              </w:rPr>
            </w:pPr>
          </w:p>
        </w:tc>
        <w:tc>
          <w:tcPr>
            <w:tcW w:w="116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62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38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5"/>
              </w:rPr>
              <w:t>13,200</w:t>
            </w:r>
          </w:p>
        </w:tc>
        <w:tc>
          <w:tcPr>
            <w:tcW w:w="180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color w:val="58595B"/>
              </w:rPr>
              <w:t>13,200</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20,839</w:t>
            </w:r>
          </w:p>
        </w:tc>
        <w:tc>
          <w:tcPr>
            <w:tcW w:w="12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58595B"/>
                <w:w w:val="92"/>
              </w:rPr>
              <w:t>6,923</w:t>
            </w:r>
          </w:p>
        </w:tc>
        <w:tc>
          <w:tcPr>
            <w:tcW w:w="1800" w:type="dxa"/>
            <w:vAlign w:val="bottom"/>
            <w:tcBorders>
              <w:bottom w:val="single" w:sz="8" w:color="EFEDED"/>
            </w:tcBorders>
            <w:shd w:val="clear" w:color="auto" w:fill="EFEDED"/>
          </w:tcPr>
          <w:p>
            <w:pPr>
              <w:jc w:val="center"/>
              <w:ind w:right="17"/>
              <w:spacing w:after="0"/>
              <w:rPr>
                <w:sz w:val="20"/>
                <w:szCs w:val="20"/>
                <w:color w:val="auto"/>
              </w:rPr>
            </w:pPr>
            <w:r>
              <w:rPr>
                <w:rFonts w:ascii="Arial" w:cs="Arial" w:eastAsia="Arial" w:hAnsi="Arial"/>
                <w:sz w:val="13"/>
                <w:szCs w:val="13"/>
                <w:color w:val="58595B"/>
                <w:w w:val="91"/>
              </w:rPr>
              <w:t>—</w:t>
            </w:r>
          </w:p>
        </w:tc>
        <w:tc>
          <w:tcPr>
            <w:tcW w:w="116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58595B"/>
              </w:rPr>
              <w:t>27,762</w:t>
            </w:r>
          </w:p>
        </w:tc>
        <w:tc>
          <w:tcPr>
            <w:tcW w:w="0" w:type="dxa"/>
            <w:vAlign w:val="bottom"/>
          </w:tcPr>
          <w:p>
            <w:pPr>
              <w:spacing w:after="0"/>
              <w:rPr>
                <w:sz w:val="1"/>
                <w:szCs w:val="1"/>
                <w:color w:val="auto"/>
              </w:rPr>
            </w:pPr>
          </w:p>
        </w:tc>
      </w:tr>
      <w:tr>
        <w:trPr>
          <w:trHeight w:val="181"/>
        </w:trPr>
        <w:tc>
          <w:tcPr>
            <w:tcW w:w="5620" w:type="dxa"/>
            <w:vAlign w:val="bottom"/>
          </w:tcPr>
          <w:p>
            <w:pPr>
              <w:ind w:left="100"/>
              <w:spacing w:after="0"/>
              <w:rPr>
                <w:sz w:val="20"/>
                <w:szCs w:val="20"/>
                <w:color w:val="auto"/>
              </w:rPr>
            </w:pPr>
            <w:r>
              <w:rPr>
                <w:rFonts w:ascii="Arial" w:cs="Arial" w:eastAsia="Arial" w:hAnsi="Arial"/>
                <w:sz w:val="13"/>
                <w:szCs w:val="13"/>
                <w:b w:val="1"/>
                <w:bCs w:val="1"/>
                <w:color w:val="58595B"/>
              </w:rPr>
              <w:t>Jeffrey Mosebrook</w:t>
            </w:r>
          </w:p>
        </w:tc>
        <w:tc>
          <w:tcPr>
            <w:tcW w:w="1380" w:type="dxa"/>
            <w:vAlign w:val="bottom"/>
          </w:tcPr>
          <w:p>
            <w:pPr>
              <w:spacing w:after="0"/>
              <w:rPr>
                <w:sz w:val="15"/>
                <w:szCs w:val="15"/>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5"/>
              </w:rPr>
              <w:t>13,200</w:t>
            </w:r>
          </w:p>
        </w:tc>
        <w:tc>
          <w:tcPr>
            <w:tcW w:w="180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color w:val="58595B"/>
              </w:rPr>
              <w:t>13,200</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38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58595B"/>
                <w:w w:val="95"/>
              </w:rPr>
              <w:t>13,062</w:t>
            </w:r>
          </w:p>
        </w:tc>
        <w:tc>
          <w:tcPr>
            <w:tcW w:w="18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58595B"/>
              </w:rPr>
              <w:t>13,062</w:t>
            </w:r>
          </w:p>
        </w:tc>
        <w:tc>
          <w:tcPr>
            <w:tcW w:w="0" w:type="dxa"/>
            <w:vAlign w:val="bottom"/>
          </w:tcPr>
          <w:p>
            <w:pPr>
              <w:spacing w:after="0"/>
              <w:rPr>
                <w:sz w:val="1"/>
                <w:szCs w:val="1"/>
                <w:color w:val="auto"/>
              </w:rPr>
            </w:pPr>
          </w:p>
        </w:tc>
      </w:tr>
      <w:tr>
        <w:trPr>
          <w:trHeight w:val="181"/>
        </w:trPr>
        <w:tc>
          <w:tcPr>
            <w:tcW w:w="5620" w:type="dxa"/>
            <w:vAlign w:val="bottom"/>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380" w:type="dxa"/>
            <w:vAlign w:val="bottom"/>
          </w:tcPr>
          <w:p>
            <w:pPr>
              <w:spacing w:after="0"/>
              <w:rPr>
                <w:sz w:val="15"/>
                <w:szCs w:val="15"/>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5"/>
              </w:rPr>
              <w:t>13,200</w:t>
            </w:r>
          </w:p>
        </w:tc>
        <w:tc>
          <w:tcPr>
            <w:tcW w:w="180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color w:val="58595B"/>
              </w:rPr>
              <w:t>13,200</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38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58595B"/>
                <w:w w:val="95"/>
              </w:rPr>
              <w:t>13,200</w:t>
            </w:r>
          </w:p>
        </w:tc>
        <w:tc>
          <w:tcPr>
            <w:tcW w:w="18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58595B"/>
              </w:rPr>
              <w:t>13,200</w:t>
            </w:r>
          </w:p>
        </w:tc>
        <w:tc>
          <w:tcPr>
            <w:tcW w:w="0" w:type="dxa"/>
            <w:vAlign w:val="bottom"/>
          </w:tcPr>
          <w:p>
            <w:pPr>
              <w:spacing w:after="0"/>
              <w:rPr>
                <w:sz w:val="1"/>
                <w:szCs w:val="1"/>
                <w:color w:val="auto"/>
              </w:rPr>
            </w:pPr>
          </w:p>
        </w:tc>
      </w:tr>
      <w:tr>
        <w:trPr>
          <w:trHeight w:val="181"/>
        </w:trPr>
        <w:tc>
          <w:tcPr>
            <w:tcW w:w="5620" w:type="dxa"/>
            <w:vAlign w:val="bottom"/>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380" w:type="dxa"/>
            <w:vAlign w:val="bottom"/>
          </w:tcPr>
          <w:p>
            <w:pPr>
              <w:spacing w:after="0"/>
              <w:rPr>
                <w:sz w:val="15"/>
                <w:szCs w:val="15"/>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color w:val="58595B"/>
                <w:w w:val="92"/>
              </w:rPr>
              <w:t>2,588</w:t>
            </w:r>
          </w:p>
        </w:tc>
        <w:tc>
          <w:tcPr>
            <w:tcW w:w="180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color w:val="58595B"/>
                <w:w w:val="98"/>
              </w:rPr>
              <w:t>2,588</w:t>
            </w:r>
          </w:p>
        </w:tc>
        <w:tc>
          <w:tcPr>
            <w:tcW w:w="0" w:type="dxa"/>
            <w:vAlign w:val="bottom"/>
          </w:tcPr>
          <w:p>
            <w:pPr>
              <w:spacing w:after="0"/>
              <w:rPr>
                <w:sz w:val="1"/>
                <w:szCs w:val="1"/>
                <w:color w:val="auto"/>
              </w:rPr>
            </w:pPr>
          </w:p>
        </w:tc>
      </w:tr>
      <w:tr>
        <w:trPr>
          <w:trHeight w:val="22"/>
        </w:trPr>
        <w:tc>
          <w:tcPr>
            <w:tcW w:w="5620" w:type="dxa"/>
            <w:vAlign w:val="bottom"/>
            <w:tcBorders>
              <w:bottom w:val="single" w:sz="8" w:color="58595B"/>
            </w:tcBorders>
          </w:tcPr>
          <w:p>
            <w:pPr>
              <w:spacing w:after="0" w:line="20" w:lineRule="exact"/>
              <w:rPr>
                <w:sz w:val="1"/>
                <w:szCs w:val="1"/>
                <w:color w:val="auto"/>
              </w:rPr>
            </w:pPr>
          </w:p>
        </w:tc>
        <w:tc>
          <w:tcPr>
            <w:tcW w:w="138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1800" w:type="dxa"/>
            <w:vAlign w:val="bottom"/>
            <w:tcBorders>
              <w:bottom w:val="single" w:sz="8" w:color="58595B"/>
            </w:tcBorders>
          </w:tcPr>
          <w:p>
            <w:pPr>
              <w:spacing w:after="0" w:line="20" w:lineRule="exact"/>
              <w:rPr>
                <w:sz w:val="1"/>
                <w:szCs w:val="1"/>
                <w:color w:val="auto"/>
              </w:rPr>
            </w:pPr>
          </w:p>
        </w:tc>
        <w:tc>
          <w:tcPr>
            <w:tcW w:w="1160" w:type="dxa"/>
            <w:vAlign w:val="bottom"/>
            <w:tcBorders>
              <w:bottom w:val="single" w:sz="8" w:color="58595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Knight received a relocation reimbursement of $20,839 which was fully taxable consistent with the Company's relocation policy.</w:t>
      </w:r>
    </w:p>
    <w:p>
      <w:pPr>
        <w:spacing w:after="0" w:line="3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9080"/>
        <w:spacing w:after="0"/>
        <w:rPr>
          <w:sz w:val="20"/>
          <w:szCs w:val="20"/>
          <w:color w:val="auto"/>
        </w:rPr>
      </w:pPr>
      <w:r>
        <w:rPr>
          <w:rFonts w:ascii="Arial" w:cs="Arial" w:eastAsia="Arial" w:hAnsi="Arial"/>
          <w:sz w:val="12"/>
          <w:szCs w:val="12"/>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009845"/>
        </w:rPr>
        <w:t>Grants of Plan-Based Awards</w:t>
      </w:r>
    </w:p>
    <w:p>
      <w:pPr>
        <w:spacing w:after="0" w:line="193"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The following table presents information on equity awards granted under the Company’s 2003 Equity Incentive Plan and annual incentive opportunities. Effective February 2, 2023, Ms. Anderson resigned as Chief Financial Officer. She was not eligible for an annual bonus paid in March 2023 for performance year 2022 and she was not eligible for an annual equity award in March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0" w:type="dxa"/>
            <w:vAlign w:val="bottom"/>
            <w:shd w:val="clear" w:color="auto" w:fill="EFEDED"/>
          </w:tcPr>
          <w:p>
            <w:pPr>
              <w:spacing w:after="0"/>
              <w:rPr>
                <w:sz w:val="21"/>
                <w:szCs w:val="21"/>
                <w:color w:val="auto"/>
              </w:rPr>
            </w:pPr>
          </w:p>
        </w:tc>
        <w:tc>
          <w:tcPr>
            <w:tcW w:w="560" w:type="dxa"/>
            <w:vAlign w:val="bottom"/>
            <w:shd w:val="clear" w:color="auto" w:fill="EFEDED"/>
          </w:tcPr>
          <w:p>
            <w:pPr>
              <w:spacing w:after="0"/>
              <w:rPr>
                <w:sz w:val="21"/>
                <w:szCs w:val="21"/>
                <w:color w:val="auto"/>
              </w:rPr>
            </w:pPr>
          </w:p>
        </w:tc>
        <w:tc>
          <w:tcPr>
            <w:tcW w:w="720" w:type="dxa"/>
            <w:vAlign w:val="bottom"/>
            <w:shd w:val="clear" w:color="auto" w:fill="EFEDED"/>
          </w:tcPr>
          <w:p>
            <w:pPr>
              <w:spacing w:after="0"/>
              <w:rPr>
                <w:sz w:val="21"/>
                <w:szCs w:val="21"/>
                <w:color w:val="auto"/>
              </w:rPr>
            </w:pPr>
          </w:p>
        </w:tc>
        <w:tc>
          <w:tcPr>
            <w:tcW w:w="880" w:type="dxa"/>
            <w:vAlign w:val="bottom"/>
            <w:shd w:val="clear" w:color="auto" w:fill="EFEDED"/>
          </w:tcPr>
          <w:p>
            <w:pPr>
              <w:spacing w:after="0"/>
              <w:rPr>
                <w:sz w:val="21"/>
                <w:szCs w:val="21"/>
                <w:color w:val="auto"/>
              </w:rPr>
            </w:pPr>
          </w:p>
        </w:tc>
        <w:tc>
          <w:tcPr>
            <w:tcW w:w="2440" w:type="dxa"/>
            <w:vAlign w:val="bottom"/>
            <w:tcBorders>
              <w:right w:val="single" w:sz="8" w:color="58595B"/>
            </w:tcBorders>
            <w:gridSpan w:val="3"/>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Estimated Future Payouts Under</w:t>
            </w:r>
          </w:p>
        </w:tc>
        <w:tc>
          <w:tcPr>
            <w:tcW w:w="2460" w:type="dxa"/>
            <w:vAlign w:val="bottom"/>
            <w:gridSpan w:val="4"/>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Estimated Future Payouts</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All Other</w:t>
            </w:r>
          </w:p>
        </w:tc>
        <w:tc>
          <w:tcPr>
            <w:tcW w:w="740" w:type="dxa"/>
            <w:vAlign w:val="bottom"/>
            <w:shd w:val="clear" w:color="auto" w:fill="EFEDED"/>
          </w:tcPr>
          <w:p>
            <w:pPr>
              <w:spacing w:after="0"/>
              <w:rPr>
                <w:sz w:val="21"/>
                <w:szCs w:val="2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Grant</w:t>
            </w:r>
          </w:p>
        </w:tc>
        <w:tc>
          <w:tcPr>
            <w:tcW w:w="0" w:type="dxa"/>
            <w:vAlign w:val="bottom"/>
          </w:tcPr>
          <w:p>
            <w:pPr>
              <w:spacing w:after="0"/>
              <w:rPr>
                <w:sz w:val="1"/>
                <w:szCs w:val="1"/>
                <w:color w:val="auto"/>
              </w:rPr>
            </w:pPr>
          </w:p>
        </w:tc>
      </w:tr>
      <w:tr>
        <w:trPr>
          <w:trHeight w:val="95"/>
        </w:trPr>
        <w:tc>
          <w:tcPr>
            <w:tcW w:w="860" w:type="dxa"/>
            <w:vAlign w:val="bottom"/>
            <w:shd w:val="clear" w:color="auto" w:fill="EFEDED"/>
          </w:tcPr>
          <w:p>
            <w:pPr>
              <w:spacing w:after="0"/>
              <w:rPr>
                <w:sz w:val="8"/>
                <w:szCs w:val="8"/>
                <w:color w:val="auto"/>
              </w:rPr>
            </w:pPr>
          </w:p>
        </w:tc>
        <w:tc>
          <w:tcPr>
            <w:tcW w:w="560" w:type="dxa"/>
            <w:vAlign w:val="bottom"/>
            <w:shd w:val="clear" w:color="auto" w:fill="EFEDED"/>
          </w:tcPr>
          <w:p>
            <w:pPr>
              <w:spacing w:after="0"/>
              <w:rPr>
                <w:sz w:val="8"/>
                <w:szCs w:val="8"/>
                <w:color w:val="auto"/>
              </w:rPr>
            </w:pPr>
          </w:p>
        </w:tc>
        <w:tc>
          <w:tcPr>
            <w:tcW w:w="720" w:type="dxa"/>
            <w:vAlign w:val="bottom"/>
            <w:shd w:val="clear" w:color="auto" w:fill="EFEDED"/>
          </w:tcPr>
          <w:p>
            <w:pPr>
              <w:spacing w:after="0"/>
              <w:rPr>
                <w:sz w:val="8"/>
                <w:szCs w:val="8"/>
                <w:color w:val="auto"/>
              </w:rPr>
            </w:pPr>
          </w:p>
        </w:tc>
        <w:tc>
          <w:tcPr>
            <w:tcW w:w="880" w:type="dxa"/>
            <w:vAlign w:val="bottom"/>
            <w:shd w:val="clear" w:color="auto" w:fill="EFEDED"/>
          </w:tcPr>
          <w:p>
            <w:pPr>
              <w:spacing w:after="0"/>
              <w:rPr>
                <w:sz w:val="8"/>
                <w:szCs w:val="8"/>
                <w:color w:val="auto"/>
              </w:rPr>
            </w:pPr>
          </w:p>
        </w:tc>
        <w:tc>
          <w:tcPr>
            <w:tcW w:w="2440" w:type="dxa"/>
            <w:vAlign w:val="bottom"/>
            <w:tcBorders>
              <w:right w:val="single" w:sz="8" w:color="58595B"/>
            </w:tcBorders>
            <w:gridSpan w:val="3"/>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Non-Equity Incentive Plan</w:t>
            </w:r>
          </w:p>
        </w:tc>
        <w:tc>
          <w:tcPr>
            <w:tcW w:w="760" w:type="dxa"/>
            <w:vAlign w:val="bottom"/>
            <w:shd w:val="clear" w:color="auto" w:fill="EFEDED"/>
          </w:tcPr>
          <w:p>
            <w:pPr>
              <w:spacing w:after="0"/>
              <w:rPr>
                <w:sz w:val="8"/>
                <w:szCs w:val="8"/>
                <w:color w:val="auto"/>
              </w:rPr>
            </w:pPr>
          </w:p>
        </w:tc>
        <w:tc>
          <w:tcPr>
            <w:tcW w:w="92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Under Equity</w:t>
            </w:r>
          </w:p>
        </w:tc>
        <w:tc>
          <w:tcPr>
            <w:tcW w:w="780" w:type="dxa"/>
            <w:vAlign w:val="bottom"/>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900" w:type="dxa"/>
            <w:vAlign w:val="bottom"/>
            <w:vMerge w:val="continue"/>
            <w:shd w:val="clear" w:color="auto" w:fill="EFEDED"/>
          </w:tcPr>
          <w:p>
            <w:pPr>
              <w:spacing w:after="0"/>
              <w:rPr>
                <w:sz w:val="8"/>
                <w:szCs w:val="8"/>
                <w:color w:val="auto"/>
              </w:rPr>
            </w:pPr>
          </w:p>
        </w:tc>
        <w:tc>
          <w:tcPr>
            <w:tcW w:w="740" w:type="dxa"/>
            <w:vAlign w:val="bottom"/>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60" w:type="dxa"/>
            <w:vAlign w:val="bottom"/>
            <w:shd w:val="clear" w:color="auto" w:fill="EFEDED"/>
          </w:tcPr>
          <w:p>
            <w:pPr>
              <w:spacing w:after="0"/>
              <w:rPr>
                <w:sz w:val="4"/>
                <w:szCs w:val="4"/>
                <w:color w:val="auto"/>
              </w:rPr>
            </w:pPr>
          </w:p>
        </w:tc>
        <w:tc>
          <w:tcPr>
            <w:tcW w:w="560" w:type="dxa"/>
            <w:vAlign w:val="bottom"/>
            <w:shd w:val="clear" w:color="auto" w:fill="EFEDED"/>
          </w:tcPr>
          <w:p>
            <w:pPr>
              <w:spacing w:after="0"/>
              <w:rPr>
                <w:sz w:val="4"/>
                <w:szCs w:val="4"/>
                <w:color w:val="auto"/>
              </w:rPr>
            </w:pPr>
          </w:p>
        </w:tc>
        <w:tc>
          <w:tcPr>
            <w:tcW w:w="720" w:type="dxa"/>
            <w:vAlign w:val="bottom"/>
            <w:shd w:val="clear" w:color="auto" w:fill="EFEDED"/>
          </w:tcPr>
          <w:p>
            <w:pPr>
              <w:spacing w:after="0"/>
              <w:rPr>
                <w:sz w:val="4"/>
                <w:szCs w:val="4"/>
                <w:color w:val="auto"/>
              </w:rPr>
            </w:pPr>
          </w:p>
        </w:tc>
        <w:tc>
          <w:tcPr>
            <w:tcW w:w="880" w:type="dxa"/>
            <w:vAlign w:val="bottom"/>
            <w:shd w:val="clear" w:color="auto" w:fill="EFEDED"/>
          </w:tcPr>
          <w:p>
            <w:pPr>
              <w:spacing w:after="0"/>
              <w:rPr>
                <w:sz w:val="4"/>
                <w:szCs w:val="4"/>
                <w:color w:val="auto"/>
              </w:rPr>
            </w:pPr>
          </w:p>
        </w:tc>
        <w:tc>
          <w:tcPr>
            <w:tcW w:w="2440" w:type="dxa"/>
            <w:vAlign w:val="bottom"/>
            <w:tcBorders>
              <w:right w:val="single" w:sz="8" w:color="58595B"/>
            </w:tcBorders>
            <w:gridSpan w:val="3"/>
            <w:vMerge w:val="continue"/>
            <w:shd w:val="clear" w:color="auto" w:fill="EFEDED"/>
          </w:tcPr>
          <w:p>
            <w:pPr>
              <w:spacing w:after="0"/>
              <w:rPr>
                <w:sz w:val="4"/>
                <w:szCs w:val="4"/>
                <w:color w:val="auto"/>
              </w:rPr>
            </w:pPr>
          </w:p>
        </w:tc>
        <w:tc>
          <w:tcPr>
            <w:tcW w:w="760" w:type="dxa"/>
            <w:vAlign w:val="bottom"/>
            <w:shd w:val="clear" w:color="auto" w:fill="EFEDED"/>
          </w:tcPr>
          <w:p>
            <w:pPr>
              <w:spacing w:after="0"/>
              <w:rPr>
                <w:sz w:val="4"/>
                <w:szCs w:val="4"/>
                <w:color w:val="auto"/>
              </w:rPr>
            </w:pPr>
          </w:p>
        </w:tc>
        <w:tc>
          <w:tcPr>
            <w:tcW w:w="920" w:type="dxa"/>
            <w:vAlign w:val="bottom"/>
            <w:gridSpan w:val="2"/>
            <w:vMerge w:val="continue"/>
            <w:shd w:val="clear" w:color="auto" w:fill="EFEDED"/>
          </w:tcPr>
          <w:p>
            <w:pPr>
              <w:spacing w:after="0"/>
              <w:rPr>
                <w:sz w:val="4"/>
                <w:szCs w:val="4"/>
                <w:color w:val="auto"/>
              </w:rPr>
            </w:pPr>
          </w:p>
        </w:tc>
        <w:tc>
          <w:tcPr>
            <w:tcW w:w="780" w:type="dxa"/>
            <w:vAlign w:val="bottom"/>
            <w:shd w:val="clear" w:color="auto" w:fill="EFEDED"/>
          </w:tcPr>
          <w:p>
            <w:pPr>
              <w:spacing w:after="0"/>
              <w:rPr>
                <w:sz w:val="4"/>
                <w:szCs w:val="4"/>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740" w:type="dxa"/>
            <w:vAlign w:val="bottom"/>
            <w:shd w:val="clear" w:color="auto" w:fill="EFEDED"/>
          </w:tcPr>
          <w:p>
            <w:pPr>
              <w:spacing w:after="0"/>
              <w:rPr>
                <w:sz w:val="4"/>
                <w:szCs w:val="4"/>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Date</w:t>
            </w:r>
          </w:p>
        </w:tc>
        <w:tc>
          <w:tcPr>
            <w:tcW w:w="0" w:type="dxa"/>
            <w:vAlign w:val="bottom"/>
          </w:tcPr>
          <w:p>
            <w:pPr>
              <w:spacing w:after="0"/>
              <w:rPr>
                <w:sz w:val="1"/>
                <w:szCs w:val="1"/>
                <w:color w:val="auto"/>
              </w:rPr>
            </w:pPr>
          </w:p>
        </w:tc>
      </w:tr>
      <w:tr>
        <w:trPr>
          <w:trHeight w:val="95"/>
        </w:trPr>
        <w:tc>
          <w:tcPr>
            <w:tcW w:w="860" w:type="dxa"/>
            <w:vAlign w:val="bottom"/>
            <w:shd w:val="clear" w:color="auto" w:fill="EFEDED"/>
          </w:tcPr>
          <w:p>
            <w:pPr>
              <w:spacing w:after="0"/>
              <w:rPr>
                <w:sz w:val="8"/>
                <w:szCs w:val="8"/>
                <w:color w:val="auto"/>
              </w:rPr>
            </w:pPr>
          </w:p>
        </w:tc>
        <w:tc>
          <w:tcPr>
            <w:tcW w:w="560" w:type="dxa"/>
            <w:vAlign w:val="bottom"/>
            <w:shd w:val="clear" w:color="auto" w:fill="EFEDED"/>
          </w:tcPr>
          <w:p>
            <w:pPr>
              <w:spacing w:after="0"/>
              <w:rPr>
                <w:sz w:val="8"/>
                <w:szCs w:val="8"/>
                <w:color w:val="auto"/>
              </w:rPr>
            </w:pPr>
          </w:p>
        </w:tc>
        <w:tc>
          <w:tcPr>
            <w:tcW w:w="720" w:type="dxa"/>
            <w:vAlign w:val="bottom"/>
            <w:shd w:val="clear" w:color="auto" w:fill="EFEDED"/>
          </w:tcPr>
          <w:p>
            <w:pPr>
              <w:spacing w:after="0"/>
              <w:rPr>
                <w:sz w:val="8"/>
                <w:szCs w:val="8"/>
                <w:color w:val="auto"/>
              </w:rPr>
            </w:pPr>
          </w:p>
        </w:tc>
        <w:tc>
          <w:tcPr>
            <w:tcW w:w="880" w:type="dxa"/>
            <w:vAlign w:val="bottom"/>
            <w:shd w:val="clear" w:color="auto" w:fill="EFEDED"/>
          </w:tcPr>
          <w:p>
            <w:pPr>
              <w:spacing w:after="0"/>
              <w:rPr>
                <w:sz w:val="8"/>
                <w:szCs w:val="8"/>
                <w:color w:val="auto"/>
              </w:rPr>
            </w:pPr>
          </w:p>
        </w:tc>
        <w:tc>
          <w:tcPr>
            <w:tcW w:w="820" w:type="dxa"/>
            <w:vAlign w:val="bottom"/>
            <w:shd w:val="clear" w:color="auto" w:fill="EFEDED"/>
          </w:tcPr>
          <w:p>
            <w:pPr>
              <w:spacing w:after="0"/>
              <w:rPr>
                <w:sz w:val="8"/>
                <w:szCs w:val="8"/>
                <w:color w:val="auto"/>
              </w:rPr>
            </w:pP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Awards(1)</w:t>
            </w:r>
          </w:p>
        </w:tc>
        <w:tc>
          <w:tcPr>
            <w:tcW w:w="820" w:type="dxa"/>
            <w:vAlign w:val="bottom"/>
            <w:tcBorders>
              <w:right w:val="single" w:sz="8" w:color="58595B"/>
            </w:tcBorders>
            <w:shd w:val="clear" w:color="auto" w:fill="EFEDED"/>
          </w:tcPr>
          <w:p>
            <w:pPr>
              <w:spacing w:after="0"/>
              <w:rPr>
                <w:sz w:val="8"/>
                <w:szCs w:val="8"/>
                <w:color w:val="auto"/>
              </w:rPr>
            </w:pPr>
          </w:p>
        </w:tc>
        <w:tc>
          <w:tcPr>
            <w:tcW w:w="2460" w:type="dxa"/>
            <w:vAlign w:val="bottom"/>
            <w:gridSpan w:val="4"/>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Incentive Plan Awards(2)</w:t>
            </w:r>
          </w:p>
        </w:tc>
        <w:tc>
          <w:tcPr>
            <w:tcW w:w="840" w:type="dxa"/>
            <w:vAlign w:val="bottom"/>
            <w:vMerge w:val="continue"/>
            <w:shd w:val="clear" w:color="auto" w:fill="EFEDED"/>
          </w:tcPr>
          <w:p>
            <w:pPr>
              <w:spacing w:after="0"/>
              <w:rPr>
                <w:sz w:val="8"/>
                <w:szCs w:val="8"/>
                <w:color w:val="auto"/>
              </w:rPr>
            </w:pPr>
          </w:p>
        </w:tc>
        <w:tc>
          <w:tcPr>
            <w:tcW w:w="900" w:type="dxa"/>
            <w:vAlign w:val="bottom"/>
            <w:vMerge w:val="continue"/>
            <w:shd w:val="clear" w:color="auto" w:fill="EFEDED"/>
          </w:tcPr>
          <w:p>
            <w:pPr>
              <w:spacing w:after="0"/>
              <w:rPr>
                <w:sz w:val="8"/>
                <w:szCs w:val="8"/>
                <w:color w:val="auto"/>
              </w:rPr>
            </w:pPr>
          </w:p>
        </w:tc>
        <w:tc>
          <w:tcPr>
            <w:tcW w:w="740" w:type="dxa"/>
            <w:vAlign w:val="bottom"/>
            <w:shd w:val="clear" w:color="auto" w:fill="EFEDED"/>
          </w:tcPr>
          <w:p>
            <w:pPr>
              <w:spacing w:after="0"/>
              <w:rPr>
                <w:sz w:val="8"/>
                <w:szCs w:val="8"/>
                <w:color w:val="auto"/>
              </w:rPr>
            </w:pPr>
          </w:p>
        </w:tc>
        <w:tc>
          <w:tcPr>
            <w:tcW w:w="840" w:type="dxa"/>
            <w:vAlign w:val="bottom"/>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60" w:type="dxa"/>
            <w:vAlign w:val="bottom"/>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58595B"/>
            </w:tcBorders>
            <w:shd w:val="clear" w:color="auto" w:fill="EFEDED"/>
          </w:tcPr>
          <w:p>
            <w:pPr>
              <w:spacing w:after="0"/>
              <w:rPr>
                <w:sz w:val="6"/>
                <w:szCs w:val="6"/>
                <w:color w:val="auto"/>
              </w:rPr>
            </w:pPr>
          </w:p>
        </w:tc>
        <w:tc>
          <w:tcPr>
            <w:tcW w:w="2460" w:type="dxa"/>
            <w:vAlign w:val="bottom"/>
            <w:gridSpan w:val="4"/>
            <w:vMerge w:val="continue"/>
            <w:shd w:val="clear" w:color="auto" w:fill="EFEDED"/>
          </w:tcPr>
          <w:p>
            <w:pPr>
              <w:spacing w:after="0"/>
              <w:rPr>
                <w:sz w:val="6"/>
                <w:szCs w:val="6"/>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Fair Value</w:t>
            </w:r>
          </w:p>
        </w:tc>
        <w:tc>
          <w:tcPr>
            <w:tcW w:w="0" w:type="dxa"/>
            <w:vAlign w:val="bottom"/>
          </w:tcPr>
          <w:p>
            <w:pPr>
              <w:spacing w:after="0"/>
              <w:rPr>
                <w:sz w:val="1"/>
                <w:szCs w:val="1"/>
                <w:color w:val="auto"/>
              </w:rPr>
            </w:pPr>
          </w:p>
        </w:tc>
      </w:tr>
      <w:tr>
        <w:trPr>
          <w:trHeight w:val="130"/>
        </w:trPr>
        <w:tc>
          <w:tcPr>
            <w:tcW w:w="860" w:type="dxa"/>
            <w:vAlign w:val="bottom"/>
            <w:tcBorders>
              <w:bottom w:val="single" w:sz="8" w:color="EFEDED"/>
            </w:tcBorders>
            <w:shd w:val="clear" w:color="auto" w:fill="EFEDED"/>
          </w:tcPr>
          <w:p>
            <w:pPr>
              <w:spacing w:after="0"/>
              <w:rPr>
                <w:sz w:val="11"/>
                <w:szCs w:val="11"/>
                <w:color w:val="auto"/>
              </w:rPr>
            </w:pPr>
          </w:p>
        </w:tc>
        <w:tc>
          <w:tcPr>
            <w:tcW w:w="560" w:type="dxa"/>
            <w:vAlign w:val="bottom"/>
            <w:tcBorders>
              <w:bottom w:val="single" w:sz="8" w:color="EFEDED"/>
            </w:tcBorders>
            <w:shd w:val="clear" w:color="auto" w:fill="EFEDED"/>
          </w:tcPr>
          <w:p>
            <w:pPr>
              <w:spacing w:after="0"/>
              <w:rPr>
                <w:sz w:val="11"/>
                <w:szCs w:val="11"/>
                <w:color w:val="auto"/>
              </w:rPr>
            </w:pPr>
          </w:p>
        </w:tc>
        <w:tc>
          <w:tcPr>
            <w:tcW w:w="720" w:type="dxa"/>
            <w:vAlign w:val="bottom"/>
            <w:tcBorders>
              <w:bottom w:val="single" w:sz="8" w:color="EFEDED"/>
            </w:tcBorders>
            <w:shd w:val="clear" w:color="auto" w:fill="EFEDED"/>
          </w:tcPr>
          <w:p>
            <w:pPr>
              <w:spacing w:after="0"/>
              <w:rPr>
                <w:sz w:val="11"/>
                <w:szCs w:val="11"/>
                <w:color w:val="auto"/>
              </w:rPr>
            </w:pPr>
          </w:p>
        </w:tc>
        <w:tc>
          <w:tcPr>
            <w:tcW w:w="880" w:type="dxa"/>
            <w:vAlign w:val="bottom"/>
            <w:tcBorders>
              <w:bottom w:val="single" w:sz="8" w:color="EFEDED"/>
            </w:tcBorders>
            <w:shd w:val="clear" w:color="auto" w:fill="EFEDED"/>
          </w:tcPr>
          <w:p>
            <w:pPr>
              <w:spacing w:after="0"/>
              <w:rPr>
                <w:sz w:val="11"/>
                <w:szCs w:val="11"/>
                <w:color w:val="auto"/>
              </w:rPr>
            </w:pPr>
          </w:p>
        </w:tc>
        <w:tc>
          <w:tcPr>
            <w:tcW w:w="820" w:type="dxa"/>
            <w:vAlign w:val="bottom"/>
            <w:tcBorders>
              <w:bottom w:val="single" w:sz="8" w:color="EFEDED"/>
            </w:tcBorders>
            <w:shd w:val="clear" w:color="auto" w:fill="EFEDED"/>
          </w:tcPr>
          <w:p>
            <w:pPr>
              <w:spacing w:after="0"/>
              <w:rPr>
                <w:sz w:val="11"/>
                <w:szCs w:val="11"/>
                <w:color w:val="auto"/>
              </w:rPr>
            </w:pPr>
          </w:p>
        </w:tc>
        <w:tc>
          <w:tcPr>
            <w:tcW w:w="800" w:type="dxa"/>
            <w:vAlign w:val="bottom"/>
            <w:tcBorders>
              <w:bottom w:val="single" w:sz="8" w:color="EFEDED"/>
            </w:tcBorders>
            <w:shd w:val="clear" w:color="auto" w:fill="EFEDED"/>
          </w:tcPr>
          <w:p>
            <w:pPr>
              <w:spacing w:after="0"/>
              <w:rPr>
                <w:sz w:val="11"/>
                <w:szCs w:val="11"/>
                <w:color w:val="auto"/>
              </w:rPr>
            </w:pPr>
          </w:p>
        </w:tc>
        <w:tc>
          <w:tcPr>
            <w:tcW w:w="820" w:type="dxa"/>
            <w:vAlign w:val="bottom"/>
            <w:tcBorders>
              <w:bottom w:val="single" w:sz="8" w:color="EFEDED"/>
              <w:right w:val="single" w:sz="8" w:color="58595B"/>
            </w:tcBorders>
            <w:shd w:val="clear" w:color="auto" w:fill="EFEDED"/>
          </w:tcPr>
          <w:p>
            <w:pPr>
              <w:spacing w:after="0"/>
              <w:rPr>
                <w:sz w:val="11"/>
                <w:szCs w:val="11"/>
                <w:color w:val="auto"/>
              </w:rPr>
            </w:pPr>
          </w:p>
        </w:tc>
        <w:tc>
          <w:tcPr>
            <w:tcW w:w="760" w:type="dxa"/>
            <w:vAlign w:val="bottom"/>
            <w:tcBorders>
              <w:bottom w:val="single" w:sz="8" w:color="EFEDED"/>
            </w:tcBorders>
            <w:shd w:val="clear" w:color="auto" w:fill="EFEDED"/>
          </w:tcPr>
          <w:p>
            <w:pPr>
              <w:spacing w:after="0"/>
              <w:rPr>
                <w:sz w:val="11"/>
                <w:szCs w:val="11"/>
                <w:color w:val="auto"/>
              </w:rPr>
            </w:pPr>
          </w:p>
        </w:tc>
        <w:tc>
          <w:tcPr>
            <w:tcW w:w="580" w:type="dxa"/>
            <w:vAlign w:val="bottom"/>
            <w:tcBorders>
              <w:bottom w:val="single" w:sz="8" w:color="EFEDED"/>
            </w:tcBorders>
            <w:shd w:val="clear" w:color="auto" w:fill="EFEDED"/>
          </w:tcPr>
          <w:p>
            <w:pPr>
              <w:spacing w:after="0"/>
              <w:rPr>
                <w:sz w:val="11"/>
                <w:szCs w:val="11"/>
                <w:color w:val="auto"/>
              </w:rPr>
            </w:pPr>
          </w:p>
        </w:tc>
        <w:tc>
          <w:tcPr>
            <w:tcW w:w="340" w:type="dxa"/>
            <w:vAlign w:val="bottom"/>
            <w:tcBorders>
              <w:bottom w:val="single" w:sz="8" w:color="EFEDED"/>
            </w:tcBorders>
            <w:shd w:val="clear" w:color="auto" w:fill="EFEDED"/>
          </w:tcPr>
          <w:p>
            <w:pPr>
              <w:spacing w:after="0"/>
              <w:rPr>
                <w:sz w:val="11"/>
                <w:szCs w:val="11"/>
                <w:color w:val="auto"/>
              </w:rPr>
            </w:pPr>
          </w:p>
        </w:tc>
        <w:tc>
          <w:tcPr>
            <w:tcW w:w="780" w:type="dxa"/>
            <w:vAlign w:val="bottom"/>
            <w:tcBorders>
              <w:bottom w:val="single" w:sz="8" w:color="EFEDED"/>
            </w:tcBorders>
            <w:shd w:val="clear" w:color="auto" w:fill="EFEDED"/>
          </w:tcPr>
          <w:p>
            <w:pPr>
              <w:spacing w:after="0"/>
              <w:rPr>
                <w:sz w:val="11"/>
                <w:szCs w:val="11"/>
                <w:color w:val="auto"/>
              </w:rPr>
            </w:pPr>
          </w:p>
        </w:tc>
        <w:tc>
          <w:tcPr>
            <w:tcW w:w="840" w:type="dxa"/>
            <w:vAlign w:val="bottom"/>
            <w:tcBorders>
              <w:bottom w:val="single" w:sz="8" w:color="EFEDED"/>
            </w:tcBorders>
            <w:vMerge w:val="continue"/>
            <w:shd w:val="clear" w:color="auto" w:fill="EFEDED"/>
          </w:tcPr>
          <w:p>
            <w:pPr>
              <w:spacing w:after="0"/>
              <w:rPr>
                <w:sz w:val="11"/>
                <w:szCs w:val="11"/>
                <w:color w:val="auto"/>
              </w:rPr>
            </w:pPr>
          </w:p>
        </w:tc>
        <w:tc>
          <w:tcPr>
            <w:tcW w:w="900" w:type="dxa"/>
            <w:vAlign w:val="bottom"/>
            <w:tcBorders>
              <w:bottom w:val="single" w:sz="8" w:color="EFEDED"/>
            </w:tcBorders>
            <w:vMerge w:val="continue"/>
            <w:shd w:val="clear" w:color="auto" w:fill="EFEDED"/>
          </w:tcPr>
          <w:p>
            <w:pPr>
              <w:spacing w:after="0"/>
              <w:rPr>
                <w:sz w:val="11"/>
                <w:szCs w:val="11"/>
                <w:color w:val="auto"/>
              </w:rPr>
            </w:pPr>
          </w:p>
        </w:tc>
        <w:tc>
          <w:tcPr>
            <w:tcW w:w="740" w:type="dxa"/>
            <w:vAlign w:val="bottom"/>
            <w:tcBorders>
              <w:bottom w:val="single" w:sz="8" w:color="EFEDED"/>
            </w:tcBorders>
            <w:vMerge w:val="continue"/>
            <w:shd w:val="clear" w:color="auto" w:fill="EFEDED"/>
          </w:tcPr>
          <w:p>
            <w:pPr>
              <w:spacing w:after="0"/>
              <w:rPr>
                <w:sz w:val="11"/>
                <w:szCs w:val="11"/>
                <w:color w:val="auto"/>
              </w:rPr>
            </w:pPr>
          </w:p>
        </w:tc>
        <w:tc>
          <w:tcPr>
            <w:tcW w:w="840" w:type="dxa"/>
            <w:vAlign w:val="bottom"/>
            <w:tcBorders>
              <w:bottom w:val="single" w:sz="8" w:color="EFEDED"/>
            </w:tcBorders>
            <w:vMerge w:val="continue"/>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860" w:type="dxa"/>
            <w:vAlign w:val="bottom"/>
            <w:tcBorders>
              <w:top w:val="single" w:sz="8" w:color="EFEDED"/>
            </w:tcBorders>
            <w:shd w:val="clear" w:color="auto" w:fill="EFEDED"/>
          </w:tcPr>
          <w:p>
            <w:pPr>
              <w:spacing w:after="0"/>
              <w:rPr>
                <w:sz w:val="6"/>
                <w:szCs w:val="6"/>
                <w:color w:val="auto"/>
              </w:rPr>
            </w:pPr>
          </w:p>
        </w:tc>
        <w:tc>
          <w:tcPr>
            <w:tcW w:w="560" w:type="dxa"/>
            <w:vAlign w:val="bottom"/>
            <w:tcBorders>
              <w:top w:val="single" w:sz="8" w:color="EFEDED"/>
            </w:tcBorders>
            <w:shd w:val="clear" w:color="auto" w:fill="EFEDED"/>
          </w:tcPr>
          <w:p>
            <w:pPr>
              <w:spacing w:after="0"/>
              <w:rPr>
                <w:sz w:val="6"/>
                <w:szCs w:val="6"/>
                <w:color w:val="auto"/>
              </w:rPr>
            </w:pPr>
          </w:p>
        </w:tc>
        <w:tc>
          <w:tcPr>
            <w:tcW w:w="720" w:type="dxa"/>
            <w:vAlign w:val="bottom"/>
            <w:tcBorders>
              <w:top w:val="single" w:sz="8" w:color="EFEDED"/>
            </w:tcBorders>
            <w:shd w:val="clear" w:color="auto" w:fill="EFEDED"/>
          </w:tcPr>
          <w:p>
            <w:pPr>
              <w:spacing w:after="0"/>
              <w:rPr>
                <w:sz w:val="6"/>
                <w:szCs w:val="6"/>
                <w:color w:val="auto"/>
              </w:rPr>
            </w:pPr>
          </w:p>
        </w:tc>
        <w:tc>
          <w:tcPr>
            <w:tcW w:w="880" w:type="dxa"/>
            <w:vAlign w:val="bottom"/>
            <w:tcBorders>
              <w:top w:val="single" w:sz="8" w:color="EFEDED"/>
            </w:tcBorders>
            <w:shd w:val="clear" w:color="auto" w:fill="EFEDED"/>
          </w:tcPr>
          <w:p>
            <w:pPr>
              <w:spacing w:after="0"/>
              <w:rPr>
                <w:sz w:val="6"/>
                <w:szCs w:val="6"/>
                <w:color w:val="auto"/>
              </w:rPr>
            </w:pPr>
          </w:p>
        </w:tc>
        <w:tc>
          <w:tcPr>
            <w:tcW w:w="820" w:type="dxa"/>
            <w:vAlign w:val="bottom"/>
            <w:tcBorders>
              <w:top w:val="single" w:sz="8" w:color="58595B"/>
            </w:tcBorders>
            <w:shd w:val="clear" w:color="auto" w:fill="EFEDED"/>
          </w:tcPr>
          <w:p>
            <w:pPr>
              <w:spacing w:after="0"/>
              <w:rPr>
                <w:sz w:val="6"/>
                <w:szCs w:val="6"/>
                <w:color w:val="auto"/>
              </w:rPr>
            </w:pPr>
          </w:p>
        </w:tc>
        <w:tc>
          <w:tcPr>
            <w:tcW w:w="800" w:type="dxa"/>
            <w:vAlign w:val="bottom"/>
            <w:tcBorders>
              <w:top w:val="single" w:sz="8" w:color="58595B"/>
            </w:tcBorders>
            <w:shd w:val="clear" w:color="auto" w:fill="EFEDED"/>
          </w:tcPr>
          <w:p>
            <w:pPr>
              <w:spacing w:after="0"/>
              <w:rPr>
                <w:sz w:val="6"/>
                <w:szCs w:val="6"/>
                <w:color w:val="auto"/>
              </w:rPr>
            </w:pPr>
          </w:p>
        </w:tc>
        <w:tc>
          <w:tcPr>
            <w:tcW w:w="820" w:type="dxa"/>
            <w:vAlign w:val="bottom"/>
            <w:tcBorders>
              <w:top w:val="single" w:sz="8" w:color="58595B"/>
              <w:right w:val="single" w:sz="8" w:color="EFEDED"/>
            </w:tcBorders>
            <w:shd w:val="clear" w:color="auto" w:fill="EFEDED"/>
          </w:tcPr>
          <w:p>
            <w:pPr>
              <w:spacing w:after="0"/>
              <w:rPr>
                <w:sz w:val="6"/>
                <w:szCs w:val="6"/>
                <w:color w:val="auto"/>
              </w:rPr>
            </w:pPr>
          </w:p>
        </w:tc>
        <w:tc>
          <w:tcPr>
            <w:tcW w:w="760" w:type="dxa"/>
            <w:vAlign w:val="bottom"/>
            <w:tcBorders>
              <w:top w:val="single" w:sz="8" w:color="58595B"/>
            </w:tcBorders>
            <w:shd w:val="clear" w:color="auto" w:fill="EFEDED"/>
          </w:tcPr>
          <w:p>
            <w:pPr>
              <w:spacing w:after="0"/>
              <w:rPr>
                <w:sz w:val="6"/>
                <w:szCs w:val="6"/>
                <w:color w:val="auto"/>
              </w:rPr>
            </w:pPr>
          </w:p>
        </w:tc>
        <w:tc>
          <w:tcPr>
            <w:tcW w:w="580" w:type="dxa"/>
            <w:vAlign w:val="bottom"/>
            <w:tcBorders>
              <w:top w:val="single" w:sz="8" w:color="58595B"/>
            </w:tcBorders>
            <w:shd w:val="clear" w:color="auto" w:fill="EFEDED"/>
          </w:tcPr>
          <w:p>
            <w:pPr>
              <w:spacing w:after="0"/>
              <w:rPr>
                <w:sz w:val="6"/>
                <w:szCs w:val="6"/>
                <w:color w:val="auto"/>
              </w:rPr>
            </w:pPr>
          </w:p>
        </w:tc>
        <w:tc>
          <w:tcPr>
            <w:tcW w:w="340" w:type="dxa"/>
            <w:vAlign w:val="bottom"/>
            <w:tcBorders>
              <w:top w:val="single" w:sz="8" w:color="58595B"/>
            </w:tcBorders>
            <w:shd w:val="clear" w:color="auto" w:fill="EFEDED"/>
          </w:tcPr>
          <w:p>
            <w:pPr>
              <w:spacing w:after="0"/>
              <w:rPr>
                <w:sz w:val="6"/>
                <w:szCs w:val="6"/>
                <w:color w:val="auto"/>
              </w:rPr>
            </w:pPr>
          </w:p>
        </w:tc>
        <w:tc>
          <w:tcPr>
            <w:tcW w:w="780" w:type="dxa"/>
            <w:vAlign w:val="bottom"/>
            <w:tcBorders>
              <w:top w:val="single" w:sz="8" w:color="58595B"/>
            </w:tcBorders>
            <w:shd w:val="clear" w:color="auto" w:fill="EFEDED"/>
          </w:tcPr>
          <w:p>
            <w:pPr>
              <w:spacing w:after="0"/>
              <w:rPr>
                <w:sz w:val="6"/>
                <w:szCs w:val="6"/>
                <w:color w:val="auto"/>
              </w:rPr>
            </w:pPr>
          </w:p>
        </w:tc>
        <w:tc>
          <w:tcPr>
            <w:tcW w:w="840" w:type="dxa"/>
            <w:vAlign w:val="bottom"/>
            <w:tcBorders>
              <w:top w:val="single" w:sz="8" w:color="EFEDED"/>
            </w:tcBorders>
            <w:shd w:val="clear" w:color="auto" w:fill="EFEDED"/>
          </w:tcPr>
          <w:p>
            <w:pPr>
              <w:jc w:val="center"/>
              <w:spacing w:after="0" w:line="70" w:lineRule="exact"/>
              <w:rPr>
                <w:sz w:val="20"/>
                <w:szCs w:val="20"/>
                <w:color w:val="auto"/>
              </w:rPr>
            </w:pPr>
            <w:r>
              <w:rPr>
                <w:rFonts w:ascii="Arial" w:cs="Arial" w:eastAsia="Arial" w:hAnsi="Arial"/>
                <w:sz w:val="8"/>
                <w:szCs w:val="8"/>
                <w:b w:val="1"/>
                <w:bCs w:val="1"/>
                <w:color w:val="58595B"/>
              </w:rPr>
              <w:t>Number of</w:t>
            </w:r>
          </w:p>
        </w:tc>
        <w:tc>
          <w:tcPr>
            <w:tcW w:w="900" w:type="dxa"/>
            <w:vAlign w:val="bottom"/>
            <w:tcBorders>
              <w:top w:val="single" w:sz="8" w:color="EFEDED"/>
            </w:tcBorders>
            <w:shd w:val="clear" w:color="auto" w:fill="EFEDED"/>
          </w:tcPr>
          <w:p>
            <w:pPr>
              <w:jc w:val="center"/>
              <w:spacing w:after="0" w:line="70" w:lineRule="exact"/>
              <w:rPr>
                <w:sz w:val="20"/>
                <w:szCs w:val="20"/>
                <w:color w:val="auto"/>
              </w:rPr>
            </w:pPr>
            <w:r>
              <w:rPr>
                <w:rFonts w:ascii="Arial" w:cs="Arial" w:eastAsia="Arial" w:hAnsi="Arial"/>
                <w:sz w:val="8"/>
                <w:szCs w:val="8"/>
                <w:b w:val="1"/>
                <w:bCs w:val="1"/>
                <w:color w:val="58595B"/>
              </w:rPr>
              <w:t>Number of</w:t>
            </w:r>
          </w:p>
        </w:tc>
        <w:tc>
          <w:tcPr>
            <w:tcW w:w="740" w:type="dxa"/>
            <w:vAlign w:val="bottom"/>
            <w:tcBorders>
              <w:top w:val="single" w:sz="8" w:color="EFEDED"/>
            </w:tcBorders>
            <w:shd w:val="clear" w:color="auto" w:fill="EFEDED"/>
          </w:tcPr>
          <w:p>
            <w:pPr>
              <w:jc w:val="center"/>
              <w:spacing w:after="0" w:line="70" w:lineRule="exact"/>
              <w:rPr>
                <w:sz w:val="20"/>
                <w:szCs w:val="20"/>
                <w:color w:val="auto"/>
              </w:rPr>
            </w:pPr>
            <w:r>
              <w:rPr>
                <w:rFonts w:ascii="Arial" w:cs="Arial" w:eastAsia="Arial" w:hAnsi="Arial"/>
                <w:sz w:val="8"/>
                <w:szCs w:val="8"/>
                <w:b w:val="1"/>
                <w:bCs w:val="1"/>
                <w:color w:val="58595B"/>
              </w:rPr>
              <w:t>or Base</w:t>
            </w:r>
          </w:p>
        </w:tc>
        <w:tc>
          <w:tcPr>
            <w:tcW w:w="840" w:type="dxa"/>
            <w:vAlign w:val="bottom"/>
            <w:tcBorders>
              <w:top w:val="single" w:sz="8" w:color="EFEDED"/>
            </w:tcBorders>
            <w:shd w:val="clear" w:color="auto" w:fill="EFEDED"/>
          </w:tcPr>
          <w:p>
            <w:pPr>
              <w:jc w:val="center"/>
              <w:spacing w:after="0" w:line="70" w:lineRule="exact"/>
              <w:rPr>
                <w:sz w:val="20"/>
                <w:szCs w:val="20"/>
                <w:color w:val="auto"/>
              </w:rPr>
            </w:pPr>
            <w:r>
              <w:rPr>
                <w:rFonts w:ascii="Arial" w:cs="Arial" w:eastAsia="Arial" w:hAnsi="Arial"/>
                <w:sz w:val="8"/>
                <w:szCs w:val="8"/>
                <w:b w:val="1"/>
                <w:bCs w:val="1"/>
                <w:color w:val="58595B"/>
              </w:rPr>
              <w:t>of Stock</w:t>
            </w:r>
          </w:p>
        </w:tc>
        <w:tc>
          <w:tcPr>
            <w:tcW w:w="0" w:type="dxa"/>
            <w:vAlign w:val="bottom"/>
          </w:tcPr>
          <w:p>
            <w:pPr>
              <w:spacing w:after="0"/>
              <w:rPr>
                <w:sz w:val="1"/>
                <w:szCs w:val="1"/>
                <w:color w:val="auto"/>
              </w:rPr>
            </w:pPr>
          </w:p>
        </w:tc>
      </w:tr>
      <w:tr>
        <w:trPr>
          <w:trHeight w:val="162"/>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spacing w:after="0"/>
              <w:rPr>
                <w:sz w:val="14"/>
                <w:szCs w:val="14"/>
                <w:color w:val="auto"/>
              </w:rPr>
            </w:pPr>
          </w:p>
        </w:tc>
        <w:tc>
          <w:tcPr>
            <w:tcW w:w="720" w:type="dxa"/>
            <w:vAlign w:val="bottom"/>
            <w:shd w:val="clear" w:color="auto" w:fill="EFEDED"/>
          </w:tcPr>
          <w:p>
            <w:pPr>
              <w:spacing w:after="0"/>
              <w:rPr>
                <w:sz w:val="14"/>
                <w:szCs w:val="14"/>
                <w:color w:val="auto"/>
              </w:rPr>
            </w:pP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 of</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 of</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Price of</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and</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spacing w:after="0"/>
              <w:rPr>
                <w:sz w:val="12"/>
                <w:szCs w:val="12"/>
                <w:color w:val="auto"/>
              </w:rPr>
            </w:pP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Board or</w:t>
            </w:r>
          </w:p>
        </w:tc>
        <w:tc>
          <w:tcPr>
            <w:tcW w:w="820" w:type="dxa"/>
            <w:vAlign w:val="bottom"/>
            <w:shd w:val="clear" w:color="auto" w:fill="EFEDED"/>
          </w:tcPr>
          <w:p>
            <w:pPr>
              <w:spacing w:after="0"/>
              <w:rPr>
                <w:sz w:val="12"/>
                <w:szCs w:val="12"/>
                <w:color w:val="auto"/>
              </w:rPr>
            </w:pPr>
          </w:p>
        </w:tc>
        <w:tc>
          <w:tcPr>
            <w:tcW w:w="800" w:type="dxa"/>
            <w:vAlign w:val="bottom"/>
            <w:shd w:val="clear" w:color="auto" w:fill="EFEDED"/>
          </w:tcPr>
          <w:p>
            <w:pPr>
              <w:spacing w:after="0"/>
              <w:rPr>
                <w:sz w:val="12"/>
                <w:szCs w:val="12"/>
                <w:color w:val="auto"/>
              </w:rPr>
            </w:pPr>
          </w:p>
        </w:tc>
        <w:tc>
          <w:tcPr>
            <w:tcW w:w="820" w:type="dxa"/>
            <w:vAlign w:val="bottom"/>
            <w:tcBorders>
              <w:right w:val="single" w:sz="8" w:color="EFEDED"/>
            </w:tcBorders>
            <w:shd w:val="clear" w:color="auto" w:fill="EFEDED"/>
          </w:tcPr>
          <w:p>
            <w:pPr>
              <w:spacing w:after="0"/>
              <w:rPr>
                <w:sz w:val="12"/>
                <w:szCs w:val="12"/>
                <w:color w:val="auto"/>
              </w:rPr>
            </w:pPr>
          </w:p>
        </w:tc>
        <w:tc>
          <w:tcPr>
            <w:tcW w:w="760" w:type="dxa"/>
            <w:vAlign w:val="bottom"/>
            <w:shd w:val="clear" w:color="auto" w:fill="EFEDED"/>
          </w:tcPr>
          <w:p>
            <w:pPr>
              <w:spacing w:after="0"/>
              <w:rPr>
                <w:sz w:val="12"/>
                <w:szCs w:val="12"/>
                <w:color w:val="auto"/>
              </w:rPr>
            </w:pPr>
          </w:p>
        </w:tc>
        <w:tc>
          <w:tcPr>
            <w:tcW w:w="580" w:type="dxa"/>
            <w:vAlign w:val="bottom"/>
            <w:shd w:val="clear" w:color="auto" w:fill="EFEDED"/>
          </w:tcPr>
          <w:p>
            <w:pPr>
              <w:spacing w:after="0"/>
              <w:rPr>
                <w:sz w:val="12"/>
                <w:szCs w:val="12"/>
                <w:color w:val="auto"/>
              </w:rPr>
            </w:pP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spacing w:after="0"/>
              <w:rPr>
                <w:sz w:val="12"/>
                <w:szCs w:val="12"/>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Stock or</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Option</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spacing w:after="0"/>
              <w:rPr>
                <w:sz w:val="12"/>
                <w:szCs w:val="12"/>
                <w:color w:val="auto"/>
              </w:rPr>
            </w:pPr>
          </w:p>
        </w:tc>
        <w:tc>
          <w:tcPr>
            <w:tcW w:w="560" w:type="dxa"/>
            <w:vAlign w:val="bottom"/>
            <w:shd w:val="clear" w:color="auto" w:fill="EFEDED"/>
          </w:tcPr>
          <w:p>
            <w:pPr>
              <w:spacing w:after="0"/>
              <w:rPr>
                <w:sz w:val="12"/>
                <w:szCs w:val="12"/>
                <w:color w:val="auto"/>
              </w:rPr>
            </w:pP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Grant</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Comp.</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Threshold</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Target</w:t>
            </w:r>
          </w:p>
        </w:tc>
        <w:tc>
          <w:tcPr>
            <w:tcW w:w="8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Maximum</w:t>
            </w:r>
          </w:p>
        </w:tc>
        <w:tc>
          <w:tcPr>
            <w:tcW w:w="7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Threshold</w:t>
            </w:r>
          </w:p>
        </w:tc>
        <w:tc>
          <w:tcPr>
            <w:tcW w:w="920" w:type="dxa"/>
            <w:vAlign w:val="bottom"/>
            <w:gridSpan w:val="2"/>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Target</w:t>
            </w: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Maximum</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Units(3)</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Awards</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Awards(4)</w:t>
            </w:r>
          </w:p>
        </w:tc>
        <w:tc>
          <w:tcPr>
            <w:tcW w:w="0" w:type="dxa"/>
            <w:vAlign w:val="bottom"/>
          </w:tcPr>
          <w:p>
            <w:pPr>
              <w:spacing w:after="0"/>
              <w:rPr>
                <w:sz w:val="1"/>
                <w:szCs w:val="1"/>
                <w:color w:val="auto"/>
              </w:rPr>
            </w:pPr>
          </w:p>
        </w:tc>
      </w:tr>
      <w:tr>
        <w:trPr>
          <w:trHeight w:val="148"/>
        </w:trPr>
        <w:tc>
          <w:tcPr>
            <w:tcW w:w="86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5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Award</w:t>
            </w: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Committee</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820" w:type="dxa"/>
            <w:vAlign w:val="bottom"/>
            <w:tcBorders>
              <w:right w:val="single" w:sz="8" w:color="EFEDED"/>
            </w:tcBorders>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rPr>
              <w:t>($)</w:t>
            </w:r>
          </w:p>
        </w:tc>
        <w:tc>
          <w:tcPr>
            <w:tcW w:w="7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580" w:type="dxa"/>
            <w:vAlign w:val="bottom"/>
            <w:shd w:val="clear" w:color="auto" w:fill="EFEDED"/>
          </w:tcPr>
          <w:p>
            <w:pPr>
              <w:jc w:val="center"/>
              <w:ind w:left="282"/>
              <w:spacing w:after="0"/>
              <w:rPr>
                <w:sz w:val="20"/>
                <w:szCs w:val="20"/>
                <w:color w:val="auto"/>
              </w:rPr>
            </w:pPr>
            <w:r>
              <w:rPr>
                <w:rFonts w:ascii="Arial" w:cs="Arial" w:eastAsia="Arial" w:hAnsi="Arial"/>
                <w:sz w:val="13"/>
                <w:szCs w:val="13"/>
                <w:b w:val="1"/>
                <w:bCs w:val="1"/>
                <w:color w:val="58595B"/>
              </w:rPr>
              <w:t>(#)</w:t>
            </w:r>
          </w:p>
        </w:tc>
        <w:tc>
          <w:tcPr>
            <w:tcW w:w="340" w:type="dxa"/>
            <w:vAlign w:val="bottom"/>
            <w:shd w:val="clear" w:color="auto" w:fill="EFEDED"/>
          </w:tcPr>
          <w:p>
            <w:pPr>
              <w:spacing w:after="0"/>
              <w:rPr>
                <w:sz w:val="12"/>
                <w:szCs w:val="12"/>
                <w:color w:val="auto"/>
              </w:rPr>
            </w:pPr>
          </w:p>
        </w:tc>
        <w:tc>
          <w:tcPr>
            <w:tcW w:w="7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($/Sh)</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0" w:type="dxa"/>
            <w:vAlign w:val="bottom"/>
          </w:tcPr>
          <w:p>
            <w:pPr>
              <w:spacing w:after="0"/>
              <w:rPr>
                <w:sz w:val="1"/>
                <w:szCs w:val="1"/>
                <w:color w:val="auto"/>
              </w:rPr>
            </w:pPr>
          </w:p>
        </w:tc>
      </w:tr>
      <w:tr>
        <w:trPr>
          <w:trHeight w:val="185"/>
        </w:trPr>
        <w:tc>
          <w:tcPr>
            <w:tcW w:w="86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5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Type</w:t>
            </w:r>
          </w:p>
        </w:tc>
        <w:tc>
          <w:tcPr>
            <w:tcW w:w="7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8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Action</w:t>
            </w:r>
          </w:p>
        </w:tc>
        <w:tc>
          <w:tcPr>
            <w:tcW w:w="8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8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820" w:type="dxa"/>
            <w:vAlign w:val="bottom"/>
            <w:tcBorders>
              <w:right w:val="single" w:sz="8" w:color="EFEDED"/>
            </w:tcBorders>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rPr>
              <w:t>(e)</w:t>
            </w:r>
          </w:p>
        </w:tc>
        <w:tc>
          <w:tcPr>
            <w:tcW w:w="7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580" w:type="dxa"/>
            <w:vAlign w:val="bottom"/>
            <w:shd w:val="clear" w:color="auto" w:fill="EFEDED"/>
          </w:tcPr>
          <w:p>
            <w:pPr>
              <w:jc w:val="center"/>
              <w:ind w:left="282"/>
              <w:spacing w:after="0"/>
              <w:rPr>
                <w:sz w:val="20"/>
                <w:szCs w:val="20"/>
                <w:color w:val="auto"/>
              </w:rPr>
            </w:pPr>
            <w:r>
              <w:rPr>
                <w:rFonts w:ascii="Arial" w:cs="Arial" w:eastAsia="Arial" w:hAnsi="Arial"/>
                <w:sz w:val="13"/>
                <w:szCs w:val="13"/>
                <w:b w:val="1"/>
                <w:bCs w:val="1"/>
                <w:color w:val="58595B"/>
                <w:w w:val="96"/>
              </w:rPr>
              <w:t>(g)</w:t>
            </w:r>
          </w:p>
        </w:tc>
        <w:tc>
          <w:tcPr>
            <w:tcW w:w="340" w:type="dxa"/>
            <w:vAlign w:val="bottom"/>
            <w:shd w:val="clear" w:color="auto" w:fill="EFEDED"/>
          </w:tcPr>
          <w:p>
            <w:pPr>
              <w:spacing w:after="0"/>
              <w:rPr>
                <w:sz w:val="16"/>
                <w:szCs w:val="16"/>
                <w:color w:val="auto"/>
              </w:rPr>
            </w:pPr>
          </w:p>
        </w:tc>
        <w:tc>
          <w:tcPr>
            <w:tcW w:w="780" w:type="dxa"/>
            <w:vAlign w:val="bottom"/>
            <w:shd w:val="clear" w:color="auto" w:fill="EFEDED"/>
          </w:tcPr>
          <w:p>
            <w:pPr>
              <w:jc w:val="center"/>
              <w:ind w:right="3"/>
              <w:spacing w:after="0"/>
              <w:rPr>
                <w:sz w:val="20"/>
                <w:szCs w:val="20"/>
                <w:color w:val="auto"/>
              </w:rPr>
            </w:pPr>
            <w:r>
              <w:rPr>
                <w:rFonts w:ascii="Arial" w:cs="Arial" w:eastAsia="Arial" w:hAnsi="Arial"/>
                <w:sz w:val="13"/>
                <w:szCs w:val="13"/>
                <w:b w:val="1"/>
                <w:bCs w:val="1"/>
                <w:color w:val="58595B"/>
                <w:w w:val="96"/>
              </w:rPr>
              <w:t>(h)</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(i)</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7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(k)</w:t>
            </w:r>
          </w:p>
        </w:tc>
        <w:tc>
          <w:tcPr>
            <w:tcW w:w="8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(l)</w:t>
            </w:r>
          </w:p>
        </w:tc>
        <w:tc>
          <w:tcPr>
            <w:tcW w:w="0" w:type="dxa"/>
            <w:vAlign w:val="bottom"/>
          </w:tcPr>
          <w:p>
            <w:pPr>
              <w:spacing w:after="0"/>
              <w:rPr>
                <w:sz w:val="1"/>
                <w:szCs w:val="1"/>
                <w:color w:val="auto"/>
              </w:rPr>
            </w:pPr>
          </w:p>
        </w:tc>
      </w:tr>
      <w:tr>
        <w:trPr>
          <w:trHeight w:val="76"/>
        </w:trPr>
        <w:tc>
          <w:tcPr>
            <w:tcW w:w="860" w:type="dxa"/>
            <w:vAlign w:val="bottom"/>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860" w:type="dxa"/>
            <w:vAlign w:val="bottom"/>
          </w:tcPr>
          <w:p>
            <w:pPr>
              <w:ind w:left="100"/>
              <w:spacing w:after="0"/>
              <w:rPr>
                <w:sz w:val="20"/>
                <w:szCs w:val="20"/>
                <w:color w:val="auto"/>
              </w:rPr>
            </w:pPr>
            <w:r>
              <w:rPr>
                <w:rFonts w:ascii="Arial" w:cs="Arial" w:eastAsia="Arial" w:hAnsi="Arial"/>
                <w:sz w:val="11"/>
                <w:szCs w:val="11"/>
                <w:b w:val="1"/>
                <w:bCs w:val="1"/>
                <w:color w:val="58595B"/>
              </w:rPr>
              <w:t>Jan De Witte</w:t>
            </w: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tcPr>
          <w:p>
            <w:pPr>
              <w:jc w:val="center"/>
              <w:spacing w:after="0"/>
              <w:rPr>
                <w:sz w:val="20"/>
                <w:szCs w:val="20"/>
                <w:color w:val="auto"/>
              </w:rPr>
            </w:pPr>
            <w:r>
              <w:rPr>
                <w:rFonts w:ascii="Arial" w:cs="Arial" w:eastAsia="Arial" w:hAnsi="Arial"/>
                <w:sz w:val="11"/>
                <w:szCs w:val="11"/>
                <w:color w:val="494949"/>
              </w:rPr>
              <w:t>02/13/2023</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494949"/>
              </w:rPr>
              <w:t>26,008</w:t>
            </w:r>
          </w:p>
        </w:tc>
        <w:tc>
          <w:tcPr>
            <w:tcW w:w="580" w:type="dxa"/>
            <w:vAlign w:val="bottom"/>
          </w:tcPr>
          <w:p>
            <w:pPr>
              <w:jc w:val="center"/>
              <w:spacing w:after="0"/>
              <w:rPr>
                <w:sz w:val="20"/>
                <w:szCs w:val="20"/>
                <w:color w:val="auto"/>
              </w:rPr>
            </w:pPr>
            <w:r>
              <w:rPr>
                <w:rFonts w:ascii="Arial" w:cs="Arial" w:eastAsia="Arial" w:hAnsi="Arial"/>
                <w:sz w:val="11"/>
                <w:szCs w:val="11"/>
                <w:color w:val="494949"/>
              </w:rPr>
              <w:t>52,015</w:t>
            </w:r>
          </w:p>
        </w:tc>
        <w:tc>
          <w:tcPr>
            <w:tcW w:w="340" w:type="dxa"/>
            <w:vAlign w:val="bottom"/>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tcPr>
          <w:p>
            <w:pPr>
              <w:jc w:val="center"/>
              <w:spacing w:after="0"/>
              <w:rPr>
                <w:sz w:val="20"/>
                <w:szCs w:val="20"/>
                <w:color w:val="auto"/>
              </w:rPr>
            </w:pPr>
            <w:r>
              <w:rPr>
                <w:rFonts w:ascii="Arial" w:cs="Arial" w:eastAsia="Arial" w:hAnsi="Arial"/>
                <w:sz w:val="11"/>
                <w:szCs w:val="11"/>
                <w:color w:val="494949"/>
                <w:w w:val="95"/>
              </w:rPr>
              <w:t>104,030</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2,750,033</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4"/>
              </w:rPr>
              <w:t>RSU</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tcPr>
          <w:p>
            <w:pPr>
              <w:jc w:val="center"/>
              <w:spacing w:after="0"/>
              <w:rPr>
                <w:sz w:val="20"/>
                <w:szCs w:val="20"/>
                <w:color w:val="auto"/>
              </w:rPr>
            </w:pPr>
            <w:r>
              <w:rPr>
                <w:rFonts w:ascii="Arial" w:cs="Arial" w:eastAsia="Arial" w:hAnsi="Arial"/>
                <w:sz w:val="11"/>
                <w:szCs w:val="11"/>
                <w:color w:val="494949"/>
              </w:rPr>
              <w:t>02/13/2023</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4"/>
              </w:rPr>
              <w:t>26,008</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7"/>
              </w:rPr>
              <w:t>1,375,043</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02/13/2023</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color w:val="494949"/>
              </w:rPr>
              <w:t>63,717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52.87</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7"/>
              </w:rPr>
              <w:t>1,375,013</w:t>
            </w: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1/1/2023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w w:val="95"/>
              </w:rPr>
              <w:t>486,668</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w w:val="95"/>
              </w:rPr>
              <w:t>973,335</w:t>
            </w:r>
          </w:p>
        </w:tc>
        <w:tc>
          <w:tcPr>
            <w:tcW w:w="820" w:type="dxa"/>
            <w:vAlign w:val="bottom"/>
            <w:vMerge w:val="restart"/>
          </w:tcPr>
          <w:p>
            <w:pPr>
              <w:jc w:val="center"/>
              <w:ind w:right="3"/>
              <w:spacing w:after="0"/>
              <w:rPr>
                <w:sz w:val="20"/>
                <w:szCs w:val="20"/>
                <w:color w:val="auto"/>
              </w:rPr>
            </w:pPr>
            <w:r>
              <w:rPr>
                <w:rFonts w:ascii="Arial" w:cs="Arial" w:eastAsia="Arial" w:hAnsi="Arial"/>
                <w:sz w:val="11"/>
                <w:szCs w:val="11"/>
                <w:color w:val="494949"/>
                <w:w w:val="97"/>
              </w:rPr>
              <w:t>1,946,670</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Lea Knight</w:t>
            </w: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0"/>
              </w:rPr>
              <w:t>—</w:t>
            </w:r>
          </w:p>
        </w:tc>
        <w:tc>
          <w:tcPr>
            <w:tcW w:w="5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0"/>
              </w:rPr>
              <w:t>—</w:t>
            </w: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0"/>
              </w:rPr>
              <w:t>—</w:t>
            </w: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0"/>
              </w:rPr>
              <w:t>—</w:t>
            </w:r>
          </w:p>
        </w:tc>
        <w:tc>
          <w:tcPr>
            <w:tcW w:w="0" w:type="dxa"/>
            <w:vAlign w:val="bottom"/>
          </w:tcPr>
          <w:p>
            <w:pPr>
              <w:spacing w:after="0"/>
              <w:rPr>
                <w:sz w:val="1"/>
                <w:szCs w:val="1"/>
                <w:color w:val="auto"/>
              </w:rPr>
            </w:pPr>
          </w:p>
        </w:tc>
      </w:tr>
      <w:tr>
        <w:trPr>
          <w:trHeight w:val="183"/>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7/3/2023</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20" w:type="dxa"/>
            <w:vAlign w:val="bottom"/>
            <w:tcBorders>
              <w:right w:val="single" w:sz="8" w:color="EFEDED"/>
            </w:tcBorders>
            <w:shd w:val="clear" w:color="auto" w:fill="EFEDED"/>
          </w:tcPr>
          <w:p>
            <w:pPr>
              <w:spacing w:after="0"/>
              <w:rPr>
                <w:sz w:val="15"/>
                <w:szCs w:val="15"/>
                <w:color w:val="auto"/>
              </w:rPr>
            </w:pPr>
          </w:p>
        </w:tc>
        <w:tc>
          <w:tcPr>
            <w:tcW w:w="76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4"/>
              </w:rPr>
              <w:t>24,391</w:t>
            </w:r>
          </w:p>
        </w:tc>
        <w:tc>
          <w:tcPr>
            <w:tcW w:w="90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1,000,031</w:t>
            </w: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0"/>
              </w:rPr>
              <w:t>—</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0"/>
              </w:rPr>
              <w:t>—</w:t>
            </w: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vMerge w:val="continue"/>
            <w:shd w:val="clear" w:color="auto" w:fill="EFEDED"/>
          </w:tcPr>
          <w:p>
            <w:pPr>
              <w:spacing w:after="0"/>
              <w:rPr>
                <w:sz w:val="6"/>
                <w:szCs w:val="6"/>
                <w:color w:val="auto"/>
              </w:rPr>
            </w:pPr>
          </w:p>
        </w:tc>
        <w:tc>
          <w:tcPr>
            <w:tcW w:w="740" w:type="dxa"/>
            <w:vAlign w:val="bottom"/>
            <w:vMerge w:val="continue"/>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20" w:type="dxa"/>
            <w:vAlign w:val="bottom"/>
            <w:tcBorders>
              <w:right w:val="single" w:sz="8" w:color="EFEDED"/>
            </w:tcBorders>
            <w:shd w:val="clear" w:color="auto" w:fill="EFEDED"/>
          </w:tcPr>
          <w:p>
            <w:pPr>
              <w:spacing w:after="0"/>
              <w:rPr>
                <w:sz w:val="5"/>
                <w:szCs w:val="5"/>
                <w:color w:val="auto"/>
              </w:rPr>
            </w:pPr>
          </w:p>
        </w:tc>
        <w:tc>
          <w:tcPr>
            <w:tcW w:w="76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1/1/2023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108,000</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540,000</w:t>
            </w:r>
          </w:p>
        </w:tc>
        <w:tc>
          <w:tcPr>
            <w:tcW w:w="820" w:type="dxa"/>
            <w:vAlign w:val="bottom"/>
            <w:tcBorders>
              <w:right w:val="single" w:sz="8" w:color="EFEDED"/>
            </w:tcBorders>
            <w:vMerge w:val="restart"/>
            <w:shd w:val="clear" w:color="auto" w:fill="EFEDED"/>
          </w:tcPr>
          <w:p>
            <w:pPr>
              <w:jc w:val="center"/>
              <w:ind w:right="3"/>
              <w:spacing w:after="0"/>
              <w:rPr>
                <w:sz w:val="20"/>
                <w:szCs w:val="20"/>
                <w:color w:val="auto"/>
              </w:rPr>
            </w:pPr>
            <w:r>
              <w:rPr>
                <w:rFonts w:ascii="Arial" w:cs="Arial" w:eastAsia="Arial" w:hAnsi="Arial"/>
                <w:sz w:val="11"/>
                <w:szCs w:val="11"/>
                <w:color w:val="494949"/>
                <w:w w:val="97"/>
              </w:rPr>
              <w:t>1,080,000</w:t>
            </w: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vMerge w:val="continue"/>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EFEDED"/>
            </w:tcBorders>
            <w:vMerge w:val="continue"/>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right w:val="single" w:sz="8" w:color="EFEDED"/>
            </w:tcBorders>
            <w:shd w:val="clear" w:color="auto" w:fill="EFEDED"/>
          </w:tcPr>
          <w:p>
            <w:pPr>
              <w:spacing w:after="0"/>
              <w:rPr>
                <w:sz w:val="7"/>
                <w:szCs w:val="7"/>
                <w:color w:val="auto"/>
              </w:rPr>
            </w:pPr>
          </w:p>
        </w:tc>
        <w:tc>
          <w:tcPr>
            <w:tcW w:w="76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90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60" w:type="dxa"/>
            <w:vAlign w:val="bottom"/>
          </w:tcPr>
          <w:p>
            <w:pPr>
              <w:ind w:left="20"/>
              <w:spacing w:after="0"/>
              <w:rPr>
                <w:sz w:val="20"/>
                <w:szCs w:val="20"/>
                <w:color w:val="auto"/>
              </w:rPr>
            </w:pPr>
            <w:r>
              <w:rPr>
                <w:rFonts w:ascii="Arial" w:cs="Arial" w:eastAsia="Arial" w:hAnsi="Arial"/>
                <w:sz w:val="11"/>
                <w:szCs w:val="11"/>
                <w:b w:val="1"/>
                <w:bCs w:val="1"/>
                <w:color w:val="58595B"/>
              </w:rPr>
              <w:t>Jeffery</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rPr>
              <w:t>96,858</w:t>
            </w:r>
          </w:p>
        </w:tc>
        <w:tc>
          <w:tcPr>
            <w:tcW w:w="0" w:type="dxa"/>
            <w:vAlign w:val="bottom"/>
          </w:tcPr>
          <w:p>
            <w:pPr>
              <w:spacing w:after="0"/>
              <w:rPr>
                <w:sz w:val="1"/>
                <w:szCs w:val="1"/>
                <w:color w:val="auto"/>
              </w:rPr>
            </w:pPr>
          </w:p>
        </w:tc>
      </w:tr>
      <w:tr>
        <w:trPr>
          <w:trHeight w:val="74"/>
        </w:trPr>
        <w:tc>
          <w:tcPr>
            <w:tcW w:w="860" w:type="dxa"/>
            <w:vAlign w:val="bottom"/>
            <w:vMerge w:val="restart"/>
          </w:tcPr>
          <w:p>
            <w:pPr>
              <w:ind w:left="20"/>
              <w:spacing w:after="0"/>
              <w:rPr>
                <w:sz w:val="20"/>
                <w:szCs w:val="20"/>
                <w:color w:val="auto"/>
              </w:rPr>
            </w:pPr>
            <w:r>
              <w:rPr>
                <w:rFonts w:ascii="Arial" w:cs="Arial" w:eastAsia="Arial" w:hAnsi="Arial"/>
                <w:sz w:val="11"/>
                <w:szCs w:val="11"/>
                <w:b w:val="1"/>
                <w:bCs w:val="1"/>
                <w:color w:val="58595B"/>
              </w:rPr>
              <w:t>Mosebrook</w:t>
            </w:r>
          </w:p>
        </w:tc>
        <w:tc>
          <w:tcPr>
            <w:tcW w:w="560" w:type="dxa"/>
            <w:vAlign w:val="bottom"/>
            <w:vMerge w:val="restart"/>
          </w:tcPr>
          <w:p>
            <w:pPr>
              <w:jc w:val="center"/>
              <w:spacing w:after="0"/>
              <w:rPr>
                <w:sz w:val="20"/>
                <w:szCs w:val="20"/>
                <w:color w:val="auto"/>
              </w:rPr>
            </w:pPr>
            <w:r>
              <w:rPr>
                <w:rFonts w:ascii="Arial" w:cs="Arial" w:eastAsia="Arial" w:hAnsi="Arial"/>
                <w:sz w:val="11"/>
                <w:szCs w:val="11"/>
                <w:color w:val="58595B"/>
                <w:w w:val="97"/>
              </w:rPr>
              <w:t>PSU</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58595B"/>
                <w:w w:val="97"/>
              </w:rPr>
              <w:t>3/10/2023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58595B"/>
                <w:w w:val="97"/>
              </w:rPr>
              <w:t>2/13/2023</w:t>
            </w: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58595B"/>
                <w:w w:val="97"/>
              </w:rPr>
              <w:t>916</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58595B"/>
                <w:w w:val="97"/>
              </w:rPr>
              <w:t>1832</w:t>
            </w:r>
          </w:p>
        </w:tc>
        <w:tc>
          <w:tcPr>
            <w:tcW w:w="340" w:type="dxa"/>
            <w:vAlign w:val="bottom"/>
            <w:vMerge w:val="restart"/>
          </w:tcPr>
          <w:p>
            <w:pPr>
              <w:jc w:val="right"/>
              <w:ind w:right="86"/>
              <w:spacing w:after="0"/>
              <w:rPr>
                <w:sz w:val="20"/>
                <w:szCs w:val="20"/>
                <w:color w:val="auto"/>
              </w:rPr>
            </w:pPr>
            <w:r>
              <w:rPr>
                <w:rFonts w:ascii="Arial" w:cs="Arial" w:eastAsia="Arial" w:hAnsi="Arial"/>
                <w:sz w:val="11"/>
                <w:szCs w:val="11"/>
                <w:color w:val="58595B"/>
              </w:rPr>
              <w:t>(5)</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58595B"/>
                <w:w w:val="94"/>
              </w:rPr>
              <w:t>2,748</w:t>
            </w: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58595B"/>
                <w:w w:val="97"/>
              </w:rPr>
              <w:t>RSA</w:t>
            </w:r>
          </w:p>
        </w:tc>
        <w:tc>
          <w:tcPr>
            <w:tcW w:w="720" w:type="dxa"/>
            <w:vAlign w:val="bottom"/>
          </w:tcPr>
          <w:p>
            <w:pPr>
              <w:jc w:val="center"/>
              <w:spacing w:after="0"/>
              <w:rPr>
                <w:sz w:val="20"/>
                <w:szCs w:val="20"/>
                <w:color w:val="auto"/>
              </w:rPr>
            </w:pPr>
            <w:r>
              <w:rPr>
                <w:rFonts w:ascii="Arial" w:cs="Arial" w:eastAsia="Arial" w:hAnsi="Arial"/>
                <w:sz w:val="11"/>
                <w:szCs w:val="11"/>
                <w:color w:val="58595B"/>
                <w:w w:val="97"/>
              </w:rPr>
              <w:t>3/10/2023</w:t>
            </w:r>
          </w:p>
        </w:tc>
        <w:tc>
          <w:tcPr>
            <w:tcW w:w="880" w:type="dxa"/>
            <w:vAlign w:val="bottom"/>
          </w:tcPr>
          <w:p>
            <w:pPr>
              <w:jc w:val="center"/>
              <w:spacing w:after="0"/>
              <w:rPr>
                <w:sz w:val="20"/>
                <w:szCs w:val="20"/>
                <w:color w:val="auto"/>
              </w:rPr>
            </w:pPr>
            <w:r>
              <w:rPr>
                <w:rFonts w:ascii="Arial" w:cs="Arial" w:eastAsia="Arial" w:hAnsi="Arial"/>
                <w:sz w:val="11"/>
                <w:szCs w:val="11"/>
                <w:color w:val="58595B"/>
                <w:w w:val="97"/>
              </w:rPr>
              <w:t>2/13/2023</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58595B"/>
              </w:rPr>
              <w:t>3,088</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163,263</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58595B"/>
                <w:w w:val="97"/>
              </w:rPr>
              <w:t>RSA</w:t>
            </w:r>
          </w:p>
        </w:tc>
        <w:tc>
          <w:tcPr>
            <w:tcW w:w="720" w:type="dxa"/>
            <w:vAlign w:val="bottom"/>
          </w:tcPr>
          <w:p>
            <w:pPr>
              <w:jc w:val="center"/>
              <w:spacing w:after="0"/>
              <w:rPr>
                <w:sz w:val="20"/>
                <w:szCs w:val="20"/>
                <w:color w:val="auto"/>
              </w:rPr>
            </w:pPr>
            <w:r>
              <w:rPr>
                <w:rFonts w:ascii="Arial" w:cs="Arial" w:eastAsia="Arial" w:hAnsi="Arial"/>
                <w:sz w:val="11"/>
                <w:szCs w:val="11"/>
                <w:color w:val="58595B"/>
                <w:w w:val="97"/>
              </w:rPr>
              <w:t>7/3/2023</w:t>
            </w:r>
          </w:p>
        </w:tc>
        <w:tc>
          <w:tcPr>
            <w:tcW w:w="880" w:type="dxa"/>
            <w:vAlign w:val="bottom"/>
          </w:tcPr>
          <w:p>
            <w:pPr>
              <w:jc w:val="center"/>
              <w:spacing w:after="0"/>
              <w:rPr>
                <w:sz w:val="20"/>
                <w:szCs w:val="20"/>
                <w:color w:val="auto"/>
              </w:rPr>
            </w:pPr>
            <w:r>
              <w:rPr>
                <w:rFonts w:ascii="Arial" w:cs="Arial" w:eastAsia="Arial" w:hAnsi="Arial"/>
                <w:sz w:val="11"/>
                <w:szCs w:val="11"/>
                <w:color w:val="58595B"/>
                <w:w w:val="97"/>
              </w:rPr>
              <w:t>6/3/2023</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58595B"/>
                <w:w w:val="94"/>
              </w:rPr>
              <w:t>12,196</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500,036</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58595B"/>
              </w:rPr>
              <w:t>Cash</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58595B"/>
                <w:w w:val="96"/>
              </w:rPr>
              <w:t>Bonus</w:t>
            </w:r>
          </w:p>
        </w:tc>
        <w:tc>
          <w:tcPr>
            <w:tcW w:w="720" w:type="dxa"/>
            <w:vAlign w:val="bottom"/>
          </w:tcPr>
          <w:p>
            <w:pPr>
              <w:jc w:val="center"/>
              <w:spacing w:after="0"/>
              <w:rPr>
                <w:sz w:val="20"/>
                <w:szCs w:val="20"/>
                <w:color w:val="auto"/>
              </w:rPr>
            </w:pPr>
            <w:r>
              <w:rPr>
                <w:rFonts w:ascii="Arial" w:cs="Arial" w:eastAsia="Arial" w:hAnsi="Arial"/>
                <w:sz w:val="11"/>
                <w:szCs w:val="11"/>
                <w:color w:val="58595B"/>
                <w:w w:val="97"/>
              </w:rPr>
              <w:t>1/1/2023</w:t>
            </w:r>
          </w:p>
        </w:tc>
        <w:tc>
          <w:tcPr>
            <w:tcW w:w="880" w:type="dxa"/>
            <w:vAlign w:val="bottom"/>
          </w:tcPr>
          <w:p>
            <w:pPr>
              <w:jc w:val="center"/>
              <w:spacing w:after="0"/>
              <w:rPr>
                <w:sz w:val="20"/>
                <w:szCs w:val="20"/>
                <w:color w:val="auto"/>
              </w:rPr>
            </w:pPr>
            <w:r>
              <w:rPr>
                <w:rFonts w:ascii="Arial" w:cs="Arial" w:eastAsia="Arial" w:hAnsi="Arial"/>
                <w:sz w:val="11"/>
                <w:szCs w:val="11"/>
                <w:color w:val="58595B"/>
                <w:w w:val="97"/>
              </w:rPr>
              <w:t>2/13/2023</w:t>
            </w:r>
          </w:p>
        </w:tc>
        <w:tc>
          <w:tcPr>
            <w:tcW w:w="820" w:type="dxa"/>
            <w:vAlign w:val="bottom"/>
          </w:tcPr>
          <w:p>
            <w:pPr>
              <w:jc w:val="center"/>
              <w:spacing w:after="0"/>
              <w:rPr>
                <w:sz w:val="20"/>
                <w:szCs w:val="20"/>
                <w:color w:val="auto"/>
              </w:rPr>
            </w:pPr>
            <w:r>
              <w:rPr>
                <w:rFonts w:ascii="Arial" w:cs="Arial" w:eastAsia="Arial" w:hAnsi="Arial"/>
                <w:sz w:val="11"/>
                <w:szCs w:val="11"/>
                <w:color w:val="58595B"/>
                <w:w w:val="97"/>
              </w:rPr>
              <w:t>26600</w:t>
            </w:r>
          </w:p>
        </w:tc>
        <w:tc>
          <w:tcPr>
            <w:tcW w:w="800" w:type="dxa"/>
            <w:vAlign w:val="bottom"/>
          </w:tcPr>
          <w:p>
            <w:pPr>
              <w:jc w:val="center"/>
              <w:spacing w:after="0"/>
              <w:rPr>
                <w:sz w:val="20"/>
                <w:szCs w:val="20"/>
                <w:color w:val="auto"/>
              </w:rPr>
            </w:pPr>
            <w:r>
              <w:rPr>
                <w:rFonts w:ascii="Arial" w:cs="Arial" w:eastAsia="Arial" w:hAnsi="Arial"/>
                <w:sz w:val="11"/>
                <w:szCs w:val="11"/>
                <w:color w:val="58595B"/>
                <w:w w:val="97"/>
              </w:rPr>
              <w:t>133000</w:t>
            </w:r>
          </w:p>
        </w:tc>
        <w:tc>
          <w:tcPr>
            <w:tcW w:w="820" w:type="dxa"/>
            <w:vAlign w:val="bottom"/>
          </w:tcPr>
          <w:p>
            <w:pPr>
              <w:jc w:val="center"/>
              <w:ind w:right="3"/>
              <w:spacing w:after="0"/>
              <w:rPr>
                <w:sz w:val="20"/>
                <w:szCs w:val="20"/>
                <w:color w:val="auto"/>
              </w:rPr>
            </w:pPr>
            <w:r>
              <w:rPr>
                <w:rFonts w:ascii="Arial" w:cs="Arial" w:eastAsia="Arial" w:hAnsi="Arial"/>
                <w:sz w:val="11"/>
                <w:szCs w:val="11"/>
                <w:color w:val="58595B"/>
                <w:w w:val="97"/>
              </w:rPr>
              <w:t>266000</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Robert T.</w:t>
            </w: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20" w:type="dxa"/>
            <w:vAlign w:val="bottom"/>
            <w:tcBorders>
              <w:right w:val="single" w:sz="8" w:color="EFEDED"/>
            </w:tcBorders>
            <w:shd w:val="clear" w:color="auto" w:fill="EFEDED"/>
          </w:tcPr>
          <w:p>
            <w:pPr>
              <w:spacing w:after="0"/>
              <w:rPr>
                <w:sz w:val="11"/>
                <w:szCs w:val="11"/>
                <w:color w:val="auto"/>
              </w:rPr>
            </w:pPr>
          </w:p>
        </w:tc>
        <w:tc>
          <w:tcPr>
            <w:tcW w:w="7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4"/>
              </w:rPr>
              <w:t>4,227</w:t>
            </w:r>
          </w:p>
        </w:tc>
        <w:tc>
          <w:tcPr>
            <w:tcW w:w="5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4"/>
              </w:rPr>
              <w:t>8,453</w:t>
            </w:r>
          </w:p>
        </w:tc>
        <w:tc>
          <w:tcPr>
            <w:tcW w:w="340" w:type="dxa"/>
            <w:vAlign w:val="bottom"/>
            <w:vMerge w:val="restart"/>
            <w:shd w:val="clear" w:color="auto" w:fill="EFEDED"/>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16,906</w:t>
            </w:r>
          </w:p>
        </w:tc>
        <w:tc>
          <w:tcPr>
            <w:tcW w:w="840" w:type="dxa"/>
            <w:vAlign w:val="bottom"/>
            <w:shd w:val="clear" w:color="auto" w:fill="EFEDED"/>
          </w:tcPr>
          <w:p>
            <w:pPr>
              <w:spacing w:after="0"/>
              <w:rPr>
                <w:sz w:val="11"/>
                <w:szCs w:val="11"/>
                <w:color w:val="auto"/>
              </w:rPr>
            </w:pPr>
          </w:p>
        </w:tc>
        <w:tc>
          <w:tcPr>
            <w:tcW w:w="90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446,910</w:t>
            </w:r>
          </w:p>
        </w:tc>
        <w:tc>
          <w:tcPr>
            <w:tcW w:w="0" w:type="dxa"/>
            <w:vAlign w:val="bottom"/>
          </w:tcPr>
          <w:p>
            <w:pPr>
              <w:spacing w:after="0"/>
              <w:rPr>
                <w:sz w:val="1"/>
                <w:szCs w:val="1"/>
                <w:color w:val="auto"/>
              </w:rPr>
            </w:pPr>
          </w:p>
        </w:tc>
      </w:tr>
      <w:tr>
        <w:trPr>
          <w:trHeight w:val="74"/>
        </w:trPr>
        <w:tc>
          <w:tcPr>
            <w:tcW w:w="860" w:type="dxa"/>
            <w:vAlign w:val="bottom"/>
            <w:vMerge w:val="restart"/>
            <w:shd w:val="clear" w:color="auto" w:fill="EFEDED"/>
          </w:tcPr>
          <w:p>
            <w:pPr>
              <w:ind w:left="100"/>
              <w:spacing w:after="0"/>
              <w:rPr>
                <w:sz w:val="20"/>
                <w:szCs w:val="20"/>
                <w:color w:val="auto"/>
              </w:rPr>
            </w:pPr>
            <w:r>
              <w:rPr>
                <w:rFonts w:ascii="Arial" w:cs="Arial" w:eastAsia="Arial" w:hAnsi="Arial"/>
                <w:sz w:val="11"/>
                <w:szCs w:val="11"/>
                <w:b w:val="1"/>
                <w:bCs w:val="1"/>
                <w:color w:val="58595B"/>
              </w:rPr>
              <w:t>Davis, Jr.</w:t>
            </w:r>
          </w:p>
        </w:tc>
        <w:tc>
          <w:tcPr>
            <w:tcW w:w="560" w:type="dxa"/>
            <w:vAlign w:val="bottom"/>
            <w:vMerge w:val="continue"/>
            <w:shd w:val="clear" w:color="auto" w:fill="EFEDED"/>
          </w:tcPr>
          <w:p>
            <w:pPr>
              <w:spacing w:after="0"/>
              <w:rPr>
                <w:sz w:val="6"/>
                <w:szCs w:val="6"/>
                <w:color w:val="auto"/>
              </w:rPr>
            </w:pP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vMerge w:val="continue"/>
            <w:shd w:val="clear" w:color="auto" w:fill="EFEDED"/>
          </w:tcPr>
          <w:p>
            <w:pPr>
              <w:spacing w:after="0"/>
              <w:rPr>
                <w:sz w:val="6"/>
                <w:szCs w:val="6"/>
                <w:color w:val="auto"/>
              </w:rPr>
            </w:pPr>
          </w:p>
        </w:tc>
        <w:tc>
          <w:tcPr>
            <w:tcW w:w="580" w:type="dxa"/>
            <w:vAlign w:val="bottom"/>
            <w:vMerge w:val="continue"/>
            <w:shd w:val="clear" w:color="auto" w:fill="EFEDED"/>
          </w:tcPr>
          <w:p>
            <w:pPr>
              <w:spacing w:after="0"/>
              <w:rPr>
                <w:sz w:val="6"/>
                <w:szCs w:val="6"/>
                <w:color w:val="auto"/>
              </w:rPr>
            </w:pPr>
          </w:p>
        </w:tc>
        <w:tc>
          <w:tcPr>
            <w:tcW w:w="340" w:type="dxa"/>
            <w:vAlign w:val="bottom"/>
            <w:vMerge w:val="continue"/>
            <w:shd w:val="clear" w:color="auto" w:fill="EFEDED"/>
          </w:tcPr>
          <w:p>
            <w:pPr>
              <w:spacing w:after="0"/>
              <w:rPr>
                <w:sz w:val="6"/>
                <w:szCs w:val="6"/>
                <w:color w:val="auto"/>
              </w:rPr>
            </w:pPr>
          </w:p>
        </w:tc>
        <w:tc>
          <w:tcPr>
            <w:tcW w:w="780" w:type="dxa"/>
            <w:vAlign w:val="bottom"/>
            <w:vMerge w:val="continue"/>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20" w:type="dxa"/>
            <w:vAlign w:val="bottom"/>
            <w:tcBorders>
              <w:right w:val="single" w:sz="8" w:color="EFEDED"/>
            </w:tcBorders>
            <w:shd w:val="clear" w:color="auto" w:fill="EFEDED"/>
          </w:tcPr>
          <w:p>
            <w:pPr>
              <w:spacing w:after="0"/>
              <w:rPr>
                <w:sz w:val="15"/>
                <w:szCs w:val="15"/>
                <w:color w:val="auto"/>
              </w:rPr>
            </w:pPr>
          </w:p>
        </w:tc>
        <w:tc>
          <w:tcPr>
            <w:tcW w:w="76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4,227</w:t>
            </w:r>
          </w:p>
        </w:tc>
        <w:tc>
          <w:tcPr>
            <w:tcW w:w="90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223,481</w:t>
            </w: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10,354</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52.87</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223,439</w:t>
            </w: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vMerge w:val="continue"/>
            <w:shd w:val="clear" w:color="auto" w:fill="EFEDED"/>
          </w:tcPr>
          <w:p>
            <w:pPr>
              <w:spacing w:after="0"/>
              <w:rPr>
                <w:sz w:val="6"/>
                <w:szCs w:val="6"/>
                <w:color w:val="auto"/>
              </w:rPr>
            </w:pPr>
          </w:p>
        </w:tc>
        <w:tc>
          <w:tcPr>
            <w:tcW w:w="740" w:type="dxa"/>
            <w:vAlign w:val="bottom"/>
            <w:vMerge w:val="continue"/>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20" w:type="dxa"/>
            <w:vAlign w:val="bottom"/>
            <w:tcBorders>
              <w:right w:val="single" w:sz="8" w:color="EFEDED"/>
            </w:tcBorders>
            <w:shd w:val="clear" w:color="auto" w:fill="EFEDED"/>
          </w:tcPr>
          <w:p>
            <w:pPr>
              <w:spacing w:after="0"/>
              <w:rPr>
                <w:sz w:val="5"/>
                <w:szCs w:val="5"/>
                <w:color w:val="auto"/>
              </w:rPr>
            </w:pPr>
          </w:p>
        </w:tc>
        <w:tc>
          <w:tcPr>
            <w:tcW w:w="76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1/1/2023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63,088</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315,440</w:t>
            </w:r>
          </w:p>
        </w:tc>
        <w:tc>
          <w:tcPr>
            <w:tcW w:w="820" w:type="dxa"/>
            <w:vAlign w:val="bottom"/>
            <w:tcBorders>
              <w:right w:val="single" w:sz="8" w:color="EFEDED"/>
            </w:tcBorders>
            <w:vMerge w:val="restart"/>
            <w:shd w:val="clear" w:color="auto" w:fill="EFEDED"/>
          </w:tcPr>
          <w:p>
            <w:pPr>
              <w:jc w:val="center"/>
              <w:ind w:right="3"/>
              <w:spacing w:after="0"/>
              <w:rPr>
                <w:sz w:val="20"/>
                <w:szCs w:val="20"/>
                <w:color w:val="auto"/>
              </w:rPr>
            </w:pPr>
            <w:r>
              <w:rPr>
                <w:rFonts w:ascii="Arial" w:cs="Arial" w:eastAsia="Arial" w:hAnsi="Arial"/>
                <w:sz w:val="11"/>
                <w:szCs w:val="11"/>
                <w:color w:val="494949"/>
              </w:rPr>
              <w:t>630,881</w:t>
            </w: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vMerge w:val="continue"/>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EFEDED"/>
            </w:tcBorders>
            <w:vMerge w:val="continue"/>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right w:val="single" w:sz="8" w:color="EFEDED"/>
            </w:tcBorders>
            <w:shd w:val="clear" w:color="auto" w:fill="EFEDED"/>
          </w:tcPr>
          <w:p>
            <w:pPr>
              <w:spacing w:after="0"/>
              <w:rPr>
                <w:sz w:val="7"/>
                <w:szCs w:val="7"/>
                <w:color w:val="auto"/>
              </w:rPr>
            </w:pPr>
          </w:p>
        </w:tc>
        <w:tc>
          <w:tcPr>
            <w:tcW w:w="76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90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60" w:type="dxa"/>
            <w:vAlign w:val="bottom"/>
          </w:tcPr>
          <w:p>
            <w:pPr>
              <w:ind w:left="20"/>
              <w:spacing w:after="0"/>
              <w:rPr>
                <w:sz w:val="20"/>
                <w:szCs w:val="20"/>
                <w:color w:val="auto"/>
              </w:rPr>
            </w:pPr>
            <w:r>
              <w:rPr>
                <w:rFonts w:ascii="Arial" w:cs="Arial" w:eastAsia="Arial" w:hAnsi="Arial"/>
                <w:sz w:val="11"/>
                <w:szCs w:val="11"/>
                <w:b w:val="1"/>
                <w:bCs w:val="1"/>
                <w:color w:val="58595B"/>
              </w:rPr>
              <w:t>Michael J.</w:t>
            </w: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02/13/2023</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494949"/>
                <w:w w:val="94"/>
              </w:rPr>
              <w:t>8,128</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494949"/>
              </w:rPr>
              <w:t>16,255</w:t>
            </w:r>
          </w:p>
        </w:tc>
        <w:tc>
          <w:tcPr>
            <w:tcW w:w="340" w:type="dxa"/>
            <w:vAlign w:val="bottom"/>
            <w:vMerge w:val="restart"/>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494949"/>
              </w:rPr>
              <w:t>32,510</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859,402</w:t>
            </w:r>
          </w:p>
        </w:tc>
        <w:tc>
          <w:tcPr>
            <w:tcW w:w="0" w:type="dxa"/>
            <w:vAlign w:val="bottom"/>
          </w:tcPr>
          <w:p>
            <w:pPr>
              <w:spacing w:after="0"/>
              <w:rPr>
                <w:sz w:val="1"/>
                <w:szCs w:val="1"/>
                <w:color w:val="auto"/>
              </w:rPr>
            </w:pPr>
          </w:p>
        </w:tc>
      </w:tr>
      <w:tr>
        <w:trPr>
          <w:trHeight w:val="74"/>
        </w:trPr>
        <w:tc>
          <w:tcPr>
            <w:tcW w:w="860" w:type="dxa"/>
            <w:vAlign w:val="bottom"/>
            <w:vMerge w:val="restart"/>
          </w:tcPr>
          <w:p>
            <w:pPr>
              <w:ind w:left="20"/>
              <w:spacing w:after="0"/>
              <w:rPr>
                <w:sz w:val="20"/>
                <w:szCs w:val="20"/>
                <w:color w:val="auto"/>
              </w:rPr>
            </w:pPr>
            <w:r>
              <w:rPr>
                <w:rFonts w:ascii="Arial" w:cs="Arial" w:eastAsia="Arial" w:hAnsi="Arial"/>
                <w:sz w:val="11"/>
                <w:szCs w:val="11"/>
                <w:b w:val="1"/>
                <w:bCs w:val="1"/>
                <w:color w:val="58595B"/>
              </w:rPr>
              <w:t>McBreen</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tcPr>
          <w:p>
            <w:pPr>
              <w:jc w:val="center"/>
              <w:spacing w:after="0"/>
              <w:rPr>
                <w:sz w:val="20"/>
                <w:szCs w:val="20"/>
                <w:color w:val="auto"/>
              </w:rPr>
            </w:pPr>
            <w:r>
              <w:rPr>
                <w:rFonts w:ascii="Arial" w:cs="Arial" w:eastAsia="Arial" w:hAnsi="Arial"/>
                <w:sz w:val="11"/>
                <w:szCs w:val="11"/>
                <w:color w:val="494949"/>
              </w:rPr>
              <w:t>02/13/2023</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4"/>
              </w:rPr>
              <w:t>17,586</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494949"/>
                <w:w w:val="95"/>
              </w:rPr>
              <w:t>929,772</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rPr>
              <w:t>02/13/2023</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color w:val="494949"/>
              </w:rPr>
              <w:t>19,912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494949"/>
              </w:rPr>
              <w:t>52.87</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494949"/>
                <w:w w:val="95"/>
              </w:rPr>
              <w:t>429,701</w:t>
            </w: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494949"/>
                <w:w w:val="97"/>
              </w:rPr>
              <w:t>1/1/2023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494949"/>
                <w:w w:val="95"/>
              </w:rPr>
              <w:t>106,250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494949"/>
                <w:w w:val="95"/>
              </w:rPr>
              <w:t>531,250</w:t>
            </w:r>
          </w:p>
        </w:tc>
        <w:tc>
          <w:tcPr>
            <w:tcW w:w="820" w:type="dxa"/>
            <w:vAlign w:val="bottom"/>
            <w:vMerge w:val="restart"/>
          </w:tcPr>
          <w:p>
            <w:pPr>
              <w:jc w:val="center"/>
              <w:ind w:right="3"/>
              <w:spacing w:after="0"/>
              <w:rPr>
                <w:sz w:val="20"/>
                <w:szCs w:val="20"/>
                <w:color w:val="auto"/>
              </w:rPr>
            </w:pPr>
            <w:r>
              <w:rPr>
                <w:rFonts w:ascii="Arial" w:cs="Arial" w:eastAsia="Arial" w:hAnsi="Arial"/>
                <w:sz w:val="11"/>
                <w:szCs w:val="11"/>
                <w:color w:val="494949"/>
                <w:w w:val="97"/>
              </w:rPr>
              <w:t>1,062,500</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60" w:type="dxa"/>
            <w:vAlign w:val="bottom"/>
            <w:shd w:val="clear" w:color="auto" w:fill="EFEDED"/>
          </w:tcPr>
          <w:p>
            <w:pPr>
              <w:ind w:left="100"/>
              <w:spacing w:after="0"/>
              <w:rPr>
                <w:sz w:val="20"/>
                <w:szCs w:val="20"/>
                <w:color w:val="auto"/>
              </w:rPr>
            </w:pPr>
            <w:r>
              <w:rPr>
                <w:rFonts w:ascii="Arial" w:cs="Arial" w:eastAsia="Arial" w:hAnsi="Arial"/>
                <w:sz w:val="11"/>
                <w:szCs w:val="11"/>
                <w:b w:val="1"/>
                <w:bCs w:val="1"/>
                <w:color w:val="58595B"/>
              </w:rPr>
              <w:t>Eric I.</w:t>
            </w: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PSU</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1"/>
                <w:szCs w:val="11"/>
                <w:color w:val="auto"/>
              </w:rPr>
            </w:pPr>
          </w:p>
        </w:tc>
        <w:tc>
          <w:tcPr>
            <w:tcW w:w="800" w:type="dxa"/>
            <w:vAlign w:val="bottom"/>
            <w:shd w:val="clear" w:color="auto" w:fill="EFEDED"/>
          </w:tcPr>
          <w:p>
            <w:pPr>
              <w:spacing w:after="0"/>
              <w:rPr>
                <w:sz w:val="11"/>
                <w:szCs w:val="11"/>
                <w:color w:val="auto"/>
              </w:rPr>
            </w:pPr>
          </w:p>
        </w:tc>
        <w:tc>
          <w:tcPr>
            <w:tcW w:w="820" w:type="dxa"/>
            <w:vAlign w:val="bottom"/>
            <w:tcBorders>
              <w:right w:val="single" w:sz="8" w:color="EFEDED"/>
            </w:tcBorders>
            <w:shd w:val="clear" w:color="auto" w:fill="EFEDED"/>
          </w:tcPr>
          <w:p>
            <w:pPr>
              <w:spacing w:after="0"/>
              <w:rPr>
                <w:sz w:val="11"/>
                <w:szCs w:val="11"/>
                <w:color w:val="auto"/>
              </w:rPr>
            </w:pPr>
          </w:p>
        </w:tc>
        <w:tc>
          <w:tcPr>
            <w:tcW w:w="7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4"/>
              </w:rPr>
              <w:t>5,070</w:t>
            </w:r>
          </w:p>
        </w:tc>
        <w:tc>
          <w:tcPr>
            <w:tcW w:w="5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10,139</w:t>
            </w:r>
          </w:p>
        </w:tc>
        <w:tc>
          <w:tcPr>
            <w:tcW w:w="340" w:type="dxa"/>
            <w:vAlign w:val="bottom"/>
            <w:vMerge w:val="restart"/>
            <w:shd w:val="clear" w:color="auto" w:fill="EFEDED"/>
          </w:tcPr>
          <w:p>
            <w:pPr>
              <w:jc w:val="right"/>
              <w:ind w:right="86"/>
              <w:spacing w:after="0"/>
              <w:rPr>
                <w:sz w:val="20"/>
                <w:szCs w:val="20"/>
                <w:color w:val="auto"/>
              </w:rPr>
            </w:pPr>
            <w:r>
              <w:rPr>
                <w:rFonts w:ascii="Arial" w:cs="Arial" w:eastAsia="Arial" w:hAnsi="Arial"/>
                <w:sz w:val="11"/>
                <w:szCs w:val="11"/>
                <w:color w:val="494949"/>
              </w:rPr>
              <w:t>(5)</w:t>
            </w:r>
          </w:p>
        </w:tc>
        <w:tc>
          <w:tcPr>
            <w:tcW w:w="7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20,278</w:t>
            </w:r>
          </w:p>
        </w:tc>
        <w:tc>
          <w:tcPr>
            <w:tcW w:w="840" w:type="dxa"/>
            <w:vAlign w:val="bottom"/>
            <w:shd w:val="clear" w:color="auto" w:fill="EFEDED"/>
          </w:tcPr>
          <w:p>
            <w:pPr>
              <w:spacing w:after="0"/>
              <w:rPr>
                <w:sz w:val="11"/>
                <w:szCs w:val="11"/>
                <w:color w:val="auto"/>
              </w:rPr>
            </w:pPr>
          </w:p>
        </w:tc>
        <w:tc>
          <w:tcPr>
            <w:tcW w:w="900" w:type="dxa"/>
            <w:vAlign w:val="bottom"/>
            <w:shd w:val="clear" w:color="auto" w:fill="EFEDED"/>
          </w:tcPr>
          <w:p>
            <w:pPr>
              <w:spacing w:after="0"/>
              <w:rPr>
                <w:sz w:val="11"/>
                <w:szCs w:val="11"/>
                <w:color w:val="auto"/>
              </w:rPr>
            </w:pPr>
          </w:p>
        </w:tc>
        <w:tc>
          <w:tcPr>
            <w:tcW w:w="740" w:type="dxa"/>
            <w:vAlign w:val="bottom"/>
            <w:shd w:val="clear" w:color="auto" w:fill="EFEDED"/>
          </w:tcPr>
          <w:p>
            <w:pPr>
              <w:spacing w:after="0"/>
              <w:rPr>
                <w:sz w:val="11"/>
                <w:szCs w:val="11"/>
                <w:color w:val="auto"/>
              </w:rPr>
            </w:pP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536,049</w:t>
            </w:r>
          </w:p>
        </w:tc>
        <w:tc>
          <w:tcPr>
            <w:tcW w:w="0" w:type="dxa"/>
            <w:vAlign w:val="bottom"/>
          </w:tcPr>
          <w:p>
            <w:pPr>
              <w:spacing w:after="0"/>
              <w:rPr>
                <w:sz w:val="1"/>
                <w:szCs w:val="1"/>
                <w:color w:val="auto"/>
              </w:rPr>
            </w:pPr>
          </w:p>
        </w:tc>
      </w:tr>
      <w:tr>
        <w:trPr>
          <w:trHeight w:val="74"/>
        </w:trPr>
        <w:tc>
          <w:tcPr>
            <w:tcW w:w="860" w:type="dxa"/>
            <w:vAlign w:val="bottom"/>
            <w:vMerge w:val="restart"/>
            <w:shd w:val="clear" w:color="auto" w:fill="EFEDED"/>
          </w:tcPr>
          <w:p>
            <w:pPr>
              <w:ind w:left="100"/>
              <w:spacing w:after="0"/>
              <w:rPr>
                <w:sz w:val="20"/>
                <w:szCs w:val="20"/>
                <w:color w:val="auto"/>
              </w:rPr>
            </w:pPr>
            <w:r>
              <w:rPr>
                <w:rFonts w:ascii="Arial" w:cs="Arial" w:eastAsia="Arial" w:hAnsi="Arial"/>
                <w:sz w:val="11"/>
                <w:szCs w:val="11"/>
                <w:b w:val="1"/>
                <w:bCs w:val="1"/>
                <w:color w:val="58595B"/>
              </w:rPr>
              <w:t>Schwartz</w:t>
            </w:r>
          </w:p>
        </w:tc>
        <w:tc>
          <w:tcPr>
            <w:tcW w:w="560" w:type="dxa"/>
            <w:vAlign w:val="bottom"/>
            <w:vMerge w:val="continue"/>
            <w:shd w:val="clear" w:color="auto" w:fill="EFEDED"/>
          </w:tcPr>
          <w:p>
            <w:pPr>
              <w:spacing w:after="0"/>
              <w:rPr>
                <w:sz w:val="6"/>
                <w:szCs w:val="6"/>
                <w:color w:val="auto"/>
              </w:rPr>
            </w:pP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vMerge w:val="continue"/>
            <w:shd w:val="clear" w:color="auto" w:fill="EFEDED"/>
          </w:tcPr>
          <w:p>
            <w:pPr>
              <w:spacing w:after="0"/>
              <w:rPr>
                <w:sz w:val="6"/>
                <w:szCs w:val="6"/>
                <w:color w:val="auto"/>
              </w:rPr>
            </w:pPr>
          </w:p>
        </w:tc>
        <w:tc>
          <w:tcPr>
            <w:tcW w:w="580" w:type="dxa"/>
            <w:vAlign w:val="bottom"/>
            <w:vMerge w:val="continue"/>
            <w:shd w:val="clear" w:color="auto" w:fill="EFEDED"/>
          </w:tcPr>
          <w:p>
            <w:pPr>
              <w:spacing w:after="0"/>
              <w:rPr>
                <w:sz w:val="6"/>
                <w:szCs w:val="6"/>
                <w:color w:val="auto"/>
              </w:rPr>
            </w:pPr>
          </w:p>
        </w:tc>
        <w:tc>
          <w:tcPr>
            <w:tcW w:w="340" w:type="dxa"/>
            <w:vAlign w:val="bottom"/>
            <w:vMerge w:val="continue"/>
            <w:shd w:val="clear" w:color="auto" w:fill="EFEDED"/>
          </w:tcPr>
          <w:p>
            <w:pPr>
              <w:spacing w:after="0"/>
              <w:rPr>
                <w:sz w:val="6"/>
                <w:szCs w:val="6"/>
                <w:color w:val="auto"/>
              </w:rPr>
            </w:pPr>
          </w:p>
        </w:tc>
        <w:tc>
          <w:tcPr>
            <w:tcW w:w="780" w:type="dxa"/>
            <w:vAlign w:val="bottom"/>
            <w:vMerge w:val="continue"/>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60" w:type="dxa"/>
            <w:vAlign w:val="bottom"/>
            <w:vMerge w:val="continue"/>
            <w:shd w:val="clear" w:color="auto" w:fill="EFEDED"/>
          </w:tcPr>
          <w:p>
            <w:pPr>
              <w:spacing w:after="0"/>
              <w:rPr>
                <w:sz w:val="6"/>
                <w:szCs w:val="6"/>
                <w:color w:val="auto"/>
              </w:rPr>
            </w:pPr>
          </w:p>
        </w:tc>
        <w:tc>
          <w:tcPr>
            <w:tcW w:w="560" w:type="dxa"/>
            <w:vAlign w:val="bottom"/>
            <w:shd w:val="clear" w:color="auto" w:fill="EFEDED"/>
          </w:tcPr>
          <w:p>
            <w:pPr>
              <w:spacing w:after="0"/>
              <w:rPr>
                <w:sz w:val="6"/>
                <w:szCs w:val="6"/>
                <w:color w:val="auto"/>
              </w:rPr>
            </w:pPr>
          </w:p>
        </w:tc>
        <w:tc>
          <w:tcPr>
            <w:tcW w:w="720" w:type="dxa"/>
            <w:vAlign w:val="bottom"/>
            <w:shd w:val="clear" w:color="auto" w:fill="EFEDED"/>
          </w:tcPr>
          <w:p>
            <w:pPr>
              <w:spacing w:after="0"/>
              <w:rPr>
                <w:sz w:val="6"/>
                <w:szCs w:val="6"/>
                <w:color w:val="auto"/>
              </w:rPr>
            </w:pPr>
          </w:p>
        </w:tc>
        <w:tc>
          <w:tcPr>
            <w:tcW w:w="880" w:type="dxa"/>
            <w:vAlign w:val="bottom"/>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shd w:val="clear" w:color="auto" w:fill="EFEDED"/>
          </w:tcPr>
          <w:p>
            <w:pPr>
              <w:spacing w:after="0"/>
              <w:rPr>
                <w:sz w:val="15"/>
                <w:szCs w:val="15"/>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RSA</w:t>
            </w:r>
          </w:p>
        </w:tc>
        <w:tc>
          <w:tcPr>
            <w:tcW w:w="72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5"/>
                <w:szCs w:val="15"/>
                <w:color w:val="auto"/>
              </w:rPr>
            </w:pPr>
          </w:p>
        </w:tc>
        <w:tc>
          <w:tcPr>
            <w:tcW w:w="800" w:type="dxa"/>
            <w:vAlign w:val="bottom"/>
            <w:shd w:val="clear" w:color="auto" w:fill="EFEDED"/>
          </w:tcPr>
          <w:p>
            <w:pPr>
              <w:spacing w:after="0"/>
              <w:rPr>
                <w:sz w:val="15"/>
                <w:szCs w:val="15"/>
                <w:color w:val="auto"/>
              </w:rPr>
            </w:pPr>
          </w:p>
        </w:tc>
        <w:tc>
          <w:tcPr>
            <w:tcW w:w="820" w:type="dxa"/>
            <w:vAlign w:val="bottom"/>
            <w:tcBorders>
              <w:right w:val="single" w:sz="8" w:color="EFEDED"/>
            </w:tcBorders>
            <w:shd w:val="clear" w:color="auto" w:fill="EFEDED"/>
          </w:tcPr>
          <w:p>
            <w:pPr>
              <w:spacing w:after="0"/>
              <w:rPr>
                <w:sz w:val="15"/>
                <w:szCs w:val="15"/>
                <w:color w:val="auto"/>
              </w:rPr>
            </w:pPr>
          </w:p>
        </w:tc>
        <w:tc>
          <w:tcPr>
            <w:tcW w:w="760" w:type="dxa"/>
            <w:vAlign w:val="bottom"/>
            <w:shd w:val="clear" w:color="auto" w:fill="EFEDED"/>
          </w:tcPr>
          <w:p>
            <w:pPr>
              <w:spacing w:after="0"/>
              <w:rPr>
                <w:sz w:val="15"/>
                <w:szCs w:val="15"/>
                <w:color w:val="auto"/>
              </w:rPr>
            </w:pPr>
          </w:p>
        </w:tc>
        <w:tc>
          <w:tcPr>
            <w:tcW w:w="580" w:type="dxa"/>
            <w:vAlign w:val="bottom"/>
            <w:shd w:val="clear" w:color="auto" w:fill="EFEDED"/>
          </w:tcPr>
          <w:p>
            <w:pPr>
              <w:spacing w:after="0"/>
              <w:rPr>
                <w:sz w:val="15"/>
                <w:szCs w:val="15"/>
                <w:color w:val="auto"/>
              </w:rPr>
            </w:pPr>
          </w:p>
        </w:tc>
        <w:tc>
          <w:tcPr>
            <w:tcW w:w="340" w:type="dxa"/>
            <w:vAlign w:val="bottom"/>
            <w:shd w:val="clear" w:color="auto" w:fill="EFEDED"/>
          </w:tcPr>
          <w:p>
            <w:pPr>
              <w:spacing w:after="0"/>
              <w:rPr>
                <w:sz w:val="15"/>
                <w:szCs w:val="15"/>
                <w:color w:val="auto"/>
              </w:rPr>
            </w:pPr>
          </w:p>
        </w:tc>
        <w:tc>
          <w:tcPr>
            <w:tcW w:w="78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5,070</w:t>
            </w:r>
          </w:p>
        </w:tc>
        <w:tc>
          <w:tcPr>
            <w:tcW w:w="900" w:type="dxa"/>
            <w:vAlign w:val="bottom"/>
            <w:shd w:val="clear" w:color="auto" w:fill="EFEDED"/>
          </w:tcPr>
          <w:p>
            <w:pPr>
              <w:spacing w:after="0"/>
              <w:rPr>
                <w:sz w:val="15"/>
                <w:szCs w:val="15"/>
                <w:color w:val="auto"/>
              </w:rPr>
            </w:pPr>
          </w:p>
        </w:tc>
        <w:tc>
          <w:tcPr>
            <w:tcW w:w="740" w:type="dxa"/>
            <w:vAlign w:val="bottom"/>
            <w:shd w:val="clear" w:color="auto" w:fill="EFEDED"/>
          </w:tcPr>
          <w:p>
            <w:pPr>
              <w:spacing w:after="0"/>
              <w:rPr>
                <w:sz w:val="15"/>
                <w:szCs w:val="15"/>
                <w:color w:val="auto"/>
              </w:rPr>
            </w:pPr>
          </w:p>
        </w:tc>
        <w:tc>
          <w:tcPr>
            <w:tcW w:w="840" w:type="dxa"/>
            <w:vAlign w:val="bottom"/>
            <w:shd w:val="clear" w:color="auto" w:fill="EFEDED"/>
          </w:tcPr>
          <w:p>
            <w:pPr>
              <w:jc w:val="center"/>
              <w:spacing w:after="0"/>
              <w:rPr>
                <w:sz w:val="20"/>
                <w:szCs w:val="20"/>
                <w:color w:val="auto"/>
              </w:rPr>
            </w:pPr>
            <w:r>
              <w:rPr>
                <w:rFonts w:ascii="Arial" w:cs="Arial" w:eastAsia="Arial" w:hAnsi="Arial"/>
                <w:sz w:val="11"/>
                <w:szCs w:val="11"/>
                <w:color w:val="494949"/>
                <w:w w:val="95"/>
              </w:rPr>
              <w:t>268,051</w:t>
            </w: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Stock</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3/10/2023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shd w:val="clear" w:color="auto" w:fill="EFEDED"/>
          </w:tcPr>
          <w:p>
            <w:pPr>
              <w:spacing w:after="0"/>
              <w:rPr>
                <w:sz w:val="14"/>
                <w:szCs w:val="14"/>
                <w:color w:val="auto"/>
              </w:rPr>
            </w:pPr>
          </w:p>
        </w:tc>
        <w:tc>
          <w:tcPr>
            <w:tcW w:w="800" w:type="dxa"/>
            <w:vAlign w:val="bottom"/>
            <w:shd w:val="clear" w:color="auto" w:fill="EFEDED"/>
          </w:tcPr>
          <w:p>
            <w:pPr>
              <w:spacing w:after="0"/>
              <w:rPr>
                <w:sz w:val="14"/>
                <w:szCs w:val="14"/>
                <w:color w:val="auto"/>
              </w:rPr>
            </w:pPr>
          </w:p>
        </w:tc>
        <w:tc>
          <w:tcPr>
            <w:tcW w:w="820" w:type="dxa"/>
            <w:vAlign w:val="bottom"/>
            <w:tcBorders>
              <w:right w:val="single" w:sz="8" w:color="EFEDED"/>
            </w:tcBorders>
            <w:shd w:val="clear" w:color="auto" w:fill="EFEDED"/>
          </w:tcPr>
          <w:p>
            <w:pPr>
              <w:spacing w:after="0"/>
              <w:rPr>
                <w:sz w:val="14"/>
                <w:szCs w:val="14"/>
                <w:color w:val="auto"/>
              </w:rPr>
            </w:pP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12,419</w:t>
            </w:r>
          </w:p>
        </w:tc>
        <w:tc>
          <w:tcPr>
            <w:tcW w:w="7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52.87</w:t>
            </w:r>
          </w:p>
        </w:tc>
        <w:tc>
          <w:tcPr>
            <w:tcW w:w="84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268,002</w:t>
            </w: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8"/>
              </w:rPr>
              <w:t>Option</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shd w:val="clear" w:color="auto" w:fill="EFEDED"/>
          </w:tcPr>
          <w:p>
            <w:pPr>
              <w:spacing w:after="0"/>
              <w:rPr>
                <w:sz w:val="6"/>
                <w:szCs w:val="6"/>
                <w:color w:val="auto"/>
              </w:rPr>
            </w:pPr>
          </w:p>
        </w:tc>
        <w:tc>
          <w:tcPr>
            <w:tcW w:w="800" w:type="dxa"/>
            <w:vAlign w:val="bottom"/>
            <w:shd w:val="clear" w:color="auto" w:fill="EFEDED"/>
          </w:tcPr>
          <w:p>
            <w:pPr>
              <w:spacing w:after="0"/>
              <w:rPr>
                <w:sz w:val="6"/>
                <w:szCs w:val="6"/>
                <w:color w:val="auto"/>
              </w:rPr>
            </w:pPr>
          </w:p>
        </w:tc>
        <w:tc>
          <w:tcPr>
            <w:tcW w:w="820" w:type="dxa"/>
            <w:vAlign w:val="bottom"/>
            <w:tcBorders>
              <w:right w:val="single" w:sz="8" w:color="EFEDED"/>
            </w:tcBorders>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vMerge w:val="continue"/>
            <w:shd w:val="clear" w:color="auto" w:fill="EFEDED"/>
          </w:tcPr>
          <w:p>
            <w:pPr>
              <w:spacing w:after="0"/>
              <w:rPr>
                <w:sz w:val="6"/>
                <w:szCs w:val="6"/>
                <w:color w:val="auto"/>
              </w:rPr>
            </w:pPr>
          </w:p>
        </w:tc>
        <w:tc>
          <w:tcPr>
            <w:tcW w:w="740" w:type="dxa"/>
            <w:vAlign w:val="bottom"/>
            <w:vMerge w:val="continue"/>
            <w:shd w:val="clear" w:color="auto" w:fill="EFEDED"/>
          </w:tcPr>
          <w:p>
            <w:pPr>
              <w:spacing w:after="0"/>
              <w:rPr>
                <w:sz w:val="6"/>
                <w:szCs w:val="6"/>
                <w:color w:val="auto"/>
              </w:rPr>
            </w:pPr>
          </w:p>
        </w:tc>
        <w:tc>
          <w:tcPr>
            <w:tcW w:w="84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FEDED"/>
          </w:tcPr>
          <w:p>
            <w:pPr>
              <w:spacing w:after="0"/>
              <w:rPr>
                <w:sz w:val="5"/>
                <w:szCs w:val="5"/>
                <w:color w:val="auto"/>
              </w:rPr>
            </w:pPr>
          </w:p>
        </w:tc>
        <w:tc>
          <w:tcPr>
            <w:tcW w:w="560" w:type="dxa"/>
            <w:vAlign w:val="bottom"/>
            <w:vMerge w:val="continue"/>
            <w:shd w:val="clear" w:color="auto" w:fill="EFEDED"/>
          </w:tcPr>
          <w:p>
            <w:pPr>
              <w:spacing w:after="0"/>
              <w:rPr>
                <w:sz w:val="5"/>
                <w:szCs w:val="5"/>
                <w:color w:val="auto"/>
              </w:rPr>
            </w:pPr>
          </w:p>
        </w:tc>
        <w:tc>
          <w:tcPr>
            <w:tcW w:w="720" w:type="dxa"/>
            <w:vAlign w:val="bottom"/>
            <w:shd w:val="clear" w:color="auto" w:fill="EFEDED"/>
          </w:tcPr>
          <w:p>
            <w:pPr>
              <w:spacing w:after="0"/>
              <w:rPr>
                <w:sz w:val="5"/>
                <w:szCs w:val="5"/>
                <w:color w:val="auto"/>
              </w:rPr>
            </w:pPr>
          </w:p>
        </w:tc>
        <w:tc>
          <w:tcPr>
            <w:tcW w:w="880" w:type="dxa"/>
            <w:vAlign w:val="bottom"/>
            <w:shd w:val="clear" w:color="auto" w:fill="EFEDED"/>
          </w:tcPr>
          <w:p>
            <w:pPr>
              <w:spacing w:after="0"/>
              <w:rPr>
                <w:sz w:val="5"/>
                <w:szCs w:val="5"/>
                <w:color w:val="auto"/>
              </w:rPr>
            </w:pPr>
          </w:p>
        </w:tc>
        <w:tc>
          <w:tcPr>
            <w:tcW w:w="820" w:type="dxa"/>
            <w:vAlign w:val="bottom"/>
            <w:shd w:val="clear" w:color="auto" w:fill="EFEDED"/>
          </w:tcPr>
          <w:p>
            <w:pPr>
              <w:spacing w:after="0"/>
              <w:rPr>
                <w:sz w:val="5"/>
                <w:szCs w:val="5"/>
                <w:color w:val="auto"/>
              </w:rPr>
            </w:pPr>
          </w:p>
        </w:tc>
        <w:tc>
          <w:tcPr>
            <w:tcW w:w="800" w:type="dxa"/>
            <w:vAlign w:val="bottom"/>
            <w:shd w:val="clear" w:color="auto" w:fill="EFEDED"/>
          </w:tcPr>
          <w:p>
            <w:pPr>
              <w:spacing w:after="0"/>
              <w:rPr>
                <w:sz w:val="5"/>
                <w:szCs w:val="5"/>
                <w:color w:val="auto"/>
              </w:rPr>
            </w:pPr>
          </w:p>
        </w:tc>
        <w:tc>
          <w:tcPr>
            <w:tcW w:w="820" w:type="dxa"/>
            <w:vAlign w:val="bottom"/>
            <w:tcBorders>
              <w:right w:val="single" w:sz="8" w:color="EFEDED"/>
            </w:tcBorders>
            <w:shd w:val="clear" w:color="auto" w:fill="EFEDED"/>
          </w:tcPr>
          <w:p>
            <w:pPr>
              <w:spacing w:after="0"/>
              <w:rPr>
                <w:sz w:val="5"/>
                <w:szCs w:val="5"/>
                <w:color w:val="auto"/>
              </w:rPr>
            </w:pPr>
          </w:p>
        </w:tc>
        <w:tc>
          <w:tcPr>
            <w:tcW w:w="760" w:type="dxa"/>
            <w:vAlign w:val="bottom"/>
            <w:shd w:val="clear" w:color="auto" w:fill="EFEDED"/>
          </w:tcPr>
          <w:p>
            <w:pPr>
              <w:spacing w:after="0"/>
              <w:rPr>
                <w:sz w:val="5"/>
                <w:szCs w:val="5"/>
                <w:color w:val="auto"/>
              </w:rPr>
            </w:pPr>
          </w:p>
        </w:tc>
        <w:tc>
          <w:tcPr>
            <w:tcW w:w="580" w:type="dxa"/>
            <w:vAlign w:val="bottom"/>
            <w:shd w:val="clear" w:color="auto" w:fill="EFEDED"/>
          </w:tcPr>
          <w:p>
            <w:pPr>
              <w:spacing w:after="0"/>
              <w:rPr>
                <w:sz w:val="5"/>
                <w:szCs w:val="5"/>
                <w:color w:val="auto"/>
              </w:rPr>
            </w:pPr>
          </w:p>
        </w:tc>
        <w:tc>
          <w:tcPr>
            <w:tcW w:w="340" w:type="dxa"/>
            <w:vAlign w:val="bottom"/>
            <w:shd w:val="clear" w:color="auto" w:fill="EFEDED"/>
          </w:tcPr>
          <w:p>
            <w:pPr>
              <w:spacing w:after="0"/>
              <w:rPr>
                <w:sz w:val="5"/>
                <w:szCs w:val="5"/>
                <w:color w:val="auto"/>
              </w:rPr>
            </w:pPr>
          </w:p>
        </w:tc>
        <w:tc>
          <w:tcPr>
            <w:tcW w:w="78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900" w:type="dxa"/>
            <w:vAlign w:val="bottom"/>
            <w:shd w:val="clear" w:color="auto" w:fill="EFEDED"/>
          </w:tcPr>
          <w:p>
            <w:pPr>
              <w:spacing w:after="0"/>
              <w:rPr>
                <w:sz w:val="5"/>
                <w:szCs w:val="5"/>
                <w:color w:val="auto"/>
              </w:rPr>
            </w:pPr>
          </w:p>
        </w:tc>
        <w:tc>
          <w:tcPr>
            <w:tcW w:w="740" w:type="dxa"/>
            <w:vAlign w:val="bottom"/>
            <w:shd w:val="clear" w:color="auto" w:fill="EFEDED"/>
          </w:tcPr>
          <w:p>
            <w:pPr>
              <w:spacing w:after="0"/>
              <w:rPr>
                <w:sz w:val="5"/>
                <w:szCs w:val="5"/>
                <w:color w:val="auto"/>
              </w:rPr>
            </w:pPr>
          </w:p>
        </w:tc>
        <w:tc>
          <w:tcPr>
            <w:tcW w:w="8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EFEDED"/>
          </w:tcPr>
          <w:p>
            <w:pPr>
              <w:spacing w:after="0"/>
              <w:rPr>
                <w:sz w:val="14"/>
                <w:szCs w:val="14"/>
                <w:color w:val="auto"/>
              </w:rPr>
            </w:pPr>
          </w:p>
        </w:tc>
        <w:tc>
          <w:tcPr>
            <w:tcW w:w="560" w:type="dxa"/>
            <w:vAlign w:val="bottom"/>
            <w:shd w:val="clear" w:color="auto" w:fill="EFEDED"/>
          </w:tcPr>
          <w:p>
            <w:pPr>
              <w:jc w:val="center"/>
              <w:spacing w:after="0"/>
              <w:rPr>
                <w:sz w:val="20"/>
                <w:szCs w:val="20"/>
                <w:color w:val="auto"/>
              </w:rPr>
            </w:pPr>
            <w:r>
              <w:rPr>
                <w:rFonts w:ascii="Arial" w:cs="Arial" w:eastAsia="Arial" w:hAnsi="Arial"/>
                <w:sz w:val="11"/>
                <w:szCs w:val="11"/>
                <w:color w:val="494949"/>
              </w:rPr>
              <w:t>Cash</w:t>
            </w:r>
          </w:p>
        </w:tc>
        <w:tc>
          <w:tcPr>
            <w:tcW w:w="7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1/1/2023</w:t>
            </w:r>
          </w:p>
        </w:tc>
        <w:tc>
          <w:tcPr>
            <w:tcW w:w="88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7"/>
              </w:rPr>
              <w:t>2/13/2023</w:t>
            </w:r>
          </w:p>
        </w:tc>
        <w:tc>
          <w:tcPr>
            <w:tcW w:w="82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rPr>
              <w:t>75,668</w:t>
            </w:r>
          </w:p>
        </w:tc>
        <w:tc>
          <w:tcPr>
            <w:tcW w:w="80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5"/>
              </w:rPr>
              <w:t>378,342</w:t>
            </w:r>
          </w:p>
        </w:tc>
        <w:tc>
          <w:tcPr>
            <w:tcW w:w="820" w:type="dxa"/>
            <w:vAlign w:val="bottom"/>
            <w:tcBorders>
              <w:right w:val="single" w:sz="8" w:color="EFEDED"/>
            </w:tcBorders>
            <w:vMerge w:val="restart"/>
            <w:shd w:val="clear" w:color="auto" w:fill="EFEDED"/>
          </w:tcPr>
          <w:p>
            <w:pPr>
              <w:jc w:val="center"/>
              <w:ind w:right="3"/>
              <w:spacing w:after="0"/>
              <w:rPr>
                <w:sz w:val="20"/>
                <w:szCs w:val="20"/>
                <w:color w:val="auto"/>
              </w:rPr>
            </w:pPr>
            <w:r>
              <w:rPr>
                <w:rFonts w:ascii="Arial" w:cs="Arial" w:eastAsia="Arial" w:hAnsi="Arial"/>
                <w:sz w:val="11"/>
                <w:szCs w:val="11"/>
                <w:color w:val="494949"/>
              </w:rPr>
              <w:t>756,683</w:t>
            </w:r>
          </w:p>
        </w:tc>
        <w:tc>
          <w:tcPr>
            <w:tcW w:w="760" w:type="dxa"/>
            <w:vAlign w:val="bottom"/>
            <w:shd w:val="clear" w:color="auto" w:fill="EFEDED"/>
          </w:tcPr>
          <w:p>
            <w:pPr>
              <w:spacing w:after="0"/>
              <w:rPr>
                <w:sz w:val="14"/>
                <w:szCs w:val="14"/>
                <w:color w:val="auto"/>
              </w:rPr>
            </w:pPr>
          </w:p>
        </w:tc>
        <w:tc>
          <w:tcPr>
            <w:tcW w:w="580" w:type="dxa"/>
            <w:vAlign w:val="bottom"/>
            <w:shd w:val="clear" w:color="auto" w:fill="EFEDED"/>
          </w:tcPr>
          <w:p>
            <w:pPr>
              <w:spacing w:after="0"/>
              <w:rPr>
                <w:sz w:val="14"/>
                <w:szCs w:val="14"/>
                <w:color w:val="auto"/>
              </w:rPr>
            </w:pPr>
          </w:p>
        </w:tc>
        <w:tc>
          <w:tcPr>
            <w:tcW w:w="340" w:type="dxa"/>
            <w:vAlign w:val="bottom"/>
            <w:shd w:val="clear" w:color="auto" w:fill="EFEDED"/>
          </w:tcPr>
          <w:p>
            <w:pPr>
              <w:spacing w:after="0"/>
              <w:rPr>
                <w:sz w:val="14"/>
                <w:szCs w:val="14"/>
                <w:color w:val="auto"/>
              </w:rPr>
            </w:pPr>
          </w:p>
        </w:tc>
        <w:tc>
          <w:tcPr>
            <w:tcW w:w="78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900" w:type="dxa"/>
            <w:vAlign w:val="bottom"/>
            <w:shd w:val="clear" w:color="auto" w:fill="EFEDED"/>
          </w:tcPr>
          <w:p>
            <w:pPr>
              <w:spacing w:after="0"/>
              <w:rPr>
                <w:sz w:val="14"/>
                <w:szCs w:val="14"/>
                <w:color w:val="auto"/>
              </w:rPr>
            </w:pPr>
          </w:p>
        </w:tc>
        <w:tc>
          <w:tcPr>
            <w:tcW w:w="740" w:type="dxa"/>
            <w:vAlign w:val="bottom"/>
            <w:shd w:val="clear" w:color="auto" w:fill="EFEDED"/>
          </w:tcPr>
          <w:p>
            <w:pPr>
              <w:spacing w:after="0"/>
              <w:rPr>
                <w:sz w:val="14"/>
                <w:szCs w:val="14"/>
                <w:color w:val="auto"/>
              </w:rPr>
            </w:pPr>
          </w:p>
        </w:tc>
        <w:tc>
          <w:tcPr>
            <w:tcW w:w="840" w:type="dxa"/>
            <w:vAlign w:val="bottom"/>
            <w:shd w:val="clear" w:color="auto" w:fill="EFEDED"/>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0" w:type="dxa"/>
            <w:vAlign w:val="bottom"/>
            <w:shd w:val="clear" w:color="auto" w:fill="EFEDED"/>
          </w:tcPr>
          <w:p>
            <w:pPr>
              <w:spacing w:after="0"/>
              <w:rPr>
                <w:sz w:val="6"/>
                <w:szCs w:val="6"/>
                <w:color w:val="auto"/>
              </w:rPr>
            </w:pPr>
          </w:p>
        </w:tc>
        <w:tc>
          <w:tcPr>
            <w:tcW w:w="560" w:type="dxa"/>
            <w:vAlign w:val="bottom"/>
            <w:vMerge w:val="restart"/>
            <w:shd w:val="clear" w:color="auto" w:fill="EFEDED"/>
          </w:tcPr>
          <w:p>
            <w:pPr>
              <w:jc w:val="center"/>
              <w:spacing w:after="0"/>
              <w:rPr>
                <w:sz w:val="20"/>
                <w:szCs w:val="20"/>
                <w:color w:val="auto"/>
              </w:rPr>
            </w:pPr>
            <w:r>
              <w:rPr>
                <w:rFonts w:ascii="Arial" w:cs="Arial" w:eastAsia="Arial" w:hAnsi="Arial"/>
                <w:sz w:val="11"/>
                <w:szCs w:val="11"/>
                <w:color w:val="494949"/>
                <w:w w:val="96"/>
              </w:rPr>
              <w:t>Bonus</w:t>
            </w:r>
          </w:p>
        </w:tc>
        <w:tc>
          <w:tcPr>
            <w:tcW w:w="720" w:type="dxa"/>
            <w:vAlign w:val="bottom"/>
            <w:vMerge w:val="continue"/>
            <w:shd w:val="clear" w:color="auto" w:fill="EFEDED"/>
          </w:tcPr>
          <w:p>
            <w:pPr>
              <w:spacing w:after="0"/>
              <w:rPr>
                <w:sz w:val="6"/>
                <w:szCs w:val="6"/>
                <w:color w:val="auto"/>
              </w:rPr>
            </w:pPr>
          </w:p>
        </w:tc>
        <w:tc>
          <w:tcPr>
            <w:tcW w:w="880" w:type="dxa"/>
            <w:vAlign w:val="bottom"/>
            <w:vMerge w:val="continue"/>
            <w:shd w:val="clear" w:color="auto" w:fill="EFEDED"/>
          </w:tcPr>
          <w:p>
            <w:pPr>
              <w:spacing w:after="0"/>
              <w:rPr>
                <w:sz w:val="6"/>
                <w:szCs w:val="6"/>
                <w:color w:val="auto"/>
              </w:rPr>
            </w:pPr>
          </w:p>
        </w:tc>
        <w:tc>
          <w:tcPr>
            <w:tcW w:w="820" w:type="dxa"/>
            <w:vAlign w:val="bottom"/>
            <w:vMerge w:val="continue"/>
            <w:shd w:val="clear" w:color="auto" w:fill="EFEDED"/>
          </w:tcPr>
          <w:p>
            <w:pPr>
              <w:spacing w:after="0"/>
              <w:rPr>
                <w:sz w:val="6"/>
                <w:szCs w:val="6"/>
                <w:color w:val="auto"/>
              </w:rPr>
            </w:pPr>
          </w:p>
        </w:tc>
        <w:tc>
          <w:tcPr>
            <w:tcW w:w="800" w:type="dxa"/>
            <w:vAlign w:val="bottom"/>
            <w:vMerge w:val="continue"/>
            <w:shd w:val="clear" w:color="auto" w:fill="EFEDED"/>
          </w:tcPr>
          <w:p>
            <w:pPr>
              <w:spacing w:after="0"/>
              <w:rPr>
                <w:sz w:val="6"/>
                <w:szCs w:val="6"/>
                <w:color w:val="auto"/>
              </w:rPr>
            </w:pPr>
          </w:p>
        </w:tc>
        <w:tc>
          <w:tcPr>
            <w:tcW w:w="820" w:type="dxa"/>
            <w:vAlign w:val="bottom"/>
            <w:tcBorders>
              <w:right w:val="single" w:sz="8" w:color="EFEDED"/>
            </w:tcBorders>
            <w:vMerge w:val="continue"/>
            <w:shd w:val="clear" w:color="auto" w:fill="EFEDED"/>
          </w:tcPr>
          <w:p>
            <w:pPr>
              <w:spacing w:after="0"/>
              <w:rPr>
                <w:sz w:val="6"/>
                <w:szCs w:val="6"/>
                <w:color w:val="auto"/>
              </w:rPr>
            </w:pPr>
          </w:p>
        </w:tc>
        <w:tc>
          <w:tcPr>
            <w:tcW w:w="760" w:type="dxa"/>
            <w:vAlign w:val="bottom"/>
            <w:shd w:val="clear" w:color="auto" w:fill="EFEDED"/>
          </w:tcPr>
          <w:p>
            <w:pPr>
              <w:spacing w:after="0"/>
              <w:rPr>
                <w:sz w:val="6"/>
                <w:szCs w:val="6"/>
                <w:color w:val="auto"/>
              </w:rPr>
            </w:pPr>
          </w:p>
        </w:tc>
        <w:tc>
          <w:tcPr>
            <w:tcW w:w="5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c>
          <w:tcPr>
            <w:tcW w:w="78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740" w:type="dxa"/>
            <w:vAlign w:val="bottom"/>
            <w:shd w:val="clear" w:color="auto" w:fill="EFEDED"/>
          </w:tcPr>
          <w:p>
            <w:pPr>
              <w:spacing w:after="0"/>
              <w:rPr>
                <w:sz w:val="6"/>
                <w:szCs w:val="6"/>
                <w:color w:val="auto"/>
              </w:rPr>
            </w:pPr>
          </w:p>
        </w:tc>
        <w:tc>
          <w:tcPr>
            <w:tcW w:w="8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EFEDED"/>
            </w:tcBorders>
            <w:shd w:val="clear" w:color="auto" w:fill="EFEDED"/>
          </w:tcPr>
          <w:p>
            <w:pPr>
              <w:spacing w:after="0"/>
              <w:rPr>
                <w:sz w:val="7"/>
                <w:szCs w:val="7"/>
                <w:color w:val="auto"/>
              </w:rPr>
            </w:pPr>
          </w:p>
        </w:tc>
        <w:tc>
          <w:tcPr>
            <w:tcW w:w="560" w:type="dxa"/>
            <w:vAlign w:val="bottom"/>
            <w:tcBorders>
              <w:bottom w:val="single" w:sz="8" w:color="EFEDED"/>
            </w:tcBorders>
            <w:vMerge w:val="continue"/>
            <w:shd w:val="clear" w:color="auto" w:fill="EFEDED"/>
          </w:tcPr>
          <w:p>
            <w:pPr>
              <w:spacing w:after="0"/>
              <w:rPr>
                <w:sz w:val="7"/>
                <w:szCs w:val="7"/>
                <w:color w:val="auto"/>
              </w:rPr>
            </w:pPr>
          </w:p>
        </w:tc>
        <w:tc>
          <w:tcPr>
            <w:tcW w:w="720" w:type="dxa"/>
            <w:vAlign w:val="bottom"/>
            <w:tcBorders>
              <w:bottom w:val="single" w:sz="8" w:color="EFEDED"/>
            </w:tcBorders>
            <w:shd w:val="clear" w:color="auto" w:fill="EFEDED"/>
          </w:tcPr>
          <w:p>
            <w:pPr>
              <w:spacing w:after="0"/>
              <w:rPr>
                <w:sz w:val="7"/>
                <w:szCs w:val="7"/>
                <w:color w:val="auto"/>
              </w:rPr>
            </w:pPr>
          </w:p>
        </w:tc>
        <w:tc>
          <w:tcPr>
            <w:tcW w:w="88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tcBorders>
            <w:shd w:val="clear" w:color="auto" w:fill="EFEDED"/>
          </w:tcPr>
          <w:p>
            <w:pPr>
              <w:spacing w:after="0"/>
              <w:rPr>
                <w:sz w:val="7"/>
                <w:szCs w:val="7"/>
                <w:color w:val="auto"/>
              </w:rPr>
            </w:pPr>
          </w:p>
        </w:tc>
        <w:tc>
          <w:tcPr>
            <w:tcW w:w="800" w:type="dxa"/>
            <w:vAlign w:val="bottom"/>
            <w:tcBorders>
              <w:bottom w:val="single" w:sz="8" w:color="EFEDED"/>
            </w:tcBorders>
            <w:shd w:val="clear" w:color="auto" w:fill="EFEDED"/>
          </w:tcPr>
          <w:p>
            <w:pPr>
              <w:spacing w:after="0"/>
              <w:rPr>
                <w:sz w:val="7"/>
                <w:szCs w:val="7"/>
                <w:color w:val="auto"/>
              </w:rPr>
            </w:pPr>
          </w:p>
        </w:tc>
        <w:tc>
          <w:tcPr>
            <w:tcW w:w="820" w:type="dxa"/>
            <w:vAlign w:val="bottom"/>
            <w:tcBorders>
              <w:bottom w:val="single" w:sz="8" w:color="EFEDED"/>
              <w:right w:val="single" w:sz="8" w:color="EFEDED"/>
            </w:tcBorders>
            <w:shd w:val="clear" w:color="auto" w:fill="EFEDED"/>
          </w:tcPr>
          <w:p>
            <w:pPr>
              <w:spacing w:after="0"/>
              <w:rPr>
                <w:sz w:val="7"/>
                <w:szCs w:val="7"/>
                <w:color w:val="auto"/>
              </w:rPr>
            </w:pPr>
          </w:p>
        </w:tc>
        <w:tc>
          <w:tcPr>
            <w:tcW w:w="760" w:type="dxa"/>
            <w:vAlign w:val="bottom"/>
            <w:tcBorders>
              <w:bottom w:val="single" w:sz="8" w:color="EFEDED"/>
            </w:tcBorders>
            <w:shd w:val="clear" w:color="auto" w:fill="EFEDED"/>
          </w:tcPr>
          <w:p>
            <w:pPr>
              <w:spacing w:after="0"/>
              <w:rPr>
                <w:sz w:val="7"/>
                <w:szCs w:val="7"/>
                <w:color w:val="auto"/>
              </w:rPr>
            </w:pPr>
          </w:p>
        </w:tc>
        <w:tc>
          <w:tcPr>
            <w:tcW w:w="580" w:type="dxa"/>
            <w:vAlign w:val="bottom"/>
            <w:tcBorders>
              <w:bottom w:val="single" w:sz="8" w:color="EFEDED"/>
            </w:tcBorders>
            <w:shd w:val="clear" w:color="auto" w:fill="EFEDED"/>
          </w:tcPr>
          <w:p>
            <w:pPr>
              <w:spacing w:after="0"/>
              <w:rPr>
                <w:sz w:val="7"/>
                <w:szCs w:val="7"/>
                <w:color w:val="auto"/>
              </w:rPr>
            </w:pPr>
          </w:p>
        </w:tc>
        <w:tc>
          <w:tcPr>
            <w:tcW w:w="340" w:type="dxa"/>
            <w:vAlign w:val="bottom"/>
            <w:tcBorders>
              <w:bottom w:val="single" w:sz="8" w:color="EFEDED"/>
            </w:tcBorders>
            <w:shd w:val="clear" w:color="auto" w:fill="EFEDED"/>
          </w:tcPr>
          <w:p>
            <w:pPr>
              <w:spacing w:after="0"/>
              <w:rPr>
                <w:sz w:val="7"/>
                <w:szCs w:val="7"/>
                <w:color w:val="auto"/>
              </w:rPr>
            </w:pPr>
          </w:p>
        </w:tc>
        <w:tc>
          <w:tcPr>
            <w:tcW w:w="78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900" w:type="dxa"/>
            <w:vAlign w:val="bottom"/>
            <w:tcBorders>
              <w:bottom w:val="single" w:sz="8" w:color="EFEDED"/>
            </w:tcBorders>
            <w:shd w:val="clear" w:color="auto" w:fill="EFEDED"/>
          </w:tcPr>
          <w:p>
            <w:pPr>
              <w:spacing w:after="0"/>
              <w:rPr>
                <w:sz w:val="7"/>
                <w:szCs w:val="7"/>
                <w:color w:val="auto"/>
              </w:rPr>
            </w:pPr>
          </w:p>
        </w:tc>
        <w:tc>
          <w:tcPr>
            <w:tcW w:w="740" w:type="dxa"/>
            <w:vAlign w:val="bottom"/>
            <w:tcBorders>
              <w:bottom w:val="single" w:sz="8" w:color="EFEDED"/>
            </w:tcBorders>
            <w:shd w:val="clear" w:color="auto" w:fill="EFEDED"/>
          </w:tcPr>
          <w:p>
            <w:pPr>
              <w:spacing w:after="0"/>
              <w:rPr>
                <w:sz w:val="7"/>
                <w:szCs w:val="7"/>
                <w:color w:val="auto"/>
              </w:rPr>
            </w:pPr>
          </w:p>
        </w:tc>
        <w:tc>
          <w:tcPr>
            <w:tcW w:w="840" w:type="dxa"/>
            <w:vAlign w:val="bottom"/>
            <w:tcBorders>
              <w:bottom w:val="single" w:sz="8" w:color="EFEDED"/>
            </w:tcBorders>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58595B"/>
          </w:tcPr>
          <w:p>
            <w:pPr>
              <w:spacing w:after="0" w:line="20" w:lineRule="exact"/>
              <w:rPr>
                <w:sz w:val="1"/>
                <w:szCs w:val="1"/>
                <w:color w:val="auto"/>
              </w:rPr>
            </w:pPr>
          </w:p>
        </w:tc>
        <w:tc>
          <w:tcPr>
            <w:tcW w:w="560" w:type="dxa"/>
            <w:vAlign w:val="bottom"/>
            <w:shd w:val="clear" w:color="auto" w:fill="58595B"/>
          </w:tcPr>
          <w:p>
            <w:pPr>
              <w:spacing w:after="0" w:line="20" w:lineRule="exact"/>
              <w:rPr>
                <w:sz w:val="1"/>
                <w:szCs w:val="1"/>
                <w:color w:val="auto"/>
              </w:rPr>
            </w:pPr>
          </w:p>
        </w:tc>
        <w:tc>
          <w:tcPr>
            <w:tcW w:w="720" w:type="dxa"/>
            <w:vAlign w:val="bottom"/>
            <w:shd w:val="clear" w:color="auto" w:fill="58595B"/>
          </w:tcPr>
          <w:p>
            <w:pPr>
              <w:spacing w:after="0" w:line="20" w:lineRule="exact"/>
              <w:rPr>
                <w:sz w:val="1"/>
                <w:szCs w:val="1"/>
                <w:color w:val="auto"/>
              </w:rPr>
            </w:pPr>
          </w:p>
        </w:tc>
        <w:tc>
          <w:tcPr>
            <w:tcW w:w="880" w:type="dxa"/>
            <w:vAlign w:val="bottom"/>
            <w:shd w:val="clear" w:color="auto" w:fill="58595B"/>
          </w:tcPr>
          <w:p>
            <w:pPr>
              <w:spacing w:after="0" w:line="20" w:lineRule="exact"/>
              <w:rPr>
                <w:sz w:val="1"/>
                <w:szCs w:val="1"/>
                <w:color w:val="auto"/>
              </w:rPr>
            </w:pPr>
          </w:p>
        </w:tc>
        <w:tc>
          <w:tcPr>
            <w:tcW w:w="820" w:type="dxa"/>
            <w:vAlign w:val="bottom"/>
            <w:shd w:val="clear" w:color="auto" w:fill="58595B"/>
          </w:tcPr>
          <w:p>
            <w:pPr>
              <w:spacing w:after="0" w:line="20" w:lineRule="exact"/>
              <w:rPr>
                <w:sz w:val="1"/>
                <w:szCs w:val="1"/>
                <w:color w:val="auto"/>
              </w:rPr>
            </w:pPr>
          </w:p>
        </w:tc>
        <w:tc>
          <w:tcPr>
            <w:tcW w:w="800" w:type="dxa"/>
            <w:vAlign w:val="bottom"/>
            <w:shd w:val="clear" w:color="auto" w:fill="58595B"/>
          </w:tcPr>
          <w:p>
            <w:pPr>
              <w:spacing w:after="0" w:line="20" w:lineRule="exact"/>
              <w:rPr>
                <w:sz w:val="1"/>
                <w:szCs w:val="1"/>
                <w:color w:val="auto"/>
              </w:rPr>
            </w:pPr>
          </w:p>
        </w:tc>
        <w:tc>
          <w:tcPr>
            <w:tcW w:w="820" w:type="dxa"/>
            <w:vAlign w:val="bottom"/>
            <w:tcBorders>
              <w:right w:val="single" w:sz="8" w:color="58595B"/>
            </w:tcBorders>
            <w:shd w:val="clear" w:color="auto" w:fill="58595B"/>
          </w:tcPr>
          <w:p>
            <w:pPr>
              <w:spacing w:after="0" w:line="20" w:lineRule="exact"/>
              <w:rPr>
                <w:sz w:val="1"/>
                <w:szCs w:val="1"/>
                <w:color w:val="auto"/>
              </w:rPr>
            </w:pPr>
          </w:p>
        </w:tc>
        <w:tc>
          <w:tcPr>
            <w:tcW w:w="760" w:type="dxa"/>
            <w:vAlign w:val="bottom"/>
            <w:shd w:val="clear" w:color="auto" w:fill="58595B"/>
          </w:tcPr>
          <w:p>
            <w:pPr>
              <w:spacing w:after="0" w:line="20" w:lineRule="exact"/>
              <w:rPr>
                <w:sz w:val="1"/>
                <w:szCs w:val="1"/>
                <w:color w:val="auto"/>
              </w:rPr>
            </w:pPr>
          </w:p>
        </w:tc>
        <w:tc>
          <w:tcPr>
            <w:tcW w:w="580" w:type="dxa"/>
            <w:vAlign w:val="bottom"/>
            <w:shd w:val="clear" w:color="auto" w:fill="58595B"/>
          </w:tcPr>
          <w:p>
            <w:pPr>
              <w:spacing w:after="0" w:line="20" w:lineRule="exact"/>
              <w:rPr>
                <w:sz w:val="1"/>
                <w:szCs w:val="1"/>
                <w:color w:val="auto"/>
              </w:rPr>
            </w:pPr>
          </w:p>
        </w:tc>
        <w:tc>
          <w:tcPr>
            <w:tcW w:w="340" w:type="dxa"/>
            <w:vAlign w:val="bottom"/>
            <w:shd w:val="clear" w:color="auto" w:fill="58595B"/>
          </w:tcPr>
          <w:p>
            <w:pPr>
              <w:spacing w:after="0" w:line="20" w:lineRule="exact"/>
              <w:rPr>
                <w:sz w:val="1"/>
                <w:szCs w:val="1"/>
                <w:color w:val="auto"/>
              </w:rPr>
            </w:pPr>
          </w:p>
        </w:tc>
        <w:tc>
          <w:tcPr>
            <w:tcW w:w="780" w:type="dxa"/>
            <w:vAlign w:val="bottom"/>
            <w:shd w:val="clear" w:color="auto" w:fill="58595B"/>
          </w:tcPr>
          <w:p>
            <w:pPr>
              <w:spacing w:after="0" w:line="20" w:lineRule="exact"/>
              <w:rPr>
                <w:sz w:val="1"/>
                <w:szCs w:val="1"/>
                <w:color w:val="auto"/>
              </w:rPr>
            </w:pPr>
          </w:p>
        </w:tc>
        <w:tc>
          <w:tcPr>
            <w:tcW w:w="840" w:type="dxa"/>
            <w:vAlign w:val="bottom"/>
            <w:shd w:val="clear" w:color="auto" w:fill="58595B"/>
          </w:tcPr>
          <w:p>
            <w:pPr>
              <w:spacing w:after="0" w:line="20" w:lineRule="exact"/>
              <w:rPr>
                <w:sz w:val="1"/>
                <w:szCs w:val="1"/>
                <w:color w:val="auto"/>
              </w:rPr>
            </w:pPr>
          </w:p>
        </w:tc>
        <w:tc>
          <w:tcPr>
            <w:tcW w:w="900" w:type="dxa"/>
            <w:vAlign w:val="bottom"/>
            <w:shd w:val="clear" w:color="auto" w:fill="58595B"/>
          </w:tcPr>
          <w:p>
            <w:pPr>
              <w:spacing w:after="0" w:line="20" w:lineRule="exact"/>
              <w:rPr>
                <w:sz w:val="1"/>
                <w:szCs w:val="1"/>
                <w:color w:val="auto"/>
              </w:rPr>
            </w:pPr>
          </w:p>
        </w:tc>
        <w:tc>
          <w:tcPr>
            <w:tcW w:w="740" w:type="dxa"/>
            <w:vAlign w:val="bottom"/>
            <w:shd w:val="clear" w:color="auto" w:fill="58595B"/>
          </w:tcPr>
          <w:p>
            <w:pPr>
              <w:spacing w:after="0" w:line="20" w:lineRule="exact"/>
              <w:rPr>
                <w:sz w:val="1"/>
                <w:szCs w:val="1"/>
                <w:color w:val="auto"/>
              </w:rPr>
            </w:pPr>
          </w:p>
        </w:tc>
        <w:tc>
          <w:tcPr>
            <w:tcW w:w="84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280" w:lineRule="auto"/>
        <w:tabs>
          <w:tab w:leader="none" w:pos="338"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(for Mr. De Witte as provided in his respective employment agreements). See “— Compensation Discussion and Analysis — Analysis of 2023 Compensation Decisions, Annual Bonus” for more information.</w:t>
      </w:r>
    </w:p>
    <w:p>
      <w:pPr>
        <w:spacing w:after="0" w:line="179" w:lineRule="exact"/>
        <w:rPr>
          <w:rFonts w:ascii="Arial" w:cs="Arial" w:eastAsia="Arial" w:hAnsi="Arial"/>
          <w:sz w:val="14"/>
          <w:szCs w:val="14"/>
          <w:color w:val="auto"/>
        </w:rPr>
      </w:pPr>
    </w:p>
    <w:p>
      <w:pPr>
        <w:ind w:left="340" w:right="260" w:hanging="332"/>
        <w:spacing w:after="0" w:line="301" w:lineRule="auto"/>
        <w:tabs>
          <w:tab w:leader="none" w:pos="338"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shown in this column represents performance stock units granted under the Company’s 2003 Equity Incentive Plan. See “— Compensation Discussion and Analysis — Analysis of 2023 Compensation Decisions, Equity Grants” for a description of the material terms of these performance stock unit awards.</w:t>
      </w:r>
    </w:p>
    <w:p>
      <w:pPr>
        <w:spacing w:after="0" w:line="1" w:lineRule="exact"/>
        <w:rPr>
          <w:rFonts w:ascii="Arial" w:cs="Arial" w:eastAsia="Arial" w:hAnsi="Arial"/>
          <w:sz w:val="14"/>
          <w:szCs w:val="14"/>
          <w:color w:val="auto"/>
        </w:rPr>
      </w:pPr>
    </w:p>
    <w:p>
      <w:pPr>
        <w:ind w:left="340" w:right="140" w:hanging="332"/>
        <w:spacing w:after="0" w:line="269" w:lineRule="auto"/>
        <w:tabs>
          <w:tab w:leader="none" w:pos="338"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shown in this column represent RSUs (with respect to awards granted to Mr. De Witte) and shares of restricted stock (with respect to the other NEOs), all of which were granted under the Company’s 2003 Equity Incentive Plan. See “ — Compensation Discussion and Analysis — Analysis of 2023 Compensation Decisions, Equity Grants” for a description of the material terms of these restricted stock and restricted unit awards. For Ms. Knight, her 7/3/2023 restricted stock award includes 750,000 in value that has a 3-year graded vesting for the forfeiture of unvested equity</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40" w:right="60"/>
        <w:spacing w:after="0" w:line="269" w:lineRule="auto"/>
        <w:rPr>
          <w:sz w:val="20"/>
          <w:szCs w:val="20"/>
          <w:color w:val="auto"/>
        </w:rPr>
      </w:pPr>
      <w:r>
        <w:rPr>
          <w:rFonts w:ascii="Arial" w:cs="Arial" w:eastAsia="Arial" w:hAnsi="Arial"/>
          <w:sz w:val="14"/>
          <w:szCs w:val="14"/>
          <w:color w:val="auto"/>
        </w:rPr>
        <w:t>and 2023 bonus from her previous employer and 250,000 in value that has a 3-year cliff vest for sign-on attraction. In consideration of his service as our principal financial officer on an interim basis from February 2, 2023 to June 28, 2023 while also maintaining his role as Senior Vice President, Finance and principal accounting officer for the full year, Mr. Mosebrook received a restricted stock award valued at $500,000 with 2-year cliff vesting. His annual equity award included a restricted stock award valued at $163,262 with 3-year ratable vesting.</w:t>
      </w:r>
    </w:p>
    <w:p>
      <w:pPr>
        <w:spacing w:after="0" w:line="21" w:lineRule="exact"/>
        <w:rPr>
          <w:sz w:val="20"/>
          <w:szCs w:val="20"/>
          <w:color w:val="auto"/>
        </w:rPr>
      </w:pPr>
    </w:p>
    <w:p>
      <w:pPr>
        <w:ind w:left="340" w:right="20" w:hanging="332"/>
        <w:spacing w:after="0" w:line="264" w:lineRule="auto"/>
        <w:tabs>
          <w:tab w:leader="none" w:pos="338"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computed in accordance with FASB ASC Topic 718 of the restricted stock, contract stock/restricted stock units, performance stock units and stock options granted to each NEO in 2023.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2023. The grant date fair value of performance stock unit awards is shown in this column at Target, which represents the probable outcome of the performance conditions. The value if the maximum goals are achieved and calculated as of the grant date is $4,125,050 for Mr. De Witte, $670,365 for Mr. Davis, $1,289,103 for Mr. McBreen, $145,287 for Mr. Mosebrook and $804,073 for Mr. Schwartz. Ms. Knight joined the company on June 28, 2023 after the annual equity award in March 2023. Her new hire stock award in the form of a restricted stock award is shown. Effective February 2, 2023, Ms. Anderson resigned from the company, therefore, did not receive an annual equity award in March 2023.</w:t>
      </w:r>
    </w:p>
    <w:p>
      <w:pPr>
        <w:spacing w:after="0" w:line="12" w:lineRule="exact"/>
        <w:rPr>
          <w:rFonts w:ascii="Arial" w:cs="Arial" w:eastAsia="Arial" w:hAnsi="Arial"/>
          <w:sz w:val="14"/>
          <w:szCs w:val="14"/>
          <w:color w:val="auto"/>
        </w:rPr>
      </w:pPr>
    </w:p>
    <w:p>
      <w:pPr>
        <w:ind w:left="340" w:right="200" w:hanging="332"/>
        <w:spacing w:after="0" w:line="276" w:lineRule="auto"/>
        <w:tabs>
          <w:tab w:leader="none" w:pos="338"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grant of performance stock units was made to the executive for his or her 2023 performance. Each NEO is eligible to vest in and receive a number of shares of the Company’s common stock ranging from 0% to 150% of the target number of shares of PSUs based on the Company’s achievement of goals relating to the growth in the Company’s annual organic revenue growth over the immediately preceding fiscal year, during each fiscal year of the performance period running from January 1, 2023 through December 31, 2025. See “— Compensation Discussion and Analysis — Analysis of 2023 Compensation Decisions, Equity Grants” for a description.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58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Outstanding Equity Awards at Fiscal Year-End</w:t>
      </w:r>
    </w:p>
    <w:p>
      <w:pPr>
        <w:spacing w:after="0" w:line="193" w:lineRule="exact"/>
        <w:rPr>
          <w:sz w:val="20"/>
          <w:szCs w:val="20"/>
          <w:color w:val="auto"/>
        </w:rPr>
      </w:pPr>
    </w:p>
    <w:p>
      <w:pPr>
        <w:ind w:right="360"/>
        <w:spacing w:after="0" w:line="356" w:lineRule="auto"/>
        <w:rPr>
          <w:sz w:val="20"/>
          <w:szCs w:val="20"/>
          <w:color w:val="auto"/>
        </w:rPr>
      </w:pPr>
      <w:r>
        <w:rPr>
          <w:rFonts w:ascii="Arial" w:cs="Arial" w:eastAsia="Arial" w:hAnsi="Arial"/>
          <w:sz w:val="16"/>
          <w:szCs w:val="16"/>
          <w:color w:val="58595B"/>
        </w:rPr>
        <w:t>The following table presents information with respect to outstanding equity awards as of December 31, 2023. Ms. Anderson's outstanding equity awards were forfeited on February 2, 2023 upon her termination.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80" w:type="dxa"/>
            <w:vAlign w:val="bottom"/>
            <w:tcBorders>
              <w:bottom w:val="single" w:sz="8" w:color="EFEDED"/>
            </w:tcBorders>
            <w:shd w:val="clear" w:color="auto" w:fill="EFEDED"/>
          </w:tcPr>
          <w:p>
            <w:pPr>
              <w:spacing w:after="0"/>
              <w:rPr>
                <w:sz w:val="17"/>
                <w:szCs w:val="17"/>
                <w:color w:val="auto"/>
              </w:rPr>
            </w:pPr>
          </w:p>
        </w:tc>
        <w:tc>
          <w:tcPr>
            <w:tcW w:w="1240" w:type="dxa"/>
            <w:vAlign w:val="bottom"/>
            <w:tcBorders>
              <w:bottom w:val="single" w:sz="8" w:color="58595B"/>
            </w:tcBorders>
            <w:shd w:val="clear" w:color="auto" w:fill="EFEDED"/>
          </w:tcPr>
          <w:p>
            <w:pPr>
              <w:spacing w:after="0"/>
              <w:rPr>
                <w:sz w:val="17"/>
                <w:szCs w:val="17"/>
                <w:color w:val="auto"/>
              </w:rPr>
            </w:pPr>
          </w:p>
        </w:tc>
        <w:tc>
          <w:tcPr>
            <w:tcW w:w="2460" w:type="dxa"/>
            <w:vAlign w:val="bottom"/>
            <w:tcBorders>
              <w:bottom w:val="single" w:sz="8" w:color="58595B"/>
            </w:tcBorders>
            <w:gridSpan w:val="2"/>
            <w:shd w:val="clear" w:color="auto" w:fill="EFEDED"/>
          </w:tcPr>
          <w:p>
            <w:pPr>
              <w:ind w:left="780"/>
              <w:spacing w:after="0"/>
              <w:rPr>
                <w:sz w:val="20"/>
                <w:szCs w:val="20"/>
                <w:color w:val="auto"/>
              </w:rPr>
            </w:pPr>
            <w:r>
              <w:rPr>
                <w:rFonts w:ascii="Arial" w:cs="Arial" w:eastAsia="Arial" w:hAnsi="Arial"/>
                <w:sz w:val="13"/>
                <w:szCs w:val="13"/>
                <w:b w:val="1"/>
                <w:bCs w:val="1"/>
                <w:color w:val="58595B"/>
              </w:rPr>
              <w:t>Option Awards</w:t>
            </w:r>
          </w:p>
        </w:tc>
        <w:tc>
          <w:tcPr>
            <w:tcW w:w="1240" w:type="dxa"/>
            <w:vAlign w:val="bottom"/>
            <w:tcBorders>
              <w:bottom w:val="single" w:sz="8" w:color="58595B"/>
              <w:right w:val="single" w:sz="8" w:color="58595B"/>
            </w:tcBorders>
            <w:shd w:val="clear" w:color="auto" w:fill="EFEDED"/>
          </w:tcPr>
          <w:p>
            <w:pPr>
              <w:spacing w:after="0"/>
              <w:rPr>
                <w:sz w:val="17"/>
                <w:szCs w:val="17"/>
                <w:color w:val="auto"/>
              </w:rPr>
            </w:pPr>
          </w:p>
        </w:tc>
        <w:tc>
          <w:tcPr>
            <w:tcW w:w="1200" w:type="dxa"/>
            <w:vAlign w:val="bottom"/>
            <w:tcBorders>
              <w:bottom w:val="single" w:sz="8" w:color="58595B"/>
            </w:tcBorders>
            <w:shd w:val="clear" w:color="auto" w:fill="EFEDED"/>
          </w:tcPr>
          <w:p>
            <w:pPr>
              <w:spacing w:after="0"/>
              <w:rPr>
                <w:sz w:val="17"/>
                <w:szCs w:val="17"/>
                <w:color w:val="auto"/>
              </w:rPr>
            </w:pPr>
          </w:p>
        </w:tc>
        <w:tc>
          <w:tcPr>
            <w:tcW w:w="2460" w:type="dxa"/>
            <w:vAlign w:val="bottom"/>
            <w:tcBorders>
              <w:bottom w:val="single" w:sz="8" w:color="58595B"/>
            </w:tcBorders>
            <w:gridSpan w:val="2"/>
            <w:shd w:val="clear" w:color="auto" w:fill="EFEDED"/>
          </w:tcPr>
          <w:p>
            <w:pPr>
              <w:ind w:left="820"/>
              <w:spacing w:after="0"/>
              <w:rPr>
                <w:sz w:val="20"/>
                <w:szCs w:val="20"/>
                <w:color w:val="auto"/>
              </w:rPr>
            </w:pPr>
            <w:r>
              <w:rPr>
                <w:rFonts w:ascii="Arial" w:cs="Arial" w:eastAsia="Arial" w:hAnsi="Arial"/>
                <w:sz w:val="13"/>
                <w:szCs w:val="13"/>
                <w:b w:val="1"/>
                <w:bCs w:val="1"/>
                <w:color w:val="58595B"/>
              </w:rPr>
              <w:t>Stock Awards</w:t>
            </w:r>
          </w:p>
        </w:tc>
        <w:tc>
          <w:tcPr>
            <w:tcW w:w="1240" w:type="dxa"/>
            <w:vAlign w:val="bottom"/>
            <w:tcBorders>
              <w:bottom w:val="single" w:sz="8" w:color="58595B"/>
            </w:tcBorders>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122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1240" w:type="dxa"/>
            <w:vAlign w:val="bottom"/>
            <w:tcBorders>
              <w:right w:val="single" w:sz="8" w:color="EFEDED"/>
            </w:tcBorders>
            <w:shd w:val="clear" w:color="auto" w:fill="EFEDED"/>
          </w:tcPr>
          <w:p>
            <w:pPr>
              <w:spacing w:after="0"/>
              <w:rPr>
                <w:sz w:val="13"/>
                <w:szCs w:val="13"/>
                <w:color w:val="auto"/>
              </w:rPr>
            </w:pPr>
          </w:p>
        </w:tc>
        <w:tc>
          <w:tcPr>
            <w:tcW w:w="1200" w:type="dxa"/>
            <w:vAlign w:val="bottom"/>
            <w:shd w:val="clear" w:color="auto" w:fill="EFEDED"/>
          </w:tcPr>
          <w:p>
            <w:pPr>
              <w:spacing w:after="0"/>
              <w:rPr>
                <w:sz w:val="13"/>
                <w:szCs w:val="13"/>
                <w:color w:val="auto"/>
              </w:rPr>
            </w:pPr>
          </w:p>
        </w:tc>
        <w:tc>
          <w:tcPr>
            <w:tcW w:w="1240" w:type="dxa"/>
            <w:vAlign w:val="bottom"/>
            <w:shd w:val="clear" w:color="auto" w:fill="EFEDED"/>
          </w:tcPr>
          <w:p>
            <w:pPr>
              <w:spacing w:after="0"/>
              <w:rPr>
                <w:sz w:val="13"/>
                <w:szCs w:val="13"/>
                <w:color w:val="auto"/>
              </w:rPr>
            </w:pPr>
          </w:p>
        </w:tc>
        <w:tc>
          <w:tcPr>
            <w:tcW w:w="1220" w:type="dxa"/>
            <w:vAlign w:val="bottom"/>
            <w:shd w:val="clear" w:color="auto" w:fill="EFEDED"/>
          </w:tcPr>
          <w:p>
            <w:pPr>
              <w:spacing w:after="0"/>
              <w:rPr>
                <w:sz w:val="13"/>
                <w:szCs w:val="1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Equity</w:t>
            </w:r>
          </w:p>
        </w:tc>
        <w:tc>
          <w:tcPr>
            <w:tcW w:w="0" w:type="dxa"/>
            <w:vAlign w:val="bottom"/>
          </w:tcPr>
          <w:p>
            <w:pPr>
              <w:spacing w:after="0"/>
              <w:rPr>
                <w:sz w:val="1"/>
                <w:szCs w:val="1"/>
                <w:color w:val="auto"/>
              </w:rPr>
            </w:pPr>
          </w:p>
        </w:tc>
      </w:tr>
      <w:tr>
        <w:trPr>
          <w:trHeight w:val="149"/>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Equity</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Incentive</w:t>
            </w:r>
          </w:p>
        </w:tc>
        <w:tc>
          <w:tcPr>
            <w:tcW w:w="0" w:type="dxa"/>
            <w:vAlign w:val="bottom"/>
          </w:tcPr>
          <w:p>
            <w:pPr>
              <w:spacing w:after="0"/>
              <w:rPr>
                <w:sz w:val="1"/>
                <w:szCs w:val="1"/>
                <w:color w:val="auto"/>
              </w:rPr>
            </w:pPr>
          </w:p>
        </w:tc>
      </w:tr>
      <w:tr>
        <w:trPr>
          <w:trHeight w:val="162"/>
        </w:trPr>
        <w:tc>
          <w:tcPr>
            <w:tcW w:w="138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122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1240" w:type="dxa"/>
            <w:vAlign w:val="bottom"/>
            <w:tcBorders>
              <w:right w:val="single" w:sz="8" w:color="EFEDED"/>
            </w:tcBorders>
            <w:shd w:val="clear" w:color="auto" w:fill="EFEDED"/>
          </w:tcPr>
          <w:p>
            <w:pPr>
              <w:spacing w:after="0"/>
              <w:rPr>
                <w:sz w:val="14"/>
                <w:szCs w:val="14"/>
                <w:color w:val="auto"/>
              </w:rPr>
            </w:pPr>
          </w:p>
        </w:tc>
        <w:tc>
          <w:tcPr>
            <w:tcW w:w="1200" w:type="dxa"/>
            <w:vAlign w:val="bottom"/>
            <w:shd w:val="clear" w:color="auto" w:fill="EFEDED"/>
          </w:tcPr>
          <w:p>
            <w:pPr>
              <w:spacing w:after="0"/>
              <w:rPr>
                <w:sz w:val="14"/>
                <w:szCs w:val="14"/>
                <w:color w:val="auto"/>
              </w:rPr>
            </w:pPr>
          </w:p>
        </w:tc>
        <w:tc>
          <w:tcPr>
            <w:tcW w:w="1240" w:type="dxa"/>
            <w:vAlign w:val="bottom"/>
            <w:shd w:val="clear" w:color="auto" w:fill="EFEDED"/>
          </w:tcPr>
          <w:p>
            <w:pPr>
              <w:spacing w:after="0"/>
              <w:rPr>
                <w:sz w:val="14"/>
                <w:szCs w:val="14"/>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Incentive</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Plan</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Plan</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Awards:</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Awards:</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Market or</w:t>
            </w:r>
          </w:p>
        </w:tc>
        <w:tc>
          <w:tcPr>
            <w:tcW w:w="0" w:type="dxa"/>
            <w:vAlign w:val="bottom"/>
          </w:tcPr>
          <w:p>
            <w:pPr>
              <w:spacing w:after="0"/>
              <w:rPr>
                <w:sz w:val="1"/>
                <w:szCs w:val="1"/>
                <w:color w:val="auto"/>
              </w:rPr>
            </w:pPr>
          </w:p>
        </w:tc>
      </w:tr>
      <w:tr>
        <w:trPr>
          <w:trHeight w:val="149"/>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Payout</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spacing w:after="0"/>
              <w:rPr>
                <w:sz w:val="12"/>
                <w:szCs w:val="12"/>
                <w:color w:val="auto"/>
              </w:rPr>
            </w:pP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Market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Number of</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Number of</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Value of</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Shares,</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Unearned</w:t>
            </w:r>
          </w:p>
        </w:tc>
        <w:tc>
          <w:tcPr>
            <w:tcW w:w="0" w:type="dxa"/>
            <w:vAlign w:val="bottom"/>
          </w:tcPr>
          <w:p>
            <w:pPr>
              <w:spacing w:after="0"/>
              <w:rPr>
                <w:sz w:val="1"/>
                <w:szCs w:val="1"/>
                <w:color w:val="auto"/>
              </w:rPr>
            </w:pPr>
          </w:p>
        </w:tc>
      </w:tr>
      <w:tr>
        <w:trPr>
          <w:trHeight w:val="162"/>
        </w:trPr>
        <w:tc>
          <w:tcPr>
            <w:tcW w:w="1380" w:type="dxa"/>
            <w:vAlign w:val="bottom"/>
            <w:shd w:val="clear" w:color="auto" w:fill="EFEDED"/>
          </w:tcPr>
          <w:p>
            <w:pPr>
              <w:spacing w:after="0"/>
              <w:rPr>
                <w:sz w:val="14"/>
                <w:szCs w:val="14"/>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Securities</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Underlying</w:t>
            </w:r>
          </w:p>
        </w:tc>
        <w:tc>
          <w:tcPr>
            <w:tcW w:w="1240" w:type="dxa"/>
            <w:vAlign w:val="bottom"/>
            <w:shd w:val="clear" w:color="auto" w:fill="EFEDED"/>
          </w:tcPr>
          <w:p>
            <w:pPr>
              <w:spacing w:after="0"/>
              <w:rPr>
                <w:sz w:val="14"/>
                <w:szCs w:val="14"/>
                <w:color w:val="auto"/>
              </w:rPr>
            </w:pPr>
          </w:p>
        </w:tc>
        <w:tc>
          <w:tcPr>
            <w:tcW w:w="1240" w:type="dxa"/>
            <w:vAlign w:val="bottom"/>
            <w:tcBorders>
              <w:right w:val="single" w:sz="8" w:color="EFEDED"/>
            </w:tcBorders>
            <w:shd w:val="clear" w:color="auto" w:fill="EFEDED"/>
          </w:tcPr>
          <w:p>
            <w:pPr>
              <w:spacing w:after="0"/>
              <w:rPr>
                <w:sz w:val="14"/>
                <w:szCs w:val="14"/>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or</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Units</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Shares, Units</w:t>
            </w:r>
          </w:p>
        </w:tc>
        <w:tc>
          <w:tcPr>
            <w:tcW w:w="0" w:type="dxa"/>
            <w:vAlign w:val="bottom"/>
          </w:tcPr>
          <w:p>
            <w:pPr>
              <w:spacing w:after="0"/>
              <w:rPr>
                <w:sz w:val="1"/>
                <w:szCs w:val="1"/>
                <w:color w:val="auto"/>
              </w:rPr>
            </w:pPr>
          </w:p>
        </w:tc>
      </w:tr>
      <w:tr>
        <w:trPr>
          <w:trHeight w:val="149"/>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Underlying</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Unexercised</w:t>
            </w:r>
          </w:p>
        </w:tc>
        <w:tc>
          <w:tcPr>
            <w:tcW w:w="1240" w:type="dxa"/>
            <w:vAlign w:val="bottom"/>
            <w:shd w:val="clear" w:color="auto" w:fill="EFEDED"/>
          </w:tcPr>
          <w:p>
            <w:pPr>
              <w:spacing w:after="0"/>
              <w:rPr>
                <w:sz w:val="12"/>
                <w:szCs w:val="12"/>
                <w:color w:val="auto"/>
              </w:rPr>
            </w:pP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Units of</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Units of</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or Other</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or Other</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Unexercised</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240" w:type="dxa"/>
            <w:vAlign w:val="bottom"/>
            <w:tcBorders>
              <w:right w:val="single" w:sz="8" w:color="EFEDED"/>
            </w:tcBorders>
            <w:shd w:val="clear" w:color="auto" w:fill="EFEDED"/>
          </w:tcPr>
          <w:p>
            <w:pPr>
              <w:spacing w:after="0"/>
              <w:rPr>
                <w:sz w:val="12"/>
                <w:szCs w:val="12"/>
                <w:color w:val="auto"/>
              </w:rPr>
            </w:pP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Stock That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Stock</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Rights That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Rights That</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Options</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Option</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That Have</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Have Not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Have Not</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spacing w:after="0"/>
              <w:rPr>
                <w:sz w:val="12"/>
                <w:szCs w:val="1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Unexercisable</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Price</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Expiration</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Vested(2)</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Not Vested</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Vested(3)</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Vested</w:t>
            </w:r>
          </w:p>
        </w:tc>
        <w:tc>
          <w:tcPr>
            <w:tcW w:w="0" w:type="dxa"/>
            <w:vAlign w:val="bottom"/>
          </w:tcPr>
          <w:p>
            <w:pPr>
              <w:spacing w:after="0"/>
              <w:rPr>
                <w:sz w:val="1"/>
                <w:szCs w:val="1"/>
                <w:color w:val="auto"/>
              </w:rPr>
            </w:pPr>
          </w:p>
        </w:tc>
      </w:tr>
      <w:tr>
        <w:trPr>
          <w:trHeight w:val="148"/>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Exercisable</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(1)</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9"/>
              </w:rPr>
              <w:t>Date</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0" w:type="dxa"/>
            <w:vAlign w:val="bottom"/>
          </w:tcPr>
          <w:p>
            <w:pPr>
              <w:spacing w:after="0"/>
              <w:rPr>
                <w:sz w:val="1"/>
                <w:szCs w:val="1"/>
                <w:color w:val="auto"/>
              </w:rPr>
            </w:pPr>
          </w:p>
        </w:tc>
      </w:tr>
      <w:tr>
        <w:trPr>
          <w:trHeight w:val="185"/>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1"/>
              </w:rPr>
              <w:t>(i)</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(j)</w:t>
            </w:r>
          </w:p>
        </w:tc>
        <w:tc>
          <w:tcPr>
            <w:tcW w:w="0" w:type="dxa"/>
            <w:vAlign w:val="bottom"/>
          </w:tcPr>
          <w:p>
            <w:pPr>
              <w:spacing w:after="0"/>
              <w:rPr>
                <w:sz w:val="1"/>
                <w:szCs w:val="1"/>
                <w:color w:val="auto"/>
              </w:rPr>
            </w:pPr>
          </w:p>
        </w:tc>
      </w:tr>
      <w:tr>
        <w:trPr>
          <w:trHeight w:val="76"/>
        </w:trPr>
        <w:tc>
          <w:tcPr>
            <w:tcW w:w="138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1240" w:type="dxa"/>
            <w:vAlign w:val="bottom"/>
            <w:tcBorders>
              <w:right w:val="single" w:sz="8" w:color="EFEDED"/>
            </w:tcBorders>
            <w:shd w:val="clear" w:color="auto" w:fill="EFEDED"/>
          </w:tcPr>
          <w:p>
            <w:pPr>
              <w:spacing w:after="0"/>
              <w:rPr>
                <w:sz w:val="6"/>
                <w:szCs w:val="6"/>
                <w:color w:val="auto"/>
              </w:rPr>
            </w:pPr>
          </w:p>
        </w:tc>
        <w:tc>
          <w:tcPr>
            <w:tcW w:w="120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124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38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Jan De Witte</w:t>
            </w:r>
          </w:p>
        </w:tc>
        <w:tc>
          <w:tcPr>
            <w:tcW w:w="1240" w:type="dxa"/>
            <w:vAlign w:val="bottom"/>
          </w:tcPr>
          <w:p>
            <w:pPr>
              <w:jc w:val="center"/>
              <w:spacing w:after="0"/>
              <w:rPr>
                <w:sz w:val="20"/>
                <w:szCs w:val="20"/>
                <w:color w:val="auto"/>
              </w:rPr>
            </w:pPr>
            <w:r>
              <w:rPr>
                <w:rFonts w:ascii="Arial" w:cs="Arial" w:eastAsia="Arial" w:hAnsi="Arial"/>
                <w:sz w:val="13"/>
                <w:szCs w:val="13"/>
                <w:color w:val="58595B"/>
              </w:rPr>
              <w:t>10,799</w:t>
            </w:r>
          </w:p>
        </w:tc>
        <w:tc>
          <w:tcPr>
            <w:tcW w:w="1220" w:type="dxa"/>
            <w:vAlign w:val="bottom"/>
          </w:tcPr>
          <w:p>
            <w:pPr>
              <w:jc w:val="center"/>
              <w:spacing w:after="0"/>
              <w:rPr>
                <w:sz w:val="20"/>
                <w:szCs w:val="20"/>
                <w:color w:val="auto"/>
              </w:rPr>
            </w:pPr>
            <w:r>
              <w:rPr>
                <w:rFonts w:ascii="Arial" w:cs="Arial" w:eastAsia="Arial" w:hAnsi="Arial"/>
                <w:sz w:val="13"/>
                <w:szCs w:val="13"/>
                <w:color w:val="58595B"/>
                <w:w w:val="95"/>
              </w:rPr>
              <w:t>32,400</w:t>
            </w:r>
          </w:p>
        </w:tc>
        <w:tc>
          <w:tcPr>
            <w:tcW w:w="124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5"/>
              </w:rPr>
              <w:t>63,717</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3/10/2031</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58595B"/>
                <w:w w:val="95"/>
              </w:rPr>
              <w:t>75,047</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3,268,297</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5"/>
              </w:rPr>
              <w:t>73,885</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3,217,692</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3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4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24,391</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1,062,229</w:t>
            </w:r>
          </w:p>
        </w:tc>
        <w:tc>
          <w:tcPr>
            <w:tcW w:w="12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02"/>
        </w:trPr>
        <w:tc>
          <w:tcPr>
            <w:tcW w:w="138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Jeffrey Mosebrook</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2,553</w:t>
            </w:r>
          </w:p>
        </w:tc>
        <w:tc>
          <w:tcPr>
            <w:tcW w:w="1220" w:type="dxa"/>
            <w:vAlign w:val="bottom"/>
          </w:tcPr>
          <w:p>
            <w:pPr>
              <w:jc w:val="center"/>
              <w:spacing w:after="0"/>
              <w:rPr>
                <w:sz w:val="20"/>
                <w:szCs w:val="20"/>
                <w:color w:val="auto"/>
              </w:rPr>
            </w:pPr>
            <w:r>
              <w:rPr>
                <w:rFonts w:ascii="Arial" w:cs="Arial" w:eastAsia="Arial" w:hAnsi="Arial"/>
                <w:sz w:val="13"/>
                <w:szCs w:val="13"/>
                <w:color w:val="58595B"/>
              </w:rPr>
              <w:t>851</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43.39</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3/13/2028</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2,086</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rPr>
              <w:t>—</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55.91</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3/13/2027</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58595B"/>
                <w:w w:val="95"/>
              </w:rPr>
              <w:t>16,695</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3"/>
              </w:rPr>
              <w:t>727,067</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2"/>
              </w:rPr>
              <w:t>3,659</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3"/>
              </w:rPr>
              <w:t>159,349</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EFEDED"/>
          </w:tcPr>
          <w:p>
            <w:pPr>
              <w:spacing w:after="0"/>
              <w:rPr>
                <w:sz w:val="17"/>
                <w:szCs w:val="17"/>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8,736</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32.59</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45,365.00</w:t>
            </w:r>
          </w:p>
        </w:tc>
        <w:tc>
          <w:tcPr>
            <w:tcW w:w="1200" w:type="dxa"/>
            <w:vAlign w:val="bottom"/>
            <w:shd w:val="clear" w:color="auto" w:fill="EFEDED"/>
          </w:tcPr>
          <w:p>
            <w:pPr>
              <w:spacing w:after="0"/>
              <w:rPr>
                <w:sz w:val="17"/>
                <w:szCs w:val="17"/>
                <w:color w:val="auto"/>
              </w:rPr>
            </w:pPr>
          </w:p>
        </w:tc>
        <w:tc>
          <w:tcPr>
            <w:tcW w:w="1240" w:type="dxa"/>
            <w:vAlign w:val="bottom"/>
            <w:shd w:val="clear" w:color="auto" w:fill="EFEDED"/>
          </w:tcPr>
          <w:p>
            <w:pPr>
              <w:spacing w:after="0"/>
              <w:rPr>
                <w:sz w:val="17"/>
                <w:szCs w:val="17"/>
                <w:color w:val="auto"/>
              </w:rPr>
            </w:pPr>
          </w:p>
        </w:tc>
        <w:tc>
          <w:tcPr>
            <w:tcW w:w="1220" w:type="dxa"/>
            <w:vAlign w:val="bottom"/>
            <w:shd w:val="clear" w:color="auto" w:fill="EFEDED"/>
          </w:tcPr>
          <w:p>
            <w:pPr>
              <w:spacing w:after="0"/>
              <w:rPr>
                <w:sz w:val="17"/>
                <w:szCs w:val="17"/>
                <w:color w:val="auto"/>
              </w:rPr>
            </w:pPr>
          </w:p>
        </w:tc>
        <w:tc>
          <w:tcPr>
            <w:tcW w:w="12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17,410</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38.43</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45,627.00</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2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0"/>
              </w:rPr>
              <w:t>11,062</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43.68</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45,729.00</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2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8,609</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56.23</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46,094.00</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2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10,373</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55.91</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46,459.00</w:t>
            </w:r>
          </w:p>
        </w:tc>
        <w:tc>
          <w:tcPr>
            <w:tcW w:w="1200" w:type="dxa"/>
            <w:vAlign w:val="bottom"/>
            <w:shd w:val="clear" w:color="auto" w:fill="EFEDED"/>
          </w:tcPr>
          <w:p>
            <w:pPr>
              <w:spacing w:after="0"/>
              <w:rPr>
                <w:sz w:val="24"/>
                <w:szCs w:val="24"/>
                <w:color w:val="auto"/>
              </w:rPr>
            </w:pPr>
          </w:p>
        </w:tc>
        <w:tc>
          <w:tcPr>
            <w:tcW w:w="1240" w:type="dxa"/>
            <w:vAlign w:val="bottom"/>
            <w:shd w:val="clear" w:color="auto" w:fill="EFEDED"/>
          </w:tcPr>
          <w:p>
            <w:pPr>
              <w:spacing w:after="0"/>
              <w:rPr>
                <w:sz w:val="24"/>
                <w:szCs w:val="24"/>
                <w:color w:val="auto"/>
              </w:rPr>
            </w:pPr>
          </w:p>
        </w:tc>
        <w:tc>
          <w:tcPr>
            <w:tcW w:w="1220" w:type="dxa"/>
            <w:vAlign w:val="bottom"/>
            <w:shd w:val="clear" w:color="auto" w:fill="EFEDED"/>
          </w:tcPr>
          <w:p>
            <w:pPr>
              <w:spacing w:after="0"/>
              <w:rPr>
                <w:sz w:val="24"/>
                <w:szCs w:val="24"/>
                <w:color w:val="auto"/>
              </w:rPr>
            </w:pPr>
          </w:p>
        </w:tc>
        <w:tc>
          <w:tcPr>
            <w:tcW w:w="12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shd w:val="clear" w:color="auto" w:fill="EFEDED"/>
          </w:tcPr>
          <w:p>
            <w:pPr>
              <w:spacing w:after="0"/>
              <w:rPr>
                <w:sz w:val="22"/>
                <w:szCs w:val="2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0"/>
              </w:rPr>
              <w:t>11,915</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3,972</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43.39</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46,825.00</w:t>
            </w:r>
          </w:p>
        </w:tc>
        <w:tc>
          <w:tcPr>
            <w:tcW w:w="1200" w:type="dxa"/>
            <w:vAlign w:val="bottom"/>
            <w:shd w:val="clear" w:color="auto" w:fill="EFEDED"/>
          </w:tcPr>
          <w:p>
            <w:pPr>
              <w:spacing w:after="0"/>
              <w:rPr>
                <w:sz w:val="22"/>
                <w:szCs w:val="22"/>
                <w:color w:val="auto"/>
              </w:rPr>
            </w:pPr>
          </w:p>
        </w:tc>
        <w:tc>
          <w:tcPr>
            <w:tcW w:w="1240" w:type="dxa"/>
            <w:vAlign w:val="bottom"/>
            <w:shd w:val="clear" w:color="auto" w:fill="EFEDED"/>
          </w:tcPr>
          <w:p>
            <w:pPr>
              <w:spacing w:after="0"/>
              <w:rPr>
                <w:sz w:val="22"/>
                <w:szCs w:val="22"/>
                <w:color w:val="auto"/>
              </w:rPr>
            </w:pPr>
          </w:p>
        </w:tc>
        <w:tc>
          <w:tcPr>
            <w:tcW w:w="1220" w:type="dxa"/>
            <w:vAlign w:val="bottom"/>
            <w:shd w:val="clear" w:color="auto" w:fill="EFEDED"/>
          </w:tcPr>
          <w:p>
            <w:pPr>
              <w:spacing w:after="0"/>
              <w:rPr>
                <w:sz w:val="22"/>
                <w:szCs w:val="22"/>
                <w:color w:val="auto"/>
              </w:rPr>
            </w:pPr>
          </w:p>
        </w:tc>
        <w:tc>
          <w:tcPr>
            <w:tcW w:w="1240" w:type="dxa"/>
            <w:vAlign w:val="bottom"/>
            <w:shd w:val="clear" w:color="auto" w:fill="EFED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4,616</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4,616</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68.10</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47,189.00</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2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2,298</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6,895</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47,553.00</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2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10,354</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47,917.00</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12,068</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525,561</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16,828</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732,859</w:t>
            </w:r>
          </w:p>
        </w:tc>
        <w:tc>
          <w:tcPr>
            <w:tcW w:w="0" w:type="dxa"/>
            <w:vAlign w:val="bottom"/>
          </w:tcPr>
          <w:p>
            <w:pPr>
              <w:spacing w:after="0"/>
              <w:rPr>
                <w:sz w:val="1"/>
                <w:szCs w:val="1"/>
                <w:color w:val="auto"/>
              </w:rPr>
            </w:pPr>
          </w:p>
        </w:tc>
      </w:tr>
      <w:tr>
        <w:trPr>
          <w:trHeight w:val="68"/>
        </w:trPr>
        <w:tc>
          <w:tcPr>
            <w:tcW w:w="138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40" w:type="dxa"/>
            <w:vAlign w:val="bottom"/>
            <w:tcBorders>
              <w:right w:val="single" w:sz="8" w:color="EFEDED"/>
            </w:tcBorders>
            <w:shd w:val="clear" w:color="auto" w:fill="EFEDED"/>
          </w:tcPr>
          <w:p>
            <w:pPr>
              <w:spacing w:after="0"/>
              <w:rPr>
                <w:sz w:val="5"/>
                <w:szCs w:val="5"/>
                <w:color w:val="auto"/>
              </w:rPr>
            </w:pPr>
          </w:p>
        </w:tc>
        <w:tc>
          <w:tcPr>
            <w:tcW w:w="120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4,298</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56.23</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3/13/2026</w:t>
            </w: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5,116</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55.91</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3/13/2027</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7,339</w:t>
            </w:r>
          </w:p>
        </w:tc>
        <w:tc>
          <w:tcPr>
            <w:tcW w:w="1220" w:type="dxa"/>
            <w:vAlign w:val="bottom"/>
          </w:tcPr>
          <w:p>
            <w:pPr>
              <w:jc w:val="center"/>
              <w:spacing w:after="0"/>
              <w:rPr>
                <w:sz w:val="20"/>
                <w:szCs w:val="20"/>
                <w:color w:val="auto"/>
              </w:rPr>
            </w:pPr>
            <w:r>
              <w:rPr>
                <w:rFonts w:ascii="Arial" w:cs="Arial" w:eastAsia="Arial" w:hAnsi="Arial"/>
                <w:sz w:val="13"/>
                <w:szCs w:val="13"/>
                <w:color w:val="58595B"/>
                <w:w w:val="92"/>
              </w:rPr>
              <w:t>2,447</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43.39</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3/13/2028</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4,360</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58595B"/>
                <w:w w:val="92"/>
              </w:rPr>
              <w:t>4,361</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8"/>
              </w:rPr>
              <w:t>68.10</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58595B"/>
                <w:w w:val="96"/>
              </w:rPr>
              <w:t>3/12/2029</w:t>
            </w: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2,342</w:t>
            </w:r>
          </w:p>
        </w:tc>
        <w:tc>
          <w:tcPr>
            <w:tcW w:w="1220" w:type="dxa"/>
            <w:vAlign w:val="bottom"/>
          </w:tcPr>
          <w:p>
            <w:pPr>
              <w:jc w:val="center"/>
              <w:spacing w:after="0"/>
              <w:rPr>
                <w:sz w:val="20"/>
                <w:szCs w:val="20"/>
                <w:color w:val="auto"/>
              </w:rPr>
            </w:pPr>
            <w:r>
              <w:rPr>
                <w:rFonts w:ascii="Arial" w:cs="Arial" w:eastAsia="Arial" w:hAnsi="Arial"/>
                <w:sz w:val="13"/>
                <w:szCs w:val="13"/>
                <w:color w:val="58595B"/>
                <w:w w:val="92"/>
              </w:rPr>
              <w:t>7,029</w:t>
            </w:r>
          </w:p>
        </w:tc>
        <w:tc>
          <w:tcPr>
            <w:tcW w:w="1240" w:type="dxa"/>
            <w:vAlign w:val="bottom"/>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3/11/2030</w:t>
            </w: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w w:val="95"/>
              </w:rPr>
              <w:t>19,912</w:t>
            </w:r>
          </w:p>
        </w:tc>
        <w:tc>
          <w:tcPr>
            <w:tcW w:w="124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3/10/2031</w:t>
            </w:r>
          </w:p>
        </w:tc>
        <w:tc>
          <w:tcPr>
            <w:tcW w:w="1200" w:type="dxa"/>
            <w:vAlign w:val="bottom"/>
          </w:tcPr>
          <w:p>
            <w:pPr>
              <w:jc w:val="center"/>
              <w:spacing w:after="0"/>
              <w:rPr>
                <w:sz w:val="20"/>
                <w:szCs w:val="20"/>
                <w:color w:val="auto"/>
              </w:rPr>
            </w:pPr>
            <w:r>
              <w:rPr>
                <w:rFonts w:ascii="Arial" w:cs="Arial" w:eastAsia="Arial" w:hAnsi="Arial"/>
                <w:sz w:val="13"/>
                <w:szCs w:val="13"/>
                <w:color w:val="58595B"/>
                <w:w w:val="95"/>
              </w:rPr>
              <w:t>28,483</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1,240,435</w:t>
            </w:r>
          </w:p>
        </w:tc>
        <w:tc>
          <w:tcPr>
            <w:tcW w:w="1220" w:type="dxa"/>
            <w:vAlign w:val="bottom"/>
          </w:tcPr>
          <w:p>
            <w:pPr>
              <w:jc w:val="center"/>
              <w:spacing w:after="0"/>
              <w:rPr>
                <w:sz w:val="20"/>
                <w:szCs w:val="20"/>
                <w:color w:val="auto"/>
              </w:rPr>
            </w:pPr>
            <w:r>
              <w:rPr>
                <w:rFonts w:ascii="Arial" w:cs="Arial" w:eastAsia="Arial" w:hAnsi="Arial"/>
                <w:sz w:val="13"/>
                <w:szCs w:val="13"/>
                <w:color w:val="58595B"/>
                <w:w w:val="95"/>
              </w:rPr>
              <w:t>24,516</w:t>
            </w:r>
          </w:p>
        </w:tc>
        <w:tc>
          <w:tcPr>
            <w:tcW w:w="1240" w:type="dxa"/>
            <w:vAlign w:val="bottom"/>
          </w:tcPr>
          <w:p>
            <w:pPr>
              <w:jc w:val="center"/>
              <w:spacing w:after="0"/>
              <w:rPr>
                <w:sz w:val="20"/>
                <w:szCs w:val="20"/>
                <w:color w:val="auto"/>
              </w:rPr>
            </w:pPr>
            <w:r>
              <w:rPr>
                <w:rFonts w:ascii="Arial" w:cs="Arial" w:eastAsia="Arial" w:hAnsi="Arial"/>
                <w:sz w:val="13"/>
                <w:szCs w:val="13"/>
                <w:color w:val="58595B"/>
                <w:w w:val="96"/>
              </w:rPr>
              <w:t>1,067,672</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EFEDED"/>
          </w:tcPr>
          <w:p>
            <w:pPr>
              <w:spacing w:after="0"/>
              <w:rPr>
                <w:sz w:val="17"/>
                <w:szCs w:val="17"/>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8,845</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55.91</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46,459.00</w:t>
            </w:r>
          </w:p>
        </w:tc>
        <w:tc>
          <w:tcPr>
            <w:tcW w:w="1200" w:type="dxa"/>
            <w:vAlign w:val="bottom"/>
            <w:shd w:val="clear" w:color="auto" w:fill="EFEDED"/>
          </w:tcPr>
          <w:p>
            <w:pPr>
              <w:spacing w:after="0"/>
              <w:rPr>
                <w:sz w:val="17"/>
                <w:szCs w:val="17"/>
                <w:color w:val="auto"/>
              </w:rPr>
            </w:pPr>
          </w:p>
        </w:tc>
        <w:tc>
          <w:tcPr>
            <w:tcW w:w="1240" w:type="dxa"/>
            <w:vAlign w:val="bottom"/>
            <w:shd w:val="clear" w:color="auto" w:fill="EFEDED"/>
          </w:tcPr>
          <w:p>
            <w:pPr>
              <w:spacing w:after="0"/>
              <w:rPr>
                <w:sz w:val="17"/>
                <w:szCs w:val="17"/>
                <w:color w:val="auto"/>
              </w:rPr>
            </w:pPr>
          </w:p>
        </w:tc>
        <w:tc>
          <w:tcPr>
            <w:tcW w:w="1220" w:type="dxa"/>
            <w:vAlign w:val="bottom"/>
            <w:shd w:val="clear" w:color="auto" w:fill="EFEDED"/>
          </w:tcPr>
          <w:p>
            <w:pPr>
              <w:spacing w:after="0"/>
              <w:rPr>
                <w:sz w:val="17"/>
                <w:szCs w:val="17"/>
                <w:color w:val="auto"/>
              </w:rPr>
            </w:pPr>
          </w:p>
        </w:tc>
        <w:tc>
          <w:tcPr>
            <w:tcW w:w="1240" w:type="dxa"/>
            <w:vAlign w:val="bottom"/>
            <w:shd w:val="clear" w:color="auto" w:fill="EFEDED"/>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rPr>
              <w:t>10,792</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3,598</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43.39</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46,825.00</w:t>
            </w:r>
          </w:p>
        </w:tc>
        <w:tc>
          <w:tcPr>
            <w:tcW w:w="120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1220" w:type="dxa"/>
            <w:vAlign w:val="bottom"/>
            <w:shd w:val="clear" w:color="auto" w:fill="EFEDED"/>
          </w:tcPr>
          <w:p>
            <w:pPr>
              <w:spacing w:after="0"/>
              <w:rPr>
                <w:sz w:val="23"/>
                <w:szCs w:val="23"/>
                <w:color w:val="auto"/>
              </w:rPr>
            </w:pPr>
          </w:p>
        </w:tc>
        <w:tc>
          <w:tcPr>
            <w:tcW w:w="1240" w:type="dxa"/>
            <w:vAlign w:val="bottom"/>
            <w:shd w:val="clear" w:color="auto" w:fill="EFEDED"/>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38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3,633</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3,634</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68.10</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47,189.00</w:t>
            </w:r>
          </w:p>
        </w:tc>
        <w:tc>
          <w:tcPr>
            <w:tcW w:w="1200" w:type="dxa"/>
            <w:vAlign w:val="bottom"/>
            <w:shd w:val="clear" w:color="auto" w:fill="EFEDED"/>
          </w:tcPr>
          <w:p>
            <w:pPr>
              <w:spacing w:after="0"/>
              <w:rPr>
                <w:sz w:val="24"/>
                <w:szCs w:val="24"/>
                <w:color w:val="auto"/>
              </w:rPr>
            </w:pPr>
          </w:p>
        </w:tc>
        <w:tc>
          <w:tcPr>
            <w:tcW w:w="1240" w:type="dxa"/>
            <w:vAlign w:val="bottom"/>
            <w:shd w:val="clear" w:color="auto" w:fill="EFEDED"/>
          </w:tcPr>
          <w:p>
            <w:pPr>
              <w:spacing w:after="0"/>
              <w:rPr>
                <w:sz w:val="24"/>
                <w:szCs w:val="24"/>
                <w:color w:val="auto"/>
              </w:rPr>
            </w:pPr>
          </w:p>
        </w:tc>
        <w:tc>
          <w:tcPr>
            <w:tcW w:w="1220" w:type="dxa"/>
            <w:vAlign w:val="bottom"/>
            <w:shd w:val="clear" w:color="auto" w:fill="EFEDED"/>
          </w:tcPr>
          <w:p>
            <w:pPr>
              <w:spacing w:after="0"/>
              <w:rPr>
                <w:sz w:val="24"/>
                <w:szCs w:val="24"/>
                <w:color w:val="auto"/>
              </w:rPr>
            </w:pPr>
          </w:p>
        </w:tc>
        <w:tc>
          <w:tcPr>
            <w:tcW w:w="1240" w:type="dxa"/>
            <w:vAlign w:val="bottom"/>
            <w:shd w:val="clear" w:color="auto" w:fill="EFEDED"/>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shd w:val="clear" w:color="auto" w:fill="EFEDED"/>
          </w:tcPr>
          <w:p>
            <w:pPr>
              <w:spacing w:after="0"/>
              <w:rPr>
                <w:sz w:val="22"/>
                <w:szCs w:val="22"/>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6,884</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20,655</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2"/>
              </w:rPr>
              <w:t>65.11</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47,553.00</w:t>
            </w:r>
          </w:p>
        </w:tc>
        <w:tc>
          <w:tcPr>
            <w:tcW w:w="1200" w:type="dxa"/>
            <w:vAlign w:val="bottom"/>
            <w:shd w:val="clear" w:color="auto" w:fill="EFEDED"/>
          </w:tcPr>
          <w:p>
            <w:pPr>
              <w:spacing w:after="0"/>
              <w:rPr>
                <w:sz w:val="22"/>
                <w:szCs w:val="22"/>
                <w:color w:val="auto"/>
              </w:rPr>
            </w:pPr>
          </w:p>
        </w:tc>
        <w:tc>
          <w:tcPr>
            <w:tcW w:w="1240" w:type="dxa"/>
            <w:vAlign w:val="bottom"/>
            <w:shd w:val="clear" w:color="auto" w:fill="EFEDED"/>
          </w:tcPr>
          <w:p>
            <w:pPr>
              <w:spacing w:after="0"/>
              <w:rPr>
                <w:sz w:val="22"/>
                <w:szCs w:val="22"/>
                <w:color w:val="auto"/>
              </w:rPr>
            </w:pPr>
          </w:p>
        </w:tc>
        <w:tc>
          <w:tcPr>
            <w:tcW w:w="1220" w:type="dxa"/>
            <w:vAlign w:val="bottom"/>
            <w:shd w:val="clear" w:color="auto" w:fill="EFEDED"/>
          </w:tcPr>
          <w:p>
            <w:pPr>
              <w:spacing w:after="0"/>
              <w:rPr>
                <w:sz w:val="22"/>
                <w:szCs w:val="22"/>
                <w:color w:val="auto"/>
              </w:rPr>
            </w:pPr>
          </w:p>
        </w:tc>
        <w:tc>
          <w:tcPr>
            <w:tcW w:w="1240" w:type="dxa"/>
            <w:vAlign w:val="bottom"/>
            <w:shd w:val="clear" w:color="auto" w:fill="EFED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EFEDED"/>
          </w:tcPr>
          <w:p>
            <w:pPr>
              <w:spacing w:after="0"/>
              <w:rPr>
                <w:sz w:val="23"/>
                <w:szCs w:val="23"/>
                <w:color w:val="auto"/>
              </w:rPr>
            </w:pP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12,419</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8"/>
              </w:rPr>
              <w:t>52.87</w:t>
            </w:r>
          </w:p>
        </w:tc>
        <w:tc>
          <w:tcPr>
            <w:tcW w:w="124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47,917.00</w:t>
            </w:r>
          </w:p>
        </w:tc>
        <w:tc>
          <w:tcPr>
            <w:tcW w:w="120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12,451</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3"/>
              </w:rPr>
              <w:t>542,241</w:t>
            </w:r>
          </w:p>
        </w:tc>
        <w:tc>
          <w:tcPr>
            <w:tcW w:w="122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5"/>
              </w:rPr>
              <w:t>26,645</w:t>
            </w:r>
          </w:p>
        </w:tc>
        <w:tc>
          <w:tcPr>
            <w:tcW w:w="1240" w:type="dxa"/>
            <w:vAlign w:val="bottom"/>
            <w:shd w:val="clear" w:color="auto" w:fill="EFEDED"/>
          </w:tcPr>
          <w:p>
            <w:pPr>
              <w:jc w:val="center"/>
              <w:spacing w:after="0"/>
              <w:rPr>
                <w:sz w:val="20"/>
                <w:szCs w:val="20"/>
                <w:color w:val="auto"/>
              </w:rPr>
            </w:pPr>
            <w:r>
              <w:rPr>
                <w:rFonts w:ascii="Arial" w:cs="Arial" w:eastAsia="Arial" w:hAnsi="Arial"/>
                <w:sz w:val="13"/>
                <w:szCs w:val="13"/>
                <w:color w:val="58595B"/>
                <w:w w:val="96"/>
              </w:rPr>
              <w:t>1,160,390</w:t>
            </w:r>
          </w:p>
        </w:tc>
        <w:tc>
          <w:tcPr>
            <w:tcW w:w="0" w:type="dxa"/>
            <w:vAlign w:val="bottom"/>
          </w:tcPr>
          <w:p>
            <w:pPr>
              <w:spacing w:after="0"/>
              <w:rPr>
                <w:sz w:val="1"/>
                <w:szCs w:val="1"/>
                <w:color w:val="auto"/>
              </w:rPr>
            </w:pPr>
          </w:p>
        </w:tc>
      </w:tr>
      <w:tr>
        <w:trPr>
          <w:trHeight w:val="68"/>
        </w:trPr>
        <w:tc>
          <w:tcPr>
            <w:tcW w:w="138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40" w:type="dxa"/>
            <w:vAlign w:val="bottom"/>
            <w:tcBorders>
              <w:right w:val="single" w:sz="8" w:color="EFEDED"/>
            </w:tcBorders>
            <w:shd w:val="clear" w:color="auto" w:fill="EFEDED"/>
          </w:tcPr>
          <w:p>
            <w:pPr>
              <w:spacing w:after="0"/>
              <w:rPr>
                <w:sz w:val="5"/>
                <w:szCs w:val="5"/>
                <w:color w:val="auto"/>
              </w:rPr>
            </w:pPr>
          </w:p>
        </w:tc>
        <w:tc>
          <w:tcPr>
            <w:tcW w:w="120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240" w:type="dxa"/>
            <w:vAlign w:val="bottom"/>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380" w:type="dxa"/>
            <w:vAlign w:val="bottom"/>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58595B"/>
              </w:rPr>
              <w:t>—</w:t>
            </w:r>
          </w:p>
        </w:tc>
        <w:tc>
          <w:tcPr>
            <w:tcW w:w="124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1"/>
        </w:trPr>
        <w:tc>
          <w:tcPr>
            <w:tcW w:w="1380" w:type="dxa"/>
            <w:vAlign w:val="bottom"/>
            <w:tcBorders>
              <w:bottom w:val="single" w:sz="8" w:color="58595B"/>
            </w:tcBorders>
          </w:tcPr>
          <w:p>
            <w:pPr>
              <w:spacing w:after="0" w:line="20" w:lineRule="exact"/>
              <w:rPr>
                <w:sz w:val="1"/>
                <w:szCs w:val="1"/>
                <w:color w:val="auto"/>
              </w:rPr>
            </w:pPr>
          </w:p>
        </w:tc>
        <w:tc>
          <w:tcPr>
            <w:tcW w:w="1240" w:type="dxa"/>
            <w:vAlign w:val="bottom"/>
            <w:tcBorders>
              <w:bottom w:val="single" w:sz="8" w:color="58595B"/>
            </w:tcBorders>
          </w:tcPr>
          <w:p>
            <w:pPr>
              <w:spacing w:after="0" w:line="20" w:lineRule="exact"/>
              <w:rPr>
                <w:sz w:val="1"/>
                <w:szCs w:val="1"/>
                <w:color w:val="auto"/>
              </w:rPr>
            </w:pPr>
          </w:p>
        </w:tc>
        <w:tc>
          <w:tcPr>
            <w:tcW w:w="1220" w:type="dxa"/>
            <w:vAlign w:val="bottom"/>
            <w:tcBorders>
              <w:bottom w:val="single" w:sz="8" w:color="58595B"/>
            </w:tcBorders>
          </w:tcPr>
          <w:p>
            <w:pPr>
              <w:spacing w:after="0" w:line="20" w:lineRule="exact"/>
              <w:rPr>
                <w:sz w:val="1"/>
                <w:szCs w:val="1"/>
                <w:color w:val="auto"/>
              </w:rPr>
            </w:pPr>
          </w:p>
        </w:tc>
        <w:tc>
          <w:tcPr>
            <w:tcW w:w="1240" w:type="dxa"/>
            <w:vAlign w:val="bottom"/>
            <w:tcBorders>
              <w:bottom w:val="single" w:sz="8" w:color="58595B"/>
            </w:tcBorders>
          </w:tcPr>
          <w:p>
            <w:pPr>
              <w:spacing w:after="0" w:line="20" w:lineRule="exact"/>
              <w:rPr>
                <w:sz w:val="1"/>
                <w:szCs w:val="1"/>
                <w:color w:val="auto"/>
              </w:rPr>
            </w:pPr>
          </w:p>
        </w:tc>
        <w:tc>
          <w:tcPr>
            <w:tcW w:w="1240" w:type="dxa"/>
            <w:vAlign w:val="bottom"/>
            <w:tcBorders>
              <w:bottom w:val="single" w:sz="8" w:color="58595B"/>
            </w:tcBorders>
          </w:tcPr>
          <w:p>
            <w:pPr>
              <w:spacing w:after="0" w:line="20" w:lineRule="exact"/>
              <w:rPr>
                <w:sz w:val="1"/>
                <w:szCs w:val="1"/>
                <w:color w:val="auto"/>
              </w:rPr>
            </w:pPr>
          </w:p>
        </w:tc>
        <w:tc>
          <w:tcPr>
            <w:tcW w:w="1200" w:type="dxa"/>
            <w:vAlign w:val="bottom"/>
            <w:tcBorders>
              <w:bottom w:val="single" w:sz="8" w:color="58595B"/>
            </w:tcBorders>
          </w:tcPr>
          <w:p>
            <w:pPr>
              <w:spacing w:after="0" w:line="20" w:lineRule="exact"/>
              <w:rPr>
                <w:sz w:val="1"/>
                <w:szCs w:val="1"/>
                <w:color w:val="auto"/>
              </w:rPr>
            </w:pPr>
          </w:p>
        </w:tc>
        <w:tc>
          <w:tcPr>
            <w:tcW w:w="1240" w:type="dxa"/>
            <w:vAlign w:val="bottom"/>
            <w:tcBorders>
              <w:bottom w:val="single" w:sz="8" w:color="58595B"/>
            </w:tcBorders>
          </w:tcPr>
          <w:p>
            <w:pPr>
              <w:spacing w:after="0" w:line="20" w:lineRule="exact"/>
              <w:rPr>
                <w:sz w:val="1"/>
                <w:szCs w:val="1"/>
                <w:color w:val="auto"/>
              </w:rPr>
            </w:pPr>
          </w:p>
        </w:tc>
        <w:tc>
          <w:tcPr>
            <w:tcW w:w="1220" w:type="dxa"/>
            <w:vAlign w:val="bottom"/>
            <w:tcBorders>
              <w:bottom w:val="single" w:sz="8" w:color="58595B"/>
            </w:tcBorders>
          </w:tcPr>
          <w:p>
            <w:pPr>
              <w:spacing w:after="0" w:line="20" w:lineRule="exact"/>
              <w:rPr>
                <w:sz w:val="1"/>
                <w:szCs w:val="1"/>
                <w:color w:val="auto"/>
              </w:rPr>
            </w:pPr>
          </w:p>
        </w:tc>
        <w:tc>
          <w:tcPr>
            <w:tcW w:w="1240" w:type="dxa"/>
            <w:vAlign w:val="bottom"/>
            <w:tcBorders>
              <w:bottom w:val="single" w:sz="8" w:color="58595B"/>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Vesting information for each outstanding non-qualified stock option award as of December 31, 2023 for the Named Executive Officers is described in the table below.</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59</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line="301" w:lineRule="auto"/>
        <w:tabs>
          <w:tab w:leader="none" w:pos="674" w:val="left"/>
        </w:tabs>
        <w:numPr>
          <w:ilvl w:val="0"/>
          <w:numId w:val="53"/>
        </w:numPr>
        <w:rPr>
          <w:rFonts w:ascii="Arial" w:cs="Arial" w:eastAsia="Arial" w:hAnsi="Arial"/>
          <w:sz w:val="14"/>
          <w:szCs w:val="14"/>
          <w:color w:val="auto"/>
        </w:rPr>
      </w:pPr>
      <w:r>
        <w:rPr>
          <w:rFonts w:ascii="Arial" w:cs="Arial" w:eastAsia="Arial" w:hAnsi="Arial"/>
          <w:sz w:val="14"/>
          <w:szCs w:val="14"/>
          <w:color w:val="auto"/>
        </w:rPr>
        <w:t>Ms. Knight joined the company on June 28, 2023 so did not receive an annual equity award in March 2023 with outstanding non-qualified stock options, therefore, she has no outstanding non-qualified stock options.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Ms. Anderson's outstanding non-qualified stock options were forfeited on February 2, 2023 upon her termination.</w:t>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1080" w:type="dxa"/>
            <w:vAlign w:val="bottom"/>
            <w:shd w:val="clear" w:color="auto" w:fill="EFEDED"/>
          </w:tcPr>
          <w:p>
            <w:pPr>
              <w:spacing w:after="0"/>
              <w:rPr>
                <w:sz w:val="18"/>
                <w:szCs w:val="18"/>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Exercise</w:t>
            </w:r>
          </w:p>
        </w:tc>
        <w:tc>
          <w:tcPr>
            <w:tcW w:w="1100" w:type="dxa"/>
            <w:vAlign w:val="bottom"/>
            <w:vMerge w:val="restart"/>
            <w:shd w:val="clear" w:color="auto" w:fill="EFEDED"/>
          </w:tcPr>
          <w:p>
            <w:pPr>
              <w:ind w:left="160"/>
              <w:spacing w:after="0"/>
              <w:rPr>
                <w:sz w:val="20"/>
                <w:szCs w:val="20"/>
                <w:color w:val="auto"/>
              </w:rPr>
            </w:pPr>
            <w:r>
              <w:rPr>
                <w:rFonts w:ascii="Arial" w:cs="Arial" w:eastAsia="Arial" w:hAnsi="Arial"/>
                <w:sz w:val="13"/>
                <w:szCs w:val="13"/>
                <w:b w:val="1"/>
                <w:bCs w:val="1"/>
                <w:color w:val="58595B"/>
              </w:rPr>
              <w:t>Jan De Witte</w:t>
            </w:r>
          </w:p>
        </w:tc>
        <w:tc>
          <w:tcPr>
            <w:tcW w:w="104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Lea Knight</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Jeffrey</w:t>
            </w:r>
          </w:p>
        </w:tc>
        <w:tc>
          <w:tcPr>
            <w:tcW w:w="10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Robert T.</w:t>
            </w:r>
          </w:p>
        </w:tc>
        <w:tc>
          <w:tcPr>
            <w:tcW w:w="102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6"/>
              </w:rPr>
              <w:t>Michael J.</w:t>
            </w:r>
          </w:p>
        </w:tc>
        <w:tc>
          <w:tcPr>
            <w:tcW w:w="1160" w:type="dxa"/>
            <w:vAlign w:val="bottom"/>
            <w:vMerge w:val="restart"/>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5"/>
              </w:rPr>
              <w:t>Eric I. Schwartz</w:t>
            </w:r>
          </w:p>
        </w:tc>
        <w:tc>
          <w:tcPr>
            <w:tcW w:w="110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Carrie Anderson</w:t>
            </w:r>
          </w:p>
        </w:tc>
        <w:tc>
          <w:tcPr>
            <w:tcW w:w="0" w:type="dxa"/>
            <w:vAlign w:val="bottom"/>
          </w:tcPr>
          <w:p>
            <w:pPr>
              <w:spacing w:after="0"/>
              <w:rPr>
                <w:sz w:val="1"/>
                <w:szCs w:val="1"/>
                <w:color w:val="auto"/>
              </w:rPr>
            </w:pPr>
          </w:p>
        </w:tc>
      </w:tr>
      <w:tr>
        <w:trPr>
          <w:trHeight w:val="77"/>
        </w:trPr>
        <w:tc>
          <w:tcPr>
            <w:tcW w:w="1080" w:type="dxa"/>
            <w:vAlign w:val="bottom"/>
            <w:shd w:val="clear" w:color="auto" w:fill="EFEDED"/>
          </w:tcPr>
          <w:p>
            <w:pPr>
              <w:spacing w:after="0"/>
              <w:rPr>
                <w:sz w:val="6"/>
                <w:szCs w:val="6"/>
                <w:color w:val="auto"/>
              </w:rPr>
            </w:pPr>
          </w:p>
        </w:tc>
        <w:tc>
          <w:tcPr>
            <w:tcW w:w="108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rPr>
              <w:t>Price</w:t>
            </w:r>
          </w:p>
        </w:tc>
        <w:tc>
          <w:tcPr>
            <w:tcW w:w="1100" w:type="dxa"/>
            <w:vAlign w:val="bottom"/>
            <w:vMerge w:val="continue"/>
            <w:shd w:val="clear" w:color="auto" w:fill="EFEDED"/>
          </w:tcPr>
          <w:p>
            <w:pPr>
              <w:spacing w:after="0"/>
              <w:rPr>
                <w:sz w:val="6"/>
                <w:szCs w:val="6"/>
                <w:color w:val="auto"/>
              </w:rPr>
            </w:pPr>
          </w:p>
        </w:tc>
        <w:tc>
          <w:tcPr>
            <w:tcW w:w="1040" w:type="dxa"/>
            <w:vAlign w:val="bottom"/>
            <w:gridSpan w:val="2"/>
            <w:vMerge w:val="continue"/>
            <w:shd w:val="clear" w:color="auto" w:fill="EFEDED"/>
          </w:tcPr>
          <w:p>
            <w:pPr>
              <w:spacing w:after="0"/>
              <w:rPr>
                <w:sz w:val="6"/>
                <w:szCs w:val="6"/>
                <w:color w:val="auto"/>
              </w:rPr>
            </w:pPr>
          </w:p>
        </w:tc>
        <w:tc>
          <w:tcPr>
            <w:tcW w:w="112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Mosebrook</w:t>
            </w:r>
          </w:p>
        </w:tc>
        <w:tc>
          <w:tcPr>
            <w:tcW w:w="104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Davis Jr.</w:t>
            </w:r>
          </w:p>
        </w:tc>
        <w:tc>
          <w:tcPr>
            <w:tcW w:w="1020" w:type="dxa"/>
            <w:vAlign w:val="bottom"/>
            <w:vMerge w:val="restart"/>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4"/>
              </w:rPr>
              <w:t>McBreen</w:t>
            </w:r>
          </w:p>
        </w:tc>
        <w:tc>
          <w:tcPr>
            <w:tcW w:w="1160" w:type="dxa"/>
            <w:vAlign w:val="bottom"/>
            <w:vMerge w:val="continue"/>
            <w:shd w:val="clear" w:color="auto" w:fill="EFEDED"/>
          </w:tcPr>
          <w:p>
            <w:pPr>
              <w:spacing w:after="0"/>
              <w:rPr>
                <w:sz w:val="6"/>
                <w:szCs w:val="6"/>
                <w:color w:val="auto"/>
              </w:rPr>
            </w:pPr>
          </w:p>
        </w:tc>
        <w:tc>
          <w:tcPr>
            <w:tcW w:w="1100" w:type="dxa"/>
            <w:vAlign w:val="bottom"/>
            <w:vMerge w:val="continue"/>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80" w:type="dxa"/>
            <w:vAlign w:val="bottom"/>
            <w:tcBorders>
              <w:bottom w:val="single" w:sz="8" w:color="EFEDED"/>
            </w:tcBorders>
            <w:shd w:val="clear" w:color="auto" w:fill="EFEDED"/>
          </w:tcPr>
          <w:p>
            <w:pPr>
              <w:spacing w:after="0"/>
              <w:rPr>
                <w:sz w:val="12"/>
                <w:szCs w:val="12"/>
                <w:color w:val="auto"/>
              </w:rPr>
            </w:pPr>
          </w:p>
        </w:tc>
        <w:tc>
          <w:tcPr>
            <w:tcW w:w="1080" w:type="dxa"/>
            <w:vAlign w:val="bottom"/>
            <w:tcBorders>
              <w:bottom w:val="single" w:sz="8" w:color="EFEDED"/>
            </w:tcBorders>
            <w:vMerge w:val="continue"/>
            <w:shd w:val="clear" w:color="auto" w:fill="EFEDED"/>
          </w:tcPr>
          <w:p>
            <w:pPr>
              <w:spacing w:after="0"/>
              <w:rPr>
                <w:sz w:val="12"/>
                <w:szCs w:val="12"/>
                <w:color w:val="auto"/>
              </w:rPr>
            </w:pPr>
          </w:p>
        </w:tc>
        <w:tc>
          <w:tcPr>
            <w:tcW w:w="1100" w:type="dxa"/>
            <w:vAlign w:val="bottom"/>
            <w:tcBorders>
              <w:bottom w:val="single" w:sz="8" w:color="EFEDED"/>
            </w:tcBorders>
            <w:shd w:val="clear" w:color="auto" w:fill="EFEDED"/>
          </w:tcPr>
          <w:p>
            <w:pPr>
              <w:spacing w:after="0"/>
              <w:rPr>
                <w:sz w:val="12"/>
                <w:szCs w:val="12"/>
                <w:color w:val="auto"/>
              </w:rPr>
            </w:pPr>
          </w:p>
        </w:tc>
        <w:tc>
          <w:tcPr>
            <w:tcW w:w="640" w:type="dxa"/>
            <w:vAlign w:val="bottom"/>
            <w:tcBorders>
              <w:bottom w:val="single" w:sz="8" w:color="EFEDED"/>
            </w:tcBorders>
            <w:shd w:val="clear" w:color="auto" w:fill="EFEDED"/>
          </w:tcPr>
          <w:p>
            <w:pPr>
              <w:spacing w:after="0"/>
              <w:rPr>
                <w:sz w:val="12"/>
                <w:szCs w:val="12"/>
                <w:color w:val="auto"/>
              </w:rPr>
            </w:pPr>
          </w:p>
        </w:tc>
        <w:tc>
          <w:tcPr>
            <w:tcW w:w="400" w:type="dxa"/>
            <w:vAlign w:val="bottom"/>
            <w:tcBorders>
              <w:bottom w:val="single" w:sz="8" w:color="EFEDED"/>
            </w:tcBorders>
            <w:shd w:val="clear" w:color="auto" w:fill="EFEDED"/>
          </w:tcPr>
          <w:p>
            <w:pPr>
              <w:spacing w:after="0"/>
              <w:rPr>
                <w:sz w:val="12"/>
                <w:szCs w:val="12"/>
                <w:color w:val="auto"/>
              </w:rPr>
            </w:pPr>
          </w:p>
        </w:tc>
        <w:tc>
          <w:tcPr>
            <w:tcW w:w="1120" w:type="dxa"/>
            <w:vAlign w:val="bottom"/>
            <w:tcBorders>
              <w:bottom w:val="single" w:sz="8" w:color="EFEDED"/>
            </w:tcBorders>
            <w:vMerge w:val="continue"/>
            <w:shd w:val="clear" w:color="auto" w:fill="EFEDED"/>
          </w:tcPr>
          <w:p>
            <w:pPr>
              <w:spacing w:after="0"/>
              <w:rPr>
                <w:sz w:val="12"/>
                <w:szCs w:val="12"/>
                <w:color w:val="auto"/>
              </w:rPr>
            </w:pPr>
          </w:p>
        </w:tc>
        <w:tc>
          <w:tcPr>
            <w:tcW w:w="1040" w:type="dxa"/>
            <w:vAlign w:val="bottom"/>
            <w:tcBorders>
              <w:bottom w:val="single" w:sz="8" w:color="EFEDED"/>
            </w:tcBorders>
            <w:vMerge w:val="continue"/>
            <w:shd w:val="clear" w:color="auto" w:fill="EFEDED"/>
          </w:tcPr>
          <w:p>
            <w:pPr>
              <w:spacing w:after="0"/>
              <w:rPr>
                <w:sz w:val="12"/>
                <w:szCs w:val="12"/>
                <w:color w:val="auto"/>
              </w:rPr>
            </w:pPr>
          </w:p>
        </w:tc>
        <w:tc>
          <w:tcPr>
            <w:tcW w:w="1020" w:type="dxa"/>
            <w:vAlign w:val="bottom"/>
            <w:tcBorders>
              <w:bottom w:val="single" w:sz="8" w:color="EFEDED"/>
            </w:tcBorders>
            <w:vMerge w:val="continue"/>
            <w:shd w:val="clear" w:color="auto" w:fill="EFEDED"/>
          </w:tcPr>
          <w:p>
            <w:pPr>
              <w:spacing w:after="0"/>
              <w:rPr>
                <w:sz w:val="12"/>
                <w:szCs w:val="12"/>
                <w:color w:val="auto"/>
              </w:rPr>
            </w:pPr>
          </w:p>
        </w:tc>
        <w:tc>
          <w:tcPr>
            <w:tcW w:w="1160" w:type="dxa"/>
            <w:vAlign w:val="bottom"/>
            <w:tcBorders>
              <w:bottom w:val="single" w:sz="8" w:color="EFEDED"/>
            </w:tcBorders>
            <w:shd w:val="clear" w:color="auto" w:fill="EFEDED"/>
          </w:tcPr>
          <w:p>
            <w:pPr>
              <w:spacing w:after="0"/>
              <w:rPr>
                <w:sz w:val="12"/>
                <w:szCs w:val="12"/>
                <w:color w:val="auto"/>
              </w:rPr>
            </w:pPr>
          </w:p>
        </w:tc>
        <w:tc>
          <w:tcPr>
            <w:tcW w:w="1100" w:type="dxa"/>
            <w:vAlign w:val="bottom"/>
            <w:tcBorders>
              <w:bottom w:val="single" w:sz="8" w:color="EFEDED"/>
            </w:tcBorders>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080" w:type="dxa"/>
            <w:vAlign w:val="bottom"/>
            <w:tcBorders>
              <w:top w:val="single" w:sz="8" w:color="EFEDED"/>
            </w:tcBorders>
            <w:vMerge w:val="restart"/>
            <w:shd w:val="clear" w:color="auto" w:fill="EFEDED"/>
          </w:tcPr>
          <w:p>
            <w:pPr>
              <w:ind w:left="160"/>
              <w:spacing w:after="0"/>
              <w:rPr>
                <w:sz w:val="20"/>
                <w:szCs w:val="20"/>
                <w:color w:val="auto"/>
              </w:rPr>
            </w:pPr>
            <w:r>
              <w:rPr>
                <w:rFonts w:ascii="Arial" w:cs="Arial" w:eastAsia="Arial" w:hAnsi="Arial"/>
                <w:sz w:val="13"/>
                <w:szCs w:val="13"/>
                <w:b w:val="1"/>
                <w:bCs w:val="1"/>
                <w:color w:val="58595B"/>
              </w:rPr>
              <w:t>Vesting Date</w:t>
            </w:r>
          </w:p>
        </w:tc>
        <w:tc>
          <w:tcPr>
            <w:tcW w:w="1080" w:type="dxa"/>
            <w:vAlign w:val="bottom"/>
            <w:tcBorders>
              <w:top w:val="single" w:sz="8" w:color="58595B"/>
            </w:tcBorders>
            <w:shd w:val="clear" w:color="auto" w:fill="EFEDED"/>
          </w:tcPr>
          <w:p>
            <w:pPr>
              <w:spacing w:after="0"/>
              <w:rPr>
                <w:sz w:val="21"/>
                <w:szCs w:val="21"/>
                <w:color w:val="auto"/>
              </w:rPr>
            </w:pPr>
          </w:p>
        </w:tc>
        <w:tc>
          <w:tcPr>
            <w:tcW w:w="1100" w:type="dxa"/>
            <w:vAlign w:val="bottom"/>
            <w:tcBorders>
              <w:top w:val="single" w:sz="8" w:color="58595B"/>
            </w:tcBorders>
            <w:shd w:val="clear" w:color="auto" w:fill="EFEDED"/>
          </w:tcPr>
          <w:p>
            <w:pPr>
              <w:spacing w:after="0"/>
              <w:rPr>
                <w:sz w:val="21"/>
                <w:szCs w:val="21"/>
                <w:color w:val="auto"/>
              </w:rPr>
            </w:pPr>
          </w:p>
        </w:tc>
        <w:tc>
          <w:tcPr>
            <w:tcW w:w="640" w:type="dxa"/>
            <w:vAlign w:val="bottom"/>
            <w:tcBorders>
              <w:top w:val="single" w:sz="8" w:color="58595B"/>
            </w:tcBorders>
            <w:shd w:val="clear" w:color="auto" w:fill="EFEDED"/>
          </w:tcPr>
          <w:p>
            <w:pPr>
              <w:spacing w:after="0"/>
              <w:rPr>
                <w:sz w:val="21"/>
                <w:szCs w:val="21"/>
                <w:color w:val="auto"/>
              </w:rPr>
            </w:pPr>
          </w:p>
        </w:tc>
        <w:tc>
          <w:tcPr>
            <w:tcW w:w="4740" w:type="dxa"/>
            <w:vAlign w:val="bottom"/>
            <w:tcBorders>
              <w:top w:val="single" w:sz="8" w:color="58595B"/>
            </w:tcBorders>
            <w:gridSpan w:val="5"/>
            <w:shd w:val="clear" w:color="auto" w:fill="EFEDED"/>
          </w:tcPr>
          <w:p>
            <w:pPr>
              <w:jc w:val="center"/>
              <w:ind w:right="577"/>
              <w:spacing w:after="0"/>
              <w:rPr>
                <w:sz w:val="20"/>
                <w:szCs w:val="20"/>
                <w:color w:val="auto"/>
              </w:rPr>
            </w:pPr>
            <w:r>
              <w:rPr>
                <w:rFonts w:ascii="Arial" w:cs="Arial" w:eastAsia="Arial" w:hAnsi="Arial"/>
                <w:sz w:val="13"/>
                <w:szCs w:val="13"/>
                <w:b w:val="1"/>
                <w:bCs w:val="1"/>
                <w:color w:val="58595B"/>
                <w:w w:val="96"/>
              </w:rPr>
              <w:t>Number of Shares Underlying Non-Qualified Stock Option Awards</w:t>
            </w:r>
          </w:p>
        </w:tc>
        <w:tc>
          <w:tcPr>
            <w:tcW w:w="1100" w:type="dxa"/>
            <w:vAlign w:val="bottom"/>
            <w:tcBorders>
              <w:top w:val="single" w:sz="8" w:color="58595B"/>
            </w:tcBorders>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080" w:type="dxa"/>
            <w:vAlign w:val="bottom"/>
            <w:vMerge w:val="continue"/>
            <w:shd w:val="clear" w:color="auto" w:fill="EFEDED"/>
          </w:tcPr>
          <w:p>
            <w:pPr>
              <w:spacing w:after="0"/>
              <w:rPr>
                <w:sz w:val="7"/>
                <w:szCs w:val="7"/>
                <w:color w:val="auto"/>
              </w:rPr>
            </w:pPr>
          </w:p>
        </w:tc>
        <w:tc>
          <w:tcPr>
            <w:tcW w:w="1080" w:type="dxa"/>
            <w:vAlign w:val="bottom"/>
            <w:shd w:val="clear" w:color="auto" w:fill="EFEDED"/>
          </w:tcPr>
          <w:p>
            <w:pPr>
              <w:spacing w:after="0"/>
              <w:rPr>
                <w:sz w:val="7"/>
                <w:szCs w:val="7"/>
                <w:color w:val="auto"/>
              </w:rPr>
            </w:pPr>
          </w:p>
        </w:tc>
        <w:tc>
          <w:tcPr>
            <w:tcW w:w="1100" w:type="dxa"/>
            <w:vAlign w:val="bottom"/>
            <w:shd w:val="clear" w:color="auto" w:fill="EFEDED"/>
          </w:tcPr>
          <w:p>
            <w:pPr>
              <w:spacing w:after="0"/>
              <w:rPr>
                <w:sz w:val="7"/>
                <w:szCs w:val="7"/>
                <w:color w:val="auto"/>
              </w:rPr>
            </w:pPr>
          </w:p>
        </w:tc>
        <w:tc>
          <w:tcPr>
            <w:tcW w:w="640" w:type="dxa"/>
            <w:vAlign w:val="bottom"/>
            <w:shd w:val="clear" w:color="auto" w:fill="EFEDED"/>
          </w:tcPr>
          <w:p>
            <w:pPr>
              <w:spacing w:after="0"/>
              <w:rPr>
                <w:sz w:val="7"/>
                <w:szCs w:val="7"/>
                <w:color w:val="auto"/>
              </w:rPr>
            </w:pPr>
          </w:p>
        </w:tc>
        <w:tc>
          <w:tcPr>
            <w:tcW w:w="400" w:type="dxa"/>
            <w:vAlign w:val="bottom"/>
            <w:shd w:val="clear" w:color="auto" w:fill="EFEDED"/>
          </w:tcPr>
          <w:p>
            <w:pPr>
              <w:spacing w:after="0"/>
              <w:rPr>
                <w:sz w:val="7"/>
                <w:szCs w:val="7"/>
                <w:color w:val="auto"/>
              </w:rPr>
            </w:pPr>
          </w:p>
        </w:tc>
        <w:tc>
          <w:tcPr>
            <w:tcW w:w="1120" w:type="dxa"/>
            <w:vAlign w:val="bottom"/>
            <w:shd w:val="clear" w:color="auto" w:fill="EFEDED"/>
          </w:tcPr>
          <w:p>
            <w:pPr>
              <w:spacing w:after="0"/>
              <w:rPr>
                <w:sz w:val="7"/>
                <w:szCs w:val="7"/>
                <w:color w:val="auto"/>
              </w:rPr>
            </w:pPr>
          </w:p>
        </w:tc>
        <w:tc>
          <w:tcPr>
            <w:tcW w:w="1040" w:type="dxa"/>
            <w:vAlign w:val="bottom"/>
            <w:shd w:val="clear" w:color="auto" w:fill="EFEDED"/>
          </w:tcPr>
          <w:p>
            <w:pPr>
              <w:spacing w:after="0"/>
              <w:rPr>
                <w:sz w:val="7"/>
                <w:szCs w:val="7"/>
                <w:color w:val="auto"/>
              </w:rPr>
            </w:pPr>
          </w:p>
        </w:tc>
        <w:tc>
          <w:tcPr>
            <w:tcW w:w="1020" w:type="dxa"/>
            <w:vAlign w:val="bottom"/>
            <w:shd w:val="clear" w:color="auto" w:fill="EFEDED"/>
          </w:tcPr>
          <w:p>
            <w:pPr>
              <w:spacing w:after="0"/>
              <w:rPr>
                <w:sz w:val="7"/>
                <w:szCs w:val="7"/>
                <w:color w:val="auto"/>
              </w:rPr>
            </w:pPr>
          </w:p>
        </w:tc>
        <w:tc>
          <w:tcPr>
            <w:tcW w:w="1160" w:type="dxa"/>
            <w:vAlign w:val="bottom"/>
            <w:shd w:val="clear" w:color="auto" w:fill="EFEDED"/>
          </w:tcPr>
          <w:p>
            <w:pPr>
              <w:spacing w:after="0"/>
              <w:rPr>
                <w:sz w:val="7"/>
                <w:szCs w:val="7"/>
                <w:color w:val="auto"/>
              </w:rPr>
            </w:pPr>
          </w:p>
        </w:tc>
        <w:tc>
          <w:tcPr>
            <w:tcW w:w="110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08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1100" w:type="dxa"/>
            <w:vAlign w:val="bottom"/>
            <w:shd w:val="clear" w:color="auto" w:fill="EFEDED"/>
          </w:tcPr>
          <w:p>
            <w:pPr>
              <w:spacing w:after="0"/>
              <w:rPr>
                <w:sz w:val="6"/>
                <w:szCs w:val="6"/>
                <w:color w:val="auto"/>
              </w:rPr>
            </w:pPr>
          </w:p>
        </w:tc>
        <w:tc>
          <w:tcPr>
            <w:tcW w:w="640" w:type="dxa"/>
            <w:vAlign w:val="bottom"/>
            <w:shd w:val="clear" w:color="auto" w:fill="EFEDED"/>
          </w:tcPr>
          <w:p>
            <w:pPr>
              <w:spacing w:after="0"/>
              <w:rPr>
                <w:sz w:val="6"/>
                <w:szCs w:val="6"/>
                <w:color w:val="auto"/>
              </w:rPr>
            </w:pPr>
          </w:p>
        </w:tc>
        <w:tc>
          <w:tcPr>
            <w:tcW w:w="400" w:type="dxa"/>
            <w:vAlign w:val="bottom"/>
            <w:shd w:val="clear" w:color="auto" w:fill="EFEDED"/>
          </w:tcPr>
          <w:p>
            <w:pPr>
              <w:spacing w:after="0"/>
              <w:rPr>
                <w:sz w:val="6"/>
                <w:szCs w:val="6"/>
                <w:color w:val="auto"/>
              </w:rPr>
            </w:pPr>
          </w:p>
        </w:tc>
        <w:tc>
          <w:tcPr>
            <w:tcW w:w="1120" w:type="dxa"/>
            <w:vAlign w:val="bottom"/>
            <w:shd w:val="clear" w:color="auto" w:fill="EFEDED"/>
          </w:tcPr>
          <w:p>
            <w:pPr>
              <w:spacing w:after="0"/>
              <w:rPr>
                <w:sz w:val="6"/>
                <w:szCs w:val="6"/>
                <w:color w:val="auto"/>
              </w:rPr>
            </w:pPr>
          </w:p>
        </w:tc>
        <w:tc>
          <w:tcPr>
            <w:tcW w:w="1040" w:type="dxa"/>
            <w:vAlign w:val="bottom"/>
            <w:shd w:val="clear" w:color="auto" w:fill="EFEDED"/>
          </w:tcPr>
          <w:p>
            <w:pPr>
              <w:spacing w:after="0"/>
              <w:rPr>
                <w:sz w:val="6"/>
                <w:szCs w:val="6"/>
                <w:color w:val="auto"/>
              </w:rPr>
            </w:pPr>
          </w:p>
        </w:tc>
        <w:tc>
          <w:tcPr>
            <w:tcW w:w="1020" w:type="dxa"/>
            <w:vAlign w:val="bottom"/>
            <w:shd w:val="clear" w:color="auto" w:fill="EFEDED"/>
          </w:tcPr>
          <w:p>
            <w:pPr>
              <w:spacing w:after="0"/>
              <w:rPr>
                <w:sz w:val="6"/>
                <w:szCs w:val="6"/>
                <w:color w:val="auto"/>
              </w:rPr>
            </w:pPr>
          </w:p>
        </w:tc>
        <w:tc>
          <w:tcPr>
            <w:tcW w:w="1160" w:type="dxa"/>
            <w:vAlign w:val="bottom"/>
            <w:shd w:val="clear" w:color="auto" w:fill="EFEDED"/>
          </w:tcPr>
          <w:p>
            <w:pPr>
              <w:spacing w:after="0"/>
              <w:rPr>
                <w:sz w:val="6"/>
                <w:szCs w:val="6"/>
                <w:color w:val="auto"/>
              </w:rPr>
            </w:pPr>
          </w:p>
        </w:tc>
        <w:tc>
          <w:tcPr>
            <w:tcW w:w="110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080" w:type="dxa"/>
            <w:vAlign w:val="bottom"/>
          </w:tcPr>
          <w:p>
            <w:pPr>
              <w:ind w:left="100"/>
              <w:spacing w:after="0"/>
              <w:rPr>
                <w:sz w:val="20"/>
                <w:szCs w:val="20"/>
                <w:color w:val="auto"/>
              </w:rPr>
            </w:pPr>
            <w:r>
              <w:rPr>
                <w:rFonts w:ascii="Arial" w:cs="Arial" w:eastAsia="Arial" w:hAnsi="Arial"/>
                <w:sz w:val="13"/>
                <w:szCs w:val="13"/>
                <w:b w:val="1"/>
                <w:bCs w:val="1"/>
                <w:color w:val="58595B"/>
              </w:rPr>
              <w:t>2024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center"/>
              <w:ind w:left="297"/>
              <w:spacing w:after="0"/>
              <w:rPr>
                <w:sz w:val="20"/>
                <w:szCs w:val="20"/>
                <w:color w:val="auto"/>
              </w:rPr>
            </w:pPr>
            <w:r>
              <w:rPr>
                <w:rFonts w:ascii="Arial" w:cs="Arial" w:eastAsia="Arial" w:hAnsi="Arial"/>
                <w:sz w:val="13"/>
                <w:szCs w:val="13"/>
                <w:color w:val="58595B"/>
              </w:rPr>
              <w:t>(a)</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58595B"/>
              </w:rPr>
              <w:t>(b)</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3/13/2024</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43.39</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640" w:type="dxa"/>
            <w:vAlign w:val="bottom"/>
            <w:tcBorders>
              <w:bottom w:val="single" w:sz="8" w:color="EFEDED"/>
            </w:tcBorders>
            <w:shd w:val="clear" w:color="auto" w:fill="EFEDED"/>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851</w:t>
            </w:r>
          </w:p>
        </w:tc>
        <w:tc>
          <w:tcPr>
            <w:tcW w:w="10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3,972</w:t>
            </w:r>
          </w:p>
        </w:tc>
        <w:tc>
          <w:tcPr>
            <w:tcW w:w="102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2,447</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8"/>
              </w:rPr>
              <w:t>3,598</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080" w:type="dxa"/>
            <w:vAlign w:val="bottom"/>
          </w:tcPr>
          <w:p>
            <w:pPr>
              <w:ind w:left="100"/>
              <w:spacing w:after="0"/>
              <w:rPr>
                <w:sz w:val="20"/>
                <w:szCs w:val="20"/>
                <w:color w:val="auto"/>
              </w:rPr>
            </w:pPr>
            <w:r>
              <w:rPr>
                <w:rFonts w:ascii="Arial" w:cs="Arial" w:eastAsia="Arial" w:hAnsi="Arial"/>
                <w:sz w:val="13"/>
                <w:szCs w:val="13"/>
                <w:color w:val="58595B"/>
              </w:rPr>
              <w:t>3/12/2024</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68.10</w:t>
            </w:r>
          </w:p>
        </w:tc>
        <w:tc>
          <w:tcPr>
            <w:tcW w:w="1100" w:type="dxa"/>
            <w:vAlign w:val="bottom"/>
          </w:tcPr>
          <w:p>
            <w:pPr>
              <w:jc w:val="center"/>
              <w:spacing w:after="0"/>
              <w:rPr>
                <w:sz w:val="20"/>
                <w:szCs w:val="20"/>
                <w:color w:val="auto"/>
              </w:rPr>
            </w:pPr>
            <w:r>
              <w:rPr>
                <w:rFonts w:ascii="Arial" w:cs="Arial" w:eastAsia="Arial" w:hAnsi="Arial"/>
                <w:sz w:val="13"/>
                <w:szCs w:val="13"/>
                <w:color w:val="58595B"/>
              </w:rPr>
              <w:t>—</w:t>
            </w:r>
          </w:p>
        </w:tc>
        <w:tc>
          <w:tcPr>
            <w:tcW w:w="640" w:type="dxa"/>
            <w:vAlign w:val="bottom"/>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Pr>
          <w:p>
            <w:pPr>
              <w:jc w:val="center"/>
              <w:spacing w:after="0"/>
              <w:rPr>
                <w:sz w:val="20"/>
                <w:szCs w:val="20"/>
                <w:color w:val="auto"/>
              </w:rPr>
            </w:pPr>
            <w:r>
              <w:rPr>
                <w:rFonts w:ascii="Arial" w:cs="Arial" w:eastAsia="Arial" w:hAnsi="Arial"/>
                <w:sz w:val="13"/>
                <w:szCs w:val="13"/>
                <w:color w:val="58595B"/>
                <w:w w:val="98"/>
              </w:rPr>
              <w:t>2,308</w:t>
            </w:r>
          </w:p>
        </w:tc>
        <w:tc>
          <w:tcPr>
            <w:tcW w:w="1020" w:type="dxa"/>
            <w:vAlign w:val="bottom"/>
          </w:tcPr>
          <w:p>
            <w:pPr>
              <w:jc w:val="center"/>
              <w:ind w:left="37"/>
              <w:spacing w:after="0"/>
              <w:rPr>
                <w:sz w:val="20"/>
                <w:szCs w:val="20"/>
                <w:color w:val="auto"/>
              </w:rPr>
            </w:pPr>
            <w:r>
              <w:rPr>
                <w:rFonts w:ascii="Arial" w:cs="Arial" w:eastAsia="Arial" w:hAnsi="Arial"/>
                <w:sz w:val="13"/>
                <w:szCs w:val="13"/>
                <w:color w:val="58595B"/>
                <w:w w:val="98"/>
              </w:rPr>
              <w:t>2,180</w:t>
            </w:r>
          </w:p>
        </w:tc>
        <w:tc>
          <w:tcPr>
            <w:tcW w:w="1160" w:type="dxa"/>
            <w:vAlign w:val="bottom"/>
          </w:tcPr>
          <w:p>
            <w:pPr>
              <w:jc w:val="center"/>
              <w:ind w:left="17"/>
              <w:spacing w:after="0"/>
              <w:rPr>
                <w:sz w:val="20"/>
                <w:szCs w:val="20"/>
                <w:color w:val="auto"/>
              </w:rPr>
            </w:pPr>
            <w:r>
              <w:rPr>
                <w:rFonts w:ascii="Arial" w:cs="Arial" w:eastAsia="Arial" w:hAnsi="Arial"/>
                <w:sz w:val="13"/>
                <w:szCs w:val="13"/>
                <w:color w:val="58595B"/>
                <w:w w:val="98"/>
              </w:rPr>
              <w:t>1,817</w:t>
            </w:r>
          </w:p>
        </w:tc>
        <w:tc>
          <w:tcPr>
            <w:tcW w:w="11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3/11/2024</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65.11</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10,800</w:t>
            </w:r>
          </w:p>
        </w:tc>
        <w:tc>
          <w:tcPr>
            <w:tcW w:w="640" w:type="dxa"/>
            <w:vAlign w:val="bottom"/>
            <w:tcBorders>
              <w:bottom w:val="single" w:sz="8" w:color="EFEDED"/>
            </w:tcBorders>
            <w:shd w:val="clear" w:color="auto" w:fill="EFEDED"/>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2,298</w:t>
            </w:r>
          </w:p>
        </w:tc>
        <w:tc>
          <w:tcPr>
            <w:tcW w:w="102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2,343</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8"/>
              </w:rPr>
              <w:t>6,885</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080" w:type="dxa"/>
            <w:vAlign w:val="bottom"/>
          </w:tcPr>
          <w:p>
            <w:pPr>
              <w:ind w:left="100"/>
              <w:spacing w:after="0"/>
              <w:rPr>
                <w:sz w:val="20"/>
                <w:szCs w:val="20"/>
                <w:color w:val="auto"/>
              </w:rPr>
            </w:pPr>
            <w:r>
              <w:rPr>
                <w:rFonts w:ascii="Arial" w:cs="Arial" w:eastAsia="Arial" w:hAnsi="Arial"/>
                <w:sz w:val="13"/>
                <w:szCs w:val="13"/>
                <w:color w:val="58595B"/>
              </w:rPr>
              <w:t>3/10/2024</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100" w:type="dxa"/>
            <w:vAlign w:val="bottom"/>
          </w:tcPr>
          <w:p>
            <w:pPr>
              <w:jc w:val="center"/>
              <w:spacing w:after="0"/>
              <w:rPr>
                <w:sz w:val="20"/>
                <w:szCs w:val="20"/>
                <w:color w:val="auto"/>
              </w:rPr>
            </w:pPr>
            <w:r>
              <w:rPr>
                <w:rFonts w:ascii="Arial" w:cs="Arial" w:eastAsia="Arial" w:hAnsi="Arial"/>
                <w:sz w:val="13"/>
                <w:szCs w:val="13"/>
                <w:color w:val="58595B"/>
                <w:w w:val="95"/>
              </w:rPr>
              <w:t>15,929</w:t>
            </w:r>
          </w:p>
        </w:tc>
        <w:tc>
          <w:tcPr>
            <w:tcW w:w="640" w:type="dxa"/>
            <w:vAlign w:val="bottom"/>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Pr>
          <w:p>
            <w:pPr>
              <w:jc w:val="center"/>
              <w:spacing w:after="0"/>
              <w:rPr>
                <w:sz w:val="20"/>
                <w:szCs w:val="20"/>
                <w:color w:val="auto"/>
              </w:rPr>
            </w:pPr>
            <w:r>
              <w:rPr>
                <w:rFonts w:ascii="Arial" w:cs="Arial" w:eastAsia="Arial" w:hAnsi="Arial"/>
                <w:sz w:val="13"/>
                <w:szCs w:val="13"/>
                <w:color w:val="58595B"/>
                <w:w w:val="98"/>
              </w:rPr>
              <w:t>2,588</w:t>
            </w:r>
          </w:p>
        </w:tc>
        <w:tc>
          <w:tcPr>
            <w:tcW w:w="1020" w:type="dxa"/>
            <w:vAlign w:val="bottom"/>
          </w:tcPr>
          <w:p>
            <w:pPr>
              <w:jc w:val="center"/>
              <w:ind w:left="37"/>
              <w:spacing w:after="0"/>
              <w:rPr>
                <w:sz w:val="20"/>
                <w:szCs w:val="20"/>
                <w:color w:val="auto"/>
              </w:rPr>
            </w:pPr>
            <w:r>
              <w:rPr>
                <w:rFonts w:ascii="Arial" w:cs="Arial" w:eastAsia="Arial" w:hAnsi="Arial"/>
                <w:sz w:val="13"/>
                <w:szCs w:val="13"/>
                <w:color w:val="58595B"/>
                <w:w w:val="98"/>
              </w:rPr>
              <w:t>4,978</w:t>
            </w:r>
          </w:p>
        </w:tc>
        <w:tc>
          <w:tcPr>
            <w:tcW w:w="1160" w:type="dxa"/>
            <w:vAlign w:val="bottom"/>
          </w:tcPr>
          <w:p>
            <w:pPr>
              <w:jc w:val="center"/>
              <w:ind w:left="17"/>
              <w:spacing w:after="0"/>
              <w:rPr>
                <w:sz w:val="20"/>
                <w:szCs w:val="20"/>
                <w:color w:val="auto"/>
              </w:rPr>
            </w:pPr>
            <w:r>
              <w:rPr>
                <w:rFonts w:ascii="Arial" w:cs="Arial" w:eastAsia="Arial" w:hAnsi="Arial"/>
                <w:sz w:val="13"/>
                <w:szCs w:val="13"/>
                <w:color w:val="58595B"/>
                <w:w w:val="98"/>
              </w:rPr>
              <w:t>3,104</w:t>
            </w:r>
          </w:p>
        </w:tc>
        <w:tc>
          <w:tcPr>
            <w:tcW w:w="11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2025</w:t>
            </w:r>
          </w:p>
        </w:tc>
        <w:tc>
          <w:tcPr>
            <w:tcW w:w="1080" w:type="dxa"/>
            <w:vAlign w:val="bottom"/>
            <w:tcBorders>
              <w:bottom w:val="single" w:sz="8" w:color="EFEDED"/>
            </w:tcBorders>
            <w:shd w:val="clear" w:color="auto" w:fill="EFEDED"/>
          </w:tcPr>
          <w:p>
            <w:pPr>
              <w:spacing w:after="0"/>
              <w:rPr>
                <w:sz w:val="15"/>
                <w:szCs w:val="15"/>
                <w:color w:val="auto"/>
              </w:rPr>
            </w:pPr>
          </w:p>
        </w:tc>
        <w:tc>
          <w:tcPr>
            <w:tcW w:w="1100" w:type="dxa"/>
            <w:vAlign w:val="bottom"/>
            <w:tcBorders>
              <w:bottom w:val="single" w:sz="8" w:color="EFEDED"/>
            </w:tcBorders>
            <w:shd w:val="clear" w:color="auto" w:fill="EFEDED"/>
          </w:tcPr>
          <w:p>
            <w:pPr>
              <w:spacing w:after="0"/>
              <w:rPr>
                <w:sz w:val="15"/>
                <w:szCs w:val="15"/>
                <w:color w:val="auto"/>
              </w:rPr>
            </w:pPr>
          </w:p>
        </w:tc>
        <w:tc>
          <w:tcPr>
            <w:tcW w:w="640" w:type="dxa"/>
            <w:vAlign w:val="bottom"/>
            <w:tcBorders>
              <w:bottom w:val="single" w:sz="8" w:color="EFEDED"/>
            </w:tcBorders>
            <w:shd w:val="clear" w:color="auto" w:fill="EFEDED"/>
          </w:tcPr>
          <w:p>
            <w:pPr>
              <w:spacing w:after="0"/>
              <w:rPr>
                <w:sz w:val="15"/>
                <w:szCs w:val="15"/>
                <w:color w:val="auto"/>
              </w:rPr>
            </w:pP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spacing w:after="0"/>
              <w:rPr>
                <w:sz w:val="15"/>
                <w:szCs w:val="15"/>
                <w:color w:val="auto"/>
              </w:rPr>
            </w:pPr>
          </w:p>
        </w:tc>
        <w:tc>
          <w:tcPr>
            <w:tcW w:w="1040" w:type="dxa"/>
            <w:vAlign w:val="bottom"/>
            <w:tcBorders>
              <w:bottom w:val="single" w:sz="8" w:color="EFEDED"/>
            </w:tcBorders>
            <w:shd w:val="clear" w:color="auto" w:fill="EFEDED"/>
          </w:tcPr>
          <w:p>
            <w:pPr>
              <w:spacing w:after="0"/>
              <w:rPr>
                <w:sz w:val="15"/>
                <w:szCs w:val="15"/>
                <w:color w:val="auto"/>
              </w:rPr>
            </w:pPr>
          </w:p>
        </w:tc>
        <w:tc>
          <w:tcPr>
            <w:tcW w:w="102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110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00"/>
              <w:spacing w:after="0"/>
              <w:rPr>
                <w:sz w:val="20"/>
                <w:szCs w:val="20"/>
                <w:color w:val="auto"/>
              </w:rPr>
            </w:pPr>
            <w:r>
              <w:rPr>
                <w:rFonts w:ascii="Arial" w:cs="Arial" w:eastAsia="Arial" w:hAnsi="Arial"/>
                <w:sz w:val="13"/>
                <w:szCs w:val="13"/>
                <w:color w:val="58595B"/>
              </w:rPr>
              <w:t>3/12/2025</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68.10</w:t>
            </w:r>
          </w:p>
        </w:tc>
        <w:tc>
          <w:tcPr>
            <w:tcW w:w="1100" w:type="dxa"/>
            <w:vAlign w:val="bottom"/>
          </w:tcPr>
          <w:p>
            <w:pPr>
              <w:jc w:val="center"/>
              <w:spacing w:after="0"/>
              <w:rPr>
                <w:sz w:val="20"/>
                <w:szCs w:val="20"/>
                <w:color w:val="auto"/>
              </w:rPr>
            </w:pPr>
            <w:r>
              <w:rPr>
                <w:rFonts w:ascii="Arial" w:cs="Arial" w:eastAsia="Arial" w:hAnsi="Arial"/>
                <w:sz w:val="13"/>
                <w:szCs w:val="13"/>
                <w:color w:val="58595B"/>
              </w:rPr>
              <w:t>—</w:t>
            </w:r>
          </w:p>
        </w:tc>
        <w:tc>
          <w:tcPr>
            <w:tcW w:w="640" w:type="dxa"/>
            <w:vAlign w:val="bottom"/>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Pr>
          <w:p>
            <w:pPr>
              <w:jc w:val="center"/>
              <w:spacing w:after="0"/>
              <w:rPr>
                <w:sz w:val="20"/>
                <w:szCs w:val="20"/>
                <w:color w:val="auto"/>
              </w:rPr>
            </w:pPr>
            <w:r>
              <w:rPr>
                <w:rFonts w:ascii="Arial" w:cs="Arial" w:eastAsia="Arial" w:hAnsi="Arial"/>
                <w:sz w:val="13"/>
                <w:szCs w:val="13"/>
                <w:color w:val="58595B"/>
                <w:w w:val="98"/>
              </w:rPr>
              <w:t>2,308</w:t>
            </w:r>
          </w:p>
        </w:tc>
        <w:tc>
          <w:tcPr>
            <w:tcW w:w="1020" w:type="dxa"/>
            <w:vAlign w:val="bottom"/>
          </w:tcPr>
          <w:p>
            <w:pPr>
              <w:jc w:val="center"/>
              <w:ind w:left="37"/>
              <w:spacing w:after="0"/>
              <w:rPr>
                <w:sz w:val="20"/>
                <w:szCs w:val="20"/>
                <w:color w:val="auto"/>
              </w:rPr>
            </w:pPr>
            <w:r>
              <w:rPr>
                <w:rFonts w:ascii="Arial" w:cs="Arial" w:eastAsia="Arial" w:hAnsi="Arial"/>
                <w:sz w:val="13"/>
                <w:szCs w:val="13"/>
                <w:color w:val="58595B"/>
                <w:w w:val="98"/>
              </w:rPr>
              <w:t>2,181</w:t>
            </w:r>
          </w:p>
        </w:tc>
        <w:tc>
          <w:tcPr>
            <w:tcW w:w="1160" w:type="dxa"/>
            <w:vAlign w:val="bottom"/>
          </w:tcPr>
          <w:p>
            <w:pPr>
              <w:jc w:val="center"/>
              <w:ind w:left="17"/>
              <w:spacing w:after="0"/>
              <w:rPr>
                <w:sz w:val="20"/>
                <w:szCs w:val="20"/>
                <w:color w:val="auto"/>
              </w:rPr>
            </w:pPr>
            <w:r>
              <w:rPr>
                <w:rFonts w:ascii="Arial" w:cs="Arial" w:eastAsia="Arial" w:hAnsi="Arial"/>
                <w:sz w:val="13"/>
                <w:szCs w:val="13"/>
                <w:color w:val="58595B"/>
                <w:w w:val="98"/>
              </w:rPr>
              <w:t>1,817</w:t>
            </w:r>
          </w:p>
        </w:tc>
        <w:tc>
          <w:tcPr>
            <w:tcW w:w="11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3/11/2025</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65.11</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10,800</w:t>
            </w:r>
          </w:p>
        </w:tc>
        <w:tc>
          <w:tcPr>
            <w:tcW w:w="640" w:type="dxa"/>
            <w:vAlign w:val="bottom"/>
            <w:tcBorders>
              <w:bottom w:val="single" w:sz="8" w:color="EFEDED"/>
            </w:tcBorders>
            <w:shd w:val="clear" w:color="auto" w:fill="EFEDED"/>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2,298</w:t>
            </w:r>
          </w:p>
        </w:tc>
        <w:tc>
          <w:tcPr>
            <w:tcW w:w="102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2,343</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8"/>
              </w:rPr>
              <w:t>6,885</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080" w:type="dxa"/>
            <w:vAlign w:val="bottom"/>
          </w:tcPr>
          <w:p>
            <w:pPr>
              <w:ind w:left="100"/>
              <w:spacing w:after="0"/>
              <w:rPr>
                <w:sz w:val="20"/>
                <w:szCs w:val="20"/>
                <w:color w:val="auto"/>
              </w:rPr>
            </w:pPr>
            <w:r>
              <w:rPr>
                <w:rFonts w:ascii="Arial" w:cs="Arial" w:eastAsia="Arial" w:hAnsi="Arial"/>
                <w:sz w:val="13"/>
                <w:szCs w:val="13"/>
                <w:color w:val="58595B"/>
              </w:rPr>
              <w:t>3/10/2025</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52.87</w:t>
            </w:r>
          </w:p>
        </w:tc>
        <w:tc>
          <w:tcPr>
            <w:tcW w:w="1100" w:type="dxa"/>
            <w:vAlign w:val="bottom"/>
          </w:tcPr>
          <w:p>
            <w:pPr>
              <w:jc w:val="center"/>
              <w:spacing w:after="0"/>
              <w:rPr>
                <w:sz w:val="20"/>
                <w:szCs w:val="20"/>
                <w:color w:val="auto"/>
              </w:rPr>
            </w:pPr>
            <w:r>
              <w:rPr>
                <w:rFonts w:ascii="Arial" w:cs="Arial" w:eastAsia="Arial" w:hAnsi="Arial"/>
                <w:sz w:val="13"/>
                <w:szCs w:val="13"/>
                <w:color w:val="58595B"/>
                <w:w w:val="95"/>
              </w:rPr>
              <w:t>15,929</w:t>
            </w:r>
          </w:p>
        </w:tc>
        <w:tc>
          <w:tcPr>
            <w:tcW w:w="640" w:type="dxa"/>
            <w:vAlign w:val="bottom"/>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Pr>
          <w:p>
            <w:pPr>
              <w:jc w:val="center"/>
              <w:spacing w:after="0"/>
              <w:rPr>
                <w:sz w:val="20"/>
                <w:szCs w:val="20"/>
                <w:color w:val="auto"/>
              </w:rPr>
            </w:pPr>
            <w:r>
              <w:rPr>
                <w:rFonts w:ascii="Arial" w:cs="Arial" w:eastAsia="Arial" w:hAnsi="Arial"/>
                <w:sz w:val="13"/>
                <w:szCs w:val="13"/>
                <w:color w:val="58595B"/>
                <w:w w:val="98"/>
              </w:rPr>
              <w:t>2,588</w:t>
            </w:r>
          </w:p>
        </w:tc>
        <w:tc>
          <w:tcPr>
            <w:tcW w:w="1020" w:type="dxa"/>
            <w:vAlign w:val="bottom"/>
          </w:tcPr>
          <w:p>
            <w:pPr>
              <w:jc w:val="center"/>
              <w:ind w:left="37"/>
              <w:spacing w:after="0"/>
              <w:rPr>
                <w:sz w:val="20"/>
                <w:szCs w:val="20"/>
                <w:color w:val="auto"/>
              </w:rPr>
            </w:pPr>
            <w:r>
              <w:rPr>
                <w:rFonts w:ascii="Arial" w:cs="Arial" w:eastAsia="Arial" w:hAnsi="Arial"/>
                <w:sz w:val="13"/>
                <w:szCs w:val="13"/>
                <w:color w:val="58595B"/>
                <w:w w:val="98"/>
              </w:rPr>
              <w:t>4,978</w:t>
            </w:r>
          </w:p>
        </w:tc>
        <w:tc>
          <w:tcPr>
            <w:tcW w:w="1160" w:type="dxa"/>
            <w:vAlign w:val="bottom"/>
          </w:tcPr>
          <w:p>
            <w:pPr>
              <w:jc w:val="center"/>
              <w:ind w:left="17"/>
              <w:spacing w:after="0"/>
              <w:rPr>
                <w:sz w:val="20"/>
                <w:szCs w:val="20"/>
                <w:color w:val="auto"/>
              </w:rPr>
            </w:pPr>
            <w:r>
              <w:rPr>
                <w:rFonts w:ascii="Arial" w:cs="Arial" w:eastAsia="Arial" w:hAnsi="Arial"/>
                <w:sz w:val="13"/>
                <w:szCs w:val="13"/>
                <w:color w:val="58595B"/>
                <w:w w:val="98"/>
              </w:rPr>
              <w:t>3,105</w:t>
            </w:r>
          </w:p>
        </w:tc>
        <w:tc>
          <w:tcPr>
            <w:tcW w:w="11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2026</w:t>
            </w:r>
          </w:p>
        </w:tc>
        <w:tc>
          <w:tcPr>
            <w:tcW w:w="1080" w:type="dxa"/>
            <w:vAlign w:val="bottom"/>
            <w:tcBorders>
              <w:bottom w:val="single" w:sz="8" w:color="EFEDED"/>
            </w:tcBorders>
            <w:shd w:val="clear" w:color="auto" w:fill="EFEDED"/>
          </w:tcPr>
          <w:p>
            <w:pPr>
              <w:spacing w:after="0"/>
              <w:rPr>
                <w:sz w:val="15"/>
                <w:szCs w:val="15"/>
                <w:color w:val="auto"/>
              </w:rPr>
            </w:pPr>
          </w:p>
        </w:tc>
        <w:tc>
          <w:tcPr>
            <w:tcW w:w="1100" w:type="dxa"/>
            <w:vAlign w:val="bottom"/>
            <w:tcBorders>
              <w:bottom w:val="single" w:sz="8" w:color="EFEDED"/>
            </w:tcBorders>
            <w:shd w:val="clear" w:color="auto" w:fill="EFEDED"/>
          </w:tcPr>
          <w:p>
            <w:pPr>
              <w:spacing w:after="0"/>
              <w:rPr>
                <w:sz w:val="15"/>
                <w:szCs w:val="15"/>
                <w:color w:val="auto"/>
              </w:rPr>
            </w:pPr>
          </w:p>
        </w:tc>
        <w:tc>
          <w:tcPr>
            <w:tcW w:w="640" w:type="dxa"/>
            <w:vAlign w:val="bottom"/>
            <w:tcBorders>
              <w:bottom w:val="single" w:sz="8" w:color="EFEDED"/>
            </w:tcBorders>
            <w:shd w:val="clear" w:color="auto" w:fill="EFEDED"/>
          </w:tcPr>
          <w:p>
            <w:pPr>
              <w:spacing w:after="0"/>
              <w:rPr>
                <w:sz w:val="15"/>
                <w:szCs w:val="15"/>
                <w:color w:val="auto"/>
              </w:rPr>
            </w:pP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spacing w:after="0"/>
              <w:rPr>
                <w:sz w:val="15"/>
                <w:szCs w:val="15"/>
                <w:color w:val="auto"/>
              </w:rPr>
            </w:pPr>
          </w:p>
        </w:tc>
        <w:tc>
          <w:tcPr>
            <w:tcW w:w="1040" w:type="dxa"/>
            <w:vAlign w:val="bottom"/>
            <w:tcBorders>
              <w:bottom w:val="single" w:sz="8" w:color="EFEDED"/>
            </w:tcBorders>
            <w:shd w:val="clear" w:color="auto" w:fill="EFEDED"/>
          </w:tcPr>
          <w:p>
            <w:pPr>
              <w:spacing w:after="0"/>
              <w:rPr>
                <w:sz w:val="15"/>
                <w:szCs w:val="15"/>
                <w:color w:val="auto"/>
              </w:rPr>
            </w:pPr>
          </w:p>
        </w:tc>
        <w:tc>
          <w:tcPr>
            <w:tcW w:w="102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110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100"/>
              <w:spacing w:after="0"/>
              <w:rPr>
                <w:sz w:val="20"/>
                <w:szCs w:val="20"/>
                <w:color w:val="auto"/>
              </w:rPr>
            </w:pPr>
            <w:r>
              <w:rPr>
                <w:rFonts w:ascii="Arial" w:cs="Arial" w:eastAsia="Arial" w:hAnsi="Arial"/>
                <w:sz w:val="13"/>
                <w:szCs w:val="13"/>
                <w:color w:val="58595B"/>
              </w:rPr>
              <w:t>3/11/2026</w:t>
            </w:r>
          </w:p>
        </w:tc>
        <w:tc>
          <w:tcPr>
            <w:tcW w:w="1080" w:type="dxa"/>
            <w:vAlign w:val="bottom"/>
          </w:tcPr>
          <w:p>
            <w:pPr>
              <w:jc w:val="center"/>
              <w:spacing w:after="0"/>
              <w:rPr>
                <w:sz w:val="20"/>
                <w:szCs w:val="20"/>
                <w:color w:val="auto"/>
              </w:rPr>
            </w:pPr>
            <w:r>
              <w:rPr>
                <w:rFonts w:ascii="Arial" w:cs="Arial" w:eastAsia="Arial" w:hAnsi="Arial"/>
                <w:sz w:val="13"/>
                <w:szCs w:val="13"/>
                <w:color w:val="58595B"/>
                <w:w w:val="98"/>
              </w:rPr>
              <w:t>65.11</w:t>
            </w:r>
          </w:p>
        </w:tc>
        <w:tc>
          <w:tcPr>
            <w:tcW w:w="1100" w:type="dxa"/>
            <w:vAlign w:val="bottom"/>
          </w:tcPr>
          <w:p>
            <w:pPr>
              <w:jc w:val="center"/>
              <w:spacing w:after="0"/>
              <w:rPr>
                <w:sz w:val="20"/>
                <w:szCs w:val="20"/>
                <w:color w:val="auto"/>
              </w:rPr>
            </w:pPr>
            <w:r>
              <w:rPr>
                <w:rFonts w:ascii="Arial" w:cs="Arial" w:eastAsia="Arial" w:hAnsi="Arial"/>
                <w:sz w:val="13"/>
                <w:szCs w:val="13"/>
                <w:color w:val="58595B"/>
                <w:w w:val="95"/>
              </w:rPr>
              <w:t>10,800</w:t>
            </w:r>
          </w:p>
        </w:tc>
        <w:tc>
          <w:tcPr>
            <w:tcW w:w="640" w:type="dxa"/>
            <w:vAlign w:val="bottom"/>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Pr>
          <w:p>
            <w:pPr>
              <w:jc w:val="center"/>
              <w:spacing w:after="0"/>
              <w:rPr>
                <w:sz w:val="20"/>
                <w:szCs w:val="20"/>
                <w:color w:val="auto"/>
              </w:rPr>
            </w:pPr>
            <w:r>
              <w:rPr>
                <w:rFonts w:ascii="Arial" w:cs="Arial" w:eastAsia="Arial" w:hAnsi="Arial"/>
                <w:sz w:val="13"/>
                <w:szCs w:val="13"/>
                <w:color w:val="58595B"/>
                <w:w w:val="98"/>
              </w:rPr>
              <w:t>2,299</w:t>
            </w:r>
          </w:p>
        </w:tc>
        <w:tc>
          <w:tcPr>
            <w:tcW w:w="1020" w:type="dxa"/>
            <w:vAlign w:val="bottom"/>
          </w:tcPr>
          <w:p>
            <w:pPr>
              <w:jc w:val="center"/>
              <w:ind w:left="37"/>
              <w:spacing w:after="0"/>
              <w:rPr>
                <w:sz w:val="20"/>
                <w:szCs w:val="20"/>
                <w:color w:val="auto"/>
              </w:rPr>
            </w:pPr>
            <w:r>
              <w:rPr>
                <w:rFonts w:ascii="Arial" w:cs="Arial" w:eastAsia="Arial" w:hAnsi="Arial"/>
                <w:sz w:val="13"/>
                <w:szCs w:val="13"/>
                <w:color w:val="58595B"/>
                <w:w w:val="98"/>
              </w:rPr>
              <w:t>2,343</w:t>
            </w:r>
          </w:p>
        </w:tc>
        <w:tc>
          <w:tcPr>
            <w:tcW w:w="1160" w:type="dxa"/>
            <w:vAlign w:val="bottom"/>
          </w:tcPr>
          <w:p>
            <w:pPr>
              <w:jc w:val="center"/>
              <w:ind w:left="17"/>
              <w:spacing w:after="0"/>
              <w:rPr>
                <w:sz w:val="20"/>
                <w:szCs w:val="20"/>
                <w:color w:val="auto"/>
              </w:rPr>
            </w:pPr>
            <w:r>
              <w:rPr>
                <w:rFonts w:ascii="Arial" w:cs="Arial" w:eastAsia="Arial" w:hAnsi="Arial"/>
                <w:sz w:val="13"/>
                <w:szCs w:val="13"/>
                <w:color w:val="58595B"/>
                <w:w w:val="98"/>
              </w:rPr>
              <w:t>6,885</w:t>
            </w:r>
          </w:p>
        </w:tc>
        <w:tc>
          <w:tcPr>
            <w:tcW w:w="11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3/10/2026</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52.87</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15,929</w:t>
            </w:r>
          </w:p>
        </w:tc>
        <w:tc>
          <w:tcPr>
            <w:tcW w:w="640" w:type="dxa"/>
            <w:vAlign w:val="bottom"/>
            <w:tcBorders>
              <w:bottom w:val="single" w:sz="8" w:color="EFEDED"/>
            </w:tcBorders>
            <w:shd w:val="clear" w:color="auto" w:fill="EFEDED"/>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2,589</w:t>
            </w:r>
          </w:p>
        </w:tc>
        <w:tc>
          <w:tcPr>
            <w:tcW w:w="102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4,978</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8"/>
              </w:rPr>
              <w:t>3,105</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81"/>
        </w:trPr>
        <w:tc>
          <w:tcPr>
            <w:tcW w:w="1080" w:type="dxa"/>
            <w:vAlign w:val="bottom"/>
          </w:tcPr>
          <w:p>
            <w:pPr>
              <w:ind w:left="100"/>
              <w:spacing w:after="0"/>
              <w:rPr>
                <w:sz w:val="20"/>
                <w:szCs w:val="20"/>
                <w:color w:val="auto"/>
              </w:rPr>
            </w:pPr>
            <w:r>
              <w:rPr>
                <w:rFonts w:ascii="Arial" w:cs="Arial" w:eastAsia="Arial" w:hAnsi="Arial"/>
                <w:sz w:val="13"/>
                <w:szCs w:val="13"/>
                <w:b w:val="1"/>
                <w:bCs w:val="1"/>
                <w:color w:val="58595B"/>
              </w:rPr>
              <w:t>2027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3/10/2027</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52.87</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15,930</w:t>
            </w:r>
          </w:p>
        </w:tc>
        <w:tc>
          <w:tcPr>
            <w:tcW w:w="640" w:type="dxa"/>
            <w:vAlign w:val="bottom"/>
            <w:tcBorders>
              <w:bottom w:val="single" w:sz="8" w:color="EFEDED"/>
            </w:tcBorders>
            <w:shd w:val="clear" w:color="auto" w:fill="EFEDED"/>
          </w:tcPr>
          <w:p>
            <w:pPr>
              <w:jc w:val="center"/>
              <w:ind w:left="297"/>
              <w:spacing w:after="0"/>
              <w:rPr>
                <w:sz w:val="20"/>
                <w:szCs w:val="20"/>
                <w:color w:val="auto"/>
              </w:rPr>
            </w:pPr>
            <w:r>
              <w:rPr>
                <w:rFonts w:ascii="Arial" w:cs="Arial" w:eastAsia="Arial" w:hAnsi="Arial"/>
                <w:sz w:val="13"/>
                <w:szCs w:val="13"/>
                <w:color w:val="58595B"/>
                <w:w w:val="91"/>
              </w:rPr>
              <w:t>—</w:t>
            </w:r>
          </w:p>
        </w:tc>
        <w:tc>
          <w:tcPr>
            <w:tcW w:w="400" w:type="dxa"/>
            <w:vAlign w:val="bottom"/>
            <w:tcBorders>
              <w:bottom w:val="single" w:sz="8" w:color="EFEDED"/>
            </w:tcBorders>
            <w:shd w:val="clear" w:color="auto" w:fill="EFEDED"/>
          </w:tcPr>
          <w:p>
            <w:pPr>
              <w:spacing w:after="0"/>
              <w:rPr>
                <w:sz w:val="15"/>
                <w:szCs w:val="15"/>
                <w:color w:val="auto"/>
              </w:rPr>
            </w:pP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0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2,589</w:t>
            </w:r>
          </w:p>
        </w:tc>
        <w:tc>
          <w:tcPr>
            <w:tcW w:w="1020" w:type="dxa"/>
            <w:vAlign w:val="bottom"/>
            <w:tcBorders>
              <w:bottom w:val="single" w:sz="8" w:color="EFEDED"/>
            </w:tcBorders>
            <w:shd w:val="clear" w:color="auto" w:fill="EFEDED"/>
          </w:tcPr>
          <w:p>
            <w:pPr>
              <w:jc w:val="center"/>
              <w:ind w:left="37"/>
              <w:spacing w:after="0"/>
              <w:rPr>
                <w:sz w:val="20"/>
                <w:szCs w:val="20"/>
                <w:color w:val="auto"/>
              </w:rPr>
            </w:pPr>
            <w:r>
              <w:rPr>
                <w:rFonts w:ascii="Arial" w:cs="Arial" w:eastAsia="Arial" w:hAnsi="Arial"/>
                <w:sz w:val="13"/>
                <w:szCs w:val="13"/>
                <w:color w:val="58595B"/>
                <w:w w:val="98"/>
              </w:rPr>
              <w:t>4,978</w:t>
            </w:r>
          </w:p>
        </w:tc>
        <w:tc>
          <w:tcPr>
            <w:tcW w:w="1160" w:type="dxa"/>
            <w:vAlign w:val="bottom"/>
            <w:tcBorders>
              <w:bottom w:val="single" w:sz="8" w:color="EFEDED"/>
            </w:tcBorders>
            <w:shd w:val="clear" w:color="auto" w:fill="EFEDED"/>
          </w:tcPr>
          <w:p>
            <w:pPr>
              <w:jc w:val="center"/>
              <w:ind w:left="17"/>
              <w:spacing w:after="0"/>
              <w:rPr>
                <w:sz w:val="20"/>
                <w:szCs w:val="20"/>
                <w:color w:val="auto"/>
              </w:rPr>
            </w:pPr>
            <w:r>
              <w:rPr>
                <w:rFonts w:ascii="Arial" w:cs="Arial" w:eastAsia="Arial" w:hAnsi="Arial"/>
                <w:sz w:val="13"/>
                <w:szCs w:val="13"/>
                <w:color w:val="58595B"/>
                <w:w w:val="98"/>
              </w:rPr>
              <w:t>3,105</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0"/>
        </w:trPr>
        <w:tc>
          <w:tcPr>
            <w:tcW w:w="108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1100" w:type="dxa"/>
            <w:vAlign w:val="bottom"/>
            <w:shd w:val="clear" w:color="auto" w:fill="58595B"/>
          </w:tcPr>
          <w:p>
            <w:pPr>
              <w:spacing w:after="0" w:line="20" w:lineRule="exact"/>
              <w:rPr>
                <w:sz w:val="1"/>
                <w:szCs w:val="1"/>
                <w:color w:val="auto"/>
              </w:rPr>
            </w:pPr>
          </w:p>
        </w:tc>
        <w:tc>
          <w:tcPr>
            <w:tcW w:w="640" w:type="dxa"/>
            <w:vAlign w:val="bottom"/>
            <w:shd w:val="clear" w:color="auto" w:fill="58595B"/>
          </w:tcPr>
          <w:p>
            <w:pPr>
              <w:spacing w:after="0" w:line="20" w:lineRule="exact"/>
              <w:rPr>
                <w:sz w:val="1"/>
                <w:szCs w:val="1"/>
                <w:color w:val="auto"/>
              </w:rPr>
            </w:pPr>
          </w:p>
        </w:tc>
        <w:tc>
          <w:tcPr>
            <w:tcW w:w="400" w:type="dxa"/>
            <w:vAlign w:val="bottom"/>
            <w:shd w:val="clear" w:color="auto" w:fill="58595B"/>
          </w:tcPr>
          <w:p>
            <w:pPr>
              <w:spacing w:after="0" w:line="20" w:lineRule="exact"/>
              <w:rPr>
                <w:sz w:val="1"/>
                <w:szCs w:val="1"/>
                <w:color w:val="auto"/>
              </w:rPr>
            </w:pPr>
          </w:p>
        </w:tc>
        <w:tc>
          <w:tcPr>
            <w:tcW w:w="1120" w:type="dxa"/>
            <w:vAlign w:val="bottom"/>
            <w:shd w:val="clear" w:color="auto" w:fill="58595B"/>
          </w:tcPr>
          <w:p>
            <w:pPr>
              <w:spacing w:after="0" w:line="20" w:lineRule="exact"/>
              <w:rPr>
                <w:sz w:val="1"/>
                <w:szCs w:val="1"/>
                <w:color w:val="auto"/>
              </w:rPr>
            </w:pPr>
          </w:p>
        </w:tc>
        <w:tc>
          <w:tcPr>
            <w:tcW w:w="1040" w:type="dxa"/>
            <w:vAlign w:val="bottom"/>
            <w:shd w:val="clear" w:color="auto" w:fill="58595B"/>
          </w:tcPr>
          <w:p>
            <w:pPr>
              <w:spacing w:after="0" w:line="20" w:lineRule="exact"/>
              <w:rPr>
                <w:sz w:val="1"/>
                <w:szCs w:val="1"/>
                <w:color w:val="auto"/>
              </w:rPr>
            </w:pPr>
          </w:p>
        </w:tc>
        <w:tc>
          <w:tcPr>
            <w:tcW w:w="1020" w:type="dxa"/>
            <w:vAlign w:val="bottom"/>
            <w:shd w:val="clear" w:color="auto" w:fill="58595B"/>
          </w:tcPr>
          <w:p>
            <w:pPr>
              <w:spacing w:after="0" w:line="20" w:lineRule="exact"/>
              <w:rPr>
                <w:sz w:val="1"/>
                <w:szCs w:val="1"/>
                <w:color w:val="auto"/>
              </w:rPr>
            </w:pPr>
          </w:p>
        </w:tc>
        <w:tc>
          <w:tcPr>
            <w:tcW w:w="1160" w:type="dxa"/>
            <w:vAlign w:val="bottom"/>
            <w:shd w:val="clear" w:color="auto" w:fill="58595B"/>
          </w:tcPr>
          <w:p>
            <w:pPr>
              <w:spacing w:after="0" w:line="20" w:lineRule="exact"/>
              <w:rPr>
                <w:sz w:val="1"/>
                <w:szCs w:val="1"/>
                <w:color w:val="auto"/>
              </w:rPr>
            </w:pPr>
          </w:p>
        </w:tc>
        <w:tc>
          <w:tcPr>
            <w:tcW w:w="110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340" w:hanging="332"/>
        <w:spacing w:after="0" w:line="283" w:lineRule="auto"/>
        <w:tabs>
          <w:tab w:leader="none" w:pos="338"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in columns (g) and (h) reflect the number and market values of the outstanding restricted stock awards for Messrs. De Witte, Davis, McBreen, Mosebrook and Schwartz and Ms. Knight as of December 31, 2023. Scheduled vesting of such restricted stock units and restricted stock awards and the number of shares underlying such awards are described in the table below. Ms. Anderson's outstanding restricted stock were forfeited on February 2, 2023 upon her termination.</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1120" w:type="dxa"/>
            <w:vAlign w:val="bottom"/>
            <w:shd w:val="clear" w:color="auto" w:fill="EFEDED"/>
          </w:tcPr>
          <w:p>
            <w:pPr>
              <w:spacing w:after="0"/>
              <w:rPr>
                <w:sz w:val="16"/>
                <w:szCs w:val="16"/>
                <w:color w:val="auto"/>
              </w:rPr>
            </w:pPr>
          </w:p>
        </w:tc>
        <w:tc>
          <w:tcPr>
            <w:tcW w:w="1320" w:type="dxa"/>
            <w:vAlign w:val="bottom"/>
            <w:vMerge w:val="restart"/>
            <w:shd w:val="clear" w:color="auto" w:fill="EFEDED"/>
          </w:tcPr>
          <w:p>
            <w:pPr>
              <w:ind w:left="300"/>
              <w:spacing w:after="0"/>
              <w:rPr>
                <w:sz w:val="20"/>
                <w:szCs w:val="20"/>
                <w:color w:val="auto"/>
              </w:rPr>
            </w:pPr>
            <w:r>
              <w:rPr>
                <w:rFonts w:ascii="Arial" w:cs="Arial" w:eastAsia="Arial" w:hAnsi="Arial"/>
                <w:sz w:val="13"/>
                <w:szCs w:val="13"/>
                <w:b w:val="1"/>
                <w:bCs w:val="1"/>
                <w:color w:val="58595B"/>
              </w:rPr>
              <w:t>Jan De Witte</w:t>
            </w:r>
          </w:p>
        </w:tc>
        <w:tc>
          <w:tcPr>
            <w:tcW w:w="1220" w:type="dxa"/>
            <w:vAlign w:val="bottom"/>
            <w:vMerge w:val="restart"/>
            <w:shd w:val="clear" w:color="auto" w:fill="EFEDED"/>
          </w:tcPr>
          <w:p>
            <w:pPr>
              <w:ind w:left="340"/>
              <w:spacing w:after="0"/>
              <w:rPr>
                <w:sz w:val="20"/>
                <w:szCs w:val="20"/>
                <w:color w:val="auto"/>
              </w:rPr>
            </w:pPr>
            <w:r>
              <w:rPr>
                <w:rFonts w:ascii="Arial" w:cs="Arial" w:eastAsia="Arial" w:hAnsi="Arial"/>
                <w:sz w:val="13"/>
                <w:szCs w:val="13"/>
                <w:b w:val="1"/>
                <w:bCs w:val="1"/>
                <w:color w:val="58595B"/>
              </w:rPr>
              <w:t>Lea Knight</w:t>
            </w:r>
          </w:p>
        </w:tc>
        <w:tc>
          <w:tcPr>
            <w:tcW w:w="1600" w:type="dxa"/>
            <w:vAlign w:val="bottom"/>
            <w:vMerge w:val="restart"/>
            <w:shd w:val="clear" w:color="auto" w:fill="EFEDED"/>
          </w:tcPr>
          <w:p>
            <w:pPr>
              <w:ind w:left="220"/>
              <w:spacing w:after="0"/>
              <w:rPr>
                <w:sz w:val="20"/>
                <w:szCs w:val="20"/>
                <w:color w:val="auto"/>
              </w:rPr>
            </w:pPr>
            <w:r>
              <w:rPr>
                <w:rFonts w:ascii="Arial" w:cs="Arial" w:eastAsia="Arial" w:hAnsi="Arial"/>
                <w:sz w:val="13"/>
                <w:szCs w:val="13"/>
                <w:b w:val="1"/>
                <w:bCs w:val="1"/>
                <w:color w:val="58595B"/>
              </w:rPr>
              <w:t>Jeffrey Mosebrook</w:t>
            </w:r>
          </w:p>
        </w:tc>
        <w:tc>
          <w:tcPr>
            <w:tcW w:w="1160" w:type="dxa"/>
            <w:vAlign w:val="bottom"/>
            <w:shd w:val="clear" w:color="auto" w:fill="EFEDED"/>
          </w:tcPr>
          <w:p>
            <w:pPr>
              <w:ind w:left="240"/>
              <w:spacing w:after="0"/>
              <w:rPr>
                <w:sz w:val="20"/>
                <w:szCs w:val="20"/>
                <w:color w:val="auto"/>
              </w:rPr>
            </w:pPr>
            <w:r>
              <w:rPr>
                <w:rFonts w:ascii="Arial" w:cs="Arial" w:eastAsia="Arial" w:hAnsi="Arial"/>
                <w:sz w:val="13"/>
                <w:szCs w:val="13"/>
                <w:b w:val="1"/>
                <w:bCs w:val="1"/>
                <w:color w:val="58595B"/>
              </w:rPr>
              <w:t>Robert T.</w:t>
            </w:r>
          </w:p>
        </w:tc>
        <w:tc>
          <w:tcPr>
            <w:tcW w:w="1280" w:type="dxa"/>
            <w:vAlign w:val="bottom"/>
            <w:shd w:val="clear" w:color="auto" w:fill="EFEDED"/>
          </w:tcPr>
          <w:p>
            <w:pPr>
              <w:jc w:val="center"/>
              <w:ind w:left="57"/>
              <w:spacing w:after="0"/>
              <w:rPr>
                <w:sz w:val="20"/>
                <w:szCs w:val="20"/>
                <w:color w:val="auto"/>
              </w:rPr>
            </w:pPr>
            <w:r>
              <w:rPr>
                <w:rFonts w:ascii="Arial" w:cs="Arial" w:eastAsia="Arial" w:hAnsi="Arial"/>
                <w:sz w:val="13"/>
                <w:szCs w:val="13"/>
                <w:b w:val="1"/>
                <w:bCs w:val="1"/>
                <w:color w:val="58595B"/>
                <w:w w:val="96"/>
              </w:rPr>
              <w:t>Michael J.</w:t>
            </w:r>
          </w:p>
        </w:tc>
        <w:tc>
          <w:tcPr>
            <w:tcW w:w="1500" w:type="dxa"/>
            <w:vAlign w:val="bottom"/>
            <w:vMerge w:val="restart"/>
            <w:shd w:val="clear" w:color="auto" w:fill="EFEDED"/>
          </w:tcPr>
          <w:p>
            <w:pPr>
              <w:ind w:left="280"/>
              <w:spacing w:after="0"/>
              <w:rPr>
                <w:sz w:val="20"/>
                <w:szCs w:val="20"/>
                <w:color w:val="auto"/>
              </w:rPr>
            </w:pPr>
            <w:r>
              <w:rPr>
                <w:rFonts w:ascii="Arial" w:cs="Arial" w:eastAsia="Arial" w:hAnsi="Arial"/>
                <w:sz w:val="13"/>
                <w:szCs w:val="13"/>
                <w:b w:val="1"/>
                <w:bCs w:val="1"/>
                <w:color w:val="58595B"/>
              </w:rPr>
              <w:t>Eric I. Schwartz</w:t>
            </w:r>
          </w:p>
        </w:tc>
        <w:tc>
          <w:tcPr>
            <w:tcW w:w="126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5"/>
              </w:rPr>
              <w:t>Carrie</w:t>
            </w:r>
          </w:p>
        </w:tc>
        <w:tc>
          <w:tcPr>
            <w:tcW w:w="0" w:type="dxa"/>
            <w:vAlign w:val="bottom"/>
          </w:tcPr>
          <w:p>
            <w:pPr>
              <w:spacing w:after="0"/>
              <w:rPr>
                <w:sz w:val="1"/>
                <w:szCs w:val="1"/>
                <w:color w:val="auto"/>
              </w:rPr>
            </w:pPr>
          </w:p>
        </w:tc>
      </w:tr>
      <w:tr>
        <w:trPr>
          <w:trHeight w:val="104"/>
        </w:trPr>
        <w:tc>
          <w:tcPr>
            <w:tcW w:w="1120" w:type="dxa"/>
            <w:vAlign w:val="bottom"/>
            <w:shd w:val="clear" w:color="auto" w:fill="EFEDED"/>
          </w:tcPr>
          <w:p>
            <w:pPr>
              <w:spacing w:after="0"/>
              <w:rPr>
                <w:sz w:val="9"/>
                <w:szCs w:val="9"/>
                <w:color w:val="auto"/>
              </w:rPr>
            </w:pPr>
          </w:p>
        </w:tc>
        <w:tc>
          <w:tcPr>
            <w:tcW w:w="1320" w:type="dxa"/>
            <w:vAlign w:val="bottom"/>
            <w:vMerge w:val="continue"/>
            <w:shd w:val="clear" w:color="auto" w:fill="EFEDED"/>
          </w:tcPr>
          <w:p>
            <w:pPr>
              <w:spacing w:after="0"/>
              <w:rPr>
                <w:sz w:val="9"/>
                <w:szCs w:val="9"/>
                <w:color w:val="auto"/>
              </w:rPr>
            </w:pPr>
          </w:p>
        </w:tc>
        <w:tc>
          <w:tcPr>
            <w:tcW w:w="1220" w:type="dxa"/>
            <w:vAlign w:val="bottom"/>
            <w:vMerge w:val="continue"/>
            <w:shd w:val="clear" w:color="auto" w:fill="EFEDED"/>
          </w:tcPr>
          <w:p>
            <w:pPr>
              <w:spacing w:after="0"/>
              <w:rPr>
                <w:sz w:val="9"/>
                <w:szCs w:val="9"/>
                <w:color w:val="auto"/>
              </w:rPr>
            </w:pPr>
          </w:p>
        </w:tc>
        <w:tc>
          <w:tcPr>
            <w:tcW w:w="1600" w:type="dxa"/>
            <w:vAlign w:val="bottom"/>
            <w:vMerge w:val="continue"/>
            <w:shd w:val="clear" w:color="auto" w:fill="EFEDED"/>
          </w:tcPr>
          <w:p>
            <w:pPr>
              <w:spacing w:after="0"/>
              <w:rPr>
                <w:sz w:val="9"/>
                <w:szCs w:val="9"/>
                <w:color w:val="auto"/>
              </w:rPr>
            </w:pPr>
          </w:p>
        </w:tc>
        <w:tc>
          <w:tcPr>
            <w:tcW w:w="1160" w:type="dxa"/>
            <w:vAlign w:val="bottom"/>
            <w:vMerge w:val="restart"/>
            <w:shd w:val="clear" w:color="auto" w:fill="EFEDED"/>
          </w:tcPr>
          <w:p>
            <w:pPr>
              <w:ind w:left="260"/>
              <w:spacing w:after="0"/>
              <w:rPr>
                <w:sz w:val="20"/>
                <w:szCs w:val="20"/>
                <w:color w:val="auto"/>
              </w:rPr>
            </w:pPr>
            <w:r>
              <w:rPr>
                <w:rFonts w:ascii="Arial" w:cs="Arial" w:eastAsia="Arial" w:hAnsi="Arial"/>
                <w:sz w:val="13"/>
                <w:szCs w:val="13"/>
                <w:b w:val="1"/>
                <w:bCs w:val="1"/>
                <w:color w:val="58595B"/>
              </w:rPr>
              <w:t>Davis Jr.</w:t>
            </w:r>
          </w:p>
        </w:tc>
        <w:tc>
          <w:tcPr>
            <w:tcW w:w="1280" w:type="dxa"/>
            <w:vAlign w:val="bottom"/>
            <w:vMerge w:val="restart"/>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8"/>
              </w:rPr>
              <w:t>McBreen</w:t>
            </w:r>
          </w:p>
        </w:tc>
        <w:tc>
          <w:tcPr>
            <w:tcW w:w="1500" w:type="dxa"/>
            <w:vAlign w:val="bottom"/>
            <w:vMerge w:val="continue"/>
            <w:shd w:val="clear" w:color="auto" w:fill="EFEDED"/>
          </w:tcPr>
          <w:p>
            <w:pPr>
              <w:spacing w:after="0"/>
              <w:rPr>
                <w:sz w:val="9"/>
                <w:szCs w:val="9"/>
                <w:color w:val="auto"/>
              </w:rPr>
            </w:pPr>
          </w:p>
        </w:tc>
        <w:tc>
          <w:tcPr>
            <w:tcW w:w="1260" w:type="dxa"/>
            <w:vAlign w:val="bottom"/>
            <w:vMerge w:val="restart"/>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5"/>
              </w:rPr>
              <w:t>Anderson</w:t>
            </w:r>
          </w:p>
        </w:tc>
        <w:tc>
          <w:tcPr>
            <w:tcW w:w="0" w:type="dxa"/>
            <w:vAlign w:val="bottom"/>
          </w:tcPr>
          <w:p>
            <w:pPr>
              <w:spacing w:after="0"/>
              <w:rPr>
                <w:sz w:val="1"/>
                <w:szCs w:val="1"/>
                <w:color w:val="auto"/>
              </w:rPr>
            </w:pPr>
          </w:p>
        </w:tc>
      </w:tr>
      <w:tr>
        <w:trPr>
          <w:trHeight w:val="68"/>
        </w:trPr>
        <w:tc>
          <w:tcPr>
            <w:tcW w:w="1120" w:type="dxa"/>
            <w:vAlign w:val="bottom"/>
            <w:shd w:val="clear" w:color="auto" w:fill="EFEDED"/>
          </w:tcPr>
          <w:p>
            <w:pPr>
              <w:spacing w:after="0"/>
              <w:rPr>
                <w:sz w:val="5"/>
                <w:szCs w:val="5"/>
                <w:color w:val="auto"/>
              </w:rPr>
            </w:pPr>
          </w:p>
        </w:tc>
        <w:tc>
          <w:tcPr>
            <w:tcW w:w="1320" w:type="dxa"/>
            <w:vAlign w:val="bottom"/>
            <w:shd w:val="clear" w:color="auto" w:fill="EFEDED"/>
          </w:tcPr>
          <w:p>
            <w:pPr>
              <w:spacing w:after="0"/>
              <w:rPr>
                <w:sz w:val="5"/>
                <w:szCs w:val="5"/>
                <w:color w:val="auto"/>
              </w:rPr>
            </w:pPr>
          </w:p>
        </w:tc>
        <w:tc>
          <w:tcPr>
            <w:tcW w:w="1220" w:type="dxa"/>
            <w:vAlign w:val="bottom"/>
            <w:shd w:val="clear" w:color="auto" w:fill="EFEDED"/>
          </w:tcPr>
          <w:p>
            <w:pPr>
              <w:spacing w:after="0"/>
              <w:rPr>
                <w:sz w:val="5"/>
                <w:szCs w:val="5"/>
                <w:color w:val="auto"/>
              </w:rPr>
            </w:pPr>
          </w:p>
        </w:tc>
        <w:tc>
          <w:tcPr>
            <w:tcW w:w="1600" w:type="dxa"/>
            <w:vAlign w:val="bottom"/>
            <w:shd w:val="clear" w:color="auto" w:fill="EFEDED"/>
          </w:tcPr>
          <w:p>
            <w:pPr>
              <w:spacing w:after="0"/>
              <w:rPr>
                <w:sz w:val="5"/>
                <w:szCs w:val="5"/>
                <w:color w:val="auto"/>
              </w:rPr>
            </w:pPr>
          </w:p>
        </w:tc>
        <w:tc>
          <w:tcPr>
            <w:tcW w:w="1160" w:type="dxa"/>
            <w:vAlign w:val="bottom"/>
            <w:vMerge w:val="continue"/>
            <w:shd w:val="clear" w:color="auto" w:fill="EFEDED"/>
          </w:tcPr>
          <w:p>
            <w:pPr>
              <w:spacing w:after="0"/>
              <w:rPr>
                <w:sz w:val="5"/>
                <w:szCs w:val="5"/>
                <w:color w:val="auto"/>
              </w:rPr>
            </w:pPr>
          </w:p>
        </w:tc>
        <w:tc>
          <w:tcPr>
            <w:tcW w:w="1280" w:type="dxa"/>
            <w:vAlign w:val="bottom"/>
            <w:vMerge w:val="continue"/>
            <w:shd w:val="clear" w:color="auto" w:fill="EFEDED"/>
          </w:tcPr>
          <w:p>
            <w:pPr>
              <w:spacing w:after="0"/>
              <w:rPr>
                <w:sz w:val="5"/>
                <w:szCs w:val="5"/>
                <w:color w:val="auto"/>
              </w:rPr>
            </w:pPr>
          </w:p>
        </w:tc>
        <w:tc>
          <w:tcPr>
            <w:tcW w:w="1500" w:type="dxa"/>
            <w:vAlign w:val="bottom"/>
            <w:shd w:val="clear" w:color="auto" w:fill="EFEDED"/>
          </w:tcPr>
          <w:p>
            <w:pPr>
              <w:spacing w:after="0"/>
              <w:rPr>
                <w:sz w:val="5"/>
                <w:szCs w:val="5"/>
                <w:color w:val="auto"/>
              </w:rPr>
            </w:pPr>
          </w:p>
        </w:tc>
        <w:tc>
          <w:tcPr>
            <w:tcW w:w="126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20" w:type="dxa"/>
            <w:vAlign w:val="bottom"/>
            <w:tcBorders>
              <w:bottom w:val="single" w:sz="8" w:color="EFEDED"/>
            </w:tcBorders>
            <w:shd w:val="clear" w:color="auto" w:fill="EFEDED"/>
          </w:tcPr>
          <w:p>
            <w:pPr>
              <w:spacing w:after="0"/>
              <w:rPr>
                <w:sz w:val="5"/>
                <w:szCs w:val="5"/>
                <w:color w:val="auto"/>
              </w:rPr>
            </w:pPr>
          </w:p>
        </w:tc>
        <w:tc>
          <w:tcPr>
            <w:tcW w:w="1320" w:type="dxa"/>
            <w:vAlign w:val="bottom"/>
            <w:tcBorders>
              <w:bottom w:val="single" w:sz="8" w:color="58595B"/>
            </w:tcBorders>
            <w:shd w:val="clear" w:color="auto" w:fill="EFEDED"/>
          </w:tcPr>
          <w:p>
            <w:pPr>
              <w:spacing w:after="0"/>
              <w:rPr>
                <w:sz w:val="5"/>
                <w:szCs w:val="5"/>
                <w:color w:val="auto"/>
              </w:rPr>
            </w:pPr>
          </w:p>
        </w:tc>
        <w:tc>
          <w:tcPr>
            <w:tcW w:w="5260" w:type="dxa"/>
            <w:vAlign w:val="bottom"/>
            <w:tcBorders>
              <w:bottom w:val="single" w:sz="8" w:color="58595B"/>
            </w:tcBorders>
            <w:gridSpan w:val="4"/>
            <w:shd w:val="clear" w:color="auto" w:fill="EFEDED"/>
          </w:tcPr>
          <w:p>
            <w:pPr>
              <w:spacing w:after="0"/>
              <w:rPr>
                <w:sz w:val="5"/>
                <w:szCs w:val="5"/>
                <w:color w:val="auto"/>
              </w:rPr>
            </w:pPr>
          </w:p>
        </w:tc>
        <w:tc>
          <w:tcPr>
            <w:tcW w:w="1500" w:type="dxa"/>
            <w:vAlign w:val="bottom"/>
            <w:tcBorders>
              <w:bottom w:val="single" w:sz="8" w:color="58595B"/>
            </w:tcBorders>
            <w:shd w:val="clear" w:color="auto" w:fill="EFEDED"/>
          </w:tcPr>
          <w:p>
            <w:pPr>
              <w:spacing w:after="0"/>
              <w:rPr>
                <w:sz w:val="5"/>
                <w:szCs w:val="5"/>
                <w:color w:val="auto"/>
              </w:rPr>
            </w:pPr>
          </w:p>
        </w:tc>
        <w:tc>
          <w:tcPr>
            <w:tcW w:w="1260" w:type="dxa"/>
            <w:vAlign w:val="bottom"/>
            <w:tcBorders>
              <w:bottom w:val="single" w:sz="8" w:color="58595B"/>
            </w:tcBorders>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120" w:type="dxa"/>
            <w:vAlign w:val="bottom"/>
            <w:vMerge w:val="restart"/>
            <w:shd w:val="clear" w:color="auto" w:fill="EFEDED"/>
          </w:tcPr>
          <w:p>
            <w:pPr>
              <w:ind w:left="180"/>
              <w:spacing w:after="0"/>
              <w:rPr>
                <w:sz w:val="20"/>
                <w:szCs w:val="20"/>
                <w:color w:val="auto"/>
              </w:rPr>
            </w:pPr>
            <w:r>
              <w:rPr>
                <w:rFonts w:ascii="Arial" w:cs="Arial" w:eastAsia="Arial" w:hAnsi="Arial"/>
                <w:sz w:val="13"/>
                <w:szCs w:val="13"/>
                <w:b w:val="1"/>
                <w:bCs w:val="1"/>
                <w:color w:val="58595B"/>
              </w:rPr>
              <w:t>Vesting Date</w:t>
            </w:r>
          </w:p>
        </w:tc>
        <w:tc>
          <w:tcPr>
            <w:tcW w:w="1320" w:type="dxa"/>
            <w:vAlign w:val="bottom"/>
            <w:shd w:val="clear" w:color="auto" w:fill="EFEDED"/>
          </w:tcPr>
          <w:p>
            <w:pPr>
              <w:spacing w:after="0"/>
              <w:rPr>
                <w:sz w:val="21"/>
                <w:szCs w:val="21"/>
                <w:color w:val="auto"/>
              </w:rPr>
            </w:pPr>
          </w:p>
        </w:tc>
        <w:tc>
          <w:tcPr>
            <w:tcW w:w="5260" w:type="dxa"/>
            <w:vAlign w:val="bottom"/>
            <w:gridSpan w:val="4"/>
            <w:shd w:val="clear" w:color="auto" w:fill="EFEDED"/>
          </w:tcPr>
          <w:p>
            <w:pPr>
              <w:ind w:left="900"/>
              <w:spacing w:after="0"/>
              <w:rPr>
                <w:sz w:val="20"/>
                <w:szCs w:val="20"/>
                <w:color w:val="auto"/>
              </w:rPr>
            </w:pPr>
            <w:r>
              <w:rPr>
                <w:rFonts w:ascii="Arial" w:cs="Arial" w:eastAsia="Arial" w:hAnsi="Arial"/>
                <w:sz w:val="13"/>
                <w:szCs w:val="13"/>
                <w:b w:val="1"/>
                <w:bCs w:val="1"/>
                <w:color w:val="58595B"/>
              </w:rPr>
              <w:t>Number of Shares Underlying Outstanding RSUs and RSAs</w:t>
            </w:r>
          </w:p>
        </w:tc>
        <w:tc>
          <w:tcPr>
            <w:tcW w:w="1500" w:type="dxa"/>
            <w:vAlign w:val="bottom"/>
            <w:shd w:val="clear" w:color="auto" w:fill="EFEDED"/>
          </w:tcPr>
          <w:p>
            <w:pPr>
              <w:spacing w:after="0"/>
              <w:rPr>
                <w:sz w:val="21"/>
                <w:szCs w:val="21"/>
                <w:color w:val="auto"/>
              </w:rPr>
            </w:pPr>
          </w:p>
        </w:tc>
        <w:tc>
          <w:tcPr>
            <w:tcW w:w="1260" w:type="dxa"/>
            <w:vAlign w:val="bottom"/>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120" w:type="dxa"/>
            <w:vAlign w:val="bottom"/>
            <w:vMerge w:val="continue"/>
            <w:shd w:val="clear" w:color="auto" w:fill="EFEDED"/>
          </w:tcPr>
          <w:p>
            <w:pPr>
              <w:spacing w:after="0"/>
              <w:rPr>
                <w:sz w:val="7"/>
                <w:szCs w:val="7"/>
                <w:color w:val="auto"/>
              </w:rPr>
            </w:pPr>
          </w:p>
        </w:tc>
        <w:tc>
          <w:tcPr>
            <w:tcW w:w="1320" w:type="dxa"/>
            <w:vAlign w:val="bottom"/>
            <w:shd w:val="clear" w:color="auto" w:fill="EFEDED"/>
          </w:tcPr>
          <w:p>
            <w:pPr>
              <w:spacing w:after="0"/>
              <w:rPr>
                <w:sz w:val="7"/>
                <w:szCs w:val="7"/>
                <w:color w:val="auto"/>
              </w:rPr>
            </w:pPr>
          </w:p>
        </w:tc>
        <w:tc>
          <w:tcPr>
            <w:tcW w:w="1220" w:type="dxa"/>
            <w:vAlign w:val="bottom"/>
            <w:shd w:val="clear" w:color="auto" w:fill="EFEDED"/>
          </w:tcPr>
          <w:p>
            <w:pPr>
              <w:spacing w:after="0"/>
              <w:rPr>
                <w:sz w:val="7"/>
                <w:szCs w:val="7"/>
                <w:color w:val="auto"/>
              </w:rPr>
            </w:pPr>
          </w:p>
        </w:tc>
        <w:tc>
          <w:tcPr>
            <w:tcW w:w="1600" w:type="dxa"/>
            <w:vAlign w:val="bottom"/>
            <w:shd w:val="clear" w:color="auto" w:fill="EFEDED"/>
          </w:tcPr>
          <w:p>
            <w:pPr>
              <w:spacing w:after="0"/>
              <w:rPr>
                <w:sz w:val="7"/>
                <w:szCs w:val="7"/>
                <w:color w:val="auto"/>
              </w:rPr>
            </w:pPr>
          </w:p>
        </w:tc>
        <w:tc>
          <w:tcPr>
            <w:tcW w:w="1160" w:type="dxa"/>
            <w:vAlign w:val="bottom"/>
            <w:shd w:val="clear" w:color="auto" w:fill="EFEDED"/>
          </w:tcPr>
          <w:p>
            <w:pPr>
              <w:spacing w:after="0"/>
              <w:rPr>
                <w:sz w:val="7"/>
                <w:szCs w:val="7"/>
                <w:color w:val="auto"/>
              </w:rPr>
            </w:pPr>
          </w:p>
        </w:tc>
        <w:tc>
          <w:tcPr>
            <w:tcW w:w="1280" w:type="dxa"/>
            <w:vAlign w:val="bottom"/>
            <w:shd w:val="clear" w:color="auto" w:fill="EFEDED"/>
          </w:tcPr>
          <w:p>
            <w:pPr>
              <w:spacing w:after="0"/>
              <w:rPr>
                <w:sz w:val="7"/>
                <w:szCs w:val="7"/>
                <w:color w:val="auto"/>
              </w:rPr>
            </w:pPr>
          </w:p>
        </w:tc>
        <w:tc>
          <w:tcPr>
            <w:tcW w:w="1500" w:type="dxa"/>
            <w:vAlign w:val="bottom"/>
            <w:shd w:val="clear" w:color="auto" w:fill="EFEDED"/>
          </w:tcPr>
          <w:p>
            <w:pPr>
              <w:spacing w:after="0"/>
              <w:rPr>
                <w:sz w:val="7"/>
                <w:szCs w:val="7"/>
                <w:color w:val="auto"/>
              </w:rPr>
            </w:pPr>
          </w:p>
        </w:tc>
        <w:tc>
          <w:tcPr>
            <w:tcW w:w="126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12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1220" w:type="dxa"/>
            <w:vAlign w:val="bottom"/>
            <w:shd w:val="clear" w:color="auto" w:fill="EFEDED"/>
          </w:tcPr>
          <w:p>
            <w:pPr>
              <w:spacing w:after="0"/>
              <w:rPr>
                <w:sz w:val="6"/>
                <w:szCs w:val="6"/>
                <w:color w:val="auto"/>
              </w:rPr>
            </w:pPr>
          </w:p>
        </w:tc>
        <w:tc>
          <w:tcPr>
            <w:tcW w:w="1600" w:type="dxa"/>
            <w:vAlign w:val="bottom"/>
            <w:shd w:val="clear" w:color="auto" w:fill="EFEDED"/>
          </w:tcPr>
          <w:p>
            <w:pPr>
              <w:spacing w:after="0"/>
              <w:rPr>
                <w:sz w:val="6"/>
                <w:szCs w:val="6"/>
                <w:color w:val="auto"/>
              </w:rPr>
            </w:pPr>
          </w:p>
        </w:tc>
        <w:tc>
          <w:tcPr>
            <w:tcW w:w="1160" w:type="dxa"/>
            <w:vAlign w:val="bottom"/>
            <w:shd w:val="clear" w:color="auto" w:fill="EFEDED"/>
          </w:tcPr>
          <w:p>
            <w:pPr>
              <w:spacing w:after="0"/>
              <w:rPr>
                <w:sz w:val="6"/>
                <w:szCs w:val="6"/>
                <w:color w:val="auto"/>
              </w:rPr>
            </w:pPr>
          </w:p>
        </w:tc>
        <w:tc>
          <w:tcPr>
            <w:tcW w:w="1280" w:type="dxa"/>
            <w:vAlign w:val="bottom"/>
            <w:shd w:val="clear" w:color="auto" w:fill="EFEDED"/>
          </w:tcPr>
          <w:p>
            <w:pPr>
              <w:spacing w:after="0"/>
              <w:rPr>
                <w:sz w:val="6"/>
                <w:szCs w:val="6"/>
                <w:color w:val="auto"/>
              </w:rPr>
            </w:pPr>
          </w:p>
        </w:tc>
        <w:tc>
          <w:tcPr>
            <w:tcW w:w="150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100"/>
              <w:spacing w:after="0"/>
              <w:rPr>
                <w:sz w:val="20"/>
                <w:szCs w:val="20"/>
                <w:color w:val="auto"/>
              </w:rPr>
            </w:pPr>
            <w:r>
              <w:rPr>
                <w:rFonts w:ascii="Arial" w:cs="Arial" w:eastAsia="Arial" w:hAnsi="Arial"/>
                <w:sz w:val="13"/>
                <w:szCs w:val="13"/>
                <w:b w:val="1"/>
                <w:bCs w:val="1"/>
                <w:color w:val="58595B"/>
              </w:rPr>
              <w:t>2024</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1/18/2024</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9,288</w:t>
            </w:r>
          </w:p>
        </w:tc>
        <w:tc>
          <w:tcPr>
            <w:tcW w:w="122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1"/>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3/12/2024</w:t>
            </w:r>
          </w:p>
        </w:tc>
        <w:tc>
          <w:tcPr>
            <w:tcW w:w="1320" w:type="dxa"/>
            <w:vAlign w:val="bottom"/>
          </w:tcPr>
          <w:p>
            <w:pPr>
              <w:jc w:val="center"/>
              <w:spacing w:after="0"/>
              <w:rPr>
                <w:sz w:val="20"/>
                <w:szCs w:val="20"/>
                <w:color w:val="auto"/>
              </w:rPr>
            </w:pPr>
            <w:r>
              <w:rPr>
                <w:rFonts w:ascii="Arial" w:cs="Arial" w:eastAsia="Arial" w:hAnsi="Arial"/>
                <w:sz w:val="13"/>
                <w:szCs w:val="13"/>
                <w:color w:val="58595B"/>
              </w:rPr>
              <w:t>—</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2"/>
              </w:rPr>
              <w:t>452</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8"/>
              </w:rPr>
              <w:t>1,042</w:t>
            </w:r>
          </w:p>
        </w:tc>
        <w:tc>
          <w:tcPr>
            <w:tcW w:w="1280" w:type="dxa"/>
            <w:vAlign w:val="bottom"/>
          </w:tcPr>
          <w:p>
            <w:pPr>
              <w:jc w:val="center"/>
              <w:ind w:left="37"/>
              <w:spacing w:after="0"/>
              <w:rPr>
                <w:sz w:val="20"/>
                <w:szCs w:val="20"/>
                <w:color w:val="auto"/>
              </w:rPr>
            </w:pPr>
            <w:r>
              <w:rPr>
                <w:rFonts w:ascii="Arial" w:cs="Arial" w:eastAsia="Arial" w:hAnsi="Arial"/>
                <w:sz w:val="13"/>
                <w:szCs w:val="13"/>
                <w:color w:val="58595B"/>
              </w:rPr>
              <w:t>984</w:t>
            </w:r>
          </w:p>
        </w:tc>
        <w:tc>
          <w:tcPr>
            <w:tcW w:w="1500" w:type="dxa"/>
            <w:vAlign w:val="bottom"/>
          </w:tcPr>
          <w:p>
            <w:pPr>
              <w:jc w:val="center"/>
              <w:spacing w:after="0"/>
              <w:rPr>
                <w:sz w:val="20"/>
                <w:szCs w:val="20"/>
                <w:color w:val="auto"/>
              </w:rPr>
            </w:pPr>
            <w:r>
              <w:rPr>
                <w:rFonts w:ascii="Arial" w:cs="Arial" w:eastAsia="Arial" w:hAnsi="Arial"/>
                <w:sz w:val="13"/>
                <w:szCs w:val="13"/>
                <w:color w:val="58595B"/>
              </w:rPr>
              <w:t>820</w:t>
            </w:r>
          </w:p>
        </w:tc>
        <w:tc>
          <w:tcPr>
            <w:tcW w:w="1260" w:type="dxa"/>
            <w:vAlign w:val="bottom"/>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3/11/2024</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5,120</w:t>
            </w:r>
          </w:p>
        </w:tc>
        <w:tc>
          <w:tcPr>
            <w:tcW w:w="122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472</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w w:val="98"/>
              </w:rPr>
              <w:t>5,687</w:t>
            </w:r>
          </w:p>
        </w:tc>
        <w:tc>
          <w:tcPr>
            <w:tcW w:w="12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8"/>
              </w:rPr>
              <w:t>8,780</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6"/>
              </w:rPr>
              <w:t>3231</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3/10/2024</w:t>
            </w:r>
          </w:p>
        </w:tc>
        <w:tc>
          <w:tcPr>
            <w:tcW w:w="1320" w:type="dxa"/>
            <w:vAlign w:val="bottom"/>
          </w:tcPr>
          <w:p>
            <w:pPr>
              <w:jc w:val="center"/>
              <w:spacing w:after="0"/>
              <w:rPr>
                <w:sz w:val="20"/>
                <w:szCs w:val="20"/>
                <w:color w:val="auto"/>
              </w:rPr>
            </w:pPr>
            <w:r>
              <w:rPr>
                <w:rFonts w:ascii="Arial" w:cs="Arial" w:eastAsia="Arial" w:hAnsi="Arial"/>
                <w:sz w:val="13"/>
                <w:szCs w:val="13"/>
                <w:color w:val="58595B"/>
                <w:w w:val="92"/>
              </w:rPr>
              <w:t>8,670</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8"/>
              </w:rPr>
              <w:t>1,018</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8"/>
              </w:rPr>
              <w:t>1,394</w:t>
            </w:r>
          </w:p>
        </w:tc>
        <w:tc>
          <w:tcPr>
            <w:tcW w:w="1280" w:type="dxa"/>
            <w:vAlign w:val="bottom"/>
          </w:tcPr>
          <w:p>
            <w:pPr>
              <w:jc w:val="center"/>
              <w:ind w:left="57"/>
              <w:spacing w:after="0"/>
              <w:rPr>
                <w:sz w:val="20"/>
                <w:szCs w:val="20"/>
                <w:color w:val="auto"/>
              </w:rPr>
            </w:pPr>
            <w:r>
              <w:rPr>
                <w:rFonts w:ascii="Arial" w:cs="Arial" w:eastAsia="Arial" w:hAnsi="Arial"/>
                <w:sz w:val="13"/>
                <w:szCs w:val="13"/>
                <w:color w:val="58595B"/>
                <w:w w:val="98"/>
              </w:rPr>
              <w:t>5,803</w:t>
            </w:r>
          </w:p>
        </w:tc>
        <w:tc>
          <w:tcPr>
            <w:tcW w:w="1500" w:type="dxa"/>
            <w:vAlign w:val="bottom"/>
          </w:tcPr>
          <w:p>
            <w:pPr>
              <w:jc w:val="center"/>
              <w:spacing w:after="0"/>
              <w:rPr>
                <w:sz w:val="20"/>
                <w:szCs w:val="20"/>
                <w:color w:val="auto"/>
              </w:rPr>
            </w:pPr>
            <w:r>
              <w:rPr>
                <w:rFonts w:ascii="Arial" w:cs="Arial" w:eastAsia="Arial" w:hAnsi="Arial"/>
                <w:sz w:val="13"/>
                <w:szCs w:val="13"/>
                <w:color w:val="58595B"/>
                <w:w w:val="96"/>
              </w:rPr>
              <w:t>1673</w:t>
            </w:r>
          </w:p>
        </w:tc>
        <w:tc>
          <w:tcPr>
            <w:tcW w:w="1260" w:type="dxa"/>
            <w:vAlign w:val="bottom"/>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7/3/2024</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2"/>
              </w:rPr>
              <w:t>6,036</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1"/>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11/1/2024</w:t>
            </w:r>
          </w:p>
        </w:tc>
        <w:tc>
          <w:tcPr>
            <w:tcW w:w="1320" w:type="dxa"/>
            <w:vAlign w:val="bottom"/>
          </w:tcPr>
          <w:p>
            <w:pPr>
              <w:jc w:val="center"/>
              <w:spacing w:after="0"/>
              <w:rPr>
                <w:sz w:val="20"/>
                <w:szCs w:val="20"/>
                <w:color w:val="auto"/>
              </w:rPr>
            </w:pPr>
            <w:r>
              <w:rPr>
                <w:rFonts w:ascii="Arial" w:cs="Arial" w:eastAsia="Arial" w:hAnsi="Arial"/>
                <w:sz w:val="13"/>
                <w:szCs w:val="13"/>
                <w:color w:val="58595B"/>
                <w:w w:val="92"/>
              </w:rPr>
              <w:t>9,814</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Pr>
          <w:p>
            <w:pPr>
              <w:jc w:val="center"/>
              <w:ind w:left="57"/>
              <w:spacing w:after="0"/>
              <w:rPr>
                <w:sz w:val="20"/>
                <w:szCs w:val="20"/>
                <w:color w:val="auto"/>
              </w:rPr>
            </w:pPr>
            <w:r>
              <w:rPr>
                <w:rFonts w:ascii="Arial" w:cs="Arial" w:eastAsia="Arial" w:hAnsi="Arial"/>
                <w:sz w:val="13"/>
                <w:szCs w:val="13"/>
                <w:color w:val="58595B"/>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58595B"/>
              </w:rPr>
              <w:t>—</w:t>
            </w:r>
          </w:p>
        </w:tc>
        <w:tc>
          <w:tcPr>
            <w:tcW w:w="1260" w:type="dxa"/>
            <w:vAlign w:val="bottom"/>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2025</w:t>
            </w:r>
          </w:p>
        </w:tc>
        <w:tc>
          <w:tcPr>
            <w:tcW w:w="1320" w:type="dxa"/>
            <w:vAlign w:val="bottom"/>
            <w:tcBorders>
              <w:bottom w:val="single" w:sz="8" w:color="EFEDED"/>
            </w:tcBorders>
            <w:shd w:val="clear" w:color="auto" w:fill="EFEDED"/>
          </w:tcPr>
          <w:p>
            <w:pPr>
              <w:spacing w:after="0"/>
              <w:rPr>
                <w:sz w:val="15"/>
                <w:szCs w:val="15"/>
                <w:color w:val="auto"/>
              </w:rPr>
            </w:pPr>
          </w:p>
        </w:tc>
        <w:tc>
          <w:tcPr>
            <w:tcW w:w="122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1/18/2025</w:t>
            </w:r>
          </w:p>
        </w:tc>
        <w:tc>
          <w:tcPr>
            <w:tcW w:w="1320" w:type="dxa"/>
            <w:vAlign w:val="bottom"/>
          </w:tcPr>
          <w:p>
            <w:pPr>
              <w:jc w:val="center"/>
              <w:spacing w:after="0"/>
              <w:rPr>
                <w:sz w:val="20"/>
                <w:szCs w:val="20"/>
                <w:color w:val="auto"/>
              </w:rPr>
            </w:pPr>
            <w:r>
              <w:rPr>
                <w:rFonts w:ascii="Arial" w:cs="Arial" w:eastAsia="Arial" w:hAnsi="Arial"/>
                <w:sz w:val="13"/>
                <w:szCs w:val="13"/>
                <w:color w:val="58595B"/>
                <w:w w:val="92"/>
              </w:rPr>
              <w:t>9,885</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Pr>
          <w:p>
            <w:pPr>
              <w:jc w:val="center"/>
              <w:ind w:left="57"/>
              <w:spacing w:after="0"/>
              <w:rPr>
                <w:sz w:val="20"/>
                <w:szCs w:val="20"/>
                <w:color w:val="auto"/>
              </w:rPr>
            </w:pPr>
            <w:r>
              <w:rPr>
                <w:rFonts w:ascii="Arial" w:cs="Arial" w:eastAsia="Arial" w:hAnsi="Arial"/>
                <w:sz w:val="13"/>
                <w:szCs w:val="13"/>
                <w:color w:val="58595B"/>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58595B"/>
              </w:rPr>
              <w:t>—</w:t>
            </w:r>
          </w:p>
        </w:tc>
        <w:tc>
          <w:tcPr>
            <w:tcW w:w="1260" w:type="dxa"/>
            <w:vAlign w:val="bottom"/>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3/11/2025</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5,119</w:t>
            </w:r>
          </w:p>
        </w:tc>
        <w:tc>
          <w:tcPr>
            <w:tcW w:w="122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487</w:t>
            </w:r>
          </w:p>
        </w:tc>
        <w:tc>
          <w:tcPr>
            <w:tcW w:w="1160" w:type="dxa"/>
            <w:vAlign w:val="bottom"/>
            <w:tcBorders>
              <w:bottom w:val="single" w:sz="8" w:color="EFEDED"/>
            </w:tcBorders>
            <w:shd w:val="clear" w:color="auto" w:fill="EFEDED"/>
          </w:tcPr>
          <w:p>
            <w:pPr>
              <w:jc w:val="center"/>
              <w:ind w:right="77"/>
              <w:spacing w:after="0"/>
              <w:rPr>
                <w:sz w:val="20"/>
                <w:szCs w:val="20"/>
                <w:color w:val="auto"/>
              </w:rPr>
            </w:pPr>
            <w:r>
              <w:rPr>
                <w:rFonts w:ascii="Arial" w:cs="Arial" w:eastAsia="Arial" w:hAnsi="Arial"/>
                <w:sz w:val="13"/>
                <w:szCs w:val="13"/>
                <w:color w:val="58595B"/>
                <w:w w:val="92"/>
              </w:rPr>
              <w:t>1,112</w:t>
            </w:r>
          </w:p>
        </w:tc>
        <w:tc>
          <w:tcPr>
            <w:tcW w:w="12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8"/>
              </w:rPr>
              <w:t>1,133</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2"/>
              </w:rPr>
              <w:t>3,330</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3/10/2025</w:t>
            </w:r>
          </w:p>
        </w:tc>
        <w:tc>
          <w:tcPr>
            <w:tcW w:w="1320" w:type="dxa"/>
            <w:vAlign w:val="bottom"/>
          </w:tcPr>
          <w:p>
            <w:pPr>
              <w:jc w:val="center"/>
              <w:spacing w:after="0"/>
              <w:rPr>
                <w:sz w:val="20"/>
                <w:szCs w:val="20"/>
                <w:color w:val="auto"/>
              </w:rPr>
            </w:pPr>
            <w:r>
              <w:rPr>
                <w:rFonts w:ascii="Arial" w:cs="Arial" w:eastAsia="Arial" w:hAnsi="Arial"/>
                <w:sz w:val="13"/>
                <w:szCs w:val="13"/>
                <w:color w:val="58595B"/>
                <w:w w:val="92"/>
              </w:rPr>
              <w:t>8,669</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8"/>
              </w:rPr>
              <w:t>1,019</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8"/>
              </w:rPr>
              <w:t>1,395</w:t>
            </w:r>
          </w:p>
        </w:tc>
        <w:tc>
          <w:tcPr>
            <w:tcW w:w="1280" w:type="dxa"/>
            <w:vAlign w:val="bottom"/>
          </w:tcPr>
          <w:p>
            <w:pPr>
              <w:jc w:val="center"/>
              <w:ind w:left="57"/>
              <w:spacing w:after="0"/>
              <w:rPr>
                <w:sz w:val="20"/>
                <w:szCs w:val="20"/>
                <w:color w:val="auto"/>
              </w:rPr>
            </w:pPr>
            <w:r>
              <w:rPr>
                <w:rFonts w:ascii="Arial" w:cs="Arial" w:eastAsia="Arial" w:hAnsi="Arial"/>
                <w:sz w:val="13"/>
                <w:szCs w:val="13"/>
                <w:color w:val="58595B"/>
                <w:w w:val="98"/>
              </w:rPr>
              <w:t>5,803</w:t>
            </w:r>
          </w:p>
        </w:tc>
        <w:tc>
          <w:tcPr>
            <w:tcW w:w="1500" w:type="dxa"/>
            <w:vAlign w:val="bottom"/>
          </w:tcPr>
          <w:p>
            <w:pPr>
              <w:jc w:val="center"/>
              <w:spacing w:after="0"/>
              <w:rPr>
                <w:sz w:val="20"/>
                <w:szCs w:val="20"/>
                <w:color w:val="auto"/>
              </w:rPr>
            </w:pPr>
            <w:r>
              <w:rPr>
                <w:rFonts w:ascii="Arial" w:cs="Arial" w:eastAsia="Arial" w:hAnsi="Arial"/>
                <w:sz w:val="13"/>
                <w:szCs w:val="13"/>
                <w:color w:val="58595B"/>
                <w:w w:val="96"/>
              </w:rPr>
              <w:t>1673</w:t>
            </w:r>
          </w:p>
        </w:tc>
        <w:tc>
          <w:tcPr>
            <w:tcW w:w="1260" w:type="dxa"/>
            <w:vAlign w:val="bottom"/>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7/3/2025</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2"/>
              </w:rPr>
              <w:t>6,037</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12,196</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1"/>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11/1/2025</w:t>
            </w:r>
          </w:p>
        </w:tc>
        <w:tc>
          <w:tcPr>
            <w:tcW w:w="1320" w:type="dxa"/>
            <w:vAlign w:val="bottom"/>
          </w:tcPr>
          <w:p>
            <w:pPr>
              <w:jc w:val="center"/>
              <w:spacing w:after="0"/>
              <w:rPr>
                <w:sz w:val="20"/>
                <w:szCs w:val="20"/>
                <w:color w:val="auto"/>
              </w:rPr>
            </w:pPr>
            <w:r>
              <w:rPr>
                <w:rFonts w:ascii="Arial" w:cs="Arial" w:eastAsia="Arial" w:hAnsi="Arial"/>
                <w:sz w:val="13"/>
                <w:szCs w:val="13"/>
                <w:color w:val="58595B"/>
                <w:w w:val="92"/>
              </w:rPr>
              <w:t>9,813</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2026</w:t>
            </w:r>
          </w:p>
        </w:tc>
        <w:tc>
          <w:tcPr>
            <w:tcW w:w="1320" w:type="dxa"/>
            <w:vAlign w:val="bottom"/>
            <w:tcBorders>
              <w:bottom w:val="single" w:sz="8" w:color="EFEDED"/>
            </w:tcBorders>
            <w:shd w:val="clear" w:color="auto" w:fill="EFEDED"/>
          </w:tcPr>
          <w:p>
            <w:pPr>
              <w:spacing w:after="0"/>
              <w:rPr>
                <w:sz w:val="15"/>
                <w:szCs w:val="15"/>
                <w:color w:val="auto"/>
              </w:rPr>
            </w:pPr>
          </w:p>
        </w:tc>
        <w:tc>
          <w:tcPr>
            <w:tcW w:w="1220" w:type="dxa"/>
            <w:vAlign w:val="bottom"/>
            <w:tcBorders>
              <w:bottom w:val="single" w:sz="8" w:color="EFEDED"/>
            </w:tcBorders>
            <w:shd w:val="clear" w:color="auto" w:fill="EFEDED"/>
          </w:tcPr>
          <w:p>
            <w:pPr>
              <w:spacing w:after="0"/>
              <w:rPr>
                <w:sz w:val="15"/>
                <w:szCs w:val="15"/>
                <w:color w:val="auto"/>
              </w:rPr>
            </w:pPr>
          </w:p>
        </w:tc>
        <w:tc>
          <w:tcPr>
            <w:tcW w:w="16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1280" w:type="dxa"/>
            <w:vAlign w:val="bottom"/>
            <w:tcBorders>
              <w:bottom w:val="single" w:sz="8" w:color="EFEDED"/>
            </w:tcBorders>
            <w:shd w:val="clear" w:color="auto" w:fill="EFEDED"/>
          </w:tcPr>
          <w:p>
            <w:pPr>
              <w:spacing w:after="0"/>
              <w:rPr>
                <w:sz w:val="15"/>
                <w:szCs w:val="15"/>
                <w:color w:val="auto"/>
              </w:rPr>
            </w:pPr>
          </w:p>
        </w:tc>
        <w:tc>
          <w:tcPr>
            <w:tcW w:w="150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3/10/2026</w:t>
            </w:r>
          </w:p>
        </w:tc>
        <w:tc>
          <w:tcPr>
            <w:tcW w:w="1320" w:type="dxa"/>
            <w:vAlign w:val="bottom"/>
          </w:tcPr>
          <w:p>
            <w:pPr>
              <w:jc w:val="center"/>
              <w:spacing w:after="0"/>
              <w:rPr>
                <w:sz w:val="20"/>
                <w:szCs w:val="20"/>
                <w:color w:val="auto"/>
              </w:rPr>
            </w:pPr>
            <w:r>
              <w:rPr>
                <w:rFonts w:ascii="Arial" w:cs="Arial" w:eastAsia="Arial" w:hAnsi="Arial"/>
                <w:sz w:val="13"/>
                <w:szCs w:val="13"/>
                <w:color w:val="58595B"/>
                <w:w w:val="92"/>
              </w:rPr>
              <w:t>8,669</w:t>
            </w:r>
          </w:p>
        </w:tc>
        <w:tc>
          <w:tcPr>
            <w:tcW w:w="1220" w:type="dxa"/>
            <w:vAlign w:val="bottom"/>
          </w:tcPr>
          <w:p>
            <w:pPr>
              <w:jc w:val="center"/>
              <w:ind w:left="57"/>
              <w:spacing w:after="0"/>
              <w:rPr>
                <w:sz w:val="20"/>
                <w:szCs w:val="20"/>
                <w:color w:val="auto"/>
              </w:rPr>
            </w:pPr>
            <w:r>
              <w:rPr>
                <w:rFonts w:ascii="Arial" w:cs="Arial" w:eastAsia="Arial" w:hAnsi="Arial"/>
                <w:sz w:val="13"/>
                <w:szCs w:val="13"/>
                <w:color w:val="58595B"/>
              </w:rPr>
              <w:t>—</w:t>
            </w:r>
          </w:p>
        </w:tc>
        <w:tc>
          <w:tcPr>
            <w:tcW w:w="1600" w:type="dxa"/>
            <w:vAlign w:val="bottom"/>
          </w:tcPr>
          <w:p>
            <w:pPr>
              <w:jc w:val="center"/>
              <w:spacing w:after="0"/>
              <w:rPr>
                <w:sz w:val="20"/>
                <w:szCs w:val="20"/>
                <w:color w:val="auto"/>
              </w:rPr>
            </w:pPr>
            <w:r>
              <w:rPr>
                <w:rFonts w:ascii="Arial" w:cs="Arial" w:eastAsia="Arial" w:hAnsi="Arial"/>
                <w:sz w:val="13"/>
                <w:szCs w:val="13"/>
                <w:color w:val="58595B"/>
                <w:w w:val="98"/>
              </w:rPr>
              <w:t>1,051</w:t>
            </w:r>
          </w:p>
        </w:tc>
        <w:tc>
          <w:tcPr>
            <w:tcW w:w="1160" w:type="dxa"/>
            <w:vAlign w:val="bottom"/>
          </w:tcPr>
          <w:p>
            <w:pPr>
              <w:jc w:val="center"/>
              <w:ind w:right="57"/>
              <w:spacing w:after="0"/>
              <w:rPr>
                <w:sz w:val="20"/>
                <w:szCs w:val="20"/>
                <w:color w:val="auto"/>
              </w:rPr>
            </w:pPr>
            <w:r>
              <w:rPr>
                <w:rFonts w:ascii="Arial" w:cs="Arial" w:eastAsia="Arial" w:hAnsi="Arial"/>
                <w:sz w:val="13"/>
                <w:szCs w:val="13"/>
                <w:color w:val="58595B"/>
                <w:w w:val="98"/>
              </w:rPr>
              <w:t>1,438</w:t>
            </w:r>
          </w:p>
        </w:tc>
        <w:tc>
          <w:tcPr>
            <w:tcW w:w="1280" w:type="dxa"/>
            <w:vAlign w:val="bottom"/>
          </w:tcPr>
          <w:p>
            <w:pPr>
              <w:jc w:val="center"/>
              <w:ind w:left="57"/>
              <w:spacing w:after="0"/>
              <w:rPr>
                <w:sz w:val="20"/>
                <w:szCs w:val="20"/>
                <w:color w:val="auto"/>
              </w:rPr>
            </w:pPr>
            <w:r>
              <w:rPr>
                <w:rFonts w:ascii="Arial" w:cs="Arial" w:eastAsia="Arial" w:hAnsi="Arial"/>
                <w:sz w:val="13"/>
                <w:szCs w:val="13"/>
                <w:color w:val="58595B"/>
                <w:w w:val="98"/>
              </w:rPr>
              <w:t>5,980</w:t>
            </w:r>
          </w:p>
        </w:tc>
        <w:tc>
          <w:tcPr>
            <w:tcW w:w="1500" w:type="dxa"/>
            <w:vAlign w:val="bottom"/>
          </w:tcPr>
          <w:p>
            <w:pPr>
              <w:jc w:val="center"/>
              <w:spacing w:after="0"/>
              <w:rPr>
                <w:sz w:val="20"/>
                <w:szCs w:val="20"/>
                <w:color w:val="auto"/>
              </w:rPr>
            </w:pPr>
            <w:r>
              <w:rPr>
                <w:rFonts w:ascii="Arial" w:cs="Arial" w:eastAsia="Arial" w:hAnsi="Arial"/>
                <w:sz w:val="13"/>
                <w:szCs w:val="13"/>
                <w:color w:val="58595B"/>
                <w:w w:val="92"/>
              </w:rPr>
              <w:t>1,724</w:t>
            </w:r>
          </w:p>
        </w:tc>
        <w:tc>
          <w:tcPr>
            <w:tcW w:w="1260" w:type="dxa"/>
            <w:vAlign w:val="bottom"/>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7/3/2026</w:t>
            </w:r>
          </w:p>
        </w:tc>
        <w:tc>
          <w:tcPr>
            <w:tcW w:w="13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2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5"/>
              </w:rPr>
              <w:t>12,318</w:t>
            </w:r>
          </w:p>
        </w:tc>
        <w:tc>
          <w:tcPr>
            <w:tcW w:w="16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58595B"/>
                <w:w w:val="91"/>
              </w:rPr>
              <w:t>—</w:t>
            </w:r>
          </w:p>
        </w:tc>
        <w:tc>
          <w:tcPr>
            <w:tcW w:w="1280" w:type="dxa"/>
            <w:vAlign w:val="bottom"/>
            <w:tcBorders>
              <w:bottom w:val="single" w:sz="8" w:color="EFEDED"/>
            </w:tcBorders>
            <w:shd w:val="clear" w:color="auto" w:fill="EFEDED"/>
          </w:tcPr>
          <w:p>
            <w:pPr>
              <w:jc w:val="center"/>
              <w:ind w:left="57"/>
              <w:spacing w:after="0"/>
              <w:rPr>
                <w:sz w:val="20"/>
                <w:szCs w:val="20"/>
                <w:color w:val="auto"/>
              </w:rPr>
            </w:pPr>
            <w:r>
              <w:rPr>
                <w:rFonts w:ascii="Arial" w:cs="Arial" w:eastAsia="Arial" w:hAnsi="Arial"/>
                <w:sz w:val="13"/>
                <w:szCs w:val="13"/>
                <w:color w:val="58595B"/>
                <w:w w:val="91"/>
              </w:rPr>
              <w:t>—</w:t>
            </w:r>
          </w:p>
        </w:tc>
        <w:tc>
          <w:tcPr>
            <w:tcW w:w="15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rPr>
              <w:t>—</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58595B"/>
                <w:w w:val="91"/>
              </w:rPr>
              <w:t>—</w:t>
            </w:r>
          </w:p>
        </w:tc>
        <w:tc>
          <w:tcPr>
            <w:tcW w:w="0" w:type="dxa"/>
            <w:vAlign w:val="bottom"/>
          </w:tcPr>
          <w:p>
            <w:pPr>
              <w:spacing w:after="0"/>
              <w:rPr>
                <w:sz w:val="1"/>
                <w:szCs w:val="1"/>
                <w:color w:val="auto"/>
              </w:rPr>
            </w:pPr>
          </w:p>
        </w:tc>
      </w:tr>
      <w:tr>
        <w:trPr>
          <w:trHeight w:val="20"/>
        </w:trPr>
        <w:tc>
          <w:tcPr>
            <w:tcW w:w="1120" w:type="dxa"/>
            <w:vAlign w:val="bottom"/>
            <w:shd w:val="clear" w:color="auto" w:fill="58595B"/>
          </w:tcPr>
          <w:p>
            <w:pPr>
              <w:spacing w:after="0" w:line="20" w:lineRule="exact"/>
              <w:rPr>
                <w:sz w:val="1"/>
                <w:szCs w:val="1"/>
                <w:color w:val="auto"/>
              </w:rPr>
            </w:pPr>
          </w:p>
        </w:tc>
        <w:tc>
          <w:tcPr>
            <w:tcW w:w="1320" w:type="dxa"/>
            <w:vAlign w:val="bottom"/>
            <w:shd w:val="clear" w:color="auto" w:fill="58595B"/>
          </w:tcPr>
          <w:p>
            <w:pPr>
              <w:spacing w:after="0" w:line="20" w:lineRule="exact"/>
              <w:rPr>
                <w:sz w:val="1"/>
                <w:szCs w:val="1"/>
                <w:color w:val="auto"/>
              </w:rPr>
            </w:pPr>
          </w:p>
        </w:tc>
        <w:tc>
          <w:tcPr>
            <w:tcW w:w="1220" w:type="dxa"/>
            <w:vAlign w:val="bottom"/>
            <w:shd w:val="clear" w:color="auto" w:fill="58595B"/>
          </w:tcPr>
          <w:p>
            <w:pPr>
              <w:spacing w:after="0" w:line="20" w:lineRule="exact"/>
              <w:rPr>
                <w:sz w:val="1"/>
                <w:szCs w:val="1"/>
                <w:color w:val="auto"/>
              </w:rPr>
            </w:pPr>
          </w:p>
        </w:tc>
        <w:tc>
          <w:tcPr>
            <w:tcW w:w="1600" w:type="dxa"/>
            <w:vAlign w:val="bottom"/>
            <w:shd w:val="clear" w:color="auto" w:fill="58595B"/>
          </w:tcPr>
          <w:p>
            <w:pPr>
              <w:spacing w:after="0" w:line="20" w:lineRule="exact"/>
              <w:rPr>
                <w:sz w:val="1"/>
                <w:szCs w:val="1"/>
                <w:color w:val="auto"/>
              </w:rPr>
            </w:pPr>
          </w:p>
        </w:tc>
        <w:tc>
          <w:tcPr>
            <w:tcW w:w="1160" w:type="dxa"/>
            <w:vAlign w:val="bottom"/>
            <w:shd w:val="clear" w:color="auto" w:fill="58595B"/>
          </w:tcPr>
          <w:p>
            <w:pPr>
              <w:spacing w:after="0" w:line="20" w:lineRule="exact"/>
              <w:rPr>
                <w:sz w:val="1"/>
                <w:szCs w:val="1"/>
                <w:color w:val="auto"/>
              </w:rPr>
            </w:pPr>
          </w:p>
        </w:tc>
        <w:tc>
          <w:tcPr>
            <w:tcW w:w="1280" w:type="dxa"/>
            <w:vAlign w:val="bottom"/>
            <w:shd w:val="clear" w:color="auto" w:fill="58595B"/>
          </w:tcPr>
          <w:p>
            <w:pPr>
              <w:spacing w:after="0" w:line="20" w:lineRule="exact"/>
              <w:rPr>
                <w:sz w:val="1"/>
                <w:szCs w:val="1"/>
                <w:color w:val="auto"/>
              </w:rPr>
            </w:pPr>
          </w:p>
        </w:tc>
        <w:tc>
          <w:tcPr>
            <w:tcW w:w="1500" w:type="dxa"/>
            <w:vAlign w:val="bottom"/>
            <w:shd w:val="clear" w:color="auto" w:fill="58595B"/>
          </w:tcPr>
          <w:p>
            <w:pPr>
              <w:spacing w:after="0" w:line="20" w:lineRule="exact"/>
              <w:rPr>
                <w:sz w:val="1"/>
                <w:szCs w:val="1"/>
                <w:color w:val="auto"/>
              </w:rPr>
            </w:pPr>
          </w:p>
        </w:tc>
        <w:tc>
          <w:tcPr>
            <w:tcW w:w="12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100" w:hanging="332"/>
        <w:spacing w:after="0" w:line="266" w:lineRule="auto"/>
        <w:tabs>
          <w:tab w:leader="none" w:pos="3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in columns (i) and (j) reflect the number and market values of the outstanding performance stock unit awards as of December 31, 2023 for Messrs. De Witte, Davis, McBreen, Mosebrook and Schwartz. Scheduled vesting of all performance stock unit awards and the number of shares underlying such awards, subject to the satisfaction of the performance goals, are described in the table below. Amounts reported for our 2021, 2022 and 2023 awards are calculated based on 2023 performance year achievement at 0% of the target level. Ms. Knight joined the company on June 28, 2023 so did not receive an annual equity award in March 2023 with performance stock unit awards, therefore, she had no outstanding performance share stock awards. Ms. Anderson's outstanding performance stock awards were forfeited on February 2, 2023 upon her termination.</w:t>
      </w:r>
    </w:p>
    <w:p>
      <w:pPr>
        <w:spacing w:after="0" w:line="100"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1120" w:type="dxa"/>
            <w:vAlign w:val="bottom"/>
            <w:shd w:val="clear" w:color="auto" w:fill="EFEDED"/>
          </w:tcPr>
          <w:p>
            <w:pPr>
              <w:spacing w:after="0"/>
              <w:rPr>
                <w:sz w:val="18"/>
                <w:szCs w:val="18"/>
                <w:color w:val="auto"/>
              </w:rPr>
            </w:pPr>
          </w:p>
        </w:tc>
        <w:tc>
          <w:tcPr>
            <w:tcW w:w="1360" w:type="dxa"/>
            <w:vAlign w:val="bottom"/>
            <w:vMerge w:val="restart"/>
            <w:shd w:val="clear" w:color="auto" w:fill="EFEDED"/>
          </w:tcPr>
          <w:p>
            <w:pPr>
              <w:ind w:left="300"/>
              <w:spacing w:after="0"/>
              <w:rPr>
                <w:sz w:val="20"/>
                <w:szCs w:val="20"/>
                <w:color w:val="auto"/>
              </w:rPr>
            </w:pPr>
            <w:r>
              <w:rPr>
                <w:rFonts w:ascii="Arial" w:cs="Arial" w:eastAsia="Arial" w:hAnsi="Arial"/>
                <w:sz w:val="13"/>
                <w:szCs w:val="13"/>
                <w:b w:val="1"/>
                <w:bCs w:val="1"/>
                <w:color w:val="58595B"/>
              </w:rPr>
              <w:t>Jan De Witte</w:t>
            </w:r>
          </w:p>
        </w:tc>
        <w:tc>
          <w:tcPr>
            <w:tcW w:w="1080" w:type="dxa"/>
            <w:vAlign w:val="bottom"/>
            <w:vMerge w:val="restart"/>
            <w:shd w:val="clear" w:color="auto" w:fill="EFEDED"/>
          </w:tcPr>
          <w:p>
            <w:pPr>
              <w:jc w:val="center"/>
              <w:ind w:left="117"/>
              <w:spacing w:after="0"/>
              <w:rPr>
                <w:sz w:val="20"/>
                <w:szCs w:val="20"/>
                <w:color w:val="auto"/>
              </w:rPr>
            </w:pPr>
            <w:r>
              <w:rPr>
                <w:rFonts w:ascii="Arial" w:cs="Arial" w:eastAsia="Arial" w:hAnsi="Arial"/>
                <w:sz w:val="13"/>
                <w:szCs w:val="13"/>
                <w:b w:val="1"/>
                <w:bCs w:val="1"/>
                <w:color w:val="58595B"/>
                <w:w w:val="98"/>
              </w:rPr>
              <w:t>Lea Knight</w:t>
            </w:r>
          </w:p>
        </w:tc>
        <w:tc>
          <w:tcPr>
            <w:tcW w:w="1700" w:type="dxa"/>
            <w:vAlign w:val="bottom"/>
            <w:vMerge w:val="restart"/>
            <w:shd w:val="clear" w:color="auto" w:fill="EFEDED"/>
          </w:tcPr>
          <w:p>
            <w:pPr>
              <w:ind w:left="320"/>
              <w:spacing w:after="0"/>
              <w:rPr>
                <w:sz w:val="20"/>
                <w:szCs w:val="20"/>
                <w:color w:val="auto"/>
              </w:rPr>
            </w:pPr>
            <w:r>
              <w:rPr>
                <w:rFonts w:ascii="Arial" w:cs="Arial" w:eastAsia="Arial" w:hAnsi="Arial"/>
                <w:sz w:val="13"/>
                <w:szCs w:val="13"/>
                <w:b w:val="1"/>
                <w:bCs w:val="1"/>
                <w:color w:val="58595B"/>
              </w:rPr>
              <w:t>Jeffrey Mosebrook</w:t>
            </w:r>
          </w:p>
        </w:tc>
        <w:tc>
          <w:tcPr>
            <w:tcW w:w="1160" w:type="dxa"/>
            <w:vAlign w:val="bottom"/>
            <w:shd w:val="clear" w:color="auto" w:fill="EFEDED"/>
          </w:tcPr>
          <w:p>
            <w:pPr>
              <w:jc w:val="center"/>
              <w:ind w:right="77"/>
              <w:spacing w:after="0"/>
              <w:rPr>
                <w:sz w:val="20"/>
                <w:szCs w:val="20"/>
                <w:color w:val="auto"/>
              </w:rPr>
            </w:pPr>
            <w:r>
              <w:rPr>
                <w:rFonts w:ascii="Arial" w:cs="Arial" w:eastAsia="Arial" w:hAnsi="Arial"/>
                <w:sz w:val="13"/>
                <w:szCs w:val="13"/>
                <w:b w:val="1"/>
                <w:bCs w:val="1"/>
                <w:color w:val="58595B"/>
                <w:w w:val="94"/>
              </w:rPr>
              <w:t>Robert T.</w:t>
            </w:r>
          </w:p>
        </w:tc>
        <w:tc>
          <w:tcPr>
            <w:tcW w:w="152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6"/>
              </w:rPr>
              <w:t>Michael J.</w:t>
            </w:r>
          </w:p>
        </w:tc>
        <w:tc>
          <w:tcPr>
            <w:tcW w:w="1260" w:type="dxa"/>
            <w:vAlign w:val="bottom"/>
            <w:vMerge w:val="restart"/>
            <w:shd w:val="clear" w:color="auto" w:fill="EFEDED"/>
          </w:tcPr>
          <w:p>
            <w:pPr>
              <w:ind w:left="40"/>
              <w:spacing w:after="0"/>
              <w:rPr>
                <w:sz w:val="20"/>
                <w:szCs w:val="20"/>
                <w:color w:val="auto"/>
              </w:rPr>
            </w:pPr>
            <w:r>
              <w:rPr>
                <w:rFonts w:ascii="Arial" w:cs="Arial" w:eastAsia="Arial" w:hAnsi="Arial"/>
                <w:sz w:val="13"/>
                <w:szCs w:val="13"/>
                <w:b w:val="1"/>
                <w:bCs w:val="1"/>
                <w:color w:val="58595B"/>
              </w:rPr>
              <w:t>Eric I. Schwartz</w:t>
            </w:r>
          </w:p>
        </w:tc>
        <w:tc>
          <w:tcPr>
            <w:tcW w:w="126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5"/>
              </w:rPr>
              <w:t>Carrie</w:t>
            </w:r>
          </w:p>
        </w:tc>
        <w:tc>
          <w:tcPr>
            <w:tcW w:w="0" w:type="dxa"/>
            <w:vAlign w:val="bottom"/>
          </w:tcPr>
          <w:p>
            <w:pPr>
              <w:spacing w:after="0"/>
              <w:rPr>
                <w:sz w:val="1"/>
                <w:szCs w:val="1"/>
                <w:color w:val="auto"/>
              </w:rPr>
            </w:pPr>
          </w:p>
        </w:tc>
      </w:tr>
      <w:tr>
        <w:trPr>
          <w:trHeight w:val="77"/>
        </w:trPr>
        <w:tc>
          <w:tcPr>
            <w:tcW w:w="1120" w:type="dxa"/>
            <w:vAlign w:val="bottom"/>
            <w:shd w:val="clear" w:color="auto" w:fill="EFEDED"/>
          </w:tcPr>
          <w:p>
            <w:pPr>
              <w:spacing w:after="0"/>
              <w:rPr>
                <w:sz w:val="6"/>
                <w:szCs w:val="6"/>
                <w:color w:val="auto"/>
              </w:rPr>
            </w:pPr>
          </w:p>
        </w:tc>
        <w:tc>
          <w:tcPr>
            <w:tcW w:w="1360" w:type="dxa"/>
            <w:vAlign w:val="bottom"/>
            <w:vMerge w:val="continue"/>
            <w:shd w:val="clear" w:color="auto" w:fill="EFEDED"/>
          </w:tcPr>
          <w:p>
            <w:pPr>
              <w:spacing w:after="0"/>
              <w:rPr>
                <w:sz w:val="6"/>
                <w:szCs w:val="6"/>
                <w:color w:val="auto"/>
              </w:rPr>
            </w:pPr>
          </w:p>
        </w:tc>
        <w:tc>
          <w:tcPr>
            <w:tcW w:w="1080" w:type="dxa"/>
            <w:vAlign w:val="bottom"/>
            <w:vMerge w:val="continue"/>
            <w:shd w:val="clear" w:color="auto" w:fill="EFEDED"/>
          </w:tcPr>
          <w:p>
            <w:pPr>
              <w:spacing w:after="0"/>
              <w:rPr>
                <w:sz w:val="6"/>
                <w:szCs w:val="6"/>
                <w:color w:val="auto"/>
              </w:rPr>
            </w:pPr>
          </w:p>
        </w:tc>
        <w:tc>
          <w:tcPr>
            <w:tcW w:w="1700" w:type="dxa"/>
            <w:vAlign w:val="bottom"/>
            <w:vMerge w:val="continue"/>
            <w:shd w:val="clear" w:color="auto" w:fill="EFEDED"/>
          </w:tcPr>
          <w:p>
            <w:pPr>
              <w:spacing w:after="0"/>
              <w:rPr>
                <w:sz w:val="6"/>
                <w:szCs w:val="6"/>
                <w:color w:val="auto"/>
              </w:rPr>
            </w:pPr>
          </w:p>
        </w:tc>
        <w:tc>
          <w:tcPr>
            <w:tcW w:w="1160" w:type="dxa"/>
            <w:vAlign w:val="bottom"/>
            <w:vMerge w:val="restart"/>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5"/>
              </w:rPr>
              <w:t>Davis Jr.</w:t>
            </w:r>
          </w:p>
        </w:tc>
        <w:tc>
          <w:tcPr>
            <w:tcW w:w="1520" w:type="dxa"/>
            <w:vAlign w:val="bottom"/>
            <w:vMerge w:val="restart"/>
            <w:shd w:val="clear" w:color="auto" w:fill="EFEDED"/>
          </w:tcPr>
          <w:p>
            <w:pPr>
              <w:jc w:val="center"/>
              <w:ind w:right="77"/>
              <w:spacing w:after="0"/>
              <w:rPr>
                <w:sz w:val="20"/>
                <w:szCs w:val="20"/>
                <w:color w:val="auto"/>
              </w:rPr>
            </w:pPr>
            <w:r>
              <w:rPr>
                <w:rFonts w:ascii="Arial" w:cs="Arial" w:eastAsia="Arial" w:hAnsi="Arial"/>
                <w:sz w:val="13"/>
                <w:szCs w:val="13"/>
                <w:b w:val="1"/>
                <w:bCs w:val="1"/>
                <w:color w:val="58595B"/>
                <w:w w:val="98"/>
              </w:rPr>
              <w:t>McBreen</w:t>
            </w:r>
          </w:p>
        </w:tc>
        <w:tc>
          <w:tcPr>
            <w:tcW w:w="1260" w:type="dxa"/>
            <w:vAlign w:val="bottom"/>
            <w:vMerge w:val="continue"/>
            <w:shd w:val="clear" w:color="auto" w:fill="EFEDED"/>
          </w:tcPr>
          <w:p>
            <w:pPr>
              <w:spacing w:after="0"/>
              <w:rPr>
                <w:sz w:val="6"/>
                <w:szCs w:val="6"/>
                <w:color w:val="auto"/>
              </w:rPr>
            </w:pPr>
          </w:p>
        </w:tc>
        <w:tc>
          <w:tcPr>
            <w:tcW w:w="1260" w:type="dxa"/>
            <w:vAlign w:val="bottom"/>
            <w:vMerge w:val="restart"/>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5"/>
              </w:rPr>
              <w:t>Anderson</w:t>
            </w:r>
          </w:p>
        </w:tc>
        <w:tc>
          <w:tcPr>
            <w:tcW w:w="0" w:type="dxa"/>
            <w:vAlign w:val="bottom"/>
          </w:tcPr>
          <w:p>
            <w:pPr>
              <w:spacing w:after="0"/>
              <w:rPr>
                <w:sz w:val="1"/>
                <w:szCs w:val="1"/>
                <w:color w:val="auto"/>
              </w:rPr>
            </w:pPr>
          </w:p>
        </w:tc>
      </w:tr>
      <w:tr>
        <w:trPr>
          <w:trHeight w:val="143"/>
        </w:trPr>
        <w:tc>
          <w:tcPr>
            <w:tcW w:w="1120" w:type="dxa"/>
            <w:vAlign w:val="bottom"/>
            <w:tcBorders>
              <w:bottom w:val="single" w:sz="8" w:color="EFEDED"/>
            </w:tcBorders>
            <w:shd w:val="clear" w:color="auto" w:fill="EFEDED"/>
          </w:tcPr>
          <w:p>
            <w:pPr>
              <w:spacing w:after="0"/>
              <w:rPr>
                <w:sz w:val="12"/>
                <w:szCs w:val="12"/>
                <w:color w:val="auto"/>
              </w:rPr>
            </w:pPr>
          </w:p>
        </w:tc>
        <w:tc>
          <w:tcPr>
            <w:tcW w:w="1360" w:type="dxa"/>
            <w:vAlign w:val="bottom"/>
            <w:tcBorders>
              <w:bottom w:val="single" w:sz="8" w:color="EFEDED"/>
            </w:tcBorders>
            <w:shd w:val="clear" w:color="auto" w:fill="EFEDED"/>
          </w:tcPr>
          <w:p>
            <w:pPr>
              <w:spacing w:after="0"/>
              <w:rPr>
                <w:sz w:val="12"/>
                <w:szCs w:val="12"/>
                <w:color w:val="auto"/>
              </w:rPr>
            </w:pPr>
          </w:p>
        </w:tc>
        <w:tc>
          <w:tcPr>
            <w:tcW w:w="1080" w:type="dxa"/>
            <w:vAlign w:val="bottom"/>
            <w:tcBorders>
              <w:bottom w:val="single" w:sz="8" w:color="EFEDED"/>
            </w:tcBorders>
            <w:shd w:val="clear" w:color="auto" w:fill="EFEDED"/>
          </w:tcPr>
          <w:p>
            <w:pPr>
              <w:spacing w:after="0"/>
              <w:rPr>
                <w:sz w:val="12"/>
                <w:szCs w:val="12"/>
                <w:color w:val="auto"/>
              </w:rPr>
            </w:pPr>
          </w:p>
        </w:tc>
        <w:tc>
          <w:tcPr>
            <w:tcW w:w="1700" w:type="dxa"/>
            <w:vAlign w:val="bottom"/>
            <w:tcBorders>
              <w:bottom w:val="single" w:sz="8" w:color="EFEDED"/>
            </w:tcBorders>
            <w:shd w:val="clear" w:color="auto" w:fill="EFEDED"/>
          </w:tcPr>
          <w:p>
            <w:pPr>
              <w:spacing w:after="0"/>
              <w:rPr>
                <w:sz w:val="12"/>
                <w:szCs w:val="12"/>
                <w:color w:val="auto"/>
              </w:rPr>
            </w:pPr>
          </w:p>
        </w:tc>
        <w:tc>
          <w:tcPr>
            <w:tcW w:w="1160" w:type="dxa"/>
            <w:vAlign w:val="bottom"/>
            <w:tcBorders>
              <w:bottom w:val="single" w:sz="8" w:color="EFEDED"/>
            </w:tcBorders>
            <w:vMerge w:val="continue"/>
            <w:shd w:val="clear" w:color="auto" w:fill="EFEDED"/>
          </w:tcPr>
          <w:p>
            <w:pPr>
              <w:spacing w:after="0"/>
              <w:rPr>
                <w:sz w:val="12"/>
                <w:szCs w:val="12"/>
                <w:color w:val="auto"/>
              </w:rPr>
            </w:pPr>
          </w:p>
        </w:tc>
        <w:tc>
          <w:tcPr>
            <w:tcW w:w="1520" w:type="dxa"/>
            <w:vAlign w:val="bottom"/>
            <w:tcBorders>
              <w:bottom w:val="single" w:sz="8" w:color="EFEDED"/>
            </w:tcBorders>
            <w:vMerge w:val="continue"/>
            <w:shd w:val="clear" w:color="auto" w:fill="EFEDED"/>
          </w:tcPr>
          <w:p>
            <w:pPr>
              <w:spacing w:after="0"/>
              <w:rPr>
                <w:sz w:val="12"/>
                <w:szCs w:val="12"/>
                <w:color w:val="auto"/>
              </w:rPr>
            </w:pPr>
          </w:p>
        </w:tc>
        <w:tc>
          <w:tcPr>
            <w:tcW w:w="1260" w:type="dxa"/>
            <w:vAlign w:val="bottom"/>
            <w:tcBorders>
              <w:bottom w:val="single" w:sz="8" w:color="EFEDED"/>
            </w:tcBorders>
            <w:shd w:val="clear" w:color="auto" w:fill="EFEDED"/>
          </w:tcPr>
          <w:p>
            <w:pPr>
              <w:spacing w:after="0"/>
              <w:rPr>
                <w:sz w:val="12"/>
                <w:szCs w:val="12"/>
                <w:color w:val="auto"/>
              </w:rPr>
            </w:pPr>
          </w:p>
        </w:tc>
        <w:tc>
          <w:tcPr>
            <w:tcW w:w="1260" w:type="dxa"/>
            <w:vAlign w:val="bottom"/>
            <w:tcBorders>
              <w:bottom w:val="single" w:sz="8" w:color="EFEDED"/>
            </w:tcBorders>
            <w:vMerge w:val="continue"/>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120" w:type="dxa"/>
            <w:vAlign w:val="bottom"/>
            <w:tcBorders>
              <w:top w:val="single" w:sz="8" w:color="EFEDED"/>
            </w:tcBorders>
            <w:vMerge w:val="restart"/>
            <w:shd w:val="clear" w:color="auto" w:fill="EFEDED"/>
          </w:tcPr>
          <w:p>
            <w:pPr>
              <w:ind w:left="180"/>
              <w:spacing w:after="0"/>
              <w:rPr>
                <w:sz w:val="20"/>
                <w:szCs w:val="20"/>
                <w:color w:val="auto"/>
              </w:rPr>
            </w:pPr>
            <w:r>
              <w:rPr>
                <w:rFonts w:ascii="Arial" w:cs="Arial" w:eastAsia="Arial" w:hAnsi="Arial"/>
                <w:sz w:val="13"/>
                <w:szCs w:val="13"/>
                <w:b w:val="1"/>
                <w:bCs w:val="1"/>
                <w:color w:val="58595B"/>
              </w:rPr>
              <w:t>Vesting Date</w:t>
            </w:r>
          </w:p>
        </w:tc>
        <w:tc>
          <w:tcPr>
            <w:tcW w:w="1360" w:type="dxa"/>
            <w:vAlign w:val="bottom"/>
            <w:tcBorders>
              <w:top w:val="single" w:sz="8" w:color="58595B"/>
            </w:tcBorders>
            <w:shd w:val="clear" w:color="auto" w:fill="EFEDED"/>
          </w:tcPr>
          <w:p>
            <w:pPr>
              <w:spacing w:after="0"/>
              <w:rPr>
                <w:sz w:val="21"/>
                <w:szCs w:val="21"/>
                <w:color w:val="auto"/>
              </w:rPr>
            </w:pPr>
          </w:p>
        </w:tc>
        <w:tc>
          <w:tcPr>
            <w:tcW w:w="1080" w:type="dxa"/>
            <w:vAlign w:val="bottom"/>
            <w:tcBorders>
              <w:top w:val="single" w:sz="8" w:color="58595B"/>
            </w:tcBorders>
            <w:shd w:val="clear" w:color="auto" w:fill="EFEDED"/>
          </w:tcPr>
          <w:p>
            <w:pPr>
              <w:spacing w:after="0"/>
              <w:rPr>
                <w:sz w:val="21"/>
                <w:szCs w:val="21"/>
                <w:color w:val="auto"/>
              </w:rPr>
            </w:pPr>
          </w:p>
        </w:tc>
        <w:tc>
          <w:tcPr>
            <w:tcW w:w="4380" w:type="dxa"/>
            <w:vAlign w:val="bottom"/>
            <w:tcBorders>
              <w:top w:val="single" w:sz="8" w:color="58595B"/>
            </w:tcBorders>
            <w:gridSpan w:val="3"/>
            <w:shd w:val="clear" w:color="auto" w:fill="EFEDED"/>
          </w:tcPr>
          <w:p>
            <w:pPr>
              <w:jc w:val="center"/>
              <w:ind w:left="17"/>
              <w:spacing w:after="0"/>
              <w:rPr>
                <w:sz w:val="20"/>
                <w:szCs w:val="20"/>
                <w:color w:val="auto"/>
              </w:rPr>
            </w:pPr>
            <w:r>
              <w:rPr>
                <w:rFonts w:ascii="Arial" w:cs="Arial" w:eastAsia="Arial" w:hAnsi="Arial"/>
                <w:sz w:val="13"/>
                <w:szCs w:val="13"/>
                <w:b w:val="1"/>
                <w:bCs w:val="1"/>
                <w:color w:val="58595B"/>
                <w:w w:val="96"/>
              </w:rPr>
              <w:t>Number of Shares Underlying Outstanding Performance Stock Awards</w:t>
            </w:r>
          </w:p>
        </w:tc>
        <w:tc>
          <w:tcPr>
            <w:tcW w:w="1260" w:type="dxa"/>
            <w:vAlign w:val="bottom"/>
            <w:tcBorders>
              <w:top w:val="single" w:sz="8" w:color="58595B"/>
            </w:tcBorders>
            <w:shd w:val="clear" w:color="auto" w:fill="EFEDED"/>
          </w:tcPr>
          <w:p>
            <w:pPr>
              <w:spacing w:after="0"/>
              <w:rPr>
                <w:sz w:val="21"/>
                <w:szCs w:val="21"/>
                <w:color w:val="auto"/>
              </w:rPr>
            </w:pPr>
          </w:p>
        </w:tc>
        <w:tc>
          <w:tcPr>
            <w:tcW w:w="1260" w:type="dxa"/>
            <w:vAlign w:val="bottom"/>
            <w:tcBorders>
              <w:top w:val="single" w:sz="8" w:color="58595B"/>
            </w:tcBorders>
            <w:shd w:val="clear" w:color="auto" w:fill="EFEDED"/>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120" w:type="dxa"/>
            <w:vAlign w:val="bottom"/>
            <w:vMerge w:val="continue"/>
            <w:shd w:val="clear" w:color="auto" w:fill="EFEDED"/>
          </w:tcPr>
          <w:p>
            <w:pPr>
              <w:spacing w:after="0"/>
              <w:rPr>
                <w:sz w:val="7"/>
                <w:szCs w:val="7"/>
                <w:color w:val="auto"/>
              </w:rPr>
            </w:pPr>
          </w:p>
        </w:tc>
        <w:tc>
          <w:tcPr>
            <w:tcW w:w="1360" w:type="dxa"/>
            <w:vAlign w:val="bottom"/>
            <w:shd w:val="clear" w:color="auto" w:fill="EFEDED"/>
          </w:tcPr>
          <w:p>
            <w:pPr>
              <w:spacing w:after="0"/>
              <w:rPr>
                <w:sz w:val="7"/>
                <w:szCs w:val="7"/>
                <w:color w:val="auto"/>
              </w:rPr>
            </w:pPr>
          </w:p>
        </w:tc>
        <w:tc>
          <w:tcPr>
            <w:tcW w:w="1080" w:type="dxa"/>
            <w:vAlign w:val="bottom"/>
            <w:shd w:val="clear" w:color="auto" w:fill="EFEDED"/>
          </w:tcPr>
          <w:p>
            <w:pPr>
              <w:spacing w:after="0"/>
              <w:rPr>
                <w:sz w:val="7"/>
                <w:szCs w:val="7"/>
                <w:color w:val="auto"/>
              </w:rPr>
            </w:pPr>
          </w:p>
        </w:tc>
        <w:tc>
          <w:tcPr>
            <w:tcW w:w="1700" w:type="dxa"/>
            <w:vAlign w:val="bottom"/>
            <w:shd w:val="clear" w:color="auto" w:fill="EFEDED"/>
          </w:tcPr>
          <w:p>
            <w:pPr>
              <w:spacing w:after="0"/>
              <w:rPr>
                <w:sz w:val="7"/>
                <w:szCs w:val="7"/>
                <w:color w:val="auto"/>
              </w:rPr>
            </w:pPr>
          </w:p>
        </w:tc>
        <w:tc>
          <w:tcPr>
            <w:tcW w:w="1160" w:type="dxa"/>
            <w:vAlign w:val="bottom"/>
            <w:shd w:val="clear" w:color="auto" w:fill="EFEDED"/>
          </w:tcPr>
          <w:p>
            <w:pPr>
              <w:spacing w:after="0"/>
              <w:rPr>
                <w:sz w:val="7"/>
                <w:szCs w:val="7"/>
                <w:color w:val="auto"/>
              </w:rPr>
            </w:pPr>
          </w:p>
        </w:tc>
        <w:tc>
          <w:tcPr>
            <w:tcW w:w="1520" w:type="dxa"/>
            <w:vAlign w:val="bottom"/>
            <w:shd w:val="clear" w:color="auto" w:fill="EFEDED"/>
          </w:tcPr>
          <w:p>
            <w:pPr>
              <w:spacing w:after="0"/>
              <w:rPr>
                <w:sz w:val="7"/>
                <w:szCs w:val="7"/>
                <w:color w:val="auto"/>
              </w:rPr>
            </w:pPr>
          </w:p>
        </w:tc>
        <w:tc>
          <w:tcPr>
            <w:tcW w:w="1260" w:type="dxa"/>
            <w:vAlign w:val="bottom"/>
            <w:shd w:val="clear" w:color="auto" w:fill="EFEDED"/>
          </w:tcPr>
          <w:p>
            <w:pPr>
              <w:spacing w:after="0"/>
              <w:rPr>
                <w:sz w:val="7"/>
                <w:szCs w:val="7"/>
                <w:color w:val="auto"/>
              </w:rPr>
            </w:pPr>
          </w:p>
        </w:tc>
        <w:tc>
          <w:tcPr>
            <w:tcW w:w="1260" w:type="dxa"/>
            <w:vAlign w:val="bottom"/>
            <w:shd w:val="clear" w:color="auto" w:fill="EFEDED"/>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120" w:type="dxa"/>
            <w:vAlign w:val="bottom"/>
            <w:shd w:val="clear" w:color="auto" w:fill="EFEDED"/>
          </w:tcPr>
          <w:p>
            <w:pPr>
              <w:spacing w:after="0"/>
              <w:rPr>
                <w:sz w:val="6"/>
                <w:szCs w:val="6"/>
                <w:color w:val="auto"/>
              </w:rPr>
            </w:pPr>
          </w:p>
        </w:tc>
        <w:tc>
          <w:tcPr>
            <w:tcW w:w="136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1700" w:type="dxa"/>
            <w:vAlign w:val="bottom"/>
            <w:shd w:val="clear" w:color="auto" w:fill="EFEDED"/>
          </w:tcPr>
          <w:p>
            <w:pPr>
              <w:spacing w:after="0"/>
              <w:rPr>
                <w:sz w:val="6"/>
                <w:szCs w:val="6"/>
                <w:color w:val="auto"/>
              </w:rPr>
            </w:pPr>
          </w:p>
        </w:tc>
        <w:tc>
          <w:tcPr>
            <w:tcW w:w="1160" w:type="dxa"/>
            <w:vAlign w:val="bottom"/>
            <w:shd w:val="clear" w:color="auto" w:fill="EFEDED"/>
          </w:tcPr>
          <w:p>
            <w:pPr>
              <w:spacing w:after="0"/>
              <w:rPr>
                <w:sz w:val="6"/>
                <w:szCs w:val="6"/>
                <w:color w:val="auto"/>
              </w:rPr>
            </w:pPr>
          </w:p>
        </w:tc>
        <w:tc>
          <w:tcPr>
            <w:tcW w:w="152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12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100"/>
              <w:spacing w:after="0"/>
              <w:rPr>
                <w:sz w:val="20"/>
                <w:szCs w:val="20"/>
                <w:color w:val="auto"/>
              </w:rPr>
            </w:pPr>
            <w:r>
              <w:rPr>
                <w:rFonts w:ascii="Arial" w:cs="Arial" w:eastAsia="Arial" w:hAnsi="Arial"/>
                <w:sz w:val="13"/>
                <w:szCs w:val="13"/>
                <w:b w:val="1"/>
                <w:bCs w:val="1"/>
                <w:color w:val="58595B"/>
              </w:rPr>
              <w:t>2024</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3/11/2024</w:t>
            </w:r>
          </w:p>
        </w:tc>
        <w:tc>
          <w:tcPr>
            <w:tcW w:w="13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rPr>
              <w:t>—</w:t>
            </w:r>
          </w:p>
        </w:tc>
        <w:tc>
          <w:tcPr>
            <w:tcW w:w="10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494949"/>
              </w:rPr>
              <w:t>—</w:t>
            </w:r>
          </w:p>
        </w:tc>
        <w:tc>
          <w:tcPr>
            <w:tcW w:w="17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1"/>
              </w:rPr>
              <w:t>—</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494949"/>
                <w:w w:val="91"/>
              </w:rPr>
              <w:t>—</w:t>
            </w:r>
          </w:p>
        </w:tc>
        <w:tc>
          <w:tcPr>
            <w:tcW w:w="152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494949"/>
                <w:w w:val="91"/>
              </w:rPr>
              <w:t>—</w:t>
            </w:r>
          </w:p>
        </w:tc>
        <w:tc>
          <w:tcPr>
            <w:tcW w:w="126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494949"/>
              </w:rPr>
              <w:t>—</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494949"/>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3/12/2024</w:t>
            </w:r>
          </w:p>
        </w:tc>
        <w:tc>
          <w:tcPr>
            <w:tcW w:w="1360" w:type="dxa"/>
            <w:vAlign w:val="bottom"/>
          </w:tcPr>
          <w:p>
            <w:pPr>
              <w:jc w:val="center"/>
              <w:spacing w:after="0"/>
              <w:rPr>
                <w:sz w:val="20"/>
                <w:szCs w:val="20"/>
                <w:color w:val="auto"/>
              </w:rPr>
            </w:pPr>
            <w:r>
              <w:rPr>
                <w:rFonts w:ascii="Arial" w:cs="Arial" w:eastAsia="Arial" w:hAnsi="Arial"/>
                <w:sz w:val="13"/>
                <w:szCs w:val="13"/>
                <w:color w:val="494949"/>
              </w:rPr>
              <w:t>—</w:t>
            </w:r>
          </w:p>
        </w:tc>
        <w:tc>
          <w:tcPr>
            <w:tcW w:w="1080" w:type="dxa"/>
            <w:vAlign w:val="bottom"/>
          </w:tcPr>
          <w:p>
            <w:pPr>
              <w:jc w:val="center"/>
              <w:ind w:left="117"/>
              <w:spacing w:after="0"/>
              <w:rPr>
                <w:sz w:val="20"/>
                <w:szCs w:val="20"/>
                <w:color w:val="auto"/>
              </w:rPr>
            </w:pPr>
            <w:r>
              <w:rPr>
                <w:rFonts w:ascii="Arial" w:cs="Arial" w:eastAsia="Arial" w:hAnsi="Arial"/>
                <w:sz w:val="13"/>
                <w:szCs w:val="13"/>
                <w:color w:val="494949"/>
              </w:rPr>
              <w:t>—</w:t>
            </w:r>
          </w:p>
        </w:tc>
        <w:tc>
          <w:tcPr>
            <w:tcW w:w="1700" w:type="dxa"/>
            <w:vAlign w:val="bottom"/>
          </w:tcPr>
          <w:p>
            <w:pPr>
              <w:jc w:val="center"/>
              <w:spacing w:after="0"/>
              <w:rPr>
                <w:sz w:val="20"/>
                <w:szCs w:val="20"/>
                <w:color w:val="auto"/>
              </w:rPr>
            </w:pPr>
            <w:r>
              <w:rPr>
                <w:rFonts w:ascii="Arial" w:cs="Arial" w:eastAsia="Arial" w:hAnsi="Arial"/>
                <w:sz w:val="13"/>
                <w:szCs w:val="13"/>
                <w:color w:val="494949"/>
                <w:w w:val="92"/>
              </w:rPr>
              <w:t>808</w:t>
            </w:r>
          </w:p>
        </w:tc>
        <w:tc>
          <w:tcPr>
            <w:tcW w:w="1160" w:type="dxa"/>
            <w:vAlign w:val="bottom"/>
          </w:tcPr>
          <w:p>
            <w:pPr>
              <w:jc w:val="center"/>
              <w:ind w:right="57"/>
              <w:spacing w:after="0"/>
              <w:rPr>
                <w:sz w:val="20"/>
                <w:szCs w:val="20"/>
                <w:color w:val="auto"/>
              </w:rPr>
            </w:pPr>
            <w:r>
              <w:rPr>
                <w:rFonts w:ascii="Arial" w:cs="Arial" w:eastAsia="Arial" w:hAnsi="Arial"/>
                <w:sz w:val="13"/>
                <w:szCs w:val="13"/>
                <w:color w:val="494949"/>
                <w:w w:val="98"/>
              </w:rPr>
              <w:t>3,721</w:t>
            </w:r>
          </w:p>
        </w:tc>
        <w:tc>
          <w:tcPr>
            <w:tcW w:w="1520" w:type="dxa"/>
            <w:vAlign w:val="bottom"/>
          </w:tcPr>
          <w:p>
            <w:pPr>
              <w:jc w:val="center"/>
              <w:ind w:right="57"/>
              <w:spacing w:after="0"/>
              <w:rPr>
                <w:sz w:val="20"/>
                <w:szCs w:val="20"/>
                <w:color w:val="auto"/>
              </w:rPr>
            </w:pPr>
            <w:r>
              <w:rPr>
                <w:rFonts w:ascii="Arial" w:cs="Arial" w:eastAsia="Arial" w:hAnsi="Arial"/>
                <w:sz w:val="13"/>
                <w:szCs w:val="13"/>
                <w:color w:val="494949"/>
                <w:w w:val="98"/>
              </w:rPr>
              <w:t>3,516</w:t>
            </w:r>
          </w:p>
        </w:tc>
        <w:tc>
          <w:tcPr>
            <w:tcW w:w="1260" w:type="dxa"/>
            <w:vAlign w:val="bottom"/>
          </w:tcPr>
          <w:p>
            <w:pPr>
              <w:jc w:val="center"/>
              <w:ind w:right="177"/>
              <w:spacing w:after="0"/>
              <w:rPr>
                <w:sz w:val="20"/>
                <w:szCs w:val="20"/>
                <w:color w:val="auto"/>
              </w:rPr>
            </w:pPr>
            <w:r>
              <w:rPr>
                <w:rFonts w:ascii="Arial" w:cs="Arial" w:eastAsia="Arial" w:hAnsi="Arial"/>
                <w:sz w:val="13"/>
                <w:szCs w:val="13"/>
                <w:color w:val="494949"/>
                <w:w w:val="92"/>
              </w:rPr>
              <w:t>2,564</w:t>
            </w:r>
          </w:p>
        </w:tc>
        <w:tc>
          <w:tcPr>
            <w:tcW w:w="1260" w:type="dxa"/>
            <w:vAlign w:val="bottom"/>
          </w:tcPr>
          <w:p>
            <w:pPr>
              <w:jc w:val="center"/>
              <w:ind w:right="37"/>
              <w:spacing w:after="0"/>
              <w:rPr>
                <w:sz w:val="20"/>
                <w:szCs w:val="20"/>
                <w:color w:val="auto"/>
              </w:rPr>
            </w:pPr>
            <w:r>
              <w:rPr>
                <w:rFonts w:ascii="Arial" w:cs="Arial" w:eastAsia="Arial" w:hAnsi="Arial"/>
                <w:sz w:val="13"/>
                <w:szCs w:val="13"/>
                <w:color w:val="494949"/>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3/10/2024</w:t>
            </w:r>
          </w:p>
        </w:tc>
        <w:tc>
          <w:tcPr>
            <w:tcW w:w="13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rPr>
              <w:t>—</w:t>
            </w:r>
          </w:p>
        </w:tc>
        <w:tc>
          <w:tcPr>
            <w:tcW w:w="10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494949"/>
              </w:rPr>
              <w:t>—</w:t>
            </w:r>
          </w:p>
        </w:tc>
        <w:tc>
          <w:tcPr>
            <w:tcW w:w="17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1"/>
              </w:rPr>
              <w:t>—</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494949"/>
                <w:w w:val="91"/>
              </w:rPr>
              <w:t>—</w:t>
            </w:r>
          </w:p>
        </w:tc>
        <w:tc>
          <w:tcPr>
            <w:tcW w:w="152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494949"/>
                <w:w w:val="91"/>
              </w:rPr>
              <w:t>—</w:t>
            </w:r>
          </w:p>
        </w:tc>
        <w:tc>
          <w:tcPr>
            <w:tcW w:w="126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494949"/>
              </w:rPr>
              <w:t>—</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494949"/>
                <w:w w:val="91"/>
              </w:rPr>
              <w:t>—</w:t>
            </w:r>
          </w:p>
        </w:tc>
        <w:tc>
          <w:tcPr>
            <w:tcW w:w="0" w:type="dxa"/>
            <w:vAlign w:val="bottom"/>
          </w:tcPr>
          <w:p>
            <w:pPr>
              <w:spacing w:after="0"/>
              <w:rPr>
                <w:sz w:val="1"/>
                <w:szCs w:val="1"/>
                <w:color w:val="auto"/>
              </w:rPr>
            </w:pPr>
          </w:p>
        </w:tc>
      </w:tr>
      <w:tr>
        <w:trPr>
          <w:trHeight w:val="181"/>
        </w:trPr>
        <w:tc>
          <w:tcPr>
            <w:tcW w:w="1120" w:type="dxa"/>
            <w:vAlign w:val="bottom"/>
          </w:tcPr>
          <w:p>
            <w:pPr>
              <w:ind w:left="100"/>
              <w:spacing w:after="0"/>
              <w:rPr>
                <w:sz w:val="20"/>
                <w:szCs w:val="20"/>
                <w:color w:val="auto"/>
              </w:rPr>
            </w:pPr>
            <w:r>
              <w:rPr>
                <w:rFonts w:ascii="Arial" w:cs="Arial" w:eastAsia="Arial" w:hAnsi="Arial"/>
                <w:sz w:val="13"/>
                <w:szCs w:val="13"/>
                <w:b w:val="1"/>
                <w:bCs w:val="1"/>
                <w:color w:val="58595B"/>
              </w:rPr>
              <w:t>2025</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color w:val="58595B"/>
              </w:rPr>
              <w:t>3/11/2025</w:t>
            </w:r>
          </w:p>
        </w:tc>
        <w:tc>
          <w:tcPr>
            <w:tcW w:w="136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5"/>
              </w:rPr>
              <w:t>21,870</w:t>
            </w:r>
          </w:p>
        </w:tc>
        <w:tc>
          <w:tcPr>
            <w:tcW w:w="1080" w:type="dxa"/>
            <w:vAlign w:val="bottom"/>
            <w:tcBorders>
              <w:bottom w:val="single" w:sz="8" w:color="EFEDED"/>
            </w:tcBorders>
            <w:shd w:val="clear" w:color="auto" w:fill="EFEDED"/>
          </w:tcPr>
          <w:p>
            <w:pPr>
              <w:jc w:val="center"/>
              <w:ind w:left="117"/>
              <w:spacing w:after="0"/>
              <w:rPr>
                <w:sz w:val="20"/>
                <w:szCs w:val="20"/>
                <w:color w:val="auto"/>
              </w:rPr>
            </w:pPr>
            <w:r>
              <w:rPr>
                <w:rFonts w:ascii="Arial" w:cs="Arial" w:eastAsia="Arial" w:hAnsi="Arial"/>
                <w:sz w:val="13"/>
                <w:szCs w:val="13"/>
                <w:color w:val="494949"/>
              </w:rPr>
              <w:t>—</w:t>
            </w:r>
          </w:p>
        </w:tc>
        <w:tc>
          <w:tcPr>
            <w:tcW w:w="17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494949"/>
                <w:w w:val="98"/>
              </w:rPr>
              <w:t>1,019</w:t>
            </w:r>
          </w:p>
        </w:tc>
        <w:tc>
          <w:tcPr>
            <w:tcW w:w="116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494949"/>
                <w:w w:val="98"/>
              </w:rPr>
              <w:t>4,654</w:t>
            </w:r>
          </w:p>
        </w:tc>
        <w:tc>
          <w:tcPr>
            <w:tcW w:w="1520" w:type="dxa"/>
            <w:vAlign w:val="bottom"/>
            <w:tcBorders>
              <w:bottom w:val="single" w:sz="8" w:color="EFEDED"/>
            </w:tcBorders>
            <w:shd w:val="clear" w:color="auto" w:fill="EFEDED"/>
          </w:tcPr>
          <w:p>
            <w:pPr>
              <w:jc w:val="center"/>
              <w:ind w:right="57"/>
              <w:spacing w:after="0"/>
              <w:rPr>
                <w:sz w:val="20"/>
                <w:szCs w:val="20"/>
                <w:color w:val="auto"/>
              </w:rPr>
            </w:pPr>
            <w:r>
              <w:rPr>
                <w:rFonts w:ascii="Arial" w:cs="Arial" w:eastAsia="Arial" w:hAnsi="Arial"/>
                <w:sz w:val="13"/>
                <w:szCs w:val="13"/>
                <w:color w:val="494949"/>
                <w:w w:val="98"/>
              </w:rPr>
              <w:t>4,745</w:t>
            </w:r>
          </w:p>
        </w:tc>
        <w:tc>
          <w:tcPr>
            <w:tcW w:w="1260" w:type="dxa"/>
            <w:vAlign w:val="bottom"/>
            <w:tcBorders>
              <w:bottom w:val="single" w:sz="8" w:color="EFEDED"/>
            </w:tcBorders>
            <w:shd w:val="clear" w:color="auto" w:fill="EFEDED"/>
          </w:tcPr>
          <w:p>
            <w:pPr>
              <w:jc w:val="center"/>
              <w:ind w:right="177"/>
              <w:spacing w:after="0"/>
              <w:rPr>
                <w:sz w:val="20"/>
                <w:szCs w:val="20"/>
                <w:color w:val="auto"/>
              </w:rPr>
            </w:pPr>
            <w:r>
              <w:rPr>
                <w:rFonts w:ascii="Arial" w:cs="Arial" w:eastAsia="Arial" w:hAnsi="Arial"/>
                <w:sz w:val="13"/>
                <w:szCs w:val="13"/>
                <w:color w:val="494949"/>
                <w:w w:val="95"/>
              </w:rPr>
              <w:t>13,942</w:t>
            </w:r>
          </w:p>
        </w:tc>
        <w:tc>
          <w:tcPr>
            <w:tcW w:w="1260" w:type="dxa"/>
            <w:vAlign w:val="bottom"/>
            <w:tcBorders>
              <w:bottom w:val="single" w:sz="8" w:color="EFEDED"/>
            </w:tcBorders>
            <w:shd w:val="clear" w:color="auto" w:fill="EFEDED"/>
          </w:tcPr>
          <w:p>
            <w:pPr>
              <w:jc w:val="center"/>
              <w:ind w:right="37"/>
              <w:spacing w:after="0"/>
              <w:rPr>
                <w:sz w:val="20"/>
                <w:szCs w:val="20"/>
                <w:color w:val="auto"/>
              </w:rPr>
            </w:pPr>
            <w:r>
              <w:rPr>
                <w:rFonts w:ascii="Arial" w:cs="Arial" w:eastAsia="Arial" w:hAnsi="Arial"/>
                <w:sz w:val="13"/>
                <w:szCs w:val="13"/>
                <w:color w:val="494949"/>
                <w:w w:val="91"/>
              </w:rPr>
              <w:t>—</w:t>
            </w: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3/10/2025</w:t>
            </w:r>
          </w:p>
        </w:tc>
        <w:tc>
          <w:tcPr>
            <w:tcW w:w="1360" w:type="dxa"/>
            <w:vAlign w:val="bottom"/>
          </w:tcPr>
          <w:p>
            <w:pPr>
              <w:jc w:val="center"/>
              <w:spacing w:after="0"/>
              <w:rPr>
                <w:sz w:val="20"/>
                <w:szCs w:val="20"/>
                <w:color w:val="auto"/>
              </w:rPr>
            </w:pPr>
            <w:r>
              <w:rPr>
                <w:rFonts w:ascii="Arial" w:cs="Arial" w:eastAsia="Arial" w:hAnsi="Arial"/>
                <w:sz w:val="13"/>
                <w:szCs w:val="13"/>
                <w:color w:val="494949"/>
                <w:w w:val="95"/>
              </w:rPr>
              <w:t>17,165</w:t>
            </w:r>
          </w:p>
        </w:tc>
        <w:tc>
          <w:tcPr>
            <w:tcW w:w="1080" w:type="dxa"/>
            <w:vAlign w:val="bottom"/>
          </w:tcPr>
          <w:p>
            <w:pPr>
              <w:jc w:val="center"/>
              <w:ind w:left="117"/>
              <w:spacing w:after="0"/>
              <w:rPr>
                <w:sz w:val="20"/>
                <w:szCs w:val="20"/>
                <w:color w:val="auto"/>
              </w:rPr>
            </w:pPr>
            <w:r>
              <w:rPr>
                <w:rFonts w:ascii="Arial" w:cs="Arial" w:eastAsia="Arial" w:hAnsi="Arial"/>
                <w:sz w:val="13"/>
                <w:szCs w:val="13"/>
                <w:color w:val="494949"/>
              </w:rPr>
              <w:t>—</w:t>
            </w:r>
          </w:p>
        </w:tc>
        <w:tc>
          <w:tcPr>
            <w:tcW w:w="1700" w:type="dxa"/>
            <w:vAlign w:val="bottom"/>
          </w:tcPr>
          <w:p>
            <w:pPr>
              <w:jc w:val="center"/>
              <w:spacing w:after="0"/>
              <w:rPr>
                <w:sz w:val="20"/>
                <w:szCs w:val="20"/>
                <w:color w:val="auto"/>
              </w:rPr>
            </w:pPr>
            <w:r>
              <w:rPr>
                <w:rFonts w:ascii="Arial" w:cs="Arial" w:eastAsia="Arial" w:hAnsi="Arial"/>
                <w:sz w:val="13"/>
                <w:szCs w:val="13"/>
                <w:color w:val="494949"/>
                <w:w w:val="92"/>
              </w:rPr>
              <w:t>605</w:t>
            </w:r>
          </w:p>
        </w:tc>
        <w:tc>
          <w:tcPr>
            <w:tcW w:w="1160" w:type="dxa"/>
            <w:vAlign w:val="bottom"/>
          </w:tcPr>
          <w:p>
            <w:pPr>
              <w:jc w:val="center"/>
              <w:ind w:right="57"/>
              <w:spacing w:after="0"/>
              <w:rPr>
                <w:sz w:val="20"/>
                <w:szCs w:val="20"/>
                <w:color w:val="auto"/>
              </w:rPr>
            </w:pPr>
            <w:r>
              <w:rPr>
                <w:rFonts w:ascii="Arial" w:cs="Arial" w:eastAsia="Arial" w:hAnsi="Arial"/>
                <w:sz w:val="13"/>
                <w:szCs w:val="13"/>
                <w:color w:val="494949"/>
                <w:w w:val="98"/>
              </w:rPr>
              <w:t>2,789</w:t>
            </w:r>
          </w:p>
        </w:tc>
        <w:tc>
          <w:tcPr>
            <w:tcW w:w="1520" w:type="dxa"/>
            <w:vAlign w:val="bottom"/>
          </w:tcPr>
          <w:p>
            <w:pPr>
              <w:jc w:val="center"/>
              <w:ind w:right="57"/>
              <w:spacing w:after="0"/>
              <w:rPr>
                <w:sz w:val="20"/>
                <w:szCs w:val="20"/>
                <w:color w:val="auto"/>
              </w:rPr>
            </w:pPr>
            <w:r>
              <w:rPr>
                <w:rFonts w:ascii="Arial" w:cs="Arial" w:eastAsia="Arial" w:hAnsi="Arial"/>
                <w:sz w:val="13"/>
                <w:szCs w:val="13"/>
                <w:color w:val="494949"/>
                <w:w w:val="98"/>
              </w:rPr>
              <w:t>5,364</w:t>
            </w:r>
          </w:p>
        </w:tc>
        <w:tc>
          <w:tcPr>
            <w:tcW w:w="1260" w:type="dxa"/>
            <w:vAlign w:val="bottom"/>
          </w:tcPr>
          <w:p>
            <w:pPr>
              <w:jc w:val="center"/>
              <w:ind w:right="177"/>
              <w:spacing w:after="0"/>
              <w:rPr>
                <w:sz w:val="20"/>
                <w:szCs w:val="20"/>
                <w:color w:val="auto"/>
              </w:rPr>
            </w:pPr>
            <w:r>
              <w:rPr>
                <w:rFonts w:ascii="Arial" w:cs="Arial" w:eastAsia="Arial" w:hAnsi="Arial"/>
                <w:sz w:val="13"/>
                <w:szCs w:val="13"/>
                <w:color w:val="494949"/>
                <w:w w:val="92"/>
              </w:rPr>
              <w:t>3,346</w:t>
            </w:r>
          </w:p>
        </w:tc>
        <w:tc>
          <w:tcPr>
            <w:tcW w:w="1260" w:type="dxa"/>
            <w:vAlign w:val="bottom"/>
          </w:tcPr>
          <w:p>
            <w:pPr>
              <w:jc w:val="center"/>
              <w:ind w:right="37"/>
              <w:spacing w:after="0"/>
              <w:rPr>
                <w:sz w:val="20"/>
                <w:szCs w:val="20"/>
                <w:color w:val="auto"/>
              </w:rPr>
            </w:pPr>
            <w:r>
              <w:rPr>
                <w:rFonts w:ascii="Arial" w:cs="Arial" w:eastAsia="Arial" w:hAnsi="Arial"/>
                <w:sz w:val="13"/>
                <w:szCs w:val="13"/>
                <w:color w:val="494949"/>
                <w:w w:val="91"/>
              </w:rPr>
              <w:t>—</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2026</w:t>
            </w:r>
          </w:p>
        </w:tc>
        <w:tc>
          <w:tcPr>
            <w:tcW w:w="1360" w:type="dxa"/>
            <w:vAlign w:val="bottom"/>
            <w:tcBorders>
              <w:bottom w:val="single" w:sz="8" w:color="EFEDED"/>
            </w:tcBorders>
            <w:shd w:val="clear" w:color="auto" w:fill="EFEDED"/>
          </w:tcPr>
          <w:p>
            <w:pPr>
              <w:spacing w:after="0"/>
              <w:rPr>
                <w:sz w:val="15"/>
                <w:szCs w:val="15"/>
                <w:color w:val="auto"/>
              </w:rPr>
            </w:pPr>
          </w:p>
        </w:tc>
        <w:tc>
          <w:tcPr>
            <w:tcW w:w="1080" w:type="dxa"/>
            <w:vAlign w:val="bottom"/>
            <w:tcBorders>
              <w:bottom w:val="single" w:sz="8" w:color="EFEDED"/>
            </w:tcBorders>
            <w:shd w:val="clear" w:color="auto" w:fill="EFEDED"/>
          </w:tcPr>
          <w:p>
            <w:pPr>
              <w:spacing w:after="0"/>
              <w:rPr>
                <w:sz w:val="15"/>
                <w:szCs w:val="15"/>
                <w:color w:val="auto"/>
              </w:rPr>
            </w:pPr>
          </w:p>
        </w:tc>
        <w:tc>
          <w:tcPr>
            <w:tcW w:w="1700" w:type="dxa"/>
            <w:vAlign w:val="bottom"/>
            <w:tcBorders>
              <w:bottom w:val="single" w:sz="8" w:color="EFEDED"/>
            </w:tcBorders>
            <w:shd w:val="clear" w:color="auto" w:fill="EFEDED"/>
          </w:tcPr>
          <w:p>
            <w:pPr>
              <w:spacing w:after="0"/>
              <w:rPr>
                <w:sz w:val="15"/>
                <w:szCs w:val="15"/>
                <w:color w:val="auto"/>
              </w:rPr>
            </w:pPr>
          </w:p>
        </w:tc>
        <w:tc>
          <w:tcPr>
            <w:tcW w:w="1160" w:type="dxa"/>
            <w:vAlign w:val="bottom"/>
            <w:tcBorders>
              <w:bottom w:val="single" w:sz="8" w:color="EFEDED"/>
            </w:tcBorders>
            <w:shd w:val="clear" w:color="auto" w:fill="EFEDED"/>
          </w:tcPr>
          <w:p>
            <w:pPr>
              <w:spacing w:after="0"/>
              <w:rPr>
                <w:sz w:val="15"/>
                <w:szCs w:val="15"/>
                <w:color w:val="auto"/>
              </w:rPr>
            </w:pPr>
          </w:p>
        </w:tc>
        <w:tc>
          <w:tcPr>
            <w:tcW w:w="152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1260" w:type="dxa"/>
            <w:vAlign w:val="bottom"/>
            <w:tcBorders>
              <w:bottom w:val="single" w:sz="8" w:color="EFEDED"/>
            </w:tcBorders>
            <w:shd w:val="clear" w:color="auto" w:fill="EF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100"/>
              <w:spacing w:after="0"/>
              <w:rPr>
                <w:sz w:val="20"/>
                <w:szCs w:val="20"/>
                <w:color w:val="auto"/>
              </w:rPr>
            </w:pPr>
            <w:r>
              <w:rPr>
                <w:rFonts w:ascii="Arial" w:cs="Arial" w:eastAsia="Arial" w:hAnsi="Arial"/>
                <w:sz w:val="13"/>
                <w:szCs w:val="13"/>
                <w:color w:val="58595B"/>
              </w:rPr>
              <w:t>3/10/2026</w:t>
            </w:r>
          </w:p>
        </w:tc>
        <w:tc>
          <w:tcPr>
            <w:tcW w:w="1360" w:type="dxa"/>
            <w:vAlign w:val="bottom"/>
          </w:tcPr>
          <w:p>
            <w:pPr>
              <w:jc w:val="center"/>
              <w:spacing w:after="0"/>
              <w:rPr>
                <w:sz w:val="20"/>
                <w:szCs w:val="20"/>
                <w:color w:val="auto"/>
              </w:rPr>
            </w:pPr>
            <w:r>
              <w:rPr>
                <w:rFonts w:ascii="Arial" w:cs="Arial" w:eastAsia="Arial" w:hAnsi="Arial"/>
                <w:sz w:val="13"/>
                <w:szCs w:val="13"/>
                <w:color w:val="494949"/>
                <w:w w:val="95"/>
              </w:rPr>
              <w:t>34,850</w:t>
            </w:r>
          </w:p>
        </w:tc>
        <w:tc>
          <w:tcPr>
            <w:tcW w:w="1080" w:type="dxa"/>
            <w:vAlign w:val="bottom"/>
          </w:tcPr>
          <w:p>
            <w:pPr>
              <w:jc w:val="center"/>
              <w:ind w:left="117"/>
              <w:spacing w:after="0"/>
              <w:rPr>
                <w:sz w:val="20"/>
                <w:szCs w:val="20"/>
                <w:color w:val="auto"/>
              </w:rPr>
            </w:pPr>
            <w:r>
              <w:rPr>
                <w:rFonts w:ascii="Arial" w:cs="Arial" w:eastAsia="Arial" w:hAnsi="Arial"/>
                <w:sz w:val="13"/>
                <w:szCs w:val="13"/>
                <w:color w:val="494949"/>
              </w:rPr>
              <w:t>—</w:t>
            </w:r>
          </w:p>
        </w:tc>
        <w:tc>
          <w:tcPr>
            <w:tcW w:w="1700" w:type="dxa"/>
            <w:vAlign w:val="bottom"/>
          </w:tcPr>
          <w:p>
            <w:pPr>
              <w:jc w:val="center"/>
              <w:spacing w:after="0"/>
              <w:rPr>
                <w:sz w:val="20"/>
                <w:szCs w:val="20"/>
                <w:color w:val="auto"/>
              </w:rPr>
            </w:pPr>
            <w:r>
              <w:rPr>
                <w:rFonts w:ascii="Arial" w:cs="Arial" w:eastAsia="Arial" w:hAnsi="Arial"/>
                <w:sz w:val="13"/>
                <w:szCs w:val="13"/>
                <w:color w:val="494949"/>
                <w:w w:val="98"/>
              </w:rPr>
              <w:t>1,227</w:t>
            </w:r>
          </w:p>
        </w:tc>
        <w:tc>
          <w:tcPr>
            <w:tcW w:w="1160" w:type="dxa"/>
            <w:vAlign w:val="bottom"/>
          </w:tcPr>
          <w:p>
            <w:pPr>
              <w:jc w:val="center"/>
              <w:ind w:right="57"/>
              <w:spacing w:after="0"/>
              <w:rPr>
                <w:sz w:val="20"/>
                <w:szCs w:val="20"/>
                <w:color w:val="auto"/>
              </w:rPr>
            </w:pPr>
            <w:r>
              <w:rPr>
                <w:rFonts w:ascii="Arial" w:cs="Arial" w:eastAsia="Arial" w:hAnsi="Arial"/>
                <w:sz w:val="13"/>
                <w:szCs w:val="13"/>
                <w:color w:val="494949"/>
                <w:w w:val="98"/>
              </w:rPr>
              <w:t>5,664</w:t>
            </w:r>
          </w:p>
        </w:tc>
        <w:tc>
          <w:tcPr>
            <w:tcW w:w="1520" w:type="dxa"/>
            <w:vAlign w:val="bottom"/>
          </w:tcPr>
          <w:p>
            <w:pPr>
              <w:jc w:val="center"/>
              <w:ind w:right="77"/>
              <w:spacing w:after="0"/>
              <w:rPr>
                <w:sz w:val="20"/>
                <w:szCs w:val="20"/>
                <w:color w:val="auto"/>
              </w:rPr>
            </w:pPr>
            <w:r>
              <w:rPr>
                <w:rFonts w:ascii="Arial" w:cs="Arial" w:eastAsia="Arial" w:hAnsi="Arial"/>
                <w:sz w:val="13"/>
                <w:szCs w:val="13"/>
                <w:color w:val="494949"/>
                <w:w w:val="95"/>
              </w:rPr>
              <w:t>10,891</w:t>
            </w:r>
          </w:p>
        </w:tc>
        <w:tc>
          <w:tcPr>
            <w:tcW w:w="1260" w:type="dxa"/>
            <w:vAlign w:val="bottom"/>
          </w:tcPr>
          <w:p>
            <w:pPr>
              <w:jc w:val="center"/>
              <w:ind w:right="177"/>
              <w:spacing w:after="0"/>
              <w:rPr>
                <w:sz w:val="20"/>
                <w:szCs w:val="20"/>
                <w:color w:val="auto"/>
              </w:rPr>
            </w:pPr>
            <w:r>
              <w:rPr>
                <w:rFonts w:ascii="Arial" w:cs="Arial" w:eastAsia="Arial" w:hAnsi="Arial"/>
                <w:sz w:val="13"/>
                <w:szCs w:val="13"/>
                <w:color w:val="494949"/>
                <w:w w:val="92"/>
              </w:rPr>
              <w:t>6,793</w:t>
            </w:r>
          </w:p>
        </w:tc>
        <w:tc>
          <w:tcPr>
            <w:tcW w:w="1260" w:type="dxa"/>
            <w:vAlign w:val="bottom"/>
          </w:tcPr>
          <w:p>
            <w:pPr>
              <w:jc w:val="center"/>
              <w:ind w:right="37"/>
              <w:spacing w:after="0"/>
              <w:rPr>
                <w:sz w:val="20"/>
                <w:szCs w:val="20"/>
                <w:color w:val="auto"/>
              </w:rPr>
            </w:pPr>
            <w:r>
              <w:rPr>
                <w:rFonts w:ascii="Arial" w:cs="Arial" w:eastAsia="Arial" w:hAnsi="Arial"/>
                <w:sz w:val="13"/>
                <w:szCs w:val="13"/>
                <w:color w:val="494949"/>
                <w:w w:val="91"/>
              </w:rPr>
              <w:t>—</w:t>
            </w:r>
          </w:p>
        </w:tc>
        <w:tc>
          <w:tcPr>
            <w:tcW w:w="0" w:type="dxa"/>
            <w:vAlign w:val="bottom"/>
          </w:tcPr>
          <w:p>
            <w:pPr>
              <w:spacing w:after="0"/>
              <w:rPr>
                <w:sz w:val="1"/>
                <w:szCs w:val="1"/>
                <w:color w:val="auto"/>
              </w:rPr>
            </w:pPr>
          </w:p>
        </w:tc>
      </w:tr>
      <w:tr>
        <w:trPr>
          <w:trHeight w:val="28"/>
        </w:trPr>
        <w:tc>
          <w:tcPr>
            <w:tcW w:w="1120" w:type="dxa"/>
            <w:vAlign w:val="bottom"/>
            <w:tcBorders>
              <w:bottom w:val="single" w:sz="8" w:color="58595B"/>
            </w:tcBorders>
          </w:tcPr>
          <w:p>
            <w:pPr>
              <w:spacing w:after="0"/>
              <w:rPr>
                <w:sz w:val="2"/>
                <w:szCs w:val="2"/>
                <w:color w:val="auto"/>
              </w:rPr>
            </w:pPr>
          </w:p>
        </w:tc>
        <w:tc>
          <w:tcPr>
            <w:tcW w:w="1360" w:type="dxa"/>
            <w:vAlign w:val="bottom"/>
            <w:tcBorders>
              <w:bottom w:val="single" w:sz="8" w:color="58595B"/>
            </w:tcBorders>
          </w:tcPr>
          <w:p>
            <w:pPr>
              <w:spacing w:after="0"/>
              <w:rPr>
                <w:sz w:val="2"/>
                <w:szCs w:val="2"/>
                <w:color w:val="auto"/>
              </w:rPr>
            </w:pPr>
          </w:p>
        </w:tc>
        <w:tc>
          <w:tcPr>
            <w:tcW w:w="1080" w:type="dxa"/>
            <w:vAlign w:val="bottom"/>
            <w:tcBorders>
              <w:bottom w:val="single" w:sz="8" w:color="58595B"/>
            </w:tcBorders>
          </w:tcPr>
          <w:p>
            <w:pPr>
              <w:spacing w:after="0"/>
              <w:rPr>
                <w:sz w:val="2"/>
                <w:szCs w:val="2"/>
                <w:color w:val="auto"/>
              </w:rPr>
            </w:pPr>
          </w:p>
        </w:tc>
        <w:tc>
          <w:tcPr>
            <w:tcW w:w="1700" w:type="dxa"/>
            <w:vAlign w:val="bottom"/>
            <w:tcBorders>
              <w:bottom w:val="single" w:sz="8" w:color="58595B"/>
            </w:tcBorders>
          </w:tcPr>
          <w:p>
            <w:pPr>
              <w:spacing w:after="0"/>
              <w:rPr>
                <w:sz w:val="2"/>
                <w:szCs w:val="2"/>
                <w:color w:val="auto"/>
              </w:rPr>
            </w:pPr>
          </w:p>
        </w:tc>
        <w:tc>
          <w:tcPr>
            <w:tcW w:w="1160" w:type="dxa"/>
            <w:vAlign w:val="bottom"/>
            <w:tcBorders>
              <w:bottom w:val="single" w:sz="8" w:color="58595B"/>
            </w:tcBorders>
          </w:tcPr>
          <w:p>
            <w:pPr>
              <w:spacing w:after="0"/>
              <w:rPr>
                <w:sz w:val="2"/>
                <w:szCs w:val="2"/>
                <w:color w:val="auto"/>
              </w:rPr>
            </w:pPr>
          </w:p>
        </w:tc>
        <w:tc>
          <w:tcPr>
            <w:tcW w:w="1520" w:type="dxa"/>
            <w:vAlign w:val="bottom"/>
            <w:tcBorders>
              <w:bottom w:val="single" w:sz="8" w:color="58595B"/>
            </w:tcBorders>
          </w:tcPr>
          <w:p>
            <w:pPr>
              <w:spacing w:after="0"/>
              <w:rPr>
                <w:sz w:val="2"/>
                <w:szCs w:val="2"/>
                <w:color w:val="auto"/>
              </w:rPr>
            </w:pPr>
          </w:p>
        </w:tc>
        <w:tc>
          <w:tcPr>
            <w:tcW w:w="1260" w:type="dxa"/>
            <w:vAlign w:val="bottom"/>
            <w:tcBorders>
              <w:bottom w:val="single" w:sz="8" w:color="58595B"/>
            </w:tcBorders>
          </w:tcPr>
          <w:p>
            <w:pPr>
              <w:spacing w:after="0"/>
              <w:rPr>
                <w:sz w:val="2"/>
                <w:szCs w:val="2"/>
                <w:color w:val="auto"/>
              </w:rPr>
            </w:pPr>
          </w:p>
        </w:tc>
        <w:tc>
          <w:tcPr>
            <w:tcW w:w="126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Option Exercises and Stock Vested</w:t>
      </w:r>
    </w:p>
    <w:p>
      <w:pPr>
        <w:spacing w:after="0" w:line="193" w:lineRule="exact"/>
        <w:rPr>
          <w:sz w:val="20"/>
          <w:szCs w:val="20"/>
          <w:color w:val="auto"/>
        </w:rPr>
      </w:pPr>
    </w:p>
    <w:p>
      <w:pPr>
        <w:ind w:right="580"/>
        <w:spacing w:after="0" w:line="356" w:lineRule="auto"/>
        <w:rPr>
          <w:sz w:val="20"/>
          <w:szCs w:val="20"/>
          <w:color w:val="auto"/>
        </w:rPr>
      </w:pPr>
      <w:r>
        <w:rPr>
          <w:rFonts w:ascii="Arial" w:cs="Arial" w:eastAsia="Arial" w:hAnsi="Arial"/>
          <w:sz w:val="16"/>
          <w:szCs w:val="16"/>
          <w:color w:val="58595B"/>
        </w:rPr>
        <w:t>The following table presents information on stock option exercises and stock award vesting during 2023 for Messrs. Davis, McBreen, Mosebrook and Schwartz and Ms. Anderson. Ms. Knight held only outstanding restricted stock awards in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Borders>
              <w:bottom w:val="single" w:sz="8" w:color="EFEDED"/>
            </w:tcBorders>
            <w:shd w:val="clear" w:color="auto" w:fill="EFEDED"/>
          </w:tcPr>
          <w:p>
            <w:pPr>
              <w:spacing w:after="0"/>
              <w:rPr>
                <w:sz w:val="17"/>
                <w:szCs w:val="17"/>
                <w:color w:val="auto"/>
              </w:rPr>
            </w:pPr>
          </w:p>
        </w:tc>
        <w:tc>
          <w:tcPr>
            <w:tcW w:w="3040" w:type="dxa"/>
            <w:vAlign w:val="bottom"/>
            <w:tcBorders>
              <w:bottom w:val="single" w:sz="8" w:color="58595B"/>
              <w:right w:val="single" w:sz="8" w:color="58595B"/>
            </w:tcBorders>
            <w:gridSpan w:val="2"/>
            <w:shd w:val="clear" w:color="auto" w:fill="EFEDED"/>
          </w:tcPr>
          <w:p>
            <w:pPr>
              <w:ind w:left="1060"/>
              <w:spacing w:after="0"/>
              <w:rPr>
                <w:sz w:val="20"/>
                <w:szCs w:val="20"/>
                <w:color w:val="auto"/>
              </w:rPr>
            </w:pPr>
            <w:r>
              <w:rPr>
                <w:rFonts w:ascii="Arial" w:cs="Arial" w:eastAsia="Arial" w:hAnsi="Arial"/>
                <w:sz w:val="13"/>
                <w:szCs w:val="13"/>
                <w:b w:val="1"/>
                <w:bCs w:val="1"/>
                <w:color w:val="58595B"/>
              </w:rPr>
              <w:t>Option Awards</w:t>
            </w:r>
          </w:p>
        </w:tc>
        <w:tc>
          <w:tcPr>
            <w:tcW w:w="3000" w:type="dxa"/>
            <w:vAlign w:val="bottom"/>
            <w:tcBorders>
              <w:bottom w:val="single" w:sz="8" w:color="58595B"/>
            </w:tcBorders>
            <w:gridSpan w:val="2"/>
            <w:shd w:val="clear" w:color="auto" w:fill="EFEDED"/>
          </w:tcPr>
          <w:p>
            <w:pPr>
              <w:ind w:left="1080"/>
              <w:spacing w:after="0"/>
              <w:rPr>
                <w:sz w:val="20"/>
                <w:szCs w:val="20"/>
                <w:color w:val="auto"/>
              </w:rPr>
            </w:pPr>
            <w:r>
              <w:rPr>
                <w:rFonts w:ascii="Arial" w:cs="Arial" w:eastAsia="Arial" w:hAnsi="Arial"/>
                <w:sz w:val="13"/>
                <w:szCs w:val="13"/>
                <w:b w:val="1"/>
                <w:bCs w:val="1"/>
                <w:color w:val="58595B"/>
              </w:rPr>
              <w:t>Stock Awards</w:t>
            </w:r>
          </w:p>
        </w:tc>
      </w:tr>
      <w:tr>
        <w:trPr>
          <w:trHeight w:val="156"/>
        </w:trPr>
        <w:tc>
          <w:tcPr>
            <w:tcW w:w="5200" w:type="dxa"/>
            <w:vAlign w:val="bottom"/>
            <w:shd w:val="clear" w:color="auto" w:fill="EFEDED"/>
          </w:tcPr>
          <w:p>
            <w:pPr>
              <w:spacing w:after="0"/>
              <w:rPr>
                <w:sz w:val="13"/>
                <w:szCs w:val="13"/>
                <w:color w:val="auto"/>
              </w:rPr>
            </w:pP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Number of Shares</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Value Realized</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Number of Shares</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Value Realized</w:t>
            </w:r>
          </w:p>
        </w:tc>
      </w:tr>
      <w:tr>
        <w:trPr>
          <w:trHeight w:val="162"/>
        </w:trPr>
        <w:tc>
          <w:tcPr>
            <w:tcW w:w="5200" w:type="dxa"/>
            <w:vAlign w:val="bottom"/>
            <w:shd w:val="clear" w:color="auto" w:fill="EFEDED"/>
          </w:tcPr>
          <w:p>
            <w:pPr>
              <w:spacing w:after="0"/>
              <w:rPr>
                <w:sz w:val="14"/>
                <w:szCs w:val="14"/>
                <w:color w:val="auto"/>
              </w:rPr>
            </w:pP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Acquired on Exercise</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on Exercise(1)</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Acquired on Vesting</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on Vesting (2)</w:t>
            </w:r>
          </w:p>
        </w:tc>
      </w:tr>
      <w:tr>
        <w:trPr>
          <w:trHeight w:val="148"/>
        </w:trPr>
        <w:tc>
          <w:tcPr>
            <w:tcW w:w="52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w:t>
            </w:r>
          </w:p>
        </w:tc>
      </w:tr>
      <w:tr>
        <w:trPr>
          <w:trHeight w:val="172"/>
        </w:trPr>
        <w:tc>
          <w:tcPr>
            <w:tcW w:w="520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420" w:type="dxa"/>
            <w:vAlign w:val="bottom"/>
            <w:tcBorders>
              <w:right w:val="single" w:sz="8" w:color="EFEDED"/>
            </w:tcBorders>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16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13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r>
      <w:tr>
        <w:trPr>
          <w:trHeight w:val="76"/>
        </w:trPr>
        <w:tc>
          <w:tcPr>
            <w:tcW w:w="5200" w:type="dxa"/>
            <w:vAlign w:val="bottom"/>
            <w:shd w:val="clear" w:color="auto" w:fill="EFEDED"/>
          </w:tcPr>
          <w:p>
            <w:pPr>
              <w:spacing w:after="0"/>
              <w:rPr>
                <w:sz w:val="6"/>
                <w:szCs w:val="6"/>
                <w:color w:val="auto"/>
              </w:rPr>
            </w:pPr>
          </w:p>
        </w:tc>
        <w:tc>
          <w:tcPr>
            <w:tcW w:w="1620" w:type="dxa"/>
            <w:vAlign w:val="bottom"/>
            <w:shd w:val="clear" w:color="auto" w:fill="EFEDED"/>
          </w:tcPr>
          <w:p>
            <w:pPr>
              <w:spacing w:after="0"/>
              <w:rPr>
                <w:sz w:val="6"/>
                <w:szCs w:val="6"/>
                <w:color w:val="auto"/>
              </w:rPr>
            </w:pPr>
          </w:p>
        </w:tc>
        <w:tc>
          <w:tcPr>
            <w:tcW w:w="1420" w:type="dxa"/>
            <w:vAlign w:val="bottom"/>
            <w:tcBorders>
              <w:right w:val="single" w:sz="8" w:color="EFEDED"/>
            </w:tcBorders>
            <w:shd w:val="clear" w:color="auto" w:fill="EFEDED"/>
          </w:tcPr>
          <w:p>
            <w:pPr>
              <w:spacing w:after="0"/>
              <w:rPr>
                <w:sz w:val="6"/>
                <w:szCs w:val="6"/>
                <w:color w:val="auto"/>
              </w:rPr>
            </w:pPr>
          </w:p>
        </w:tc>
        <w:tc>
          <w:tcPr>
            <w:tcW w:w="1620" w:type="dxa"/>
            <w:vAlign w:val="bottom"/>
            <w:shd w:val="clear" w:color="auto" w:fill="EFEDED"/>
          </w:tcPr>
          <w:p>
            <w:pPr>
              <w:spacing w:after="0"/>
              <w:rPr>
                <w:sz w:val="6"/>
                <w:szCs w:val="6"/>
                <w:color w:val="auto"/>
              </w:rPr>
            </w:pPr>
          </w:p>
        </w:tc>
        <w:tc>
          <w:tcPr>
            <w:tcW w:w="1380" w:type="dxa"/>
            <w:vAlign w:val="bottom"/>
            <w:shd w:val="clear" w:color="auto" w:fill="EFEDED"/>
          </w:tcPr>
          <w:p>
            <w:pPr>
              <w:spacing w:after="0"/>
              <w:rPr>
                <w:sz w:val="6"/>
                <w:szCs w:val="6"/>
                <w:color w:val="auto"/>
              </w:rPr>
            </w:pP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6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5"/>
              </w:rPr>
              <w:t>33,668</w:t>
            </w:r>
          </w:p>
        </w:tc>
        <w:tc>
          <w:tcPr>
            <w:tcW w:w="1380" w:type="dxa"/>
            <w:vAlign w:val="bottom"/>
          </w:tcPr>
          <w:p>
            <w:pPr>
              <w:jc w:val="center"/>
              <w:spacing w:after="0"/>
              <w:rPr>
                <w:sz w:val="20"/>
                <w:szCs w:val="20"/>
                <w:color w:val="auto"/>
              </w:rPr>
            </w:pPr>
            <w:r>
              <w:rPr>
                <w:rFonts w:ascii="Arial" w:cs="Arial" w:eastAsia="Arial" w:hAnsi="Arial"/>
                <w:sz w:val="13"/>
                <w:szCs w:val="13"/>
                <w:color w:val="58595B"/>
                <w:w w:val="96"/>
              </w:rPr>
              <w:t>1,641,689</w:t>
            </w:r>
          </w:p>
        </w:tc>
      </w:tr>
      <w:tr>
        <w:trPr>
          <w:trHeight w:val="22"/>
        </w:trPr>
        <w:tc>
          <w:tcPr>
            <w:tcW w:w="5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3"/>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Jeffrey Mosebrook</w:t>
            </w:r>
          </w:p>
        </w:tc>
        <w:tc>
          <w:tcPr>
            <w:tcW w:w="16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8"/>
              </w:rPr>
              <w:t>2,678</w:t>
            </w:r>
          </w:p>
        </w:tc>
        <w:tc>
          <w:tcPr>
            <w:tcW w:w="1380" w:type="dxa"/>
            <w:vAlign w:val="bottom"/>
          </w:tcPr>
          <w:p>
            <w:pPr>
              <w:jc w:val="center"/>
              <w:spacing w:after="0"/>
              <w:rPr>
                <w:sz w:val="20"/>
                <w:szCs w:val="20"/>
                <w:color w:val="auto"/>
              </w:rPr>
            </w:pPr>
            <w:r>
              <w:rPr>
                <w:rFonts w:ascii="Arial" w:cs="Arial" w:eastAsia="Arial" w:hAnsi="Arial"/>
                <w:sz w:val="13"/>
                <w:szCs w:val="13"/>
                <w:color w:val="58595B"/>
                <w:w w:val="93"/>
              </w:rPr>
              <w:t>141,393</w:t>
            </w:r>
          </w:p>
        </w:tc>
      </w:tr>
      <w:tr>
        <w:trPr>
          <w:trHeight w:val="22"/>
        </w:trPr>
        <w:tc>
          <w:tcPr>
            <w:tcW w:w="5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3"/>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8"/>
              </w:rPr>
              <w:t>1,566</w:t>
            </w:r>
          </w:p>
        </w:tc>
        <w:tc>
          <w:tcPr>
            <w:tcW w:w="142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44,393</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10,279</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542,551</w:t>
            </w: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6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Pr>
          <w:p>
            <w:pPr>
              <w:jc w:val="center"/>
              <w:spacing w:after="0"/>
              <w:rPr>
                <w:sz w:val="20"/>
                <w:szCs w:val="20"/>
                <w:color w:val="auto"/>
              </w:rPr>
            </w:pPr>
            <w:r>
              <w:rPr>
                <w:rFonts w:ascii="Arial" w:cs="Arial" w:eastAsia="Arial" w:hAnsi="Arial"/>
                <w:sz w:val="13"/>
                <w:szCs w:val="13"/>
                <w:color w:val="58595B"/>
                <w:w w:val="95"/>
              </w:rPr>
              <w:t>10,412</w:t>
            </w:r>
          </w:p>
        </w:tc>
        <w:tc>
          <w:tcPr>
            <w:tcW w:w="1380" w:type="dxa"/>
            <w:vAlign w:val="bottom"/>
          </w:tcPr>
          <w:p>
            <w:pPr>
              <w:jc w:val="center"/>
              <w:spacing w:after="0"/>
              <w:rPr>
                <w:sz w:val="20"/>
                <w:szCs w:val="20"/>
                <w:color w:val="auto"/>
              </w:rPr>
            </w:pPr>
            <w:r>
              <w:rPr>
                <w:rFonts w:ascii="Arial" w:cs="Arial" w:eastAsia="Arial" w:hAnsi="Arial"/>
                <w:sz w:val="13"/>
                <w:szCs w:val="13"/>
                <w:color w:val="58595B"/>
                <w:w w:val="93"/>
              </w:rPr>
              <w:t>553,520</w:t>
            </w:r>
          </w:p>
        </w:tc>
      </w:tr>
      <w:tr>
        <w:trPr>
          <w:trHeight w:val="22"/>
        </w:trPr>
        <w:tc>
          <w:tcPr>
            <w:tcW w:w="5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3"/>
        </w:trPr>
        <w:tc>
          <w:tcPr>
            <w:tcW w:w="52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420" w:type="dxa"/>
            <w:vAlign w:val="bottom"/>
            <w:tcBorders>
              <w:bottom w:val="single" w:sz="8" w:color="EFEDED"/>
              <w:right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1"/>
              </w:rPr>
              <w:t>—</w:t>
            </w:r>
          </w:p>
        </w:tc>
        <w:tc>
          <w:tcPr>
            <w:tcW w:w="16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5"/>
              </w:rPr>
              <w:t>14,764</w:t>
            </w:r>
          </w:p>
        </w:tc>
        <w:tc>
          <w:tcPr>
            <w:tcW w:w="13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58595B"/>
                <w:w w:val="93"/>
              </w:rPr>
              <w:t>779,757</w:t>
            </w:r>
          </w:p>
        </w:tc>
      </w:tr>
      <w:tr>
        <w:trPr>
          <w:trHeight w:val="181"/>
        </w:trPr>
        <w:tc>
          <w:tcPr>
            <w:tcW w:w="5200" w:type="dxa"/>
            <w:vAlign w:val="bottom"/>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620" w:type="dxa"/>
            <w:vAlign w:val="bottom"/>
          </w:tcPr>
          <w:p>
            <w:pPr>
              <w:jc w:val="center"/>
              <w:spacing w:after="0"/>
              <w:rPr>
                <w:sz w:val="20"/>
                <w:szCs w:val="20"/>
                <w:color w:val="auto"/>
              </w:rPr>
            </w:pPr>
            <w:r>
              <w:rPr>
                <w:rFonts w:ascii="Arial" w:cs="Arial" w:eastAsia="Arial" w:hAnsi="Arial"/>
                <w:sz w:val="13"/>
                <w:szCs w:val="13"/>
                <w:color w:val="58595B"/>
              </w:rPr>
              <w:t>14,390</w:t>
            </w:r>
          </w:p>
        </w:tc>
        <w:tc>
          <w:tcPr>
            <w:tcW w:w="1420" w:type="dxa"/>
            <w:vAlign w:val="bottom"/>
          </w:tcPr>
          <w:p>
            <w:pPr>
              <w:jc w:val="center"/>
              <w:spacing w:after="0"/>
              <w:rPr>
                <w:sz w:val="20"/>
                <w:szCs w:val="20"/>
                <w:color w:val="auto"/>
              </w:rPr>
            </w:pPr>
            <w:r>
              <w:rPr>
                <w:rFonts w:ascii="Arial" w:cs="Arial" w:eastAsia="Arial" w:hAnsi="Arial"/>
                <w:sz w:val="13"/>
                <w:szCs w:val="13"/>
                <w:color w:val="58595B"/>
                <w:w w:val="97"/>
              </w:rPr>
              <w:t>219,372</w:t>
            </w:r>
          </w:p>
        </w:tc>
        <w:tc>
          <w:tcPr>
            <w:tcW w:w="1620" w:type="dxa"/>
            <w:vAlign w:val="bottom"/>
          </w:tcPr>
          <w:p>
            <w:pPr>
              <w:jc w:val="center"/>
              <w:spacing w:after="0"/>
              <w:rPr>
                <w:sz w:val="20"/>
                <w:szCs w:val="20"/>
                <w:color w:val="auto"/>
              </w:rPr>
            </w:pPr>
            <w:r>
              <w:rPr>
                <w:rFonts w:ascii="Arial" w:cs="Arial" w:eastAsia="Arial" w:hAnsi="Arial"/>
                <w:sz w:val="13"/>
                <w:szCs w:val="13"/>
                <w:color w:val="58595B"/>
                <w:w w:val="91"/>
              </w:rPr>
              <w:t>—</w:t>
            </w:r>
          </w:p>
        </w:tc>
        <w:tc>
          <w:tcPr>
            <w:tcW w:w="1380" w:type="dxa"/>
            <w:vAlign w:val="bottom"/>
          </w:tcPr>
          <w:p>
            <w:pPr>
              <w:jc w:val="center"/>
              <w:spacing w:after="0"/>
              <w:rPr>
                <w:sz w:val="20"/>
                <w:szCs w:val="20"/>
                <w:color w:val="auto"/>
              </w:rPr>
            </w:pPr>
            <w:r>
              <w:rPr>
                <w:rFonts w:ascii="Arial" w:cs="Arial" w:eastAsia="Arial" w:hAnsi="Arial"/>
                <w:sz w:val="13"/>
                <w:szCs w:val="13"/>
                <w:color w:val="58595B"/>
                <w:w w:val="91"/>
              </w:rPr>
              <w:t>—</w:t>
            </w:r>
          </w:p>
        </w:tc>
      </w:tr>
      <w:tr>
        <w:trPr>
          <w:trHeight w:val="22"/>
        </w:trPr>
        <w:tc>
          <w:tcPr>
            <w:tcW w:w="5200" w:type="dxa"/>
            <w:vAlign w:val="bottom"/>
            <w:tcBorders>
              <w:bottom w:val="single" w:sz="8" w:color="58595B"/>
            </w:tcBorders>
          </w:tcPr>
          <w:p>
            <w:pPr>
              <w:spacing w:after="0" w:line="20" w:lineRule="exact"/>
              <w:rPr>
                <w:sz w:val="1"/>
                <w:szCs w:val="1"/>
                <w:color w:val="auto"/>
              </w:rPr>
            </w:pPr>
          </w:p>
        </w:tc>
        <w:tc>
          <w:tcPr>
            <w:tcW w:w="1620" w:type="dxa"/>
            <w:vAlign w:val="bottom"/>
            <w:tcBorders>
              <w:bottom w:val="single" w:sz="8" w:color="58595B"/>
            </w:tcBorders>
          </w:tcPr>
          <w:p>
            <w:pPr>
              <w:spacing w:after="0" w:line="20" w:lineRule="exact"/>
              <w:rPr>
                <w:sz w:val="1"/>
                <w:szCs w:val="1"/>
                <w:color w:val="auto"/>
              </w:rPr>
            </w:pPr>
          </w:p>
        </w:tc>
        <w:tc>
          <w:tcPr>
            <w:tcW w:w="1420" w:type="dxa"/>
            <w:vAlign w:val="bottom"/>
            <w:tcBorders>
              <w:bottom w:val="single" w:sz="8" w:color="58595B"/>
            </w:tcBorders>
          </w:tcPr>
          <w:p>
            <w:pPr>
              <w:spacing w:after="0" w:line="20" w:lineRule="exact"/>
              <w:rPr>
                <w:sz w:val="1"/>
                <w:szCs w:val="1"/>
                <w:color w:val="auto"/>
              </w:rPr>
            </w:pPr>
          </w:p>
        </w:tc>
        <w:tc>
          <w:tcPr>
            <w:tcW w:w="1620" w:type="dxa"/>
            <w:vAlign w:val="bottom"/>
            <w:tcBorders>
              <w:bottom w:val="single" w:sz="8" w:color="58595B"/>
            </w:tcBorders>
          </w:tcPr>
          <w:p>
            <w:pPr>
              <w:spacing w:after="0" w:line="20" w:lineRule="exact"/>
              <w:rPr>
                <w:sz w:val="1"/>
                <w:szCs w:val="1"/>
                <w:color w:val="auto"/>
              </w:rPr>
            </w:pPr>
          </w:p>
        </w:tc>
        <w:tc>
          <w:tcPr>
            <w:tcW w:w="1380" w:type="dxa"/>
            <w:vAlign w:val="bottom"/>
            <w:tcBorders>
              <w:bottom w:val="single" w:sz="8" w:color="58595B"/>
            </w:tcBorders>
          </w:tcPr>
          <w:p>
            <w:pPr>
              <w:spacing w:after="0" w:line="20" w:lineRule="exact"/>
              <w:rPr>
                <w:sz w:val="1"/>
                <w:szCs w:val="1"/>
                <w:color w:val="auto"/>
              </w:rPr>
            </w:pPr>
          </w:p>
        </w:tc>
      </w:tr>
    </w:tbl>
    <w:p>
      <w:pPr>
        <w:spacing w:after="0" w:line="139" w:lineRule="exact"/>
        <w:rPr>
          <w:sz w:val="20"/>
          <w:szCs w:val="20"/>
          <w:color w:val="auto"/>
        </w:rPr>
      </w:pPr>
    </w:p>
    <w:p>
      <w:pPr>
        <w:ind w:left="340" w:right="180" w:hanging="332"/>
        <w:spacing w:after="0" w:line="291"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1" w:lineRule="exact"/>
        <w:rPr>
          <w:rFonts w:ascii="Arial" w:cs="Arial" w:eastAsia="Arial" w:hAnsi="Arial"/>
          <w:sz w:val="14"/>
          <w:szCs w:val="14"/>
          <w:color w:val="auto"/>
        </w:rPr>
      </w:pPr>
    </w:p>
    <w:p>
      <w:pPr>
        <w:ind w:left="340" w:right="60" w:hanging="332"/>
        <w:spacing w:after="0" w:line="305" w:lineRule="auto"/>
        <w:tabs>
          <w:tab w:leader="none" w:pos="33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realized is the market price of the Company’s common stock as reported by the Nasdaq Global Select Market on the date of vesting, multiplied by the number of shares of common stock underlying the stock awards.</w:t>
      </w:r>
    </w:p>
    <w:p>
      <w:pPr>
        <w:spacing w:after="0" w:line="31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Nonqualified Deferred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shd w:val="clear" w:color="auto" w:fill="EFEDED"/>
          </w:tcPr>
          <w:p>
            <w:pPr>
              <w:spacing w:after="0"/>
              <w:rPr>
                <w:sz w:val="14"/>
                <w:szCs w:val="14"/>
                <w:color w:val="auto"/>
              </w:rPr>
            </w:pP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Executive</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Registrant</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Aggregate Earnings</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Aggregate</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w w:val="99"/>
              </w:rPr>
              <w:t>Aggregate Balance at</w:t>
            </w:r>
          </w:p>
        </w:tc>
      </w:tr>
      <w:tr>
        <w:trPr>
          <w:trHeight w:val="148"/>
        </w:trPr>
        <w:tc>
          <w:tcPr>
            <w:tcW w:w="3540" w:type="dxa"/>
            <w:vAlign w:val="bottom"/>
            <w:shd w:val="clear" w:color="auto" w:fill="EFEDED"/>
          </w:tcPr>
          <w:p>
            <w:pPr>
              <w:spacing w:after="0"/>
              <w:rPr>
                <w:sz w:val="12"/>
                <w:szCs w:val="12"/>
                <w:color w:val="auto"/>
              </w:rPr>
            </w:pP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Contributions</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Contributions</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(Losses)</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Withdrawals/</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Last Fiscal</w:t>
            </w:r>
          </w:p>
        </w:tc>
      </w:tr>
      <w:tr>
        <w:trPr>
          <w:trHeight w:val="172"/>
        </w:trPr>
        <w:tc>
          <w:tcPr>
            <w:tcW w:w="3540" w:type="dxa"/>
            <w:vAlign w:val="bottom"/>
            <w:shd w:val="clear" w:color="auto" w:fill="EFEDED"/>
          </w:tcPr>
          <w:p>
            <w:pPr>
              <w:spacing w:after="0"/>
              <w:rPr>
                <w:sz w:val="14"/>
                <w:szCs w:val="14"/>
                <w:color w:val="auto"/>
              </w:rPr>
            </w:pP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in Last Fiscal Year</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in Last Fiscal Year</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in Last Fiscal Year</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Distributions</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Year-End</w:t>
            </w:r>
          </w:p>
        </w:tc>
      </w:tr>
      <w:tr>
        <w:trPr>
          <w:trHeight w:val="193"/>
        </w:trPr>
        <w:tc>
          <w:tcPr>
            <w:tcW w:w="35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t>
            </w:r>
          </w:p>
        </w:tc>
      </w:tr>
      <w:tr>
        <w:trPr>
          <w:trHeight w:val="172"/>
        </w:trPr>
        <w:tc>
          <w:tcPr>
            <w:tcW w:w="354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(a)</w:t>
            </w:r>
          </w:p>
        </w:tc>
        <w:tc>
          <w:tcPr>
            <w:tcW w:w="140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(b)</w:t>
            </w:r>
          </w:p>
        </w:tc>
        <w:tc>
          <w:tcPr>
            <w:tcW w:w="1660" w:type="dxa"/>
            <w:vAlign w:val="bottom"/>
            <w:shd w:val="clear" w:color="auto" w:fill="EFEDED"/>
          </w:tcPr>
          <w:p>
            <w:pPr>
              <w:jc w:val="right"/>
              <w:ind w:right="197"/>
              <w:spacing w:after="0"/>
              <w:rPr>
                <w:sz w:val="20"/>
                <w:szCs w:val="20"/>
                <w:color w:val="auto"/>
              </w:rPr>
            </w:pPr>
            <w:r>
              <w:rPr>
                <w:rFonts w:ascii="Arial" w:cs="Arial" w:eastAsia="Arial" w:hAnsi="Arial"/>
                <w:sz w:val="13"/>
                <w:szCs w:val="13"/>
                <w:b w:val="1"/>
                <w:bCs w:val="1"/>
                <w:color w:val="58595B"/>
              </w:rPr>
              <w:t>(c)</w:t>
            </w:r>
          </w:p>
        </w:tc>
        <w:tc>
          <w:tcPr>
            <w:tcW w:w="1960" w:type="dxa"/>
            <w:vAlign w:val="bottom"/>
            <w:shd w:val="clear" w:color="auto" w:fill="EFEDED"/>
          </w:tcPr>
          <w:p>
            <w:pPr>
              <w:jc w:val="right"/>
              <w:ind w:right="417"/>
              <w:spacing w:after="0"/>
              <w:rPr>
                <w:sz w:val="20"/>
                <w:szCs w:val="20"/>
                <w:color w:val="auto"/>
              </w:rPr>
            </w:pPr>
            <w:r>
              <w:rPr>
                <w:rFonts w:ascii="Arial" w:cs="Arial" w:eastAsia="Arial" w:hAnsi="Arial"/>
                <w:sz w:val="13"/>
                <w:szCs w:val="13"/>
                <w:b w:val="1"/>
                <w:bCs w:val="1"/>
                <w:color w:val="58595B"/>
              </w:rPr>
              <w:t>(d)</w:t>
            </w: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(e)</w:t>
            </w:r>
          </w:p>
        </w:tc>
        <w:tc>
          <w:tcPr>
            <w:tcW w:w="13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(f)</w:t>
            </w:r>
          </w:p>
        </w:tc>
      </w:tr>
      <w:tr>
        <w:trPr>
          <w:trHeight w:val="62"/>
        </w:trPr>
        <w:tc>
          <w:tcPr>
            <w:tcW w:w="3540" w:type="dxa"/>
            <w:vAlign w:val="bottom"/>
            <w:shd w:val="clear" w:color="auto" w:fill="EFEDED"/>
          </w:tcPr>
          <w:p>
            <w:pPr>
              <w:spacing w:after="0"/>
              <w:rPr>
                <w:sz w:val="5"/>
                <w:szCs w:val="5"/>
                <w:color w:val="auto"/>
              </w:rPr>
            </w:pPr>
          </w:p>
        </w:tc>
        <w:tc>
          <w:tcPr>
            <w:tcW w:w="1400" w:type="dxa"/>
            <w:vAlign w:val="bottom"/>
            <w:shd w:val="clear" w:color="auto" w:fill="EFEDED"/>
          </w:tcPr>
          <w:p>
            <w:pPr>
              <w:spacing w:after="0"/>
              <w:rPr>
                <w:sz w:val="5"/>
                <w:szCs w:val="5"/>
                <w:color w:val="auto"/>
              </w:rPr>
            </w:pPr>
          </w:p>
        </w:tc>
        <w:tc>
          <w:tcPr>
            <w:tcW w:w="1660" w:type="dxa"/>
            <w:vAlign w:val="bottom"/>
            <w:shd w:val="clear" w:color="auto" w:fill="EFEDED"/>
          </w:tcPr>
          <w:p>
            <w:pPr>
              <w:spacing w:after="0"/>
              <w:rPr>
                <w:sz w:val="5"/>
                <w:szCs w:val="5"/>
                <w:color w:val="auto"/>
              </w:rPr>
            </w:pPr>
          </w:p>
        </w:tc>
        <w:tc>
          <w:tcPr>
            <w:tcW w:w="1960" w:type="dxa"/>
            <w:vAlign w:val="bottom"/>
            <w:shd w:val="clear" w:color="auto" w:fill="EFEDED"/>
          </w:tcPr>
          <w:p>
            <w:pPr>
              <w:spacing w:after="0"/>
              <w:rPr>
                <w:sz w:val="5"/>
                <w:szCs w:val="5"/>
                <w:color w:val="auto"/>
              </w:rPr>
            </w:pPr>
          </w:p>
        </w:tc>
        <w:tc>
          <w:tcPr>
            <w:tcW w:w="1320" w:type="dxa"/>
            <w:vAlign w:val="bottom"/>
            <w:shd w:val="clear" w:color="auto" w:fill="EFEDED"/>
          </w:tcPr>
          <w:p>
            <w:pPr>
              <w:spacing w:after="0"/>
              <w:rPr>
                <w:sz w:val="5"/>
                <w:szCs w:val="5"/>
                <w:color w:val="auto"/>
              </w:rPr>
            </w:pPr>
          </w:p>
        </w:tc>
        <w:tc>
          <w:tcPr>
            <w:tcW w:w="1360" w:type="dxa"/>
            <w:vAlign w:val="bottom"/>
            <w:shd w:val="clear" w:color="auto" w:fill="EFEDED"/>
          </w:tcPr>
          <w:p>
            <w:pPr>
              <w:spacing w:after="0"/>
              <w:rPr>
                <w:sz w:val="5"/>
                <w:szCs w:val="5"/>
                <w:color w:val="auto"/>
              </w:rPr>
            </w:pPr>
          </w:p>
        </w:tc>
      </w:tr>
      <w:tr>
        <w:trPr>
          <w:trHeight w:val="243"/>
        </w:trPr>
        <w:tc>
          <w:tcPr>
            <w:tcW w:w="354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37"/>
              <w:spacing w:after="0"/>
              <w:rPr>
                <w:sz w:val="20"/>
                <w:szCs w:val="20"/>
                <w:color w:val="auto"/>
              </w:rPr>
            </w:pPr>
            <w:r>
              <w:rPr>
                <w:rFonts w:ascii="Arial" w:cs="Arial" w:eastAsia="Arial" w:hAnsi="Arial"/>
                <w:sz w:val="13"/>
                <w:szCs w:val="13"/>
                <w:color w:val="58595B"/>
              </w:rPr>
              <w:t>777,801</w:t>
            </w:r>
          </w:p>
        </w:tc>
        <w:tc>
          <w:tcPr>
            <w:tcW w:w="1960" w:type="dxa"/>
            <w:vAlign w:val="bottom"/>
          </w:tcPr>
          <w:p>
            <w:pPr>
              <w:jc w:val="right"/>
              <w:ind w:right="437"/>
              <w:spacing w:after="0"/>
              <w:rPr>
                <w:sz w:val="20"/>
                <w:szCs w:val="20"/>
                <w:color w:val="auto"/>
              </w:rPr>
            </w:pPr>
            <w:r>
              <w:rPr>
                <w:rFonts w:ascii="Arial" w:cs="Arial" w:eastAsia="Arial" w:hAnsi="Arial"/>
                <w:sz w:val="13"/>
                <w:szCs w:val="13"/>
                <w:color w:val="58595B"/>
              </w:rPr>
              <w:t>(151,987)</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58595B"/>
              </w:rPr>
              <w:t>625,814</w:t>
            </w:r>
          </w:p>
        </w:tc>
      </w:tr>
      <w:tr>
        <w:trPr>
          <w:trHeight w:val="27"/>
        </w:trPr>
        <w:tc>
          <w:tcPr>
            <w:tcW w:w="3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35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4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108,988</w:t>
            </w:r>
          </w:p>
        </w:tc>
        <w:tc>
          <w:tcPr>
            <w:tcW w:w="1660" w:type="dxa"/>
            <w:vAlign w:val="bottom"/>
            <w:tcBorders>
              <w:bottom w:val="single" w:sz="8" w:color="EFEDED"/>
            </w:tcBorders>
            <w:shd w:val="clear" w:color="auto" w:fill="EFEDED"/>
          </w:tcPr>
          <w:p>
            <w:pPr>
              <w:jc w:val="right"/>
              <w:ind w:right="23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right"/>
              <w:ind w:right="457"/>
              <w:spacing w:after="0"/>
              <w:rPr>
                <w:sz w:val="20"/>
                <w:szCs w:val="20"/>
                <w:color w:val="auto"/>
              </w:rPr>
            </w:pPr>
            <w:r>
              <w:rPr>
                <w:rFonts w:ascii="Arial" w:cs="Arial" w:eastAsia="Arial" w:hAnsi="Arial"/>
                <w:sz w:val="13"/>
                <w:szCs w:val="13"/>
                <w:color w:val="58595B"/>
              </w:rPr>
              <w:t>100,797</w:t>
            </w:r>
          </w:p>
        </w:tc>
        <w:tc>
          <w:tcPr>
            <w:tcW w:w="1320" w:type="dxa"/>
            <w:vAlign w:val="bottom"/>
            <w:tcBorders>
              <w:bottom w:val="single" w:sz="8" w:color="EFEDED"/>
            </w:tcBorders>
            <w:shd w:val="clear" w:color="auto" w:fill="EFEDED"/>
          </w:tcPr>
          <w:p>
            <w:pPr>
              <w:jc w:val="right"/>
              <w:ind w:right="31"/>
              <w:spacing w:after="0"/>
              <w:rPr>
                <w:sz w:val="20"/>
                <w:szCs w:val="20"/>
                <w:color w:val="auto"/>
              </w:rPr>
            </w:pPr>
            <w:r>
              <w:rPr>
                <w:rFonts w:ascii="Arial" w:cs="Arial" w:eastAsia="Arial" w:hAnsi="Arial"/>
                <w:sz w:val="13"/>
                <w:szCs w:val="13"/>
                <w:color w:val="58595B"/>
              </w:rPr>
              <w:t>—</w:t>
            </w:r>
          </w:p>
        </w:tc>
        <w:tc>
          <w:tcPr>
            <w:tcW w:w="13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787,519</w:t>
            </w:r>
          </w:p>
        </w:tc>
      </w:tr>
      <w:tr>
        <w:trPr>
          <w:trHeight w:val="243"/>
        </w:trPr>
        <w:tc>
          <w:tcPr>
            <w:tcW w:w="3540" w:type="dxa"/>
            <w:vAlign w:val="bottom"/>
          </w:tcPr>
          <w:p>
            <w:pPr>
              <w:ind w:left="100"/>
              <w:spacing w:after="0"/>
              <w:rPr>
                <w:sz w:val="20"/>
                <w:szCs w:val="20"/>
                <w:color w:val="auto"/>
              </w:rPr>
            </w:pPr>
            <w:r>
              <w:rPr>
                <w:rFonts w:ascii="Arial" w:cs="Arial" w:eastAsia="Arial" w:hAnsi="Arial"/>
                <w:sz w:val="13"/>
                <w:szCs w:val="13"/>
                <w:b w:val="1"/>
                <w:bCs w:val="1"/>
                <w:color w:val="58595B"/>
              </w:rPr>
              <w:t>Jeffrey Mosebrook</w:t>
            </w:r>
          </w:p>
        </w:tc>
        <w:tc>
          <w:tcPr>
            <w:tcW w:w="1400" w:type="dxa"/>
            <w:vAlign w:val="bottom"/>
          </w:tcPr>
          <w:p>
            <w:pPr>
              <w:jc w:val="right"/>
              <w:spacing w:after="0"/>
              <w:rPr>
                <w:sz w:val="20"/>
                <w:szCs w:val="20"/>
                <w:color w:val="auto"/>
              </w:rPr>
            </w:pPr>
            <w:r>
              <w:rPr>
                <w:rFonts w:ascii="Arial" w:cs="Arial" w:eastAsia="Arial" w:hAnsi="Arial"/>
                <w:sz w:val="13"/>
                <w:szCs w:val="13"/>
                <w:color w:val="58595B"/>
              </w:rPr>
              <w:t>18,480</w:t>
            </w:r>
          </w:p>
        </w:tc>
        <w:tc>
          <w:tcPr>
            <w:tcW w:w="1660" w:type="dxa"/>
            <w:vAlign w:val="bottom"/>
          </w:tcPr>
          <w:p>
            <w:pPr>
              <w:jc w:val="right"/>
              <w:ind w:right="237"/>
              <w:spacing w:after="0"/>
              <w:rPr>
                <w:sz w:val="20"/>
                <w:szCs w:val="20"/>
                <w:color w:val="auto"/>
              </w:rPr>
            </w:pPr>
            <w:r>
              <w:rPr>
                <w:rFonts w:ascii="Arial" w:cs="Arial" w:eastAsia="Arial" w:hAnsi="Arial"/>
                <w:sz w:val="13"/>
                <w:szCs w:val="13"/>
                <w:color w:val="58595B"/>
              </w:rPr>
              <w:t>—</w:t>
            </w:r>
          </w:p>
        </w:tc>
        <w:tc>
          <w:tcPr>
            <w:tcW w:w="1960" w:type="dxa"/>
            <w:vAlign w:val="bottom"/>
          </w:tcPr>
          <w:p>
            <w:pPr>
              <w:jc w:val="right"/>
              <w:ind w:right="457"/>
              <w:spacing w:after="0"/>
              <w:rPr>
                <w:sz w:val="20"/>
                <w:szCs w:val="20"/>
                <w:color w:val="auto"/>
              </w:rPr>
            </w:pPr>
            <w:r>
              <w:rPr>
                <w:rFonts w:ascii="Arial" w:cs="Arial" w:eastAsia="Arial" w:hAnsi="Arial"/>
                <w:sz w:val="13"/>
                <w:szCs w:val="13"/>
                <w:color w:val="58595B"/>
              </w:rPr>
              <w:t>9,761</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58595B"/>
              </w:rPr>
              <w:t>89,496</w:t>
            </w:r>
          </w:p>
        </w:tc>
      </w:tr>
      <w:tr>
        <w:trPr>
          <w:trHeight w:val="27"/>
        </w:trPr>
        <w:tc>
          <w:tcPr>
            <w:tcW w:w="3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354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Carrie Anderson</w:t>
            </w:r>
          </w:p>
        </w:tc>
        <w:tc>
          <w:tcPr>
            <w:tcW w:w="14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60" w:type="dxa"/>
            <w:vAlign w:val="bottom"/>
            <w:tcBorders>
              <w:bottom w:val="single" w:sz="8" w:color="EFEDED"/>
            </w:tcBorders>
            <w:shd w:val="clear" w:color="auto" w:fill="EFEDED"/>
          </w:tcPr>
          <w:p>
            <w:pPr>
              <w:jc w:val="right"/>
              <w:ind w:right="237"/>
              <w:spacing w:after="0"/>
              <w:rPr>
                <w:sz w:val="20"/>
                <w:szCs w:val="20"/>
                <w:color w:val="auto"/>
              </w:rPr>
            </w:pPr>
            <w:r>
              <w:rPr>
                <w:rFonts w:ascii="Arial" w:cs="Arial" w:eastAsia="Arial" w:hAnsi="Arial"/>
                <w:sz w:val="13"/>
                <w:szCs w:val="13"/>
                <w:color w:val="58595B"/>
              </w:rPr>
              <w:t>—</w:t>
            </w:r>
          </w:p>
        </w:tc>
        <w:tc>
          <w:tcPr>
            <w:tcW w:w="1960" w:type="dxa"/>
            <w:vAlign w:val="bottom"/>
            <w:tcBorders>
              <w:bottom w:val="single" w:sz="8" w:color="EFEDED"/>
            </w:tcBorders>
            <w:shd w:val="clear" w:color="auto" w:fill="EFEDED"/>
          </w:tcPr>
          <w:p>
            <w:pPr>
              <w:jc w:val="right"/>
              <w:ind w:right="457"/>
              <w:spacing w:after="0"/>
              <w:rPr>
                <w:sz w:val="20"/>
                <w:szCs w:val="20"/>
                <w:color w:val="auto"/>
              </w:rPr>
            </w:pPr>
            <w:r>
              <w:rPr>
                <w:rFonts w:ascii="Arial" w:cs="Arial" w:eastAsia="Arial" w:hAnsi="Arial"/>
                <w:sz w:val="13"/>
                <w:szCs w:val="13"/>
                <w:color w:val="58595B"/>
              </w:rPr>
              <w:t>116,076</w:t>
            </w:r>
          </w:p>
        </w:tc>
        <w:tc>
          <w:tcPr>
            <w:tcW w:w="1320" w:type="dxa"/>
            <w:vAlign w:val="bottom"/>
            <w:tcBorders>
              <w:bottom w:val="single" w:sz="8" w:color="EFEDED"/>
            </w:tcBorders>
            <w:shd w:val="clear" w:color="auto" w:fill="EFEDED"/>
          </w:tcPr>
          <w:p>
            <w:pPr>
              <w:jc w:val="right"/>
              <w:ind w:right="31"/>
              <w:spacing w:after="0"/>
              <w:rPr>
                <w:sz w:val="20"/>
                <w:szCs w:val="20"/>
                <w:color w:val="auto"/>
              </w:rPr>
            </w:pPr>
            <w:r>
              <w:rPr>
                <w:rFonts w:ascii="Arial" w:cs="Arial" w:eastAsia="Arial" w:hAnsi="Arial"/>
                <w:sz w:val="13"/>
                <w:szCs w:val="13"/>
                <w:color w:val="58595B"/>
              </w:rPr>
              <w:t>—</w:t>
            </w:r>
          </w:p>
        </w:tc>
        <w:tc>
          <w:tcPr>
            <w:tcW w:w="13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793,295</w:t>
            </w:r>
          </w:p>
        </w:tc>
      </w:tr>
      <w:tr>
        <w:trPr>
          <w:trHeight w:val="20"/>
        </w:trPr>
        <w:tc>
          <w:tcPr>
            <w:tcW w:w="3540" w:type="dxa"/>
            <w:vAlign w:val="bottom"/>
            <w:shd w:val="clear" w:color="auto" w:fill="58595B"/>
          </w:tcPr>
          <w:p>
            <w:pPr>
              <w:spacing w:after="0" w:line="20" w:lineRule="exact"/>
              <w:rPr>
                <w:sz w:val="1"/>
                <w:szCs w:val="1"/>
                <w:color w:val="auto"/>
              </w:rPr>
            </w:pPr>
          </w:p>
        </w:tc>
        <w:tc>
          <w:tcPr>
            <w:tcW w:w="1400" w:type="dxa"/>
            <w:vAlign w:val="bottom"/>
            <w:shd w:val="clear" w:color="auto" w:fill="58595B"/>
          </w:tcPr>
          <w:p>
            <w:pPr>
              <w:spacing w:after="0" w:line="20" w:lineRule="exact"/>
              <w:rPr>
                <w:sz w:val="1"/>
                <w:szCs w:val="1"/>
                <w:color w:val="auto"/>
              </w:rPr>
            </w:pPr>
          </w:p>
        </w:tc>
        <w:tc>
          <w:tcPr>
            <w:tcW w:w="1660" w:type="dxa"/>
            <w:vAlign w:val="bottom"/>
            <w:shd w:val="clear" w:color="auto" w:fill="58595B"/>
          </w:tcPr>
          <w:p>
            <w:pPr>
              <w:spacing w:after="0" w:line="20" w:lineRule="exact"/>
              <w:rPr>
                <w:sz w:val="1"/>
                <w:szCs w:val="1"/>
                <w:color w:val="auto"/>
              </w:rPr>
            </w:pPr>
          </w:p>
        </w:tc>
        <w:tc>
          <w:tcPr>
            <w:tcW w:w="1960" w:type="dxa"/>
            <w:vAlign w:val="bottom"/>
            <w:shd w:val="clear" w:color="auto" w:fill="58595B"/>
          </w:tcPr>
          <w:p>
            <w:pPr>
              <w:spacing w:after="0" w:line="20" w:lineRule="exact"/>
              <w:rPr>
                <w:sz w:val="1"/>
                <w:szCs w:val="1"/>
                <w:color w:val="auto"/>
              </w:rPr>
            </w:pPr>
          </w:p>
        </w:tc>
        <w:tc>
          <w:tcPr>
            <w:tcW w:w="1320" w:type="dxa"/>
            <w:vAlign w:val="bottom"/>
            <w:shd w:val="clear" w:color="auto" w:fill="58595B"/>
          </w:tcPr>
          <w:p>
            <w:pPr>
              <w:spacing w:after="0" w:line="20" w:lineRule="exact"/>
              <w:rPr>
                <w:sz w:val="1"/>
                <w:szCs w:val="1"/>
                <w:color w:val="auto"/>
              </w:rPr>
            </w:pPr>
          </w:p>
        </w:tc>
        <w:tc>
          <w:tcPr>
            <w:tcW w:w="1360" w:type="dxa"/>
            <w:vAlign w:val="bottom"/>
            <w:shd w:val="clear" w:color="auto" w:fill="58595B"/>
          </w:tcPr>
          <w:p>
            <w:pPr>
              <w:spacing w:after="0" w:line="20" w:lineRule="exact"/>
              <w:rPr>
                <w:sz w:val="1"/>
                <w:szCs w:val="1"/>
                <w:color w:val="auto"/>
              </w:rPr>
            </w:pPr>
          </w:p>
        </w:tc>
      </w:tr>
    </w:tbl>
    <w:p>
      <w:pPr>
        <w:spacing w:after="0" w:line="139" w:lineRule="exact"/>
        <w:rPr>
          <w:sz w:val="20"/>
          <w:szCs w:val="20"/>
          <w:color w:val="auto"/>
        </w:rPr>
      </w:pPr>
    </w:p>
    <w:p>
      <w:pPr>
        <w:ind w:left="340" w:right="120" w:hanging="332"/>
        <w:spacing w:after="0" w:line="267"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maintain a nonqualified deferred compensation plan ("NQDC") to provide additional retirement benefits for all employees who meet the IRS annual compensation limit of IRC Section 401(a)(17). Employees may defer up to 75% of base salary and up to 100% of performance based cash bonus on a pre-tax basis. Values shown represent base salary and annual cash bonus amounts that the named executive officers elected to defer in 2023. These amounts represent compensation earned by the named executive officers in 2023 and are also reported in Salary for contributions from base salary and in Non-Equity Incentive Plan Compensation for contributions from annual cash bonus in the Summary Compensation Table above.</w:t>
      </w:r>
    </w:p>
    <w:p>
      <w:pPr>
        <w:spacing w:after="0" w:line="22" w:lineRule="exact"/>
        <w:rPr>
          <w:rFonts w:ascii="Arial" w:cs="Arial" w:eastAsia="Arial" w:hAnsi="Arial"/>
          <w:sz w:val="14"/>
          <w:szCs w:val="14"/>
          <w:color w:val="auto"/>
        </w:rPr>
      </w:pPr>
    </w:p>
    <w:p>
      <w:pPr>
        <w:ind w:left="340" w:right="220" w:hanging="332"/>
        <w:spacing w:after="0" w:line="301"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spacing w:after="0" w:line="1" w:lineRule="exact"/>
        <w:rPr>
          <w:rFonts w:ascii="Arial" w:cs="Arial" w:eastAsia="Arial" w:hAnsi="Arial"/>
          <w:sz w:val="14"/>
          <w:szCs w:val="14"/>
          <w:color w:val="auto"/>
        </w:rPr>
      </w:pPr>
    </w:p>
    <w:p>
      <w:pPr>
        <w:ind w:left="340" w:right="160" w:hanging="332"/>
        <w:spacing w:after="0" w:line="285"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spacing w:after="0" w:line="9" w:lineRule="exact"/>
        <w:rPr>
          <w:rFonts w:ascii="Arial" w:cs="Arial" w:eastAsia="Arial" w:hAnsi="Arial"/>
          <w:sz w:val="14"/>
          <w:szCs w:val="14"/>
          <w:color w:val="auto"/>
        </w:rPr>
      </w:pPr>
    </w:p>
    <w:p>
      <w:pPr>
        <w:ind w:left="340" w:right="60" w:hanging="332"/>
        <w:spacing w:after="0" w:line="301"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Employees may elect deferred amounts to be paid either in the form of a lump sum or in up to 15 annual installments upon either separation from service, a specified date, or death.</w:t>
      </w:r>
    </w:p>
    <w:p>
      <w:pPr>
        <w:spacing w:after="0" w:line="1" w:lineRule="exact"/>
        <w:rPr>
          <w:rFonts w:ascii="Arial" w:cs="Arial" w:eastAsia="Arial" w:hAnsi="Arial"/>
          <w:sz w:val="14"/>
          <w:szCs w:val="14"/>
          <w:color w:val="auto"/>
        </w:rPr>
      </w:pPr>
    </w:p>
    <w:p>
      <w:pPr>
        <w:ind w:left="340" w:right="20" w:hanging="332"/>
        <w:spacing w:after="0" w:line="267" w:lineRule="auto"/>
        <w:tabs>
          <w:tab w:leader="none" w:pos="338"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reflect the aggregate amounts that were reported as compensation in the appropriate columns of the Summary Compensation Table of this proxy statement and previous proxy statements to the extent that the executive was a NEO for the applicable year: $677,219 for Ms. Anderson and $577,734 for Mr. Davis. Mr. Mosebrook's amounts reflect aggregate amounts that were reported in the appropriate columns of the Summary Compensation Table of this proxy statement. Mr. Mosebrook's was not an NEO in previous proxy statements so his beginning aggregate value is not footnoted. Messrs. De Witte, McBreen and Schwartz and Ms. Knight did not elect to defer compensation included in the Summary Compensation Table and, as such, they are not listed in the table above.</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009845"/>
        </w:rPr>
        <w:t>Potential Payments Upon Termination or Change in Control</w:t>
      </w:r>
    </w:p>
    <w:p>
      <w:pPr>
        <w:spacing w:after="0" w:line="193"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58595B"/>
        </w:rPr>
        <w:t>The following agreements provide for certain payments and benefits upon any of several events of termination of employment, including termination of employment in connection with a change in control: (i) the De Witte Agreement, and (ii) the Change in Control Severance Agreements, effective January 1, 2023, between the Company and each of Lea Knight, Robert Davis, Jr., Michael McBreen, Jeffrey Mosebrook and Eric Schwartz (the De Witte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2023. The last trading day of the fiscal year ended December 29, 2023, the Company’s common stock had a closing sale price on the Nasdaq Global Select Market of $43.55. Actual amounts payable would vary based on the date of the named executive officer’s termination of employment and can only be finally determined at that time. Unless specified otherwise, the information in this section is based upon the terms of the Agreements. Ms. Anderson, prior to her respective separation from the Company, had been party to a Change in Control Severance Agreement with the Company.</w:t>
      </w:r>
    </w:p>
    <w:p>
      <w:pPr>
        <w:spacing w:after="0" w:line="12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b w:val="1"/>
          <w:bCs w:val="1"/>
          <w:color w:val="009845"/>
        </w:rPr>
        <w:t>Payments upon Termination by the Company without Cause or by the Executive for Good Reason Outside the Context of a Change in Control</w:t>
      </w:r>
    </w:p>
    <w:p>
      <w:pPr>
        <w:spacing w:after="0" w:line="1"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The De Witte Agreement provides for the following severance payments and benefits upon termination of employment by the Company without “Cause” or by Mr. De Witte for “Good Reason” (each as defined in the De Witte Agreement) outside the context of a change in control of the Company (as described more fully in the De Witte Agreement): (i) a cash severance payment equal to 2.0 times his then-current annual base salary payable over the two-year period following such termination in accordance with the Company's customary payroll practices; (ii) a monthly cash payment equal to Mr. De Witte's monthly COBRA premium cost for family health coverage for up to 18 months following such termination; and (iii) full accelerated vesting of the initial equity award.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58595B"/>
        </w:rPr>
        <w:t>None of the unvested equity awards held by Ms. Knight and Messrs. Davis, McBreen, Mosebrook and Schwartz will vest upon such termination. The outstanding unvested equity awards of Ms. Anderson did not vest in connection with her termination, effective February 2,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Termination for Cause or by Executive without Good Reason</w:t>
      </w:r>
    </w:p>
    <w:p>
      <w:pPr>
        <w:spacing w:after="0" w:line="8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58595B"/>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Death</w:t>
      </w:r>
    </w:p>
    <w:p>
      <w:pPr>
        <w:spacing w:after="0" w:line="81"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Only the De Witte Agreement provides severance payments upon death. If Mr. De Witte dies during the term of his employment, then the Company will pay to his estate a lump sum payment equal to one times his annual base salary. In addition, the Company will pay his eligible beneficiaries the monthly premium for COBRA family health coverage under the Company’s group health plan for a period of one year from the date of his death.</w:t>
      </w:r>
    </w:p>
    <w:p>
      <w:pPr>
        <w:spacing w:after="0" w:line="110"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All of Mr. De Witte’s unvested equity awards will vest in the event of death other than his outstanding performance grants, which will remain outstanding and subject to the achievement of the respective performance goals. All of Ms. Knight's and Messrs. Davis’, McBreen’s, Mosebrook's and Mr. Schwartz's unvested equity awards will vest in the event of death other than their respective outstanding performance stock grants, which would remain outstanding and subject to the achievement of the respective performance goals.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Upon Disability</w:t>
      </w:r>
    </w:p>
    <w:p>
      <w:pPr>
        <w:spacing w:after="0" w:line="81" w:lineRule="exact"/>
        <w:rPr>
          <w:sz w:val="20"/>
          <w:szCs w:val="20"/>
          <w:color w:val="auto"/>
        </w:rPr>
      </w:pPr>
    </w:p>
    <w:p>
      <w:pPr>
        <w:jc w:val="both"/>
        <w:ind w:right="320"/>
        <w:spacing w:after="0" w:line="319" w:lineRule="auto"/>
        <w:rPr>
          <w:sz w:val="20"/>
          <w:szCs w:val="20"/>
          <w:color w:val="auto"/>
        </w:rPr>
      </w:pPr>
      <w:r>
        <w:rPr>
          <w:rFonts w:ascii="Arial" w:cs="Arial" w:eastAsia="Arial" w:hAnsi="Arial"/>
          <w:sz w:val="16"/>
          <w:szCs w:val="16"/>
          <w:color w:val="58595B"/>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130" w:lineRule="exact"/>
        <w:rPr>
          <w:sz w:val="20"/>
          <w:szCs w:val="20"/>
          <w:color w:val="auto"/>
        </w:rPr>
      </w:pPr>
    </w:p>
    <w:p>
      <w:pPr>
        <w:ind w:right="840"/>
        <w:spacing w:after="0" w:line="339" w:lineRule="auto"/>
        <w:rPr>
          <w:sz w:val="20"/>
          <w:szCs w:val="20"/>
          <w:color w:val="auto"/>
        </w:rPr>
      </w:pPr>
      <w:r>
        <w:rPr>
          <w:rFonts w:ascii="Arial" w:cs="Arial" w:eastAsia="Arial" w:hAnsi="Arial"/>
          <w:sz w:val="16"/>
          <w:szCs w:val="16"/>
          <w:color w:val="58595B"/>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Payments in Connection with a Change in Control</w:t>
      </w:r>
    </w:p>
    <w:p>
      <w:pPr>
        <w:spacing w:after="0" w:line="81"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58595B"/>
        </w:rPr>
        <w:t>The Agreements provide each of the applicable NEOs with severance payments and benefits upon termination of their employment in connection with or following a change in control.</w:t>
      </w:r>
    </w:p>
    <w:p>
      <w:pPr>
        <w:spacing w:after="0" w:line="101"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The De Witte Agreement provides that, if, within 24 months following a change in control, Mr. De Witte’s employment with the Company is terminated by the Company other than for cause, death, or disability, or by Mr. De Witte for good reason within twenty-four months following a change in control, then the Company will pay (i) a lump sum 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outstanding equity awards and, to the extent any outstanding equity award is a stock option, such option will remain exercisable until the earlier of the first anniversary of the termination date and the option’s expiration date.</w:t>
      </w:r>
    </w:p>
    <w:p>
      <w:pPr>
        <w:spacing w:after="0" w:line="124"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The Change in Control Severance Agreements for Ms. Knight and Messrs. Davis, McBreen, Mosebrook and Schwartz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2023, the Company will pay the following to such named executive officer: (i) a lump-sum cash payment equal to a multiple of 1.5 times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ind w:left="9080"/>
        <w:spacing w:after="0"/>
        <w:rPr>
          <w:sz w:val="20"/>
          <w:szCs w:val="20"/>
          <w:color w:val="auto"/>
        </w:rPr>
      </w:pPr>
      <w:r>
        <w:rPr>
          <w:rFonts w:ascii="Arial" w:cs="Arial" w:eastAsia="Arial" w:hAnsi="Arial"/>
          <w:sz w:val="12"/>
          <w:szCs w:val="12"/>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58595B"/>
        </w:rPr>
        <w:t>The Company’s equity plans provide for the acceleration of vesting and/or delivery of all equity compensation awards granted since January 1, 2013 for all of the NEOs, if a change in control occurs and the NEOs incur a qualifying termination on or within twelve months (or on or within twenty-four months pursuant to the De Witte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units in such event. In addition, Mr. De Witte will receive deferred payment of common stock underlying such grants of restricted stock units on the date that represents six months after the date of his termination of employment.</w:t>
      </w:r>
    </w:p>
    <w:p>
      <w:pPr>
        <w:spacing w:after="0" w:line="140"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58595B"/>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cease for any reason during any period of at least twenty-four months to constitute at least a majority of the Board;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122"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58595B"/>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Restrictive Covenants and Other Conditions</w:t>
      </w:r>
    </w:p>
    <w:p>
      <w:pPr>
        <w:spacing w:after="0" w:line="81" w:lineRule="exact"/>
        <w:rPr>
          <w:sz w:val="20"/>
          <w:szCs w:val="20"/>
          <w:color w:val="auto"/>
        </w:rPr>
      </w:pPr>
    </w:p>
    <w:p>
      <w:pPr>
        <w:jc w:val="both"/>
        <w:ind w:right="180"/>
        <w:spacing w:after="0" w:line="318" w:lineRule="auto"/>
        <w:rPr>
          <w:sz w:val="20"/>
          <w:szCs w:val="20"/>
          <w:color w:val="auto"/>
        </w:rPr>
      </w:pPr>
      <w:r>
        <w:rPr>
          <w:rFonts w:ascii="Arial" w:cs="Arial" w:eastAsia="Arial" w:hAnsi="Arial"/>
          <w:sz w:val="16"/>
          <w:szCs w:val="16"/>
          <w:color w:val="58595B"/>
        </w:rPr>
        <w:t>For each of the Agreements, the foregoing severance benefits are conditioned on each executive’s execution of a mutual release. In addition, for all of the applicable NEOs, such benefits are consideration for the restrictive covenants set forth in their respective Agreements. Specifically, during the term of their employment with the Company and the one-year period thereafter, all of such NEOs generally may not compete against the Company or solicit employees and customers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Summary of Potential Payments</w:t>
      </w:r>
    </w:p>
    <w:p>
      <w:pPr>
        <w:spacing w:after="0" w:line="81"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The following table summarizes the payments that would be made by the Company to our NEOs upon the events discussed above, assuming their termination of employment with the Company occurred on December 31, 2023 or a change in control of the Company occurred on December 31, 2023, as applicable. Ms. Anderson is not included due to her separation from the Company on February 2,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shd w:val="clear" w:color="auto" w:fill="EFEDED"/>
          </w:tcPr>
          <w:p>
            <w:pPr>
              <w:spacing w:after="0"/>
              <w:rPr>
                <w:sz w:val="13"/>
                <w:szCs w:val="13"/>
                <w:color w:val="auto"/>
              </w:rPr>
            </w:pPr>
          </w:p>
        </w:tc>
        <w:tc>
          <w:tcPr>
            <w:tcW w:w="460" w:type="dxa"/>
            <w:vAlign w:val="bottom"/>
            <w:shd w:val="clear" w:color="auto" w:fill="EFEDED"/>
          </w:tcPr>
          <w:p>
            <w:pPr>
              <w:spacing w:after="0"/>
              <w:rPr>
                <w:sz w:val="13"/>
                <w:szCs w:val="13"/>
                <w:color w:val="auto"/>
              </w:rPr>
            </w:pPr>
          </w:p>
        </w:tc>
        <w:tc>
          <w:tcPr>
            <w:tcW w:w="1320" w:type="dxa"/>
            <w:vAlign w:val="bottom"/>
            <w:shd w:val="clear" w:color="auto" w:fill="EFEDED"/>
          </w:tcPr>
          <w:p>
            <w:pPr>
              <w:spacing w:after="0"/>
              <w:rPr>
                <w:sz w:val="13"/>
                <w:szCs w:val="13"/>
                <w:color w:val="auto"/>
              </w:rPr>
            </w:pPr>
          </w:p>
        </w:tc>
        <w:tc>
          <w:tcPr>
            <w:tcW w:w="620" w:type="dxa"/>
            <w:vAlign w:val="bottom"/>
            <w:shd w:val="clear" w:color="auto" w:fill="EFEDED"/>
          </w:tcPr>
          <w:p>
            <w:pPr>
              <w:spacing w:after="0"/>
              <w:rPr>
                <w:sz w:val="13"/>
                <w:szCs w:val="13"/>
                <w:color w:val="auto"/>
              </w:rPr>
            </w:pPr>
          </w:p>
        </w:tc>
        <w:tc>
          <w:tcPr>
            <w:tcW w:w="1160" w:type="dxa"/>
            <w:vAlign w:val="bottom"/>
            <w:shd w:val="clear" w:color="auto" w:fill="EFEDED"/>
          </w:tcPr>
          <w:p>
            <w:pPr>
              <w:spacing w:after="0"/>
              <w:rPr>
                <w:sz w:val="13"/>
                <w:szCs w:val="13"/>
                <w:color w:val="auto"/>
              </w:rPr>
            </w:pPr>
          </w:p>
        </w:tc>
        <w:tc>
          <w:tcPr>
            <w:tcW w:w="620" w:type="dxa"/>
            <w:vAlign w:val="bottom"/>
            <w:shd w:val="clear" w:color="auto" w:fill="EFEDED"/>
          </w:tcPr>
          <w:p>
            <w:pPr>
              <w:spacing w:after="0"/>
              <w:rPr>
                <w:sz w:val="13"/>
                <w:szCs w:val="13"/>
                <w:color w:val="auto"/>
              </w:rPr>
            </w:pPr>
          </w:p>
        </w:tc>
        <w:tc>
          <w:tcPr>
            <w:tcW w:w="1160" w:type="dxa"/>
            <w:vAlign w:val="bottom"/>
            <w:shd w:val="clear" w:color="auto" w:fill="EFEDED"/>
          </w:tcPr>
          <w:p>
            <w:pPr>
              <w:spacing w:after="0"/>
              <w:rPr>
                <w:sz w:val="13"/>
                <w:szCs w:val="13"/>
                <w:color w:val="auto"/>
              </w:rPr>
            </w:pPr>
          </w:p>
        </w:tc>
        <w:tc>
          <w:tcPr>
            <w:tcW w:w="360" w:type="dxa"/>
            <w:vAlign w:val="bottom"/>
            <w:shd w:val="clear" w:color="auto" w:fill="EFEDED"/>
          </w:tcPr>
          <w:p>
            <w:pPr>
              <w:spacing w:after="0"/>
              <w:rPr>
                <w:sz w:val="13"/>
                <w:szCs w:val="13"/>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Termination</w:t>
            </w:r>
          </w:p>
        </w:tc>
      </w:tr>
      <w:tr>
        <w:trPr>
          <w:trHeight w:val="148"/>
        </w:trPr>
        <w:tc>
          <w:tcPr>
            <w:tcW w:w="4120" w:type="dxa"/>
            <w:vAlign w:val="bottom"/>
            <w:shd w:val="clear" w:color="auto" w:fill="EFEDED"/>
          </w:tcPr>
          <w:p>
            <w:pPr>
              <w:spacing w:after="0"/>
              <w:rPr>
                <w:sz w:val="12"/>
                <w:szCs w:val="12"/>
                <w:color w:val="auto"/>
              </w:rPr>
            </w:pPr>
          </w:p>
        </w:tc>
        <w:tc>
          <w:tcPr>
            <w:tcW w:w="460" w:type="dxa"/>
            <w:vAlign w:val="bottom"/>
            <w:shd w:val="clear" w:color="auto" w:fill="EFEDED"/>
          </w:tcPr>
          <w:p>
            <w:pPr>
              <w:spacing w:after="0"/>
              <w:rPr>
                <w:sz w:val="12"/>
                <w:szCs w:val="12"/>
                <w:color w:val="auto"/>
              </w:rPr>
            </w:pP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Termination</w:t>
            </w: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Without Cause,</w:t>
            </w:r>
          </w:p>
        </w:tc>
      </w:tr>
      <w:tr>
        <w:trPr>
          <w:trHeight w:val="148"/>
        </w:trPr>
        <w:tc>
          <w:tcPr>
            <w:tcW w:w="4120" w:type="dxa"/>
            <w:vAlign w:val="bottom"/>
            <w:shd w:val="clear" w:color="auto" w:fill="EFEDED"/>
          </w:tcPr>
          <w:p>
            <w:pPr>
              <w:spacing w:after="0"/>
              <w:rPr>
                <w:sz w:val="12"/>
                <w:szCs w:val="12"/>
                <w:color w:val="auto"/>
              </w:rPr>
            </w:pPr>
          </w:p>
        </w:tc>
        <w:tc>
          <w:tcPr>
            <w:tcW w:w="460" w:type="dxa"/>
            <w:vAlign w:val="bottom"/>
            <w:shd w:val="clear" w:color="auto" w:fill="EFEDED"/>
          </w:tcPr>
          <w:p>
            <w:pPr>
              <w:spacing w:after="0"/>
              <w:rPr>
                <w:sz w:val="12"/>
                <w:szCs w:val="12"/>
                <w:color w:val="auto"/>
              </w:rPr>
            </w:pP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Without Cause</w:t>
            </w: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With Good Reason</w:t>
            </w:r>
          </w:p>
        </w:tc>
      </w:tr>
      <w:tr>
        <w:trPr>
          <w:trHeight w:val="162"/>
        </w:trPr>
        <w:tc>
          <w:tcPr>
            <w:tcW w:w="4120" w:type="dxa"/>
            <w:vAlign w:val="bottom"/>
            <w:shd w:val="clear" w:color="auto" w:fill="EFEDED"/>
          </w:tcPr>
          <w:p>
            <w:pPr>
              <w:spacing w:after="0"/>
              <w:rPr>
                <w:sz w:val="14"/>
                <w:szCs w:val="14"/>
                <w:color w:val="auto"/>
              </w:rPr>
            </w:pPr>
          </w:p>
        </w:tc>
        <w:tc>
          <w:tcPr>
            <w:tcW w:w="460" w:type="dxa"/>
            <w:vAlign w:val="bottom"/>
            <w:shd w:val="clear" w:color="auto" w:fill="EFEDED"/>
          </w:tcPr>
          <w:p>
            <w:pPr>
              <w:spacing w:after="0"/>
              <w:rPr>
                <w:sz w:val="14"/>
                <w:szCs w:val="14"/>
                <w:color w:val="auto"/>
              </w:rPr>
            </w:pP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or With Good</w:t>
            </w:r>
          </w:p>
        </w:tc>
        <w:tc>
          <w:tcPr>
            <w:tcW w:w="62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620" w:type="dxa"/>
            <w:vAlign w:val="bottom"/>
            <w:shd w:val="clear" w:color="auto" w:fill="EFEDED"/>
          </w:tcPr>
          <w:p>
            <w:pPr>
              <w:spacing w:after="0"/>
              <w:rPr>
                <w:sz w:val="14"/>
                <w:szCs w:val="14"/>
                <w:color w:val="auto"/>
              </w:rPr>
            </w:pPr>
          </w:p>
        </w:tc>
        <w:tc>
          <w:tcPr>
            <w:tcW w:w="1160" w:type="dxa"/>
            <w:vAlign w:val="bottom"/>
            <w:shd w:val="clear" w:color="auto" w:fill="EFEDED"/>
          </w:tcPr>
          <w:p>
            <w:pPr>
              <w:spacing w:after="0"/>
              <w:rPr>
                <w:sz w:val="14"/>
                <w:szCs w:val="14"/>
                <w:color w:val="auto"/>
              </w:rPr>
            </w:pPr>
          </w:p>
        </w:tc>
        <w:tc>
          <w:tcPr>
            <w:tcW w:w="360" w:type="dxa"/>
            <w:vAlign w:val="bottom"/>
            <w:shd w:val="clear" w:color="auto" w:fill="EFEDED"/>
          </w:tcPr>
          <w:p>
            <w:pPr>
              <w:spacing w:after="0"/>
              <w:rPr>
                <w:sz w:val="14"/>
                <w:szCs w:val="14"/>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Death or Disability</w:t>
            </w:r>
          </w:p>
        </w:tc>
      </w:tr>
      <w:tr>
        <w:trPr>
          <w:trHeight w:val="148"/>
        </w:trPr>
        <w:tc>
          <w:tcPr>
            <w:tcW w:w="4120" w:type="dxa"/>
            <w:vAlign w:val="bottom"/>
            <w:shd w:val="clear" w:color="auto" w:fill="EFEDED"/>
          </w:tcPr>
          <w:p>
            <w:pPr>
              <w:spacing w:after="0"/>
              <w:rPr>
                <w:sz w:val="12"/>
                <w:szCs w:val="12"/>
                <w:color w:val="auto"/>
              </w:rPr>
            </w:pPr>
          </w:p>
        </w:tc>
        <w:tc>
          <w:tcPr>
            <w:tcW w:w="460" w:type="dxa"/>
            <w:vAlign w:val="bottom"/>
            <w:shd w:val="clear" w:color="auto" w:fill="EFEDED"/>
          </w:tcPr>
          <w:p>
            <w:pPr>
              <w:spacing w:after="0"/>
              <w:rPr>
                <w:sz w:val="12"/>
                <w:szCs w:val="12"/>
                <w:color w:val="auto"/>
              </w:rPr>
            </w:pP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Reason (Before</w:t>
            </w: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(“Double trigger”</w:t>
            </w:r>
          </w:p>
        </w:tc>
      </w:tr>
      <w:tr>
        <w:trPr>
          <w:trHeight w:val="149"/>
        </w:trPr>
        <w:tc>
          <w:tcPr>
            <w:tcW w:w="4120" w:type="dxa"/>
            <w:vAlign w:val="bottom"/>
            <w:shd w:val="clear" w:color="auto" w:fill="EFEDED"/>
          </w:tcPr>
          <w:p>
            <w:pPr>
              <w:spacing w:after="0"/>
              <w:rPr>
                <w:sz w:val="12"/>
                <w:szCs w:val="12"/>
                <w:color w:val="auto"/>
              </w:rPr>
            </w:pPr>
          </w:p>
        </w:tc>
        <w:tc>
          <w:tcPr>
            <w:tcW w:w="460" w:type="dxa"/>
            <w:vAlign w:val="bottom"/>
            <w:shd w:val="clear" w:color="auto" w:fill="EFEDED"/>
          </w:tcPr>
          <w:p>
            <w:pPr>
              <w:spacing w:after="0"/>
              <w:rPr>
                <w:sz w:val="12"/>
                <w:szCs w:val="12"/>
                <w:color w:val="auto"/>
              </w:rPr>
            </w:pP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 Change In</w:t>
            </w: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620" w:type="dxa"/>
            <w:vAlign w:val="bottom"/>
            <w:shd w:val="clear" w:color="auto" w:fill="EFEDED"/>
          </w:tcPr>
          <w:p>
            <w:pPr>
              <w:spacing w:after="0"/>
              <w:rPr>
                <w:sz w:val="12"/>
                <w:szCs w:val="12"/>
                <w:color w:val="auto"/>
              </w:rPr>
            </w:pPr>
          </w:p>
        </w:tc>
        <w:tc>
          <w:tcPr>
            <w:tcW w:w="1160" w:type="dxa"/>
            <w:vAlign w:val="bottom"/>
            <w:shd w:val="clear" w:color="auto" w:fill="EFEDED"/>
          </w:tcPr>
          <w:p>
            <w:pPr>
              <w:spacing w:after="0"/>
              <w:rPr>
                <w:sz w:val="12"/>
                <w:szCs w:val="12"/>
                <w:color w:val="auto"/>
              </w:rPr>
            </w:pPr>
          </w:p>
        </w:tc>
        <w:tc>
          <w:tcPr>
            <w:tcW w:w="360" w:type="dxa"/>
            <w:vAlign w:val="bottom"/>
            <w:shd w:val="clear" w:color="auto" w:fill="EFEDED"/>
          </w:tcPr>
          <w:p>
            <w:pPr>
              <w:spacing w:after="0"/>
              <w:rPr>
                <w:sz w:val="12"/>
                <w:szCs w:val="12"/>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after a Change</w:t>
            </w:r>
          </w:p>
        </w:tc>
      </w:tr>
      <w:tr>
        <w:trPr>
          <w:trHeight w:val="172"/>
        </w:trPr>
        <w:tc>
          <w:tcPr>
            <w:tcW w:w="4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Named Executive Officer</w:t>
            </w:r>
          </w:p>
        </w:tc>
        <w:tc>
          <w:tcPr>
            <w:tcW w:w="460" w:type="dxa"/>
            <w:vAlign w:val="bottom"/>
            <w:shd w:val="clear" w:color="auto" w:fill="EFEDED"/>
          </w:tcPr>
          <w:p>
            <w:pPr>
              <w:spacing w:after="0"/>
              <w:rPr>
                <w:sz w:val="14"/>
                <w:szCs w:val="14"/>
                <w:color w:val="auto"/>
              </w:rPr>
            </w:pPr>
          </w:p>
        </w:tc>
        <w:tc>
          <w:tcPr>
            <w:tcW w:w="13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Control)</w:t>
            </w:r>
          </w:p>
        </w:tc>
        <w:tc>
          <w:tcPr>
            <w:tcW w:w="620" w:type="dxa"/>
            <w:vAlign w:val="bottom"/>
            <w:shd w:val="clear" w:color="auto" w:fill="EFEDED"/>
          </w:tcPr>
          <w:p>
            <w:pPr>
              <w:spacing w:after="0"/>
              <w:rPr>
                <w:sz w:val="14"/>
                <w:szCs w:val="14"/>
                <w:color w:val="auto"/>
              </w:rPr>
            </w:pP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Death</w:t>
            </w:r>
          </w:p>
        </w:tc>
        <w:tc>
          <w:tcPr>
            <w:tcW w:w="620" w:type="dxa"/>
            <w:vAlign w:val="bottom"/>
            <w:shd w:val="clear" w:color="auto" w:fill="EFEDED"/>
          </w:tcPr>
          <w:p>
            <w:pPr>
              <w:spacing w:after="0"/>
              <w:rPr>
                <w:sz w:val="14"/>
                <w:szCs w:val="14"/>
                <w:color w:val="auto"/>
              </w:rPr>
            </w:pP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Disability</w:t>
            </w:r>
          </w:p>
        </w:tc>
        <w:tc>
          <w:tcPr>
            <w:tcW w:w="360" w:type="dxa"/>
            <w:vAlign w:val="bottom"/>
            <w:shd w:val="clear" w:color="auto" w:fill="EFEDED"/>
          </w:tcPr>
          <w:p>
            <w:pPr>
              <w:spacing w:after="0"/>
              <w:rPr>
                <w:sz w:val="14"/>
                <w:szCs w:val="14"/>
                <w:color w:val="auto"/>
              </w:rPr>
            </w:pPr>
          </w:p>
        </w:tc>
        <w:tc>
          <w:tcPr>
            <w:tcW w:w="1420" w:type="dxa"/>
            <w:vAlign w:val="bottom"/>
            <w:shd w:val="clear" w:color="auto" w:fill="EFEDED"/>
          </w:tcPr>
          <w:p>
            <w:pPr>
              <w:jc w:val="right"/>
              <w:spacing w:after="0"/>
              <w:rPr>
                <w:sz w:val="20"/>
                <w:szCs w:val="20"/>
                <w:color w:val="auto"/>
              </w:rPr>
            </w:pPr>
            <w:r>
              <w:rPr>
                <w:rFonts w:ascii="Arial" w:cs="Arial" w:eastAsia="Arial" w:hAnsi="Arial"/>
                <w:sz w:val="13"/>
                <w:szCs w:val="13"/>
                <w:b w:val="1"/>
                <w:bCs w:val="1"/>
                <w:color w:val="58595B"/>
              </w:rPr>
              <w:t>in Control)</w:t>
            </w:r>
          </w:p>
        </w:tc>
      </w:tr>
      <w:tr>
        <w:trPr>
          <w:trHeight w:val="75"/>
        </w:trPr>
        <w:tc>
          <w:tcPr>
            <w:tcW w:w="4120" w:type="dxa"/>
            <w:vAlign w:val="bottom"/>
            <w:shd w:val="clear" w:color="auto" w:fill="EFEDED"/>
          </w:tcPr>
          <w:p>
            <w:pPr>
              <w:spacing w:after="0"/>
              <w:rPr>
                <w:sz w:val="6"/>
                <w:szCs w:val="6"/>
                <w:color w:val="auto"/>
              </w:rPr>
            </w:pPr>
          </w:p>
        </w:tc>
        <w:tc>
          <w:tcPr>
            <w:tcW w:w="46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620" w:type="dxa"/>
            <w:vAlign w:val="bottom"/>
            <w:shd w:val="clear" w:color="auto" w:fill="EFEDED"/>
          </w:tcPr>
          <w:p>
            <w:pPr>
              <w:spacing w:after="0"/>
              <w:rPr>
                <w:sz w:val="6"/>
                <w:szCs w:val="6"/>
                <w:color w:val="auto"/>
              </w:rPr>
            </w:pPr>
          </w:p>
        </w:tc>
        <w:tc>
          <w:tcPr>
            <w:tcW w:w="1160" w:type="dxa"/>
            <w:vAlign w:val="bottom"/>
            <w:shd w:val="clear" w:color="auto" w:fill="EFEDED"/>
          </w:tcPr>
          <w:p>
            <w:pPr>
              <w:spacing w:after="0"/>
              <w:rPr>
                <w:sz w:val="6"/>
                <w:szCs w:val="6"/>
                <w:color w:val="auto"/>
              </w:rPr>
            </w:pPr>
          </w:p>
        </w:tc>
        <w:tc>
          <w:tcPr>
            <w:tcW w:w="620" w:type="dxa"/>
            <w:vAlign w:val="bottom"/>
            <w:shd w:val="clear" w:color="auto" w:fill="EFEDED"/>
          </w:tcPr>
          <w:p>
            <w:pPr>
              <w:spacing w:after="0"/>
              <w:rPr>
                <w:sz w:val="6"/>
                <w:szCs w:val="6"/>
                <w:color w:val="auto"/>
              </w:rPr>
            </w:pPr>
          </w:p>
        </w:tc>
        <w:tc>
          <w:tcPr>
            <w:tcW w:w="1160" w:type="dxa"/>
            <w:vAlign w:val="bottom"/>
            <w:shd w:val="clear" w:color="auto" w:fill="EFEDED"/>
          </w:tcPr>
          <w:p>
            <w:pPr>
              <w:spacing w:after="0"/>
              <w:rPr>
                <w:sz w:val="6"/>
                <w:szCs w:val="6"/>
                <w:color w:val="auto"/>
              </w:rPr>
            </w:pPr>
          </w:p>
        </w:tc>
        <w:tc>
          <w:tcPr>
            <w:tcW w:w="360" w:type="dxa"/>
            <w:vAlign w:val="bottom"/>
            <w:shd w:val="clear" w:color="auto" w:fill="EFEDED"/>
          </w:tcPr>
          <w:p>
            <w:pPr>
              <w:spacing w:after="0"/>
              <w:rPr>
                <w:sz w:val="6"/>
                <w:szCs w:val="6"/>
                <w:color w:val="auto"/>
              </w:rPr>
            </w:pPr>
          </w:p>
        </w:tc>
        <w:tc>
          <w:tcPr>
            <w:tcW w:w="1420" w:type="dxa"/>
            <w:vAlign w:val="bottom"/>
            <w:shd w:val="clear" w:color="auto" w:fill="EFEDED"/>
          </w:tcPr>
          <w:p>
            <w:pPr>
              <w:spacing w:after="0"/>
              <w:rPr>
                <w:sz w:val="6"/>
                <w:szCs w:val="6"/>
                <w:color w:val="auto"/>
              </w:rPr>
            </w:pPr>
          </w:p>
        </w:tc>
      </w:tr>
      <w:tr>
        <w:trPr>
          <w:trHeight w:val="181"/>
        </w:trPr>
        <w:tc>
          <w:tcPr>
            <w:tcW w:w="4120" w:type="dxa"/>
            <w:vAlign w:val="bottom"/>
          </w:tcPr>
          <w:p>
            <w:pPr>
              <w:ind w:left="100"/>
              <w:spacing w:after="0"/>
              <w:rPr>
                <w:sz w:val="20"/>
                <w:szCs w:val="20"/>
                <w:color w:val="auto"/>
              </w:rPr>
            </w:pPr>
            <w:r>
              <w:rPr>
                <w:rFonts w:ascii="Arial" w:cs="Arial" w:eastAsia="Arial" w:hAnsi="Arial"/>
                <w:sz w:val="13"/>
                <w:szCs w:val="13"/>
                <w:b w:val="1"/>
                <w:bCs w:val="1"/>
                <w:color w:val="58595B"/>
              </w:rPr>
              <w:t>Jan De Witte</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7"/>
        </w:trPr>
        <w:tc>
          <w:tcPr>
            <w:tcW w:w="412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460" w:type="dxa"/>
            <w:vAlign w:val="bottom"/>
          </w:tcPr>
          <w:p>
            <w:pPr>
              <w:jc w:val="right"/>
              <w:ind w:right="317"/>
              <w:spacing w:after="0"/>
              <w:rPr>
                <w:sz w:val="20"/>
                <w:szCs w:val="20"/>
                <w:color w:val="auto"/>
              </w:rPr>
            </w:pPr>
            <w:r>
              <w:rPr>
                <w:rFonts w:ascii="Arial" w:cs="Arial" w:eastAsia="Arial" w:hAnsi="Arial"/>
                <w:sz w:val="13"/>
                <w:szCs w:val="13"/>
                <w:color w:val="58595B"/>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58595B"/>
              </w:rPr>
              <w:t>1,769,700</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884,850</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58595B"/>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5,555,973</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460" w:type="dxa"/>
            <w:vAlign w:val="bottom"/>
          </w:tcPr>
          <w:p>
            <w:pPr>
              <w:jc w:val="right"/>
              <w:ind w:right="317"/>
              <w:spacing w:after="0"/>
              <w:rPr>
                <w:sz w:val="20"/>
                <w:szCs w:val="20"/>
                <w:color w:val="auto"/>
              </w:rPr>
            </w:pPr>
            <w:r>
              <w:rPr>
                <w:rFonts w:ascii="Arial" w:cs="Arial" w:eastAsia="Arial" w:hAnsi="Arial"/>
                <w:sz w:val="13"/>
                <w:szCs w:val="13"/>
                <w:color w:val="58595B"/>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58595B"/>
              </w:rPr>
              <w:t>38,298</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24,895</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58595B"/>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38,298</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460" w:type="dxa"/>
            <w:vAlign w:val="bottom"/>
          </w:tcPr>
          <w:p>
            <w:pPr>
              <w:jc w:val="right"/>
              <w:ind w:right="317"/>
              <w:spacing w:after="0"/>
              <w:rPr>
                <w:sz w:val="20"/>
                <w:szCs w:val="20"/>
                <w:color w:val="auto"/>
              </w:rPr>
            </w:pPr>
            <w:r>
              <w:rPr>
                <w:rFonts w:ascii="Arial" w:cs="Arial" w:eastAsia="Arial" w:hAnsi="Arial"/>
                <w:sz w:val="13"/>
                <w:szCs w:val="13"/>
                <w:color w:val="58595B"/>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58595B"/>
              </w:rPr>
              <w:t>—</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58595B"/>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Acceleration of Other Grants(2)</w:t>
            </w:r>
          </w:p>
        </w:tc>
        <w:tc>
          <w:tcPr>
            <w:tcW w:w="460" w:type="dxa"/>
            <w:vAlign w:val="bottom"/>
          </w:tcPr>
          <w:p>
            <w:pPr>
              <w:jc w:val="right"/>
              <w:ind w:right="317"/>
              <w:spacing w:after="0"/>
              <w:rPr>
                <w:sz w:val="20"/>
                <w:szCs w:val="20"/>
                <w:color w:val="auto"/>
              </w:rPr>
            </w:pPr>
            <w:r>
              <w:rPr>
                <w:rFonts w:ascii="Arial" w:cs="Arial" w:eastAsia="Arial" w:hAnsi="Arial"/>
                <w:sz w:val="13"/>
                <w:szCs w:val="13"/>
                <w:color w:val="58595B"/>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58595B"/>
              </w:rPr>
              <w:t>—</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3,268,297</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3,268,297</w:t>
            </w:r>
          </w:p>
        </w:tc>
        <w:tc>
          <w:tcPr>
            <w:tcW w:w="360" w:type="dxa"/>
            <w:vAlign w:val="bottom"/>
          </w:tcPr>
          <w:p>
            <w:pPr>
              <w:jc w:val="right"/>
              <w:ind w:right="217"/>
              <w:spacing w:after="0"/>
              <w:rPr>
                <w:sz w:val="20"/>
                <w:szCs w:val="20"/>
                <w:color w:val="auto"/>
              </w:rPr>
            </w:pPr>
            <w:r>
              <w:rPr>
                <w:rFonts w:ascii="Arial" w:cs="Arial" w:eastAsia="Arial" w:hAnsi="Arial"/>
                <w:sz w:val="13"/>
                <w:szCs w:val="13"/>
                <w:color w:val="58595B"/>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6,429,853</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Fees/Interest(3)</w:t>
            </w:r>
          </w:p>
        </w:tc>
        <w:tc>
          <w:tcPr>
            <w:tcW w:w="460" w:type="dxa"/>
            <w:vAlign w:val="bottom"/>
          </w:tcPr>
          <w:p>
            <w:pPr>
              <w:jc w:val="right"/>
              <w:ind w:right="317"/>
              <w:spacing w:after="0"/>
              <w:rPr>
                <w:sz w:val="20"/>
                <w:szCs w:val="20"/>
                <w:color w:val="auto"/>
              </w:rPr>
            </w:pPr>
            <w:r>
              <w:rPr>
                <w:rFonts w:ascii="Arial" w:cs="Arial" w:eastAsia="Arial" w:hAnsi="Arial"/>
                <w:sz w:val="13"/>
                <w:szCs w:val="13"/>
                <w:color w:val="58595B"/>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58595B"/>
              </w:rPr>
              <w:t>47,705</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24,004</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c>
          <w:tcPr>
            <w:tcW w:w="360" w:type="dxa"/>
            <w:vAlign w:val="bottom"/>
          </w:tcPr>
          <w:p>
            <w:pPr>
              <w:jc w:val="right"/>
              <w:ind w:right="217"/>
              <w:spacing w:after="0"/>
              <w:rPr>
                <w:sz w:val="20"/>
                <w:szCs w:val="20"/>
                <w:color w:val="auto"/>
              </w:rPr>
            </w:pPr>
            <w:r>
              <w:rPr>
                <w:rFonts w:ascii="Arial" w:cs="Arial" w:eastAsia="Arial" w:hAnsi="Arial"/>
                <w:sz w:val="13"/>
                <w:szCs w:val="13"/>
                <w:color w:val="58595B"/>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147,608</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Total</w:t>
            </w:r>
          </w:p>
        </w:tc>
        <w:tc>
          <w:tcPr>
            <w:tcW w:w="460" w:type="dxa"/>
            <w:vAlign w:val="bottom"/>
          </w:tcPr>
          <w:p>
            <w:pPr>
              <w:jc w:val="right"/>
              <w:ind w:right="317"/>
              <w:spacing w:after="0"/>
              <w:rPr>
                <w:sz w:val="20"/>
                <w:szCs w:val="20"/>
                <w:color w:val="auto"/>
              </w:rPr>
            </w:pPr>
            <w:r>
              <w:rPr>
                <w:rFonts w:ascii="Arial" w:cs="Arial" w:eastAsia="Arial" w:hAnsi="Arial"/>
                <w:sz w:val="13"/>
                <w:szCs w:val="13"/>
                <w:color w:val="58595B"/>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58595B"/>
              </w:rPr>
              <w:t>1,855,703</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4,202,046</w:t>
            </w:r>
          </w:p>
        </w:tc>
        <w:tc>
          <w:tcPr>
            <w:tcW w:w="620" w:type="dxa"/>
            <w:vAlign w:val="bottom"/>
          </w:tcPr>
          <w:p>
            <w:pPr>
              <w:jc w:val="right"/>
              <w:ind w:right="477"/>
              <w:spacing w:after="0"/>
              <w:rPr>
                <w:sz w:val="20"/>
                <w:szCs w:val="20"/>
                <w:color w:val="auto"/>
              </w:rPr>
            </w:pPr>
            <w:r>
              <w:rPr>
                <w:rFonts w:ascii="Arial" w:cs="Arial" w:eastAsia="Arial" w:hAnsi="Arial"/>
                <w:sz w:val="13"/>
                <w:szCs w:val="13"/>
                <w:color w:val="58595B"/>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3,268,297</w:t>
            </w:r>
          </w:p>
        </w:tc>
        <w:tc>
          <w:tcPr>
            <w:tcW w:w="360" w:type="dxa"/>
            <w:vAlign w:val="bottom"/>
          </w:tcPr>
          <w:p>
            <w:pPr>
              <w:jc w:val="right"/>
              <w:ind w:right="217"/>
              <w:spacing w:after="0"/>
              <w:rPr>
                <w:sz w:val="20"/>
                <w:szCs w:val="20"/>
                <w:color w:val="auto"/>
              </w:rPr>
            </w:pPr>
            <w:r>
              <w:rPr>
                <w:rFonts w:ascii="Arial" w:cs="Arial" w:eastAsia="Arial" w:hAnsi="Arial"/>
                <w:sz w:val="13"/>
                <w:szCs w:val="13"/>
                <w:color w:val="58595B"/>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58595B"/>
              </w:rPr>
              <w:t>12,171,732</w:t>
            </w:r>
          </w:p>
        </w:tc>
      </w:tr>
      <w:tr>
        <w:trPr>
          <w:trHeight w:val="654"/>
        </w:trPr>
        <w:tc>
          <w:tcPr>
            <w:tcW w:w="412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009845"/>
              </w:rPr>
              <w:t>65</w:t>
            </w:r>
          </w:p>
        </w:tc>
      </w:tr>
      <w:tr>
        <w:trPr>
          <w:trHeight w:val="231"/>
        </w:trPr>
        <w:tc>
          <w:tcPr>
            <w:tcW w:w="412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Lea Knight</w:t>
            </w:r>
          </w:p>
        </w:tc>
        <w:tc>
          <w:tcPr>
            <w:tcW w:w="100" w:type="dxa"/>
            <w:vAlign w:val="bottom"/>
            <w:shd w:val="clear" w:color="auto" w:fill="EFEDED"/>
          </w:tcPr>
          <w:p>
            <w:pPr>
              <w:spacing w:after="0"/>
              <w:rPr>
                <w:sz w:val="16"/>
                <w:szCs w:val="16"/>
                <w:color w:val="auto"/>
              </w:rPr>
            </w:pPr>
          </w:p>
        </w:tc>
        <w:tc>
          <w:tcPr>
            <w:tcW w:w="1640" w:type="dxa"/>
            <w:vAlign w:val="bottom"/>
            <w:shd w:val="clear" w:color="auto" w:fill="EFEDED"/>
          </w:tcPr>
          <w:p>
            <w:pPr>
              <w:spacing w:after="0"/>
              <w:rPr>
                <w:sz w:val="16"/>
                <w:szCs w:val="16"/>
                <w:color w:val="auto"/>
              </w:rPr>
            </w:pPr>
          </w:p>
        </w:tc>
        <w:tc>
          <w:tcPr>
            <w:tcW w:w="140" w:type="dxa"/>
            <w:vAlign w:val="bottom"/>
            <w:shd w:val="clear" w:color="auto" w:fill="EFEDED"/>
          </w:tcPr>
          <w:p>
            <w:pPr>
              <w:spacing w:after="0"/>
              <w:rPr>
                <w:sz w:val="16"/>
                <w:szCs w:val="16"/>
                <w:color w:val="auto"/>
              </w:rPr>
            </w:pPr>
          </w:p>
        </w:tc>
        <w:tc>
          <w:tcPr>
            <w:tcW w:w="1640" w:type="dxa"/>
            <w:vAlign w:val="bottom"/>
            <w:shd w:val="clear" w:color="auto" w:fill="EFEDED"/>
          </w:tcPr>
          <w:p>
            <w:pPr>
              <w:spacing w:after="0"/>
              <w:rPr>
                <w:sz w:val="16"/>
                <w:szCs w:val="16"/>
                <w:color w:val="auto"/>
              </w:rPr>
            </w:pPr>
          </w:p>
        </w:tc>
        <w:tc>
          <w:tcPr>
            <w:tcW w:w="660" w:type="dxa"/>
            <w:vAlign w:val="bottom"/>
            <w:shd w:val="clear" w:color="auto" w:fill="EFEDED"/>
          </w:tcPr>
          <w:p>
            <w:pPr>
              <w:spacing w:after="0"/>
              <w:rPr>
                <w:sz w:val="16"/>
                <w:szCs w:val="16"/>
                <w:color w:val="auto"/>
              </w:rPr>
            </w:pPr>
          </w:p>
        </w:tc>
        <w:tc>
          <w:tcPr>
            <w:tcW w:w="1140" w:type="dxa"/>
            <w:vAlign w:val="bottom"/>
            <w:shd w:val="clear" w:color="auto" w:fill="EFEDED"/>
          </w:tcPr>
          <w:p>
            <w:pPr>
              <w:spacing w:after="0"/>
              <w:rPr>
                <w:sz w:val="16"/>
                <w:szCs w:val="16"/>
                <w:color w:val="auto"/>
              </w:rPr>
            </w:pPr>
          </w:p>
        </w:tc>
        <w:tc>
          <w:tcPr>
            <w:tcW w:w="640" w:type="dxa"/>
            <w:vAlign w:val="bottom"/>
            <w:shd w:val="clear" w:color="auto" w:fill="EFEDED"/>
          </w:tcPr>
          <w:p>
            <w:pPr>
              <w:spacing w:after="0"/>
              <w:rPr>
                <w:sz w:val="16"/>
                <w:szCs w:val="16"/>
                <w:color w:val="auto"/>
              </w:rPr>
            </w:pPr>
          </w:p>
        </w:tc>
        <w:tc>
          <w:tcPr>
            <w:tcW w:w="1160" w:type="dxa"/>
            <w:vAlign w:val="bottom"/>
            <w:shd w:val="clear" w:color="auto" w:fill="EFEDED"/>
          </w:tcPr>
          <w:p>
            <w:pPr>
              <w:spacing w:after="0"/>
              <w:rPr>
                <w:sz w:val="16"/>
                <w:szCs w:val="16"/>
                <w:color w:val="auto"/>
              </w:rPr>
            </w:pPr>
          </w:p>
        </w:tc>
      </w:tr>
      <w:tr>
        <w:trPr>
          <w:trHeight w:val="186"/>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shd w:val="clear" w:color="auto" w:fill="EFEDED"/>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78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2,820,000</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1,062,228</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1,062,228</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1,062,228</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10"/>
        </w:trPr>
        <w:tc>
          <w:tcPr>
            <w:tcW w:w="412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Borders>
              <w:bottom w:val="single" w:sz="8" w:color="EFEDED"/>
            </w:tcBorders>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1,062,228</w:t>
            </w:r>
          </w:p>
        </w:tc>
        <w:tc>
          <w:tcPr>
            <w:tcW w:w="66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1,062,228</w:t>
            </w:r>
          </w:p>
        </w:tc>
        <w:tc>
          <w:tcPr>
            <w:tcW w:w="64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3,882,228</w:t>
            </w:r>
          </w:p>
        </w:tc>
      </w:tr>
      <w:tr>
        <w:trPr>
          <w:trHeight w:val="181"/>
        </w:trPr>
        <w:tc>
          <w:tcPr>
            <w:tcW w:w="4120" w:type="dxa"/>
            <w:vAlign w:val="bottom"/>
          </w:tcPr>
          <w:p>
            <w:pPr>
              <w:ind w:left="100"/>
              <w:spacing w:after="0"/>
              <w:rPr>
                <w:sz w:val="20"/>
                <w:szCs w:val="20"/>
                <w:color w:val="auto"/>
              </w:rPr>
            </w:pPr>
            <w:r>
              <w:rPr>
                <w:rFonts w:ascii="Arial" w:cs="Arial" w:eastAsia="Arial" w:hAnsi="Arial"/>
                <w:sz w:val="13"/>
                <w:szCs w:val="13"/>
                <w:b w:val="1"/>
                <w:bCs w:val="1"/>
                <w:color w:val="58595B"/>
              </w:rPr>
              <w:t>Jeffrey Mosebrook</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7"/>
        </w:trPr>
        <w:tc>
          <w:tcPr>
            <w:tcW w:w="412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tcPr>
          <w:p>
            <w:pPr>
              <w:jc w:val="right"/>
              <w:ind w:right="477"/>
              <w:spacing w:after="0"/>
              <w:rPr>
                <w:sz w:val="20"/>
                <w:szCs w:val="20"/>
                <w:color w:val="auto"/>
              </w:rPr>
            </w:pPr>
            <w:r>
              <w:rPr>
                <w:rFonts w:ascii="Arial" w:cs="Arial" w:eastAsia="Arial" w:hAnsi="Arial"/>
                <w:sz w:val="13"/>
                <w:szCs w:val="13"/>
                <w:color w:val="58595B"/>
              </w:rPr>
              <w:t>— $</w:t>
            </w:r>
          </w:p>
        </w:tc>
        <w:tc>
          <w:tcPr>
            <w:tcW w:w="1780" w:type="dxa"/>
            <w:vAlign w:val="bottom"/>
            <w:gridSpan w:val="2"/>
          </w:tcPr>
          <w:p>
            <w:pPr>
              <w:jc w:val="right"/>
              <w:ind w:right="477"/>
              <w:spacing w:after="0"/>
              <w:rPr>
                <w:sz w:val="20"/>
                <w:szCs w:val="20"/>
                <w:color w:val="auto"/>
              </w:rPr>
            </w:pPr>
            <w:r>
              <w:rPr>
                <w:rFonts w:ascii="Arial" w:cs="Arial" w:eastAsia="Arial" w:hAnsi="Arial"/>
                <w:sz w:val="13"/>
                <w:szCs w:val="13"/>
                <w:color w:val="58595B"/>
              </w:rPr>
              <w:t>— $</w:t>
            </w:r>
          </w:p>
        </w:tc>
        <w:tc>
          <w:tcPr>
            <w:tcW w:w="1160" w:type="dxa"/>
            <w:vAlign w:val="bottom"/>
          </w:tcPr>
          <w:p>
            <w:pPr>
              <w:jc w:val="right"/>
              <w:spacing w:after="0"/>
              <w:rPr>
                <w:sz w:val="20"/>
                <w:szCs w:val="20"/>
                <w:color w:val="auto"/>
              </w:rPr>
            </w:pPr>
            <w:r>
              <w:rPr>
                <w:rFonts w:ascii="Arial" w:cs="Arial" w:eastAsia="Arial" w:hAnsi="Arial"/>
                <w:sz w:val="13"/>
                <w:szCs w:val="13"/>
                <w:color w:val="58595B"/>
              </w:rPr>
              <w:t>902,500</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33,400</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136</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136</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136</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707,383</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707,383</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860,504</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707,519</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707,519</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1,796,540</w:t>
            </w:r>
          </w:p>
        </w:tc>
      </w:tr>
      <w:tr>
        <w:trPr>
          <w:trHeight w:val="28"/>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1"/>
        </w:trPr>
        <w:tc>
          <w:tcPr>
            <w:tcW w:w="4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Robert T. Davis, Jr.</w:t>
            </w:r>
          </w:p>
        </w:tc>
        <w:tc>
          <w:tcPr>
            <w:tcW w:w="100" w:type="dxa"/>
            <w:vAlign w:val="bottom"/>
            <w:shd w:val="clear" w:color="auto" w:fill="EFEDED"/>
          </w:tcPr>
          <w:p>
            <w:pPr>
              <w:spacing w:after="0"/>
              <w:rPr>
                <w:sz w:val="15"/>
                <w:szCs w:val="15"/>
                <w:color w:val="auto"/>
              </w:rPr>
            </w:pPr>
          </w:p>
        </w:tc>
        <w:tc>
          <w:tcPr>
            <w:tcW w:w="164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64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1140" w:type="dxa"/>
            <w:vAlign w:val="bottom"/>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r>
      <w:tr>
        <w:trPr>
          <w:trHeight w:val="197"/>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shd w:val="clear" w:color="auto" w:fill="EFEDED"/>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78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1,577,202</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22,306</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636</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636</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636</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525,561</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525,561</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1,229,591</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10"/>
        </w:trPr>
        <w:tc>
          <w:tcPr>
            <w:tcW w:w="412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Borders>
              <w:bottom w:val="single" w:sz="8" w:color="EFEDED"/>
            </w:tcBorders>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526,197</w:t>
            </w:r>
          </w:p>
        </w:tc>
        <w:tc>
          <w:tcPr>
            <w:tcW w:w="66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526,197</w:t>
            </w:r>
          </w:p>
        </w:tc>
        <w:tc>
          <w:tcPr>
            <w:tcW w:w="64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2,829,735</w:t>
            </w:r>
          </w:p>
        </w:tc>
      </w:tr>
      <w:tr>
        <w:trPr>
          <w:trHeight w:val="181"/>
        </w:trPr>
        <w:tc>
          <w:tcPr>
            <w:tcW w:w="4120" w:type="dxa"/>
            <w:vAlign w:val="bottom"/>
          </w:tcPr>
          <w:p>
            <w:pPr>
              <w:ind w:left="100"/>
              <w:spacing w:after="0"/>
              <w:rPr>
                <w:sz w:val="20"/>
                <w:szCs w:val="20"/>
                <w:color w:val="auto"/>
              </w:rPr>
            </w:pPr>
            <w:r>
              <w:rPr>
                <w:rFonts w:ascii="Arial" w:cs="Arial" w:eastAsia="Arial" w:hAnsi="Arial"/>
                <w:sz w:val="13"/>
                <w:szCs w:val="13"/>
                <w:b w:val="1"/>
                <w:bCs w:val="1"/>
                <w:color w:val="58595B"/>
              </w:rPr>
              <w:t>Michael J. McBreen</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7"/>
        </w:trPr>
        <w:tc>
          <w:tcPr>
            <w:tcW w:w="4120" w:type="dxa"/>
            <w:vAlign w:val="bottom"/>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tcPr>
          <w:p>
            <w:pPr>
              <w:jc w:val="right"/>
              <w:ind w:right="477"/>
              <w:spacing w:after="0"/>
              <w:rPr>
                <w:sz w:val="20"/>
                <w:szCs w:val="20"/>
                <w:color w:val="auto"/>
              </w:rPr>
            </w:pPr>
            <w:r>
              <w:rPr>
                <w:rFonts w:ascii="Arial" w:cs="Arial" w:eastAsia="Arial" w:hAnsi="Arial"/>
                <w:sz w:val="13"/>
                <w:szCs w:val="13"/>
                <w:color w:val="58595B"/>
              </w:rPr>
              <w:t>— $</w:t>
            </w:r>
          </w:p>
        </w:tc>
        <w:tc>
          <w:tcPr>
            <w:tcW w:w="1780" w:type="dxa"/>
            <w:vAlign w:val="bottom"/>
            <w:gridSpan w:val="2"/>
          </w:tcPr>
          <w:p>
            <w:pPr>
              <w:jc w:val="right"/>
              <w:ind w:right="477"/>
              <w:spacing w:after="0"/>
              <w:rPr>
                <w:sz w:val="20"/>
                <w:szCs w:val="20"/>
                <w:color w:val="auto"/>
              </w:rPr>
            </w:pPr>
            <w:r>
              <w:rPr>
                <w:rFonts w:ascii="Arial" w:cs="Arial" w:eastAsia="Arial" w:hAnsi="Arial"/>
                <w:sz w:val="13"/>
                <w:szCs w:val="13"/>
                <w:color w:val="58595B"/>
              </w:rPr>
              <w:t>— $</w:t>
            </w:r>
          </w:p>
        </w:tc>
        <w:tc>
          <w:tcPr>
            <w:tcW w:w="1160" w:type="dxa"/>
            <w:vAlign w:val="bottom"/>
          </w:tcPr>
          <w:p>
            <w:pPr>
              <w:jc w:val="right"/>
              <w:spacing w:after="0"/>
              <w:rPr>
                <w:sz w:val="20"/>
                <w:szCs w:val="20"/>
                <w:color w:val="auto"/>
              </w:rPr>
            </w:pPr>
            <w:r>
              <w:rPr>
                <w:rFonts w:ascii="Arial" w:cs="Arial" w:eastAsia="Arial" w:hAnsi="Arial"/>
                <w:sz w:val="13"/>
                <w:szCs w:val="13"/>
                <w:color w:val="58595B"/>
              </w:rPr>
              <w:t>2,265,625</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889</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392</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392</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392</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1,240,435</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1,240,435</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2,279,886</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203"/>
        </w:trPr>
        <w:tc>
          <w:tcPr>
            <w:tcW w:w="4120" w:type="dxa"/>
            <w:vAlign w:val="bottom"/>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Pr>
          <w:p>
            <w:pPr>
              <w:jc w:val="right"/>
              <w:spacing w:after="0"/>
              <w:rPr>
                <w:sz w:val="20"/>
                <w:szCs w:val="20"/>
                <w:color w:val="auto"/>
              </w:rPr>
            </w:pPr>
            <w:r>
              <w:rPr>
                <w:rFonts w:ascii="Arial" w:cs="Arial" w:eastAsia="Arial" w:hAnsi="Arial"/>
                <w:sz w:val="13"/>
                <w:szCs w:val="13"/>
                <w:color w:val="58595B"/>
              </w:rPr>
              <w:t>1,240,827</w:t>
            </w:r>
          </w:p>
        </w:tc>
        <w:tc>
          <w:tcPr>
            <w:tcW w:w="66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Pr>
          <w:p>
            <w:pPr>
              <w:jc w:val="right"/>
              <w:spacing w:after="0"/>
              <w:rPr>
                <w:sz w:val="20"/>
                <w:szCs w:val="20"/>
                <w:color w:val="auto"/>
              </w:rPr>
            </w:pPr>
            <w:r>
              <w:rPr>
                <w:rFonts w:ascii="Arial" w:cs="Arial" w:eastAsia="Arial" w:hAnsi="Arial"/>
                <w:sz w:val="13"/>
                <w:szCs w:val="13"/>
                <w:color w:val="58595B"/>
              </w:rPr>
              <w:t>1,240,827</w:t>
            </w:r>
          </w:p>
        </w:tc>
        <w:tc>
          <w:tcPr>
            <w:tcW w:w="640" w:type="dxa"/>
            <w:vAlign w:val="bottom"/>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Pr>
          <w:p>
            <w:pPr>
              <w:jc w:val="right"/>
              <w:spacing w:after="0"/>
              <w:rPr>
                <w:sz w:val="20"/>
                <w:szCs w:val="20"/>
                <w:color w:val="auto"/>
              </w:rPr>
            </w:pPr>
            <w:r>
              <w:rPr>
                <w:rFonts w:ascii="Arial" w:cs="Arial" w:eastAsia="Arial" w:hAnsi="Arial"/>
                <w:sz w:val="13"/>
                <w:szCs w:val="13"/>
                <w:color w:val="58595B"/>
              </w:rPr>
              <w:t>4,546,792</w:t>
            </w:r>
          </w:p>
        </w:tc>
      </w:tr>
      <w:tr>
        <w:trPr>
          <w:trHeight w:val="28"/>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1"/>
        </w:trPr>
        <w:tc>
          <w:tcPr>
            <w:tcW w:w="4120" w:type="dxa"/>
            <w:vAlign w:val="bottom"/>
            <w:shd w:val="clear" w:color="auto" w:fill="EFEDED"/>
          </w:tcPr>
          <w:p>
            <w:pPr>
              <w:ind w:left="100"/>
              <w:spacing w:after="0"/>
              <w:rPr>
                <w:sz w:val="20"/>
                <w:szCs w:val="20"/>
                <w:color w:val="auto"/>
              </w:rPr>
            </w:pPr>
            <w:r>
              <w:rPr>
                <w:rFonts w:ascii="Arial" w:cs="Arial" w:eastAsia="Arial" w:hAnsi="Arial"/>
                <w:sz w:val="13"/>
                <w:szCs w:val="13"/>
                <w:b w:val="1"/>
                <w:bCs w:val="1"/>
                <w:color w:val="58595B"/>
              </w:rPr>
              <w:t>Eric I. Schwartz</w:t>
            </w:r>
          </w:p>
        </w:tc>
        <w:tc>
          <w:tcPr>
            <w:tcW w:w="100" w:type="dxa"/>
            <w:vAlign w:val="bottom"/>
            <w:shd w:val="clear" w:color="auto" w:fill="EFEDED"/>
          </w:tcPr>
          <w:p>
            <w:pPr>
              <w:spacing w:after="0"/>
              <w:rPr>
                <w:sz w:val="15"/>
                <w:szCs w:val="15"/>
                <w:color w:val="auto"/>
              </w:rPr>
            </w:pPr>
          </w:p>
        </w:tc>
        <w:tc>
          <w:tcPr>
            <w:tcW w:w="1640" w:type="dxa"/>
            <w:vAlign w:val="bottom"/>
            <w:shd w:val="clear" w:color="auto" w:fill="EFEDED"/>
          </w:tcPr>
          <w:p>
            <w:pPr>
              <w:spacing w:after="0"/>
              <w:rPr>
                <w:sz w:val="15"/>
                <w:szCs w:val="15"/>
                <w:color w:val="auto"/>
              </w:rPr>
            </w:pPr>
          </w:p>
        </w:tc>
        <w:tc>
          <w:tcPr>
            <w:tcW w:w="140" w:type="dxa"/>
            <w:vAlign w:val="bottom"/>
            <w:shd w:val="clear" w:color="auto" w:fill="EFEDED"/>
          </w:tcPr>
          <w:p>
            <w:pPr>
              <w:spacing w:after="0"/>
              <w:rPr>
                <w:sz w:val="15"/>
                <w:szCs w:val="15"/>
                <w:color w:val="auto"/>
              </w:rPr>
            </w:pPr>
          </w:p>
        </w:tc>
        <w:tc>
          <w:tcPr>
            <w:tcW w:w="1640" w:type="dxa"/>
            <w:vAlign w:val="bottom"/>
            <w:shd w:val="clear" w:color="auto" w:fill="EFEDED"/>
          </w:tcPr>
          <w:p>
            <w:pPr>
              <w:spacing w:after="0"/>
              <w:rPr>
                <w:sz w:val="15"/>
                <w:szCs w:val="15"/>
                <w:color w:val="auto"/>
              </w:rPr>
            </w:pPr>
          </w:p>
        </w:tc>
        <w:tc>
          <w:tcPr>
            <w:tcW w:w="660" w:type="dxa"/>
            <w:vAlign w:val="bottom"/>
            <w:shd w:val="clear" w:color="auto" w:fill="EFEDED"/>
          </w:tcPr>
          <w:p>
            <w:pPr>
              <w:spacing w:after="0"/>
              <w:rPr>
                <w:sz w:val="15"/>
                <w:szCs w:val="15"/>
                <w:color w:val="auto"/>
              </w:rPr>
            </w:pPr>
          </w:p>
        </w:tc>
        <w:tc>
          <w:tcPr>
            <w:tcW w:w="1140" w:type="dxa"/>
            <w:vAlign w:val="bottom"/>
            <w:shd w:val="clear" w:color="auto" w:fill="EFEDED"/>
          </w:tcPr>
          <w:p>
            <w:pPr>
              <w:spacing w:after="0"/>
              <w:rPr>
                <w:sz w:val="15"/>
                <w:szCs w:val="15"/>
                <w:color w:val="auto"/>
              </w:rPr>
            </w:pPr>
          </w:p>
        </w:tc>
        <w:tc>
          <w:tcPr>
            <w:tcW w:w="640" w:type="dxa"/>
            <w:vAlign w:val="bottom"/>
            <w:shd w:val="clear" w:color="auto" w:fill="EFEDED"/>
          </w:tcPr>
          <w:p>
            <w:pPr>
              <w:spacing w:after="0"/>
              <w:rPr>
                <w:sz w:val="15"/>
                <w:szCs w:val="15"/>
                <w:color w:val="auto"/>
              </w:rPr>
            </w:pPr>
          </w:p>
        </w:tc>
        <w:tc>
          <w:tcPr>
            <w:tcW w:w="1160" w:type="dxa"/>
            <w:vAlign w:val="bottom"/>
            <w:shd w:val="clear" w:color="auto" w:fill="EFEDED"/>
          </w:tcPr>
          <w:p>
            <w:pPr>
              <w:spacing w:after="0"/>
              <w:rPr>
                <w:sz w:val="15"/>
                <w:szCs w:val="15"/>
                <w:color w:val="auto"/>
              </w:rPr>
            </w:pPr>
          </w:p>
        </w:tc>
      </w:tr>
      <w:tr>
        <w:trPr>
          <w:trHeight w:val="197"/>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Cash Severance</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780" w:type="dxa"/>
            <w:vAlign w:val="bottom"/>
            <w:gridSpan w:val="2"/>
            <w:shd w:val="clear" w:color="auto" w:fill="EFEDED"/>
          </w:tcPr>
          <w:p>
            <w:pPr>
              <w:jc w:val="right"/>
              <w:spacing w:after="0"/>
              <w:rPr>
                <w:sz w:val="20"/>
                <w:szCs w:val="20"/>
                <w:color w:val="auto"/>
              </w:rPr>
            </w:pPr>
            <w:r>
              <w:rPr>
                <w:rFonts w:ascii="Arial" w:cs="Arial" w:eastAsia="Arial" w:hAnsi="Arial"/>
                <w:sz w:val="13"/>
                <w:szCs w:val="13"/>
                <w:color w:val="58595B"/>
              </w:rPr>
              <w:t>— $</w:t>
            </w:r>
          </w:p>
        </w:tc>
        <w:tc>
          <w:tcPr>
            <w:tcW w:w="230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780" w:type="dxa"/>
            <w:vAlign w:val="bottom"/>
            <w:gridSpan w:val="2"/>
            <w:shd w:val="clear" w:color="auto" w:fill="EFEDED"/>
          </w:tcPr>
          <w:p>
            <w:pPr>
              <w:jc w:val="right"/>
              <w:ind w:right="477"/>
              <w:spacing w:after="0"/>
              <w:rPr>
                <w:sz w:val="20"/>
                <w:szCs w:val="20"/>
                <w:color w:val="auto"/>
              </w:rPr>
            </w:pPr>
            <w:r>
              <w:rPr>
                <w:rFonts w:ascii="Arial" w:cs="Arial" w:eastAsia="Arial" w:hAnsi="Arial"/>
                <w:sz w:val="13"/>
                <w:szCs w:val="13"/>
                <w:color w:val="58595B"/>
              </w:rPr>
              <w:t>— $</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1,756,586</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Continued Health &amp; Other Benefits(1)</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38,765</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Stock Options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576</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576</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576</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Acceleration of Other Grants</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542,241</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542,241</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1,655,248</w:t>
            </w:r>
          </w:p>
        </w:tc>
      </w:tr>
      <w:tr>
        <w:trPr>
          <w:trHeight w:val="203"/>
        </w:trPr>
        <w:tc>
          <w:tcPr>
            <w:tcW w:w="4120" w:type="dxa"/>
            <w:vAlign w:val="bottom"/>
            <w:shd w:val="clear" w:color="auto" w:fill="EFEDED"/>
          </w:tcPr>
          <w:p>
            <w:pPr>
              <w:ind w:left="260"/>
              <w:spacing w:after="0"/>
              <w:rPr>
                <w:sz w:val="20"/>
                <w:szCs w:val="20"/>
                <w:color w:val="auto"/>
              </w:rPr>
            </w:pPr>
            <w:r>
              <w:rPr>
                <w:rFonts w:ascii="Arial" w:cs="Arial" w:eastAsia="Arial" w:hAnsi="Arial"/>
                <w:sz w:val="13"/>
                <w:szCs w:val="13"/>
                <w:color w:val="58595B"/>
              </w:rPr>
              <w:t>Fees/Interest</w:t>
            </w:r>
          </w:p>
        </w:tc>
        <w:tc>
          <w:tcPr>
            <w:tcW w:w="100" w:type="dxa"/>
            <w:vAlign w:val="bottom"/>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6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640" w:type="dxa"/>
            <w:vAlign w:val="bottom"/>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shd w:val="clear" w:color="auto" w:fill="EFEDED"/>
          </w:tcPr>
          <w:p>
            <w:pPr>
              <w:jc w:val="right"/>
              <w:spacing w:after="0"/>
              <w:rPr>
                <w:sz w:val="20"/>
                <w:szCs w:val="20"/>
                <w:color w:val="auto"/>
              </w:rPr>
            </w:pPr>
            <w:r>
              <w:rPr>
                <w:rFonts w:ascii="Arial" w:cs="Arial" w:eastAsia="Arial" w:hAnsi="Arial"/>
                <w:sz w:val="13"/>
                <w:szCs w:val="13"/>
                <w:color w:val="58595B"/>
              </w:rPr>
              <w:t>—</w:t>
            </w:r>
          </w:p>
        </w:tc>
      </w:tr>
      <w:tr>
        <w:trPr>
          <w:trHeight w:val="210"/>
        </w:trPr>
        <w:tc>
          <w:tcPr>
            <w:tcW w:w="412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3"/>
                <w:szCs w:val="13"/>
                <w:color w:val="58595B"/>
              </w:rPr>
              <w:t>Total</w:t>
            </w:r>
          </w:p>
        </w:tc>
        <w:tc>
          <w:tcPr>
            <w:tcW w:w="10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w w:val="82"/>
              </w:rPr>
              <w:t>$</w:t>
            </w:r>
          </w:p>
        </w:tc>
        <w:tc>
          <w:tcPr>
            <w:tcW w:w="1640" w:type="dxa"/>
            <w:vAlign w:val="bottom"/>
            <w:tcBorders>
              <w:bottom w:val="single" w:sz="8" w:color="EFEDED"/>
            </w:tcBorders>
            <w:shd w:val="clear" w:color="auto" w:fill="EFEDED"/>
          </w:tcPr>
          <w:p>
            <w:pPr>
              <w:ind w:left="1480"/>
              <w:spacing w:after="0"/>
              <w:rPr>
                <w:sz w:val="20"/>
                <w:szCs w:val="20"/>
                <w:color w:val="auto"/>
              </w:rPr>
            </w:pPr>
            <w:r>
              <w:rPr>
                <w:rFonts w:ascii="Arial" w:cs="Arial" w:eastAsia="Arial" w:hAnsi="Arial"/>
                <w:sz w:val="13"/>
                <w:szCs w:val="13"/>
                <w:color w:val="58595B"/>
              </w:rPr>
              <w:t>—</w:t>
            </w:r>
          </w:p>
        </w:tc>
        <w:tc>
          <w:tcPr>
            <w:tcW w:w="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w:t>
            </w:r>
          </w:p>
        </w:tc>
        <w:tc>
          <w:tcPr>
            <w:tcW w:w="16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542,817</w:t>
            </w:r>
          </w:p>
        </w:tc>
        <w:tc>
          <w:tcPr>
            <w:tcW w:w="66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542,817</w:t>
            </w:r>
          </w:p>
        </w:tc>
        <w:tc>
          <w:tcPr>
            <w:tcW w:w="640" w:type="dxa"/>
            <w:vAlign w:val="bottom"/>
            <w:tcBorders>
              <w:bottom w:val="single" w:sz="8" w:color="EFEDED"/>
            </w:tcBorders>
            <w:shd w:val="clear" w:color="auto" w:fill="EFEDED"/>
          </w:tcPr>
          <w:p>
            <w:pPr>
              <w:jc w:val="right"/>
              <w:ind w:right="477"/>
              <w:spacing w:after="0"/>
              <w:rPr>
                <w:sz w:val="20"/>
                <w:szCs w:val="20"/>
                <w:color w:val="auto"/>
              </w:rPr>
            </w:pPr>
            <w:r>
              <w:rPr>
                <w:rFonts w:ascii="Arial" w:cs="Arial" w:eastAsia="Arial" w:hAnsi="Arial"/>
                <w:sz w:val="13"/>
                <w:szCs w:val="13"/>
                <w:color w:val="58595B"/>
              </w:rPr>
              <w:t>$</w:t>
            </w:r>
          </w:p>
        </w:tc>
        <w:tc>
          <w:tcPr>
            <w:tcW w:w="11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3"/>
                <w:szCs w:val="13"/>
                <w:color w:val="58595B"/>
              </w:rPr>
              <w:t>3,451,175</w:t>
            </w:r>
          </w:p>
        </w:tc>
      </w:tr>
      <w:tr>
        <w:trPr>
          <w:trHeight w:val="20"/>
        </w:trPr>
        <w:tc>
          <w:tcPr>
            <w:tcW w:w="4120" w:type="dxa"/>
            <w:vAlign w:val="bottom"/>
            <w:shd w:val="clear" w:color="auto" w:fill="58595B"/>
          </w:tcPr>
          <w:p>
            <w:pPr>
              <w:spacing w:after="0" w:line="20" w:lineRule="exact"/>
              <w:rPr>
                <w:sz w:val="1"/>
                <w:szCs w:val="1"/>
                <w:color w:val="auto"/>
              </w:rPr>
            </w:pPr>
          </w:p>
        </w:tc>
        <w:tc>
          <w:tcPr>
            <w:tcW w:w="100" w:type="dxa"/>
            <w:vAlign w:val="bottom"/>
            <w:shd w:val="clear" w:color="auto" w:fill="58595B"/>
          </w:tcPr>
          <w:p>
            <w:pPr>
              <w:spacing w:after="0" w:line="20" w:lineRule="exact"/>
              <w:rPr>
                <w:sz w:val="1"/>
                <w:szCs w:val="1"/>
                <w:color w:val="auto"/>
              </w:rPr>
            </w:pPr>
          </w:p>
        </w:tc>
        <w:tc>
          <w:tcPr>
            <w:tcW w:w="1640" w:type="dxa"/>
            <w:vAlign w:val="bottom"/>
            <w:shd w:val="clear" w:color="auto" w:fill="58595B"/>
          </w:tcPr>
          <w:p>
            <w:pPr>
              <w:spacing w:after="0" w:line="20" w:lineRule="exact"/>
              <w:rPr>
                <w:sz w:val="1"/>
                <w:szCs w:val="1"/>
                <w:color w:val="auto"/>
              </w:rPr>
            </w:pPr>
          </w:p>
        </w:tc>
        <w:tc>
          <w:tcPr>
            <w:tcW w:w="140" w:type="dxa"/>
            <w:vAlign w:val="bottom"/>
            <w:shd w:val="clear" w:color="auto" w:fill="58595B"/>
          </w:tcPr>
          <w:p>
            <w:pPr>
              <w:spacing w:after="0" w:line="20" w:lineRule="exact"/>
              <w:rPr>
                <w:sz w:val="1"/>
                <w:szCs w:val="1"/>
                <w:color w:val="auto"/>
              </w:rPr>
            </w:pPr>
          </w:p>
        </w:tc>
        <w:tc>
          <w:tcPr>
            <w:tcW w:w="1640" w:type="dxa"/>
            <w:vAlign w:val="bottom"/>
            <w:shd w:val="clear" w:color="auto" w:fill="58595B"/>
          </w:tcPr>
          <w:p>
            <w:pPr>
              <w:spacing w:after="0" w:line="20" w:lineRule="exact"/>
              <w:rPr>
                <w:sz w:val="1"/>
                <w:szCs w:val="1"/>
                <w:color w:val="auto"/>
              </w:rPr>
            </w:pPr>
          </w:p>
        </w:tc>
        <w:tc>
          <w:tcPr>
            <w:tcW w:w="660" w:type="dxa"/>
            <w:vAlign w:val="bottom"/>
            <w:shd w:val="clear" w:color="auto" w:fill="58595B"/>
          </w:tcPr>
          <w:p>
            <w:pPr>
              <w:spacing w:after="0" w:line="20" w:lineRule="exact"/>
              <w:rPr>
                <w:sz w:val="1"/>
                <w:szCs w:val="1"/>
                <w:color w:val="auto"/>
              </w:rPr>
            </w:pPr>
          </w:p>
        </w:tc>
        <w:tc>
          <w:tcPr>
            <w:tcW w:w="1140" w:type="dxa"/>
            <w:vAlign w:val="bottom"/>
            <w:shd w:val="clear" w:color="auto" w:fill="58595B"/>
          </w:tcPr>
          <w:p>
            <w:pPr>
              <w:spacing w:after="0" w:line="20" w:lineRule="exact"/>
              <w:rPr>
                <w:sz w:val="1"/>
                <w:szCs w:val="1"/>
                <w:color w:val="auto"/>
              </w:rPr>
            </w:pPr>
          </w:p>
        </w:tc>
        <w:tc>
          <w:tcPr>
            <w:tcW w:w="640" w:type="dxa"/>
            <w:vAlign w:val="bottom"/>
            <w:shd w:val="clear" w:color="auto" w:fill="58595B"/>
          </w:tcPr>
          <w:p>
            <w:pPr>
              <w:spacing w:after="0" w:line="20" w:lineRule="exact"/>
              <w:rPr>
                <w:sz w:val="1"/>
                <w:szCs w:val="1"/>
                <w:color w:val="auto"/>
              </w:rPr>
            </w:pPr>
          </w:p>
        </w:tc>
        <w:tc>
          <w:tcPr>
            <w:tcW w:w="1160" w:type="dxa"/>
            <w:vAlign w:val="bottom"/>
            <w:shd w:val="clear" w:color="auto" w:fill="58595B"/>
          </w:tcPr>
          <w:p>
            <w:pPr>
              <w:spacing w:after="0" w:line="20" w:lineRule="exact"/>
              <w:rPr>
                <w:sz w:val="1"/>
                <w:szCs w:val="1"/>
                <w:color w:val="auto"/>
              </w:rPr>
            </w:pPr>
          </w:p>
        </w:tc>
      </w:tr>
    </w:tbl>
    <w:p>
      <w:pPr>
        <w:spacing w:after="0" w:line="139" w:lineRule="exact"/>
        <w:rPr>
          <w:sz w:val="20"/>
          <w:szCs w:val="20"/>
          <w:color w:val="auto"/>
        </w:rPr>
      </w:pPr>
    </w:p>
    <w:p>
      <w:pPr>
        <w:ind w:left="340" w:right="120" w:hanging="332"/>
        <w:spacing w:after="0" w:line="273"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Company will pay Mr. De Witte the monthly premium cost of COBRA family health coverage for up to 18 months following Mr. De Witte’s termination date. The Company will pay Messrs. Davis, McBreen, Mosebrook and Schwartz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17" w:lineRule="exact"/>
        <w:rPr>
          <w:rFonts w:ascii="Arial" w:cs="Arial" w:eastAsia="Arial" w:hAnsi="Arial"/>
          <w:sz w:val="14"/>
          <w:szCs w:val="14"/>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information on vested and deferred restricted stock units, see the Nonqualified Deferred Compensation table. The value of vested awards is not included in this table.</w:t>
      </w:r>
    </w:p>
    <w:p>
      <w:pPr>
        <w:spacing w:after="0" w:line="68" w:lineRule="exact"/>
        <w:rPr>
          <w:rFonts w:ascii="Arial" w:cs="Arial" w:eastAsia="Arial" w:hAnsi="Arial"/>
          <w:sz w:val="14"/>
          <w:szCs w:val="14"/>
          <w:color w:val="auto"/>
        </w:rPr>
      </w:pPr>
    </w:p>
    <w:p>
      <w:pPr>
        <w:ind w:left="340" w:right="40" w:hanging="332"/>
        <w:spacing w:after="0" w:line="305" w:lineRule="auto"/>
        <w:tabs>
          <w:tab w:leader="none" w:pos="338"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De Witte, the amount shown represents the interest on his severance payment (cash severance plus premium cost for health benefits) if it is required to be delayed for six months because of the application of section 409A of the Code, with such interest applied at the rate of 5.22% compounded monthly.</w:t>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Resignation of Ms. Anderson</w:t>
      </w:r>
    </w:p>
    <w:p>
      <w:pPr>
        <w:spacing w:after="0" w:line="81"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Effective February 2, 2023, Ms. Anderson resigned as Chief Financial Officer. Pursuant to her Change in Control Severance Agreement, Ms. Anderson did not receive any other payments or benefits in connection with her resignation. Ms. Anderson forfeited all outstanding unvested equity awards on February 2, 2023. She was not eligible for the annual cash bonus payout in March 2023 and annual equity award granted in March 2023.</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845"/>
        </w:rPr>
        <w:t>CEO Pay Ratio Disclosure</w:t>
      </w:r>
    </w:p>
    <w:p>
      <w:pPr>
        <w:spacing w:after="0" w:line="207" w:lineRule="exact"/>
        <w:rPr>
          <w:sz w:val="20"/>
          <w:szCs w:val="20"/>
          <w:color w:val="auto"/>
        </w:rPr>
      </w:pPr>
    </w:p>
    <w:p>
      <w:pPr>
        <w:ind w:right="720"/>
        <w:spacing w:after="0" w:line="339" w:lineRule="auto"/>
        <w:rPr>
          <w:sz w:val="20"/>
          <w:szCs w:val="20"/>
          <w:color w:val="auto"/>
        </w:rPr>
      </w:pPr>
      <w:r>
        <w:rPr>
          <w:rFonts w:ascii="Arial" w:cs="Arial" w:eastAsia="Arial" w:hAnsi="Arial"/>
          <w:sz w:val="16"/>
          <w:szCs w:val="16"/>
          <w:color w:val="58595B"/>
        </w:rPr>
        <w:t>As is permitted under the SEC rules, we utilized the same 2022 median employee because there has been no substantive change in our employee population or employee compensation arrangements that we believe would result in a significant change to our pay ratio disclosure.</w:t>
      </w:r>
    </w:p>
    <w:p>
      <w:pPr>
        <w:spacing w:after="0" w:line="101"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The 2022 median employee's compensation was calculated consistently to prior year's compensation. We chose to use as our Consistently Applied Compensation Measure full year actual 2023 base pay earnings, bonus, commission and overtime. We determined that person’s Summary Compensation table total compensation was $83,894, and our CEO's compensation was $6,388,756. The ratio of CEO pay to median worker pay is 76:1.</w:t>
      </w:r>
    </w:p>
    <w:p>
      <w:pPr>
        <w:spacing w:after="0" w:line="123"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58595B"/>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our pay ratio disclosure is a reasonable estimate. In addition,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Pay Versus Performance Disclosure</w:t>
      </w:r>
    </w:p>
    <w:p>
      <w:pPr>
        <w:spacing w:after="0" w:line="193"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58595B"/>
        </w:rPr>
        <w:t>As described in more detail in the CD&amp;A section of this proxy statement, our executive compensation programs reflect a pay-for-performance philosophy with the majority of the President and CEO and other NEOs total compensation opportunity being "at-risk". We generally seek to incentivize long-term performance and do not specifically align annual performance measures with “compensation actually paid” (as computed in accordance with Item 402(v) of Regulation S-K) for a particular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2023 Pay Versus Performance Table</w:t>
      </w:r>
    </w:p>
    <w:p>
      <w:pPr>
        <w:spacing w:after="0" w:line="72"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The following table (the "PvP Table") reports the compensation of our Principal Executive Officer ("PEO") and the average compensation of the other Named Executive Officers ("Non-PEO NEOs") as reported in the Summary Compensation Table for the past four fiscal years, as well as their "compensation actually paid," as calculated pursuant to the recently adopted SEC rules and certain performance measures required by the rules. The disclosure in this section is not incorporated by reference to Part III of the Company's Annual Report on Form 10-K for the year ended December 31, 2023. The Compensation Committee did not consider the pay versus performance data presented below in making its pay decisions for any of the years shown.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 w:type="dxa"/>
            <w:vAlign w:val="bottom"/>
            <w:shd w:val="clear" w:color="auto" w:fill="EFEDED"/>
          </w:tcPr>
          <w:p>
            <w:pPr>
              <w:spacing w:after="0"/>
              <w:rPr>
                <w:sz w:val="13"/>
                <w:szCs w:val="13"/>
                <w:color w:val="auto"/>
              </w:rPr>
            </w:pPr>
          </w:p>
        </w:tc>
        <w:tc>
          <w:tcPr>
            <w:tcW w:w="110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1100" w:type="dxa"/>
            <w:vAlign w:val="bottom"/>
            <w:shd w:val="clear" w:color="auto" w:fill="EFEDED"/>
          </w:tcPr>
          <w:p>
            <w:pPr>
              <w:spacing w:after="0"/>
              <w:rPr>
                <w:sz w:val="13"/>
                <w:szCs w:val="13"/>
                <w:color w:val="auto"/>
              </w:rPr>
            </w:pPr>
          </w:p>
        </w:tc>
        <w:tc>
          <w:tcPr>
            <w:tcW w:w="1080" w:type="dxa"/>
            <w:vAlign w:val="bottom"/>
            <w:shd w:val="clear" w:color="auto" w:fill="EFEDED"/>
          </w:tcPr>
          <w:p>
            <w:pPr>
              <w:spacing w:after="0"/>
              <w:rPr>
                <w:sz w:val="13"/>
                <w:szCs w:val="13"/>
                <w:color w:val="auto"/>
              </w:rPr>
            </w:pPr>
          </w:p>
        </w:tc>
        <w:tc>
          <w:tcPr>
            <w:tcW w:w="1140" w:type="dxa"/>
            <w:vAlign w:val="bottom"/>
            <w:shd w:val="clear" w:color="auto" w:fill="EFEDED"/>
          </w:tcPr>
          <w:p>
            <w:pPr>
              <w:spacing w:after="0"/>
              <w:rPr>
                <w:sz w:val="13"/>
                <w:szCs w:val="13"/>
                <w:color w:val="auto"/>
              </w:rPr>
            </w:pPr>
          </w:p>
        </w:tc>
        <w:tc>
          <w:tcPr>
            <w:tcW w:w="1120" w:type="dxa"/>
            <w:vAlign w:val="bottom"/>
            <w:shd w:val="clear" w:color="auto" w:fill="EFEDED"/>
          </w:tcPr>
          <w:p>
            <w:pPr>
              <w:spacing w:after="0"/>
              <w:rPr>
                <w:sz w:val="13"/>
                <w:szCs w:val="13"/>
                <w:color w:val="auto"/>
              </w:rPr>
            </w:pPr>
          </w:p>
        </w:tc>
        <w:tc>
          <w:tcPr>
            <w:tcW w:w="200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Value of Initial Fixed</w:t>
            </w:r>
          </w:p>
        </w:tc>
        <w:tc>
          <w:tcPr>
            <w:tcW w:w="900" w:type="dxa"/>
            <w:vAlign w:val="bottom"/>
            <w:shd w:val="clear" w:color="auto" w:fill="EFEDED"/>
          </w:tcPr>
          <w:p>
            <w:pPr>
              <w:spacing w:after="0"/>
              <w:rPr>
                <w:sz w:val="13"/>
                <w:szCs w:val="13"/>
                <w:color w:val="auto"/>
              </w:rPr>
            </w:pPr>
          </w:p>
        </w:tc>
        <w:tc>
          <w:tcPr>
            <w:tcW w:w="96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Company-</w:t>
            </w:r>
          </w:p>
        </w:tc>
        <w:tc>
          <w:tcPr>
            <w:tcW w:w="0" w:type="dxa"/>
            <w:vAlign w:val="bottom"/>
          </w:tcPr>
          <w:p>
            <w:pPr>
              <w:spacing w:after="0"/>
              <w:rPr>
                <w:sz w:val="1"/>
                <w:szCs w:val="1"/>
                <w:color w:val="auto"/>
              </w:rPr>
            </w:pPr>
          </w:p>
        </w:tc>
      </w:tr>
      <w:tr>
        <w:trPr>
          <w:trHeight w:val="81"/>
        </w:trPr>
        <w:tc>
          <w:tcPr>
            <w:tcW w:w="760" w:type="dxa"/>
            <w:vAlign w:val="bottom"/>
            <w:shd w:val="clear" w:color="auto" w:fill="EFEDED"/>
          </w:tcPr>
          <w:p>
            <w:pPr>
              <w:spacing w:after="0"/>
              <w:rPr>
                <w:sz w:val="7"/>
                <w:szCs w:val="7"/>
                <w:color w:val="auto"/>
              </w:rPr>
            </w:pPr>
          </w:p>
        </w:tc>
        <w:tc>
          <w:tcPr>
            <w:tcW w:w="1100" w:type="dxa"/>
            <w:vAlign w:val="bottom"/>
            <w:shd w:val="clear" w:color="auto" w:fill="EFEDED"/>
          </w:tcPr>
          <w:p>
            <w:pPr>
              <w:spacing w:after="0"/>
              <w:rPr>
                <w:sz w:val="7"/>
                <w:szCs w:val="7"/>
                <w:color w:val="auto"/>
              </w:rPr>
            </w:pPr>
          </w:p>
        </w:tc>
        <w:tc>
          <w:tcPr>
            <w:tcW w:w="1080" w:type="dxa"/>
            <w:vAlign w:val="bottom"/>
            <w:shd w:val="clear" w:color="auto" w:fill="EFEDED"/>
          </w:tcPr>
          <w:p>
            <w:pPr>
              <w:spacing w:after="0"/>
              <w:rPr>
                <w:sz w:val="7"/>
                <w:szCs w:val="7"/>
                <w:color w:val="auto"/>
              </w:rPr>
            </w:pPr>
          </w:p>
        </w:tc>
        <w:tc>
          <w:tcPr>
            <w:tcW w:w="1100" w:type="dxa"/>
            <w:vAlign w:val="bottom"/>
            <w:shd w:val="clear" w:color="auto" w:fill="EFEDED"/>
          </w:tcPr>
          <w:p>
            <w:pPr>
              <w:spacing w:after="0"/>
              <w:rPr>
                <w:sz w:val="7"/>
                <w:szCs w:val="7"/>
                <w:color w:val="auto"/>
              </w:rPr>
            </w:pPr>
          </w:p>
        </w:tc>
        <w:tc>
          <w:tcPr>
            <w:tcW w:w="1080" w:type="dxa"/>
            <w:vAlign w:val="bottom"/>
            <w:shd w:val="clear" w:color="auto" w:fill="EFEDED"/>
          </w:tcPr>
          <w:p>
            <w:pPr>
              <w:spacing w:after="0"/>
              <w:rPr>
                <w:sz w:val="7"/>
                <w:szCs w:val="7"/>
                <w:color w:val="auto"/>
              </w:rPr>
            </w:pPr>
          </w:p>
        </w:tc>
        <w:tc>
          <w:tcPr>
            <w:tcW w:w="1140" w:type="dxa"/>
            <w:vAlign w:val="bottom"/>
            <w:shd w:val="clear" w:color="auto" w:fill="EFEDED"/>
          </w:tcPr>
          <w:p>
            <w:pPr>
              <w:spacing w:after="0"/>
              <w:rPr>
                <w:sz w:val="7"/>
                <w:szCs w:val="7"/>
                <w:color w:val="auto"/>
              </w:rPr>
            </w:pPr>
          </w:p>
        </w:tc>
        <w:tc>
          <w:tcPr>
            <w:tcW w:w="1120" w:type="dxa"/>
            <w:vAlign w:val="bottom"/>
            <w:shd w:val="clear" w:color="auto" w:fill="EFEDED"/>
          </w:tcPr>
          <w:p>
            <w:pPr>
              <w:spacing w:after="0"/>
              <w:rPr>
                <w:sz w:val="7"/>
                <w:szCs w:val="7"/>
                <w:color w:val="auto"/>
              </w:rPr>
            </w:pPr>
          </w:p>
        </w:tc>
        <w:tc>
          <w:tcPr>
            <w:tcW w:w="2000" w:type="dxa"/>
            <w:vAlign w:val="bottom"/>
            <w:gridSpan w:val="2"/>
            <w:vMerge w:val="continue"/>
            <w:shd w:val="clear" w:color="auto" w:fill="EFEDED"/>
          </w:tcPr>
          <w:p>
            <w:pPr>
              <w:spacing w:after="0"/>
              <w:rPr>
                <w:sz w:val="7"/>
                <w:szCs w:val="7"/>
                <w:color w:val="auto"/>
              </w:rPr>
            </w:pPr>
          </w:p>
        </w:tc>
        <w:tc>
          <w:tcPr>
            <w:tcW w:w="900" w:type="dxa"/>
            <w:vAlign w:val="bottom"/>
            <w:shd w:val="clear" w:color="auto" w:fill="EFEDED"/>
          </w:tcPr>
          <w:p>
            <w:pPr>
              <w:spacing w:after="0"/>
              <w:rPr>
                <w:sz w:val="7"/>
                <w:szCs w:val="7"/>
                <w:color w:val="auto"/>
              </w:rPr>
            </w:pP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Selected</w:t>
            </w:r>
          </w:p>
        </w:tc>
        <w:tc>
          <w:tcPr>
            <w:tcW w:w="0" w:type="dxa"/>
            <w:vAlign w:val="bottom"/>
          </w:tcPr>
          <w:p>
            <w:pPr>
              <w:spacing w:after="0"/>
              <w:rPr>
                <w:sz w:val="1"/>
                <w:szCs w:val="1"/>
                <w:color w:val="auto"/>
              </w:rPr>
            </w:pPr>
          </w:p>
        </w:tc>
      </w:tr>
      <w:tr>
        <w:trPr>
          <w:trHeight w:val="68"/>
        </w:trPr>
        <w:tc>
          <w:tcPr>
            <w:tcW w:w="760" w:type="dxa"/>
            <w:vAlign w:val="bottom"/>
            <w:shd w:val="clear" w:color="auto" w:fill="EFEDED"/>
          </w:tcPr>
          <w:p>
            <w:pPr>
              <w:spacing w:after="0"/>
              <w:rPr>
                <w:sz w:val="5"/>
                <w:szCs w:val="5"/>
                <w:color w:val="auto"/>
              </w:rPr>
            </w:pPr>
          </w:p>
        </w:tc>
        <w:tc>
          <w:tcPr>
            <w:tcW w:w="1100" w:type="dxa"/>
            <w:vAlign w:val="bottom"/>
            <w:shd w:val="clear" w:color="auto" w:fill="EFEDED"/>
          </w:tcPr>
          <w:p>
            <w:pPr>
              <w:spacing w:after="0"/>
              <w:rPr>
                <w:sz w:val="5"/>
                <w:szCs w:val="5"/>
                <w:color w:val="auto"/>
              </w:rPr>
            </w:pPr>
          </w:p>
        </w:tc>
        <w:tc>
          <w:tcPr>
            <w:tcW w:w="1080" w:type="dxa"/>
            <w:vAlign w:val="bottom"/>
            <w:shd w:val="clear" w:color="auto" w:fill="EFEDED"/>
          </w:tcPr>
          <w:p>
            <w:pPr>
              <w:spacing w:after="0"/>
              <w:rPr>
                <w:sz w:val="5"/>
                <w:szCs w:val="5"/>
                <w:color w:val="auto"/>
              </w:rPr>
            </w:pPr>
          </w:p>
        </w:tc>
        <w:tc>
          <w:tcPr>
            <w:tcW w:w="1100" w:type="dxa"/>
            <w:vAlign w:val="bottom"/>
            <w:shd w:val="clear" w:color="auto" w:fill="EFEDED"/>
          </w:tcPr>
          <w:p>
            <w:pPr>
              <w:spacing w:after="0"/>
              <w:rPr>
                <w:sz w:val="5"/>
                <w:szCs w:val="5"/>
                <w:color w:val="auto"/>
              </w:rPr>
            </w:pPr>
          </w:p>
        </w:tc>
        <w:tc>
          <w:tcPr>
            <w:tcW w:w="1080" w:type="dxa"/>
            <w:vAlign w:val="bottom"/>
            <w:shd w:val="clear" w:color="auto" w:fill="EFEDED"/>
          </w:tcPr>
          <w:p>
            <w:pPr>
              <w:spacing w:after="0"/>
              <w:rPr>
                <w:sz w:val="5"/>
                <w:szCs w:val="5"/>
                <w:color w:val="auto"/>
              </w:rPr>
            </w:pPr>
          </w:p>
        </w:tc>
        <w:tc>
          <w:tcPr>
            <w:tcW w:w="1140" w:type="dxa"/>
            <w:vAlign w:val="bottom"/>
            <w:shd w:val="clear" w:color="auto" w:fill="EFEDED"/>
          </w:tcPr>
          <w:p>
            <w:pPr>
              <w:spacing w:after="0"/>
              <w:rPr>
                <w:sz w:val="5"/>
                <w:szCs w:val="5"/>
                <w:color w:val="auto"/>
              </w:rPr>
            </w:pPr>
          </w:p>
        </w:tc>
        <w:tc>
          <w:tcPr>
            <w:tcW w:w="1120" w:type="dxa"/>
            <w:vAlign w:val="bottom"/>
            <w:shd w:val="clear" w:color="auto" w:fill="EFEDED"/>
          </w:tcPr>
          <w:p>
            <w:pPr>
              <w:spacing w:after="0"/>
              <w:rPr>
                <w:sz w:val="5"/>
                <w:szCs w:val="5"/>
                <w:color w:val="auto"/>
              </w:rPr>
            </w:pPr>
          </w:p>
        </w:tc>
        <w:tc>
          <w:tcPr>
            <w:tcW w:w="2000" w:type="dxa"/>
            <w:vAlign w:val="bottom"/>
            <w:gridSpan w:val="2"/>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$100 Investment Based On:</w:t>
            </w:r>
          </w:p>
        </w:tc>
        <w:tc>
          <w:tcPr>
            <w:tcW w:w="900" w:type="dxa"/>
            <w:vAlign w:val="bottom"/>
            <w:shd w:val="clear" w:color="auto" w:fill="EFEDED"/>
          </w:tcPr>
          <w:p>
            <w:pPr>
              <w:spacing w:after="0"/>
              <w:rPr>
                <w:sz w:val="5"/>
                <w:szCs w:val="5"/>
                <w:color w:val="auto"/>
              </w:rPr>
            </w:pPr>
          </w:p>
        </w:tc>
        <w:tc>
          <w:tcPr>
            <w:tcW w:w="960" w:type="dxa"/>
            <w:vAlign w:val="bottom"/>
            <w:vMerge w:val="continue"/>
            <w:shd w:val="clear" w:color="auto" w:fill="EFEDED"/>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EFEDED"/>
          </w:tcPr>
          <w:p>
            <w:pPr>
              <w:spacing w:after="0"/>
              <w:rPr>
                <w:sz w:val="9"/>
                <w:szCs w:val="9"/>
                <w:color w:val="auto"/>
              </w:rPr>
            </w:pPr>
          </w:p>
        </w:tc>
        <w:tc>
          <w:tcPr>
            <w:tcW w:w="110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1100" w:type="dxa"/>
            <w:vAlign w:val="bottom"/>
            <w:shd w:val="clear" w:color="auto" w:fill="EFEDED"/>
          </w:tcPr>
          <w:p>
            <w:pPr>
              <w:spacing w:after="0"/>
              <w:rPr>
                <w:sz w:val="9"/>
                <w:szCs w:val="9"/>
                <w:color w:val="auto"/>
              </w:rPr>
            </w:pPr>
          </w:p>
        </w:tc>
        <w:tc>
          <w:tcPr>
            <w:tcW w:w="1080" w:type="dxa"/>
            <w:vAlign w:val="bottom"/>
            <w:shd w:val="clear" w:color="auto" w:fill="EFEDED"/>
          </w:tcPr>
          <w:p>
            <w:pPr>
              <w:spacing w:after="0"/>
              <w:rPr>
                <w:sz w:val="9"/>
                <w:szCs w:val="9"/>
                <w:color w:val="auto"/>
              </w:rPr>
            </w:pPr>
          </w:p>
        </w:tc>
        <w:tc>
          <w:tcPr>
            <w:tcW w:w="1140" w:type="dxa"/>
            <w:vAlign w:val="bottom"/>
            <w:shd w:val="clear" w:color="auto" w:fill="EFEDED"/>
          </w:tcPr>
          <w:p>
            <w:pPr>
              <w:spacing w:after="0"/>
              <w:rPr>
                <w:sz w:val="9"/>
                <w:szCs w:val="9"/>
                <w:color w:val="auto"/>
              </w:rPr>
            </w:pPr>
          </w:p>
        </w:tc>
        <w:tc>
          <w:tcPr>
            <w:tcW w:w="1120" w:type="dxa"/>
            <w:vAlign w:val="bottom"/>
            <w:shd w:val="clear" w:color="auto" w:fill="EFEDED"/>
          </w:tcPr>
          <w:p>
            <w:pPr>
              <w:spacing w:after="0"/>
              <w:rPr>
                <w:sz w:val="9"/>
                <w:szCs w:val="9"/>
                <w:color w:val="auto"/>
              </w:rPr>
            </w:pPr>
          </w:p>
        </w:tc>
        <w:tc>
          <w:tcPr>
            <w:tcW w:w="2000" w:type="dxa"/>
            <w:vAlign w:val="bottom"/>
            <w:gridSpan w:val="2"/>
            <w:vMerge w:val="continue"/>
            <w:shd w:val="clear" w:color="auto" w:fill="EFEDED"/>
          </w:tcPr>
          <w:p>
            <w:pPr>
              <w:spacing w:after="0"/>
              <w:rPr>
                <w:sz w:val="9"/>
                <w:szCs w:val="9"/>
                <w:color w:val="auto"/>
              </w:rPr>
            </w:pPr>
          </w:p>
        </w:tc>
        <w:tc>
          <w:tcPr>
            <w:tcW w:w="900" w:type="dxa"/>
            <w:vAlign w:val="bottom"/>
            <w:shd w:val="clear" w:color="auto" w:fill="EFEDED"/>
          </w:tcPr>
          <w:p>
            <w:pPr>
              <w:spacing w:after="0"/>
              <w:rPr>
                <w:sz w:val="9"/>
                <w:szCs w:val="9"/>
                <w:color w:val="auto"/>
              </w:rPr>
            </w:pPr>
          </w:p>
        </w:tc>
        <w:tc>
          <w:tcPr>
            <w:tcW w:w="960" w:type="dxa"/>
            <w:vAlign w:val="bottom"/>
            <w:vMerge w:val="restart"/>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Measure</w:t>
            </w:r>
          </w:p>
        </w:tc>
        <w:tc>
          <w:tcPr>
            <w:tcW w:w="0" w:type="dxa"/>
            <w:vAlign w:val="bottom"/>
          </w:tcPr>
          <w:p>
            <w:pPr>
              <w:spacing w:after="0"/>
              <w:rPr>
                <w:sz w:val="1"/>
                <w:szCs w:val="1"/>
                <w:color w:val="auto"/>
              </w:rPr>
            </w:pPr>
          </w:p>
        </w:tc>
      </w:tr>
      <w:tr>
        <w:trPr>
          <w:trHeight w:val="103"/>
        </w:trPr>
        <w:tc>
          <w:tcPr>
            <w:tcW w:w="760" w:type="dxa"/>
            <w:vAlign w:val="bottom"/>
            <w:tcBorders>
              <w:bottom w:val="single" w:sz="8" w:color="EFEDED"/>
            </w:tcBorders>
            <w:shd w:val="clear" w:color="auto" w:fill="EFEDED"/>
          </w:tcPr>
          <w:p>
            <w:pPr>
              <w:spacing w:after="0"/>
              <w:rPr>
                <w:sz w:val="8"/>
                <w:szCs w:val="8"/>
                <w:color w:val="auto"/>
              </w:rPr>
            </w:pPr>
          </w:p>
        </w:tc>
        <w:tc>
          <w:tcPr>
            <w:tcW w:w="1100" w:type="dxa"/>
            <w:vAlign w:val="bottom"/>
            <w:tcBorders>
              <w:bottom w:val="single" w:sz="8" w:color="EFEDED"/>
            </w:tcBorders>
            <w:shd w:val="clear" w:color="auto" w:fill="EFEDED"/>
          </w:tcPr>
          <w:p>
            <w:pPr>
              <w:spacing w:after="0"/>
              <w:rPr>
                <w:sz w:val="8"/>
                <w:szCs w:val="8"/>
                <w:color w:val="auto"/>
              </w:rPr>
            </w:pPr>
          </w:p>
        </w:tc>
        <w:tc>
          <w:tcPr>
            <w:tcW w:w="1080" w:type="dxa"/>
            <w:vAlign w:val="bottom"/>
            <w:tcBorders>
              <w:bottom w:val="single" w:sz="8" w:color="EFEDED"/>
            </w:tcBorders>
            <w:shd w:val="clear" w:color="auto" w:fill="EFEDED"/>
          </w:tcPr>
          <w:p>
            <w:pPr>
              <w:spacing w:after="0"/>
              <w:rPr>
                <w:sz w:val="8"/>
                <w:szCs w:val="8"/>
                <w:color w:val="auto"/>
              </w:rPr>
            </w:pPr>
          </w:p>
        </w:tc>
        <w:tc>
          <w:tcPr>
            <w:tcW w:w="1100" w:type="dxa"/>
            <w:vAlign w:val="bottom"/>
            <w:tcBorders>
              <w:bottom w:val="single" w:sz="8" w:color="EFEDED"/>
            </w:tcBorders>
            <w:shd w:val="clear" w:color="auto" w:fill="EFEDED"/>
          </w:tcPr>
          <w:p>
            <w:pPr>
              <w:spacing w:after="0"/>
              <w:rPr>
                <w:sz w:val="8"/>
                <w:szCs w:val="8"/>
                <w:color w:val="auto"/>
              </w:rPr>
            </w:pPr>
          </w:p>
        </w:tc>
        <w:tc>
          <w:tcPr>
            <w:tcW w:w="1080" w:type="dxa"/>
            <w:vAlign w:val="bottom"/>
            <w:tcBorders>
              <w:bottom w:val="single" w:sz="8" w:color="EFEDED"/>
            </w:tcBorders>
            <w:shd w:val="clear" w:color="auto" w:fill="EFEDED"/>
          </w:tcPr>
          <w:p>
            <w:pPr>
              <w:spacing w:after="0"/>
              <w:rPr>
                <w:sz w:val="8"/>
                <w:szCs w:val="8"/>
                <w:color w:val="auto"/>
              </w:rPr>
            </w:pPr>
          </w:p>
        </w:tc>
        <w:tc>
          <w:tcPr>
            <w:tcW w:w="1140" w:type="dxa"/>
            <w:vAlign w:val="bottom"/>
            <w:tcBorders>
              <w:bottom w:val="single" w:sz="8" w:color="EFEDED"/>
            </w:tcBorders>
            <w:shd w:val="clear" w:color="auto" w:fill="EFEDED"/>
          </w:tcPr>
          <w:p>
            <w:pPr>
              <w:spacing w:after="0"/>
              <w:rPr>
                <w:sz w:val="8"/>
                <w:szCs w:val="8"/>
                <w:color w:val="auto"/>
              </w:rPr>
            </w:pPr>
          </w:p>
        </w:tc>
        <w:tc>
          <w:tcPr>
            <w:tcW w:w="1120" w:type="dxa"/>
            <w:vAlign w:val="bottom"/>
            <w:tcBorders>
              <w:bottom w:val="single" w:sz="8" w:color="EFEDED"/>
            </w:tcBorders>
            <w:shd w:val="clear" w:color="auto" w:fill="EFEDED"/>
          </w:tcPr>
          <w:p>
            <w:pPr>
              <w:spacing w:after="0"/>
              <w:rPr>
                <w:sz w:val="8"/>
                <w:szCs w:val="8"/>
                <w:color w:val="auto"/>
              </w:rPr>
            </w:pPr>
          </w:p>
        </w:tc>
        <w:tc>
          <w:tcPr>
            <w:tcW w:w="1020" w:type="dxa"/>
            <w:vAlign w:val="bottom"/>
            <w:tcBorders>
              <w:bottom w:val="single" w:sz="8" w:color="EFEDED"/>
            </w:tcBorders>
            <w:shd w:val="clear" w:color="auto" w:fill="EFEDED"/>
          </w:tcPr>
          <w:p>
            <w:pPr>
              <w:spacing w:after="0"/>
              <w:rPr>
                <w:sz w:val="8"/>
                <w:szCs w:val="8"/>
                <w:color w:val="auto"/>
              </w:rPr>
            </w:pPr>
          </w:p>
        </w:tc>
        <w:tc>
          <w:tcPr>
            <w:tcW w:w="980" w:type="dxa"/>
            <w:vAlign w:val="bottom"/>
            <w:tcBorders>
              <w:bottom w:val="single" w:sz="8" w:color="EFEDED"/>
            </w:tcBorders>
            <w:shd w:val="clear" w:color="auto" w:fill="EFEDED"/>
          </w:tcPr>
          <w:p>
            <w:pPr>
              <w:spacing w:after="0"/>
              <w:rPr>
                <w:sz w:val="8"/>
                <w:szCs w:val="8"/>
                <w:color w:val="auto"/>
              </w:rPr>
            </w:pPr>
          </w:p>
        </w:tc>
        <w:tc>
          <w:tcPr>
            <w:tcW w:w="900" w:type="dxa"/>
            <w:vAlign w:val="bottom"/>
            <w:tcBorders>
              <w:bottom w:val="single" w:sz="8" w:color="EFEDED"/>
            </w:tcBorders>
            <w:shd w:val="clear" w:color="auto" w:fill="EFEDED"/>
          </w:tcPr>
          <w:p>
            <w:pPr>
              <w:spacing w:after="0"/>
              <w:rPr>
                <w:sz w:val="8"/>
                <w:szCs w:val="8"/>
                <w:color w:val="auto"/>
              </w:rPr>
            </w:pPr>
          </w:p>
        </w:tc>
        <w:tc>
          <w:tcPr>
            <w:tcW w:w="960" w:type="dxa"/>
            <w:vAlign w:val="bottom"/>
            <w:tcBorders>
              <w:bottom w:val="single" w:sz="8" w:color="EFEDED"/>
            </w:tcBorders>
            <w:vMerge w:val="continue"/>
            <w:shd w:val="clear" w:color="auto" w:fill="EFEDED"/>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760" w:type="dxa"/>
            <w:vAlign w:val="bottom"/>
            <w:tcBorders>
              <w:top w:val="single" w:sz="8" w:color="EFEDED"/>
            </w:tcBorders>
            <w:shd w:val="clear" w:color="auto" w:fill="EFEDED"/>
          </w:tcPr>
          <w:p>
            <w:pPr>
              <w:spacing w:after="0"/>
              <w:rPr>
                <w:sz w:val="11"/>
                <w:szCs w:val="11"/>
                <w:color w:val="auto"/>
              </w:rPr>
            </w:pPr>
          </w:p>
        </w:tc>
        <w:tc>
          <w:tcPr>
            <w:tcW w:w="1100" w:type="dxa"/>
            <w:vAlign w:val="bottom"/>
            <w:tcBorders>
              <w:top w:val="single" w:sz="8" w:color="EFEDED"/>
            </w:tcBorders>
            <w:shd w:val="clear" w:color="auto" w:fill="EFEDED"/>
          </w:tcPr>
          <w:p>
            <w:pPr>
              <w:jc w:val="center"/>
              <w:spacing w:after="0" w:line="138" w:lineRule="exact"/>
              <w:rPr>
                <w:sz w:val="20"/>
                <w:szCs w:val="20"/>
                <w:color w:val="auto"/>
              </w:rPr>
            </w:pPr>
            <w:r>
              <w:rPr>
                <w:rFonts w:ascii="Arial" w:cs="Arial" w:eastAsia="Arial" w:hAnsi="Arial"/>
                <w:sz w:val="13"/>
                <w:szCs w:val="13"/>
                <w:b w:val="1"/>
                <w:bCs w:val="1"/>
                <w:color w:val="58595B"/>
                <w:w w:val="97"/>
              </w:rPr>
              <w:t>Summary</w:t>
            </w:r>
          </w:p>
        </w:tc>
        <w:tc>
          <w:tcPr>
            <w:tcW w:w="1080" w:type="dxa"/>
            <w:vAlign w:val="bottom"/>
            <w:tcBorders>
              <w:top w:val="single" w:sz="8" w:color="EFEDED"/>
            </w:tcBorders>
            <w:shd w:val="clear" w:color="auto" w:fill="EFEDED"/>
          </w:tcPr>
          <w:p>
            <w:pPr>
              <w:jc w:val="center"/>
              <w:spacing w:after="0" w:line="138" w:lineRule="exact"/>
              <w:rPr>
                <w:sz w:val="20"/>
                <w:szCs w:val="20"/>
                <w:color w:val="auto"/>
              </w:rPr>
            </w:pPr>
            <w:r>
              <w:rPr>
                <w:rFonts w:ascii="Arial" w:cs="Arial" w:eastAsia="Arial" w:hAnsi="Arial"/>
                <w:sz w:val="13"/>
                <w:szCs w:val="13"/>
                <w:b w:val="1"/>
                <w:bCs w:val="1"/>
                <w:color w:val="58595B"/>
                <w:w w:val="97"/>
              </w:rPr>
              <w:t>Summary</w:t>
            </w:r>
          </w:p>
        </w:tc>
        <w:tc>
          <w:tcPr>
            <w:tcW w:w="1100" w:type="dxa"/>
            <w:vAlign w:val="bottom"/>
            <w:tcBorders>
              <w:top w:val="single" w:sz="8" w:color="EFEDED"/>
            </w:tcBorders>
            <w:shd w:val="clear" w:color="auto" w:fill="EFEDED"/>
          </w:tcPr>
          <w:p>
            <w:pPr>
              <w:spacing w:after="0"/>
              <w:rPr>
                <w:sz w:val="11"/>
                <w:szCs w:val="11"/>
                <w:color w:val="auto"/>
              </w:rPr>
            </w:pPr>
          </w:p>
        </w:tc>
        <w:tc>
          <w:tcPr>
            <w:tcW w:w="1080" w:type="dxa"/>
            <w:vAlign w:val="bottom"/>
            <w:tcBorders>
              <w:top w:val="single" w:sz="8" w:color="EFEDED"/>
            </w:tcBorders>
            <w:shd w:val="clear" w:color="auto" w:fill="EFEDED"/>
          </w:tcPr>
          <w:p>
            <w:pPr>
              <w:jc w:val="center"/>
              <w:spacing w:after="0" w:line="138" w:lineRule="exact"/>
              <w:rPr>
                <w:sz w:val="20"/>
                <w:szCs w:val="20"/>
                <w:color w:val="auto"/>
              </w:rPr>
            </w:pPr>
            <w:r>
              <w:rPr>
                <w:rFonts w:ascii="Arial" w:cs="Arial" w:eastAsia="Arial" w:hAnsi="Arial"/>
                <w:sz w:val="13"/>
                <w:szCs w:val="13"/>
                <w:b w:val="1"/>
                <w:bCs w:val="1"/>
                <w:color w:val="58595B"/>
                <w:w w:val="95"/>
              </w:rPr>
              <w:t>Compensation</w:t>
            </w:r>
          </w:p>
        </w:tc>
        <w:tc>
          <w:tcPr>
            <w:tcW w:w="1140" w:type="dxa"/>
            <w:vAlign w:val="bottom"/>
            <w:tcBorders>
              <w:top w:val="single" w:sz="8" w:color="EFEDED"/>
            </w:tcBorders>
            <w:shd w:val="clear" w:color="auto" w:fill="EFEDED"/>
          </w:tcPr>
          <w:p>
            <w:pPr>
              <w:spacing w:after="0"/>
              <w:rPr>
                <w:sz w:val="11"/>
                <w:szCs w:val="11"/>
                <w:color w:val="auto"/>
              </w:rPr>
            </w:pPr>
          </w:p>
        </w:tc>
        <w:tc>
          <w:tcPr>
            <w:tcW w:w="1120" w:type="dxa"/>
            <w:vAlign w:val="bottom"/>
            <w:tcBorders>
              <w:top w:val="single" w:sz="8" w:color="EFEDED"/>
            </w:tcBorders>
            <w:shd w:val="clear" w:color="auto" w:fill="EFEDED"/>
          </w:tcPr>
          <w:p>
            <w:pPr>
              <w:spacing w:after="0"/>
              <w:rPr>
                <w:sz w:val="11"/>
                <w:szCs w:val="11"/>
                <w:color w:val="auto"/>
              </w:rPr>
            </w:pPr>
          </w:p>
        </w:tc>
        <w:tc>
          <w:tcPr>
            <w:tcW w:w="1020" w:type="dxa"/>
            <w:vAlign w:val="bottom"/>
            <w:tcBorders>
              <w:top w:val="single" w:sz="8" w:color="58595B"/>
            </w:tcBorders>
            <w:shd w:val="clear" w:color="auto" w:fill="EFEDED"/>
          </w:tcPr>
          <w:p>
            <w:pPr>
              <w:spacing w:after="0"/>
              <w:rPr>
                <w:sz w:val="11"/>
                <w:szCs w:val="11"/>
                <w:color w:val="auto"/>
              </w:rPr>
            </w:pPr>
          </w:p>
        </w:tc>
        <w:tc>
          <w:tcPr>
            <w:tcW w:w="980" w:type="dxa"/>
            <w:vAlign w:val="bottom"/>
            <w:tcBorders>
              <w:top w:val="single" w:sz="8" w:color="58595B"/>
            </w:tcBorders>
            <w:shd w:val="clear" w:color="auto" w:fill="EFEDED"/>
          </w:tcPr>
          <w:p>
            <w:pPr>
              <w:spacing w:after="0"/>
              <w:rPr>
                <w:sz w:val="11"/>
                <w:szCs w:val="11"/>
                <w:color w:val="auto"/>
              </w:rPr>
            </w:pPr>
          </w:p>
        </w:tc>
        <w:tc>
          <w:tcPr>
            <w:tcW w:w="900" w:type="dxa"/>
            <w:vAlign w:val="bottom"/>
            <w:tcBorders>
              <w:top w:val="single" w:sz="8" w:color="EFEDED"/>
            </w:tcBorders>
            <w:shd w:val="clear" w:color="auto" w:fill="EFEDED"/>
          </w:tcPr>
          <w:p>
            <w:pPr>
              <w:spacing w:after="0"/>
              <w:rPr>
                <w:sz w:val="11"/>
                <w:szCs w:val="11"/>
                <w:color w:val="auto"/>
              </w:rPr>
            </w:pPr>
          </w:p>
        </w:tc>
        <w:tc>
          <w:tcPr>
            <w:tcW w:w="960" w:type="dxa"/>
            <w:vAlign w:val="bottom"/>
            <w:tcBorders>
              <w:top w:val="single" w:sz="8" w:color="58595B"/>
            </w:tcBorders>
            <w:shd w:val="clear" w:color="auto" w:fill="EFEDED"/>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Compensation</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00" w:type="dxa"/>
            <w:vAlign w:val="bottom"/>
            <w:shd w:val="clear" w:color="auto" w:fill="EFEDED"/>
          </w:tcPr>
          <w:p>
            <w:pPr>
              <w:spacing w:after="0"/>
              <w:rPr>
                <w:sz w:val="12"/>
                <w:szCs w:val="12"/>
                <w:color w:val="auto"/>
              </w:rPr>
            </w:pP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Actually</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Average</w:t>
            </w:r>
          </w:p>
        </w:tc>
        <w:tc>
          <w:tcPr>
            <w:tcW w:w="1120" w:type="dxa"/>
            <w:vAlign w:val="bottom"/>
            <w:shd w:val="clear" w:color="auto" w:fill="EFEDED"/>
          </w:tcPr>
          <w:p>
            <w:pPr>
              <w:spacing w:after="0"/>
              <w:rPr>
                <w:sz w:val="12"/>
                <w:szCs w:val="12"/>
                <w:color w:val="auto"/>
              </w:rPr>
            </w:pPr>
          </w:p>
        </w:tc>
        <w:tc>
          <w:tcPr>
            <w:tcW w:w="1020" w:type="dxa"/>
            <w:vAlign w:val="bottom"/>
            <w:shd w:val="clear" w:color="auto" w:fill="EFEDED"/>
          </w:tcPr>
          <w:p>
            <w:pPr>
              <w:spacing w:after="0"/>
              <w:rPr>
                <w:sz w:val="12"/>
                <w:szCs w:val="12"/>
                <w:color w:val="auto"/>
              </w:rPr>
            </w:pPr>
          </w:p>
        </w:tc>
        <w:tc>
          <w:tcPr>
            <w:tcW w:w="980" w:type="dxa"/>
            <w:vAlign w:val="bottom"/>
            <w:shd w:val="clear" w:color="auto" w:fill="EFEDED"/>
          </w:tcPr>
          <w:p>
            <w:pPr>
              <w:spacing w:after="0"/>
              <w:rPr>
                <w:sz w:val="12"/>
                <w:szCs w:val="12"/>
                <w:color w:val="auto"/>
              </w:rPr>
            </w:pPr>
          </w:p>
        </w:tc>
        <w:tc>
          <w:tcPr>
            <w:tcW w:w="90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Table total for</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Table total for</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Paid to Former</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Summary</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Average</w:t>
            </w:r>
          </w:p>
        </w:tc>
        <w:tc>
          <w:tcPr>
            <w:tcW w:w="1020" w:type="dxa"/>
            <w:vAlign w:val="bottom"/>
            <w:shd w:val="clear" w:color="auto" w:fill="EFEDED"/>
          </w:tcPr>
          <w:p>
            <w:pPr>
              <w:spacing w:after="0"/>
              <w:rPr>
                <w:sz w:val="12"/>
                <w:szCs w:val="12"/>
                <w:color w:val="auto"/>
              </w:rPr>
            </w:pP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Peer Group</w:t>
            </w:r>
          </w:p>
        </w:tc>
        <w:tc>
          <w:tcPr>
            <w:tcW w:w="90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Former PEO</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Actually</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PEO</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Compensation</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9"/>
              </w:rPr>
              <w:t>Total</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9"/>
              </w:rPr>
              <w:t>Total</w:t>
            </w:r>
          </w:p>
        </w:tc>
        <w:tc>
          <w:tcPr>
            <w:tcW w:w="900" w:type="dxa"/>
            <w:vAlign w:val="bottom"/>
            <w:shd w:val="clear" w:color="auto" w:fill="EFEDED"/>
          </w:tcPr>
          <w:p>
            <w:pPr>
              <w:spacing w:after="0"/>
              <w:rPr>
                <w:sz w:val="12"/>
                <w:szCs w:val="12"/>
                <w:color w:val="auto"/>
              </w:rPr>
            </w:pPr>
          </w:p>
        </w:tc>
        <w:tc>
          <w:tcPr>
            <w:tcW w:w="960" w:type="dxa"/>
            <w:vAlign w:val="bottom"/>
            <w:shd w:val="clear" w:color="auto" w:fill="EFEDE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spacing w:after="0"/>
              <w:rPr>
                <w:sz w:val="12"/>
                <w:szCs w:val="12"/>
                <w:color w:val="auto"/>
              </w:rPr>
            </w:pP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(Jan D.</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Paid to PEO</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(Peter J.</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3"/>
              </w:rPr>
              <w:t>Table Total for</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8"/>
              </w:rPr>
              <w:t>Actually Paid to</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Shareholder</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Shareholder</w:t>
            </w:r>
          </w:p>
        </w:tc>
        <w:tc>
          <w:tcPr>
            <w:tcW w:w="9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7"/>
              </w:rPr>
              <w:t>Net Income</w:t>
            </w:r>
            <w:r>
              <w:rPr>
                <w:rFonts w:ascii="Arial" w:cs="Arial" w:eastAsia="Arial" w:hAnsi="Arial"/>
                <w:sz w:val="16"/>
                <w:szCs w:val="16"/>
                <w:b w:val="1"/>
                <w:bCs w:val="1"/>
                <w:color w:val="58595B"/>
                <w:w w:val="97"/>
                <w:vertAlign w:val="superscript"/>
              </w:rPr>
              <w:t>4</w:t>
            </w:r>
          </w:p>
        </w:tc>
        <w:tc>
          <w:tcPr>
            <w:tcW w:w="96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5"/>
              </w:rPr>
              <w:t>Revenue</w:t>
            </w:r>
          </w:p>
        </w:tc>
        <w:tc>
          <w:tcPr>
            <w:tcW w:w="0" w:type="dxa"/>
            <w:vAlign w:val="bottom"/>
          </w:tcPr>
          <w:p>
            <w:pPr>
              <w:spacing w:after="0"/>
              <w:rPr>
                <w:sz w:val="1"/>
                <w:szCs w:val="1"/>
                <w:color w:val="auto"/>
              </w:rPr>
            </w:pPr>
          </w:p>
        </w:tc>
      </w:tr>
      <w:tr>
        <w:trPr>
          <w:trHeight w:val="148"/>
        </w:trPr>
        <w:tc>
          <w:tcPr>
            <w:tcW w:w="760" w:type="dxa"/>
            <w:vAlign w:val="bottom"/>
            <w:shd w:val="clear" w:color="auto" w:fill="EFEDED"/>
          </w:tcPr>
          <w:p>
            <w:pPr>
              <w:jc w:val="right"/>
              <w:ind w:right="157"/>
              <w:spacing w:after="0" w:line="148" w:lineRule="exact"/>
              <w:rPr>
                <w:sz w:val="20"/>
                <w:szCs w:val="20"/>
                <w:color w:val="auto"/>
              </w:rPr>
            </w:pPr>
            <w:r>
              <w:rPr>
                <w:rFonts w:ascii="Arial" w:cs="Arial" w:eastAsia="Arial" w:hAnsi="Arial"/>
                <w:sz w:val="13"/>
                <w:szCs w:val="13"/>
                <w:b w:val="1"/>
                <w:bCs w:val="1"/>
                <w:color w:val="58595B"/>
              </w:rPr>
              <w:t>Year</w:t>
            </w:r>
            <w:r>
              <w:rPr>
                <w:rFonts w:ascii="Arial" w:cs="Arial" w:eastAsia="Arial" w:hAnsi="Arial"/>
                <w:sz w:val="16"/>
                <w:szCs w:val="16"/>
                <w:b w:val="1"/>
                <w:bCs w:val="1"/>
                <w:color w:val="58595B"/>
                <w:vertAlign w:val="superscript"/>
              </w:rPr>
              <w:t>1</w:t>
            </w:r>
          </w:p>
        </w:tc>
        <w:tc>
          <w:tcPr>
            <w:tcW w:w="11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3"/>
              </w:rPr>
              <w:t>De Witte)</w:t>
            </w:r>
            <w:r>
              <w:rPr>
                <w:rFonts w:ascii="Arial" w:cs="Arial" w:eastAsia="Arial" w:hAnsi="Arial"/>
                <w:sz w:val="16"/>
                <w:szCs w:val="16"/>
                <w:b w:val="1"/>
                <w:bCs w:val="1"/>
                <w:color w:val="58595B"/>
                <w:w w:val="93"/>
                <w:vertAlign w:val="superscript"/>
              </w:rPr>
              <w:t>1</w:t>
            </w:r>
          </w:p>
        </w:tc>
        <w:tc>
          <w:tcPr>
            <w:tcW w:w="10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3"/>
              </w:rPr>
              <w:t>Arduini)</w:t>
            </w:r>
            <w:r>
              <w:rPr>
                <w:rFonts w:ascii="Arial" w:cs="Arial" w:eastAsia="Arial" w:hAnsi="Arial"/>
                <w:sz w:val="16"/>
                <w:szCs w:val="16"/>
                <w:b w:val="1"/>
                <w:bCs w:val="1"/>
                <w:color w:val="58595B"/>
                <w:w w:val="93"/>
                <w:vertAlign w:val="superscript"/>
              </w:rPr>
              <w:t>1</w:t>
            </w:r>
          </w:p>
        </w:tc>
        <w:tc>
          <w:tcPr>
            <w:tcW w:w="110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(Jan De Witte)</w:t>
            </w:r>
            <w:r>
              <w:rPr>
                <w:rFonts w:ascii="Arial" w:cs="Arial" w:eastAsia="Arial" w:hAnsi="Arial"/>
                <w:sz w:val="16"/>
                <w:szCs w:val="16"/>
                <w:b w:val="1"/>
                <w:bCs w:val="1"/>
                <w:color w:val="58595B"/>
                <w:w w:val="94"/>
                <w:vertAlign w:val="superscript"/>
              </w:rPr>
              <w:t>2</w:t>
            </w:r>
          </w:p>
        </w:tc>
        <w:tc>
          <w:tcPr>
            <w:tcW w:w="10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6"/>
              </w:rPr>
              <w:t>Arduini)</w:t>
            </w:r>
            <w:r>
              <w:rPr>
                <w:rFonts w:ascii="Arial" w:cs="Arial" w:eastAsia="Arial" w:hAnsi="Arial"/>
                <w:sz w:val="16"/>
                <w:szCs w:val="16"/>
                <w:b w:val="1"/>
                <w:bCs w:val="1"/>
                <w:color w:val="58595B"/>
                <w:w w:val="96"/>
                <w:vertAlign w:val="superscript"/>
              </w:rPr>
              <w:t>2</w:t>
            </w:r>
          </w:p>
        </w:tc>
        <w:tc>
          <w:tcPr>
            <w:tcW w:w="114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Non-PEO NEOs</w:t>
            </w:r>
            <w:r>
              <w:rPr>
                <w:rFonts w:ascii="Arial" w:cs="Arial" w:eastAsia="Arial" w:hAnsi="Arial"/>
                <w:sz w:val="16"/>
                <w:szCs w:val="16"/>
                <w:b w:val="1"/>
                <w:bCs w:val="1"/>
                <w:color w:val="58595B"/>
                <w:w w:val="94"/>
                <w:vertAlign w:val="superscript"/>
              </w:rPr>
              <w:t>1</w:t>
            </w:r>
          </w:p>
        </w:tc>
        <w:tc>
          <w:tcPr>
            <w:tcW w:w="11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4"/>
              </w:rPr>
              <w:t>Non-PEO NEOs</w:t>
            </w:r>
            <w:r>
              <w:rPr>
                <w:rFonts w:ascii="Arial" w:cs="Arial" w:eastAsia="Arial" w:hAnsi="Arial"/>
                <w:sz w:val="16"/>
                <w:szCs w:val="16"/>
                <w:b w:val="1"/>
                <w:bCs w:val="1"/>
                <w:color w:val="58595B"/>
                <w:w w:val="94"/>
                <w:vertAlign w:val="superscript"/>
              </w:rPr>
              <w:t>2</w:t>
            </w:r>
          </w:p>
        </w:tc>
        <w:tc>
          <w:tcPr>
            <w:tcW w:w="102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1"/>
              </w:rPr>
              <w:t>Return</w:t>
            </w:r>
            <w:r>
              <w:rPr>
                <w:rFonts w:ascii="Arial" w:cs="Arial" w:eastAsia="Arial" w:hAnsi="Arial"/>
                <w:sz w:val="16"/>
                <w:szCs w:val="16"/>
                <w:b w:val="1"/>
                <w:bCs w:val="1"/>
                <w:color w:val="58595B"/>
                <w:w w:val="91"/>
                <w:vertAlign w:val="superscript"/>
              </w:rPr>
              <w:t>3</w:t>
            </w:r>
          </w:p>
        </w:tc>
        <w:tc>
          <w:tcPr>
            <w:tcW w:w="980" w:type="dxa"/>
            <w:vAlign w:val="bottom"/>
            <w:shd w:val="clear" w:color="auto" w:fill="EFEDED"/>
          </w:tcPr>
          <w:p>
            <w:pPr>
              <w:jc w:val="center"/>
              <w:spacing w:after="0" w:line="148" w:lineRule="exact"/>
              <w:rPr>
                <w:sz w:val="20"/>
                <w:szCs w:val="20"/>
                <w:color w:val="auto"/>
              </w:rPr>
            </w:pPr>
            <w:r>
              <w:rPr>
                <w:rFonts w:ascii="Arial" w:cs="Arial" w:eastAsia="Arial" w:hAnsi="Arial"/>
                <w:sz w:val="13"/>
                <w:szCs w:val="13"/>
                <w:b w:val="1"/>
                <w:bCs w:val="1"/>
                <w:color w:val="58595B"/>
                <w:w w:val="91"/>
              </w:rPr>
              <w:t>Return</w:t>
            </w:r>
            <w:r>
              <w:rPr>
                <w:rFonts w:ascii="Arial" w:cs="Arial" w:eastAsia="Arial" w:hAnsi="Arial"/>
                <w:sz w:val="16"/>
                <w:szCs w:val="16"/>
                <w:b w:val="1"/>
                <w:bCs w:val="1"/>
                <w:color w:val="58595B"/>
                <w:w w:val="91"/>
                <w:vertAlign w:val="superscript"/>
              </w:rPr>
              <w:t>3</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(millions)</w:t>
            </w:r>
          </w:p>
        </w:tc>
        <w:tc>
          <w:tcPr>
            <w:tcW w:w="960" w:type="dxa"/>
            <w:vAlign w:val="bottom"/>
            <w:shd w:val="clear" w:color="auto" w:fill="EFEDED"/>
          </w:tcPr>
          <w:p>
            <w:pPr>
              <w:jc w:val="center"/>
              <w:ind w:right="57"/>
              <w:spacing w:after="0" w:line="148" w:lineRule="exact"/>
              <w:rPr>
                <w:sz w:val="20"/>
                <w:szCs w:val="20"/>
                <w:color w:val="auto"/>
              </w:rPr>
            </w:pPr>
            <w:r>
              <w:rPr>
                <w:rFonts w:ascii="Arial" w:cs="Arial" w:eastAsia="Arial" w:hAnsi="Arial"/>
                <w:sz w:val="13"/>
                <w:szCs w:val="13"/>
                <w:b w:val="1"/>
                <w:bCs w:val="1"/>
                <w:color w:val="58595B"/>
                <w:w w:val="94"/>
              </w:rPr>
              <w:t>(millions)</w:t>
            </w:r>
            <w:r>
              <w:rPr>
                <w:rFonts w:ascii="Arial" w:cs="Arial" w:eastAsia="Arial" w:hAnsi="Arial"/>
                <w:sz w:val="16"/>
                <w:szCs w:val="16"/>
                <w:b w:val="1"/>
                <w:bCs w:val="1"/>
                <w:color w:val="58595B"/>
                <w:w w:val="94"/>
                <w:vertAlign w:val="superscript"/>
              </w:rPr>
              <w:t>5</w:t>
            </w:r>
          </w:p>
        </w:tc>
        <w:tc>
          <w:tcPr>
            <w:tcW w:w="0" w:type="dxa"/>
            <w:vAlign w:val="bottom"/>
          </w:tcPr>
          <w:p>
            <w:pPr>
              <w:spacing w:after="0"/>
              <w:rPr>
                <w:sz w:val="1"/>
                <w:szCs w:val="1"/>
                <w:color w:val="auto"/>
              </w:rPr>
            </w:pPr>
          </w:p>
        </w:tc>
      </w:tr>
      <w:tr>
        <w:trPr>
          <w:trHeight w:val="185"/>
        </w:trPr>
        <w:tc>
          <w:tcPr>
            <w:tcW w:w="760" w:type="dxa"/>
            <w:vAlign w:val="bottom"/>
            <w:shd w:val="clear" w:color="auto" w:fill="EFEDED"/>
          </w:tcPr>
          <w:p>
            <w:pPr>
              <w:jc w:val="right"/>
              <w:ind w:right="237"/>
              <w:spacing w:after="0"/>
              <w:rPr>
                <w:sz w:val="20"/>
                <w:szCs w:val="20"/>
                <w:color w:val="auto"/>
              </w:rPr>
            </w:pPr>
            <w:r>
              <w:rPr>
                <w:rFonts w:ascii="Arial" w:cs="Arial" w:eastAsia="Arial" w:hAnsi="Arial"/>
                <w:sz w:val="13"/>
                <w:szCs w:val="13"/>
                <w:b w:val="1"/>
                <w:bCs w:val="1"/>
                <w:color w:val="58595B"/>
              </w:rPr>
              <w:t>(a)</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(b)</w:t>
            </w:r>
          </w:p>
        </w:tc>
        <w:tc>
          <w:tcPr>
            <w:tcW w:w="11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(c)</w:t>
            </w:r>
          </w:p>
        </w:tc>
        <w:tc>
          <w:tcPr>
            <w:tcW w:w="10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87"/>
              </w:rPr>
              <w:t>(c)</w:t>
            </w:r>
          </w:p>
        </w:tc>
        <w:tc>
          <w:tcPr>
            <w:tcW w:w="11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(d)</w:t>
            </w:r>
          </w:p>
        </w:tc>
        <w:tc>
          <w:tcPr>
            <w:tcW w:w="11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rPr>
              <w:t>(e)</w:t>
            </w:r>
          </w:p>
        </w:tc>
        <w:tc>
          <w:tcPr>
            <w:tcW w:w="1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2"/>
              </w:rPr>
              <w:t>(f)</w:t>
            </w:r>
          </w:p>
        </w:tc>
        <w:tc>
          <w:tcPr>
            <w:tcW w:w="9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(g)</w:t>
            </w:r>
          </w:p>
        </w:tc>
        <w:tc>
          <w:tcPr>
            <w:tcW w:w="9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(h)</w:t>
            </w:r>
          </w:p>
        </w:tc>
        <w:tc>
          <w:tcPr>
            <w:tcW w:w="960" w:type="dxa"/>
            <w:vAlign w:val="bottom"/>
            <w:shd w:val="clear" w:color="auto" w:fill="EFEDED"/>
          </w:tcPr>
          <w:p>
            <w:pPr>
              <w:jc w:val="center"/>
              <w:ind w:right="57"/>
              <w:spacing w:after="0"/>
              <w:rPr>
                <w:sz w:val="20"/>
                <w:szCs w:val="20"/>
                <w:color w:val="auto"/>
              </w:rPr>
            </w:pPr>
            <w:r>
              <w:rPr>
                <w:rFonts w:ascii="Arial" w:cs="Arial" w:eastAsia="Arial" w:hAnsi="Arial"/>
                <w:sz w:val="13"/>
                <w:szCs w:val="13"/>
                <w:b w:val="1"/>
                <w:bCs w:val="1"/>
                <w:color w:val="58595B"/>
                <w:w w:val="97"/>
              </w:rPr>
              <w:t>(i)</w:t>
            </w:r>
          </w:p>
        </w:tc>
        <w:tc>
          <w:tcPr>
            <w:tcW w:w="0" w:type="dxa"/>
            <w:vAlign w:val="bottom"/>
          </w:tcPr>
          <w:p>
            <w:pPr>
              <w:spacing w:after="0"/>
              <w:rPr>
                <w:sz w:val="1"/>
                <w:szCs w:val="1"/>
                <w:color w:val="auto"/>
              </w:rPr>
            </w:pPr>
          </w:p>
        </w:tc>
      </w:tr>
      <w:tr>
        <w:trPr>
          <w:trHeight w:val="76"/>
        </w:trPr>
        <w:tc>
          <w:tcPr>
            <w:tcW w:w="760" w:type="dxa"/>
            <w:vAlign w:val="bottom"/>
            <w:shd w:val="clear" w:color="auto" w:fill="EFEDED"/>
          </w:tcPr>
          <w:p>
            <w:pPr>
              <w:spacing w:after="0"/>
              <w:rPr>
                <w:sz w:val="6"/>
                <w:szCs w:val="6"/>
                <w:color w:val="auto"/>
              </w:rPr>
            </w:pPr>
          </w:p>
        </w:tc>
        <w:tc>
          <w:tcPr>
            <w:tcW w:w="110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1100" w:type="dxa"/>
            <w:vAlign w:val="bottom"/>
            <w:shd w:val="clear" w:color="auto" w:fill="EFEDED"/>
          </w:tcPr>
          <w:p>
            <w:pPr>
              <w:spacing w:after="0"/>
              <w:rPr>
                <w:sz w:val="6"/>
                <w:szCs w:val="6"/>
                <w:color w:val="auto"/>
              </w:rPr>
            </w:pPr>
          </w:p>
        </w:tc>
        <w:tc>
          <w:tcPr>
            <w:tcW w:w="1080" w:type="dxa"/>
            <w:vAlign w:val="bottom"/>
            <w:shd w:val="clear" w:color="auto" w:fill="EFEDED"/>
          </w:tcPr>
          <w:p>
            <w:pPr>
              <w:spacing w:after="0"/>
              <w:rPr>
                <w:sz w:val="6"/>
                <w:szCs w:val="6"/>
                <w:color w:val="auto"/>
              </w:rPr>
            </w:pPr>
          </w:p>
        </w:tc>
        <w:tc>
          <w:tcPr>
            <w:tcW w:w="1140" w:type="dxa"/>
            <w:vAlign w:val="bottom"/>
            <w:shd w:val="clear" w:color="auto" w:fill="EFEDED"/>
          </w:tcPr>
          <w:p>
            <w:pPr>
              <w:spacing w:after="0"/>
              <w:rPr>
                <w:sz w:val="6"/>
                <w:szCs w:val="6"/>
                <w:color w:val="auto"/>
              </w:rPr>
            </w:pPr>
          </w:p>
        </w:tc>
        <w:tc>
          <w:tcPr>
            <w:tcW w:w="1120" w:type="dxa"/>
            <w:vAlign w:val="bottom"/>
            <w:shd w:val="clear" w:color="auto" w:fill="EFEDED"/>
          </w:tcPr>
          <w:p>
            <w:pPr>
              <w:spacing w:after="0"/>
              <w:rPr>
                <w:sz w:val="6"/>
                <w:szCs w:val="6"/>
                <w:color w:val="auto"/>
              </w:rPr>
            </w:pPr>
          </w:p>
        </w:tc>
        <w:tc>
          <w:tcPr>
            <w:tcW w:w="1020" w:type="dxa"/>
            <w:vAlign w:val="bottom"/>
            <w:shd w:val="clear" w:color="auto" w:fill="EFEDED"/>
          </w:tcPr>
          <w:p>
            <w:pPr>
              <w:spacing w:after="0"/>
              <w:rPr>
                <w:sz w:val="6"/>
                <w:szCs w:val="6"/>
                <w:color w:val="auto"/>
              </w:rPr>
            </w:pPr>
          </w:p>
        </w:tc>
        <w:tc>
          <w:tcPr>
            <w:tcW w:w="980" w:type="dxa"/>
            <w:vAlign w:val="bottom"/>
            <w:shd w:val="clear" w:color="auto" w:fill="EFEDED"/>
          </w:tcPr>
          <w:p>
            <w:pPr>
              <w:spacing w:after="0"/>
              <w:rPr>
                <w:sz w:val="6"/>
                <w:szCs w:val="6"/>
                <w:color w:val="auto"/>
              </w:rPr>
            </w:pPr>
          </w:p>
        </w:tc>
        <w:tc>
          <w:tcPr>
            <w:tcW w:w="900" w:type="dxa"/>
            <w:vAlign w:val="bottom"/>
            <w:shd w:val="clear" w:color="auto" w:fill="EFEDED"/>
          </w:tcPr>
          <w:p>
            <w:pPr>
              <w:spacing w:after="0"/>
              <w:rPr>
                <w:sz w:val="6"/>
                <w:szCs w:val="6"/>
                <w:color w:val="auto"/>
              </w:rPr>
            </w:pPr>
          </w:p>
        </w:tc>
        <w:tc>
          <w:tcPr>
            <w:tcW w:w="960" w:type="dxa"/>
            <w:vAlign w:val="bottom"/>
            <w:shd w:val="clear" w:color="auto" w:fill="EFEDE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58595B"/>
              </w:rPr>
              <w:t>2023</w:t>
            </w:r>
          </w:p>
        </w:tc>
        <w:tc>
          <w:tcPr>
            <w:tcW w:w="1100" w:type="dxa"/>
            <w:vAlign w:val="bottom"/>
          </w:tcPr>
          <w:p>
            <w:pPr>
              <w:jc w:val="center"/>
              <w:spacing w:after="0"/>
              <w:rPr>
                <w:sz w:val="20"/>
                <w:szCs w:val="20"/>
                <w:color w:val="auto"/>
              </w:rPr>
            </w:pPr>
            <w:r>
              <w:rPr>
                <w:rFonts w:ascii="Arial" w:cs="Arial" w:eastAsia="Arial" w:hAnsi="Arial"/>
                <w:sz w:val="13"/>
                <w:szCs w:val="13"/>
                <w:color w:val="6D6D6D"/>
                <w:w w:val="95"/>
              </w:rPr>
              <w:t>$6,388,756</w:t>
            </w:r>
          </w:p>
        </w:tc>
        <w:tc>
          <w:tcPr>
            <w:tcW w:w="1080" w:type="dxa"/>
            <w:vAlign w:val="bottom"/>
          </w:tcPr>
          <w:p>
            <w:pPr>
              <w:jc w:val="center"/>
              <w:spacing w:after="0"/>
              <w:rPr>
                <w:sz w:val="20"/>
                <w:szCs w:val="20"/>
                <w:color w:val="auto"/>
              </w:rPr>
            </w:pPr>
            <w:r>
              <w:rPr>
                <w:rFonts w:ascii="Arial" w:cs="Arial" w:eastAsia="Arial" w:hAnsi="Arial"/>
                <w:sz w:val="13"/>
                <w:szCs w:val="13"/>
                <w:color w:val="6D6D6D"/>
                <w:w w:val="88"/>
              </w:rPr>
              <w:t>n/a</w:t>
            </w:r>
          </w:p>
        </w:tc>
        <w:tc>
          <w:tcPr>
            <w:tcW w:w="1100" w:type="dxa"/>
            <w:vAlign w:val="bottom"/>
          </w:tcPr>
          <w:p>
            <w:pPr>
              <w:jc w:val="center"/>
              <w:spacing w:after="0"/>
              <w:rPr>
                <w:sz w:val="20"/>
                <w:szCs w:val="20"/>
                <w:color w:val="auto"/>
              </w:rPr>
            </w:pPr>
            <w:r>
              <w:rPr>
                <w:rFonts w:ascii="Arial" w:cs="Arial" w:eastAsia="Arial" w:hAnsi="Arial"/>
                <w:sz w:val="13"/>
                <w:szCs w:val="13"/>
                <w:color w:val="6D6D6D"/>
                <w:w w:val="98"/>
              </w:rPr>
              <w:t>$3,054,450</w:t>
            </w:r>
          </w:p>
        </w:tc>
        <w:tc>
          <w:tcPr>
            <w:tcW w:w="1080" w:type="dxa"/>
            <w:vAlign w:val="bottom"/>
          </w:tcPr>
          <w:p>
            <w:pPr>
              <w:jc w:val="center"/>
              <w:spacing w:after="0"/>
              <w:rPr>
                <w:sz w:val="20"/>
                <w:szCs w:val="20"/>
                <w:color w:val="auto"/>
              </w:rPr>
            </w:pPr>
            <w:r>
              <w:rPr>
                <w:rFonts w:ascii="Arial" w:cs="Arial" w:eastAsia="Arial" w:hAnsi="Arial"/>
                <w:sz w:val="13"/>
                <w:szCs w:val="13"/>
                <w:color w:val="6D6D6D"/>
                <w:w w:val="99"/>
              </w:rPr>
              <w:t>n/a</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$1,760,212</w:t>
            </w: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$1,195,328</w:t>
            </w:r>
          </w:p>
        </w:tc>
        <w:tc>
          <w:tcPr>
            <w:tcW w:w="1020" w:type="dxa"/>
            <w:vAlign w:val="bottom"/>
          </w:tcPr>
          <w:p>
            <w:pPr>
              <w:jc w:val="center"/>
              <w:spacing w:after="0"/>
              <w:rPr>
                <w:sz w:val="20"/>
                <w:szCs w:val="20"/>
                <w:color w:val="auto"/>
              </w:rPr>
            </w:pPr>
            <w:r>
              <w:rPr>
                <w:rFonts w:ascii="Arial" w:cs="Arial" w:eastAsia="Arial" w:hAnsi="Arial"/>
                <w:sz w:val="13"/>
                <w:szCs w:val="13"/>
                <w:color w:val="6D6D6D"/>
              </w:rPr>
              <w:t>$74.70</w:t>
            </w:r>
          </w:p>
        </w:tc>
        <w:tc>
          <w:tcPr>
            <w:tcW w:w="980" w:type="dxa"/>
            <w:vAlign w:val="bottom"/>
          </w:tcPr>
          <w:p>
            <w:pPr>
              <w:jc w:val="center"/>
              <w:spacing w:after="0"/>
              <w:rPr>
                <w:sz w:val="20"/>
                <w:szCs w:val="20"/>
                <w:color w:val="auto"/>
              </w:rPr>
            </w:pPr>
            <w:r>
              <w:rPr>
                <w:rFonts w:ascii="Arial" w:cs="Arial" w:eastAsia="Arial" w:hAnsi="Arial"/>
                <w:sz w:val="13"/>
                <w:szCs w:val="13"/>
                <w:color w:val="6D6D6D"/>
                <w:w w:val="93"/>
              </w:rPr>
              <w:t>$137.80</w:t>
            </w:r>
          </w:p>
        </w:tc>
        <w:tc>
          <w:tcPr>
            <w:tcW w:w="900" w:type="dxa"/>
            <w:vAlign w:val="bottom"/>
          </w:tcPr>
          <w:p>
            <w:pPr>
              <w:jc w:val="center"/>
              <w:spacing w:after="0"/>
              <w:rPr>
                <w:sz w:val="20"/>
                <w:szCs w:val="20"/>
                <w:color w:val="auto"/>
              </w:rPr>
            </w:pPr>
            <w:r>
              <w:rPr>
                <w:rFonts w:ascii="Arial" w:cs="Arial" w:eastAsia="Arial" w:hAnsi="Arial"/>
                <w:sz w:val="13"/>
                <w:szCs w:val="13"/>
                <w:color w:val="6D6D6D"/>
                <w:w w:val="92"/>
              </w:rPr>
              <w:t>$67.7</w:t>
            </w:r>
          </w:p>
        </w:tc>
        <w:tc>
          <w:tcPr>
            <w:tcW w:w="960" w:type="dxa"/>
            <w:vAlign w:val="bottom"/>
          </w:tcPr>
          <w:p>
            <w:pPr>
              <w:jc w:val="center"/>
              <w:ind w:right="77"/>
              <w:spacing w:after="0"/>
              <w:rPr>
                <w:sz w:val="20"/>
                <w:szCs w:val="20"/>
                <w:color w:val="auto"/>
              </w:rPr>
            </w:pPr>
            <w:r>
              <w:rPr>
                <w:rFonts w:ascii="Arial" w:cs="Arial" w:eastAsia="Arial" w:hAnsi="Arial"/>
                <w:sz w:val="13"/>
                <w:szCs w:val="13"/>
                <w:color w:val="6D6D6D"/>
                <w:w w:val="98"/>
              </w:rPr>
              <w:t>$1,542.6</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 w:type="dxa"/>
            <w:vAlign w:val="bottom"/>
            <w:tcBorders>
              <w:bottom w:val="single" w:sz="8" w:color="EFEDED"/>
            </w:tcBorders>
            <w:shd w:val="clear" w:color="auto" w:fill="EFEDED"/>
          </w:tcPr>
          <w:p>
            <w:pPr>
              <w:jc w:val="right"/>
              <w:ind w:right="317"/>
              <w:spacing w:after="0"/>
              <w:rPr>
                <w:sz w:val="20"/>
                <w:szCs w:val="20"/>
                <w:color w:val="auto"/>
              </w:rPr>
            </w:pPr>
            <w:r>
              <w:rPr>
                <w:rFonts w:ascii="Arial" w:cs="Arial" w:eastAsia="Arial" w:hAnsi="Arial"/>
                <w:sz w:val="13"/>
                <w:szCs w:val="13"/>
                <w:b w:val="1"/>
                <w:bCs w:val="1"/>
                <w:color w:val="58595B"/>
              </w:rPr>
              <w:t>2022</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$9,319,913</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9"/>
              </w:rPr>
              <w:t>n/a</w:t>
            </w:r>
          </w:p>
        </w:tc>
        <w:tc>
          <w:tcPr>
            <w:tcW w:w="11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$8,467,260</w:t>
            </w: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9"/>
              </w:rPr>
              <w:t>n/a</w:t>
            </w:r>
          </w:p>
        </w:tc>
        <w:tc>
          <w:tcPr>
            <w:tcW w:w="1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$2,971,115</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$2,080,890</w:t>
            </w:r>
          </w:p>
        </w:tc>
        <w:tc>
          <w:tcPr>
            <w:tcW w:w="10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rPr>
              <w:t>$96.21</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3"/>
              </w:rPr>
              <w:t>$134.10</w:t>
            </w:r>
          </w:p>
        </w:tc>
        <w:tc>
          <w:tcPr>
            <w:tcW w:w="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$180.6</w:t>
            </w:r>
          </w:p>
        </w:tc>
        <w:tc>
          <w:tcPr>
            <w:tcW w:w="960" w:type="dxa"/>
            <w:vAlign w:val="bottom"/>
            <w:tcBorders>
              <w:bottom w:val="single" w:sz="8" w:color="EFEDED"/>
            </w:tcBorders>
            <w:shd w:val="clear" w:color="auto" w:fill="EFEDED"/>
          </w:tcPr>
          <w:p>
            <w:pPr>
              <w:jc w:val="center"/>
              <w:ind w:right="77"/>
              <w:spacing w:after="0"/>
              <w:rPr>
                <w:sz w:val="20"/>
                <w:szCs w:val="20"/>
                <w:color w:val="auto"/>
              </w:rPr>
            </w:pPr>
            <w:r>
              <w:rPr>
                <w:rFonts w:ascii="Arial" w:cs="Arial" w:eastAsia="Arial" w:hAnsi="Arial"/>
                <w:sz w:val="13"/>
                <w:szCs w:val="13"/>
                <w:color w:val="6D6D6D"/>
                <w:w w:val="98"/>
              </w:rPr>
              <w:t>$1,593.3</w:t>
            </w:r>
          </w:p>
        </w:tc>
        <w:tc>
          <w:tcPr>
            <w:tcW w:w="0" w:type="dxa"/>
            <w:vAlign w:val="bottom"/>
          </w:tcPr>
          <w:p>
            <w:pPr>
              <w:spacing w:after="0"/>
              <w:rPr>
                <w:sz w:val="1"/>
                <w:szCs w:val="1"/>
                <w:color w:val="auto"/>
              </w:rPr>
            </w:pPr>
          </w:p>
        </w:tc>
      </w:tr>
      <w:tr>
        <w:trPr>
          <w:trHeight w:val="181"/>
        </w:trPr>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58595B"/>
              </w:rPr>
              <w:t>2021</w:t>
            </w:r>
          </w:p>
        </w:tc>
        <w:tc>
          <w:tcPr>
            <w:tcW w:w="1100" w:type="dxa"/>
            <w:vAlign w:val="bottom"/>
          </w:tcPr>
          <w:p>
            <w:pPr>
              <w:jc w:val="center"/>
              <w:spacing w:after="0"/>
              <w:rPr>
                <w:sz w:val="20"/>
                <w:szCs w:val="20"/>
                <w:color w:val="auto"/>
              </w:rPr>
            </w:pPr>
            <w:r>
              <w:rPr>
                <w:rFonts w:ascii="Arial" w:cs="Arial" w:eastAsia="Arial" w:hAnsi="Arial"/>
                <w:sz w:val="13"/>
                <w:szCs w:val="13"/>
                <w:color w:val="6D6D6D"/>
                <w:w w:val="99"/>
              </w:rPr>
              <w:t>$251,773</w:t>
            </w:r>
          </w:p>
        </w:tc>
        <w:tc>
          <w:tcPr>
            <w:tcW w:w="1080" w:type="dxa"/>
            <w:vAlign w:val="bottom"/>
          </w:tcPr>
          <w:p>
            <w:pPr>
              <w:jc w:val="center"/>
              <w:spacing w:after="0"/>
              <w:rPr>
                <w:sz w:val="20"/>
                <w:szCs w:val="20"/>
                <w:color w:val="auto"/>
              </w:rPr>
            </w:pPr>
            <w:r>
              <w:rPr>
                <w:rFonts w:ascii="Arial" w:cs="Arial" w:eastAsia="Arial" w:hAnsi="Arial"/>
                <w:sz w:val="13"/>
                <w:szCs w:val="13"/>
                <w:color w:val="6D6D6D"/>
                <w:w w:val="98"/>
              </w:rPr>
              <w:t>$9,839,221</w:t>
            </w:r>
          </w:p>
        </w:tc>
        <w:tc>
          <w:tcPr>
            <w:tcW w:w="1100" w:type="dxa"/>
            <w:vAlign w:val="bottom"/>
          </w:tcPr>
          <w:p>
            <w:pPr>
              <w:jc w:val="center"/>
              <w:spacing w:after="0"/>
              <w:rPr>
                <w:sz w:val="20"/>
                <w:szCs w:val="20"/>
                <w:color w:val="auto"/>
              </w:rPr>
            </w:pPr>
            <w:r>
              <w:rPr>
                <w:rFonts w:ascii="Arial" w:cs="Arial" w:eastAsia="Arial" w:hAnsi="Arial"/>
                <w:sz w:val="13"/>
                <w:szCs w:val="13"/>
                <w:color w:val="6D6D6D"/>
                <w:w w:val="95"/>
              </w:rPr>
              <w:t>$251,773</w:t>
            </w:r>
          </w:p>
        </w:tc>
        <w:tc>
          <w:tcPr>
            <w:tcW w:w="1080" w:type="dxa"/>
            <w:vAlign w:val="bottom"/>
          </w:tcPr>
          <w:p>
            <w:pPr>
              <w:jc w:val="right"/>
              <w:ind w:right="117"/>
              <w:spacing w:after="0"/>
              <w:rPr>
                <w:sz w:val="20"/>
                <w:szCs w:val="20"/>
                <w:color w:val="auto"/>
              </w:rPr>
            </w:pPr>
            <w:r>
              <w:rPr>
                <w:rFonts w:ascii="Arial" w:cs="Arial" w:eastAsia="Arial" w:hAnsi="Arial"/>
                <w:sz w:val="13"/>
                <w:szCs w:val="13"/>
                <w:color w:val="6D6D6D"/>
              </w:rPr>
              <w:t>$12,933,775</w:t>
            </w:r>
          </w:p>
        </w:tc>
        <w:tc>
          <w:tcPr>
            <w:tcW w:w="1140" w:type="dxa"/>
            <w:vAlign w:val="bottom"/>
          </w:tcPr>
          <w:p>
            <w:pPr>
              <w:jc w:val="center"/>
              <w:spacing w:after="0"/>
              <w:rPr>
                <w:sz w:val="20"/>
                <w:szCs w:val="20"/>
                <w:color w:val="auto"/>
              </w:rPr>
            </w:pPr>
            <w:r>
              <w:rPr>
                <w:rFonts w:ascii="Arial" w:cs="Arial" w:eastAsia="Arial" w:hAnsi="Arial"/>
                <w:sz w:val="13"/>
                <w:szCs w:val="13"/>
                <w:color w:val="6D6D6D"/>
                <w:w w:val="98"/>
              </w:rPr>
              <w:t>$2,503,086</w:t>
            </w:r>
          </w:p>
        </w:tc>
        <w:tc>
          <w:tcPr>
            <w:tcW w:w="1120" w:type="dxa"/>
            <w:vAlign w:val="bottom"/>
          </w:tcPr>
          <w:p>
            <w:pPr>
              <w:jc w:val="center"/>
              <w:spacing w:after="0"/>
              <w:rPr>
                <w:sz w:val="20"/>
                <w:szCs w:val="20"/>
                <w:color w:val="auto"/>
              </w:rPr>
            </w:pPr>
            <w:r>
              <w:rPr>
                <w:rFonts w:ascii="Arial" w:cs="Arial" w:eastAsia="Arial" w:hAnsi="Arial"/>
                <w:sz w:val="13"/>
                <w:szCs w:val="13"/>
                <w:color w:val="6D6D6D"/>
                <w:w w:val="98"/>
              </w:rPr>
              <w:t>$3,093,831</w:t>
            </w:r>
          </w:p>
        </w:tc>
        <w:tc>
          <w:tcPr>
            <w:tcW w:w="1020" w:type="dxa"/>
            <w:vAlign w:val="bottom"/>
          </w:tcPr>
          <w:p>
            <w:pPr>
              <w:jc w:val="center"/>
              <w:spacing w:after="0"/>
              <w:rPr>
                <w:sz w:val="20"/>
                <w:szCs w:val="20"/>
                <w:color w:val="auto"/>
              </w:rPr>
            </w:pPr>
            <w:r>
              <w:rPr>
                <w:rFonts w:ascii="Arial" w:cs="Arial" w:eastAsia="Arial" w:hAnsi="Arial"/>
                <w:sz w:val="13"/>
                <w:szCs w:val="13"/>
                <w:color w:val="6D6D6D"/>
                <w:w w:val="93"/>
              </w:rPr>
              <w:t>$114.95</w:t>
            </w:r>
          </w:p>
        </w:tc>
        <w:tc>
          <w:tcPr>
            <w:tcW w:w="980" w:type="dxa"/>
            <w:vAlign w:val="bottom"/>
          </w:tcPr>
          <w:p>
            <w:pPr>
              <w:jc w:val="center"/>
              <w:spacing w:after="0"/>
              <w:rPr>
                <w:sz w:val="20"/>
                <w:szCs w:val="20"/>
                <w:color w:val="auto"/>
              </w:rPr>
            </w:pPr>
            <w:r>
              <w:rPr>
                <w:rFonts w:ascii="Arial" w:cs="Arial" w:eastAsia="Arial" w:hAnsi="Arial"/>
                <w:sz w:val="13"/>
                <w:szCs w:val="13"/>
                <w:color w:val="6D6D6D"/>
                <w:w w:val="93"/>
              </w:rPr>
              <w:t>$145.30</w:t>
            </w:r>
          </w:p>
        </w:tc>
        <w:tc>
          <w:tcPr>
            <w:tcW w:w="900" w:type="dxa"/>
            <w:vAlign w:val="bottom"/>
          </w:tcPr>
          <w:p>
            <w:pPr>
              <w:jc w:val="center"/>
              <w:spacing w:after="0"/>
              <w:rPr>
                <w:sz w:val="20"/>
                <w:szCs w:val="20"/>
                <w:color w:val="auto"/>
              </w:rPr>
            </w:pPr>
            <w:r>
              <w:rPr>
                <w:rFonts w:ascii="Arial" w:cs="Arial" w:eastAsia="Arial" w:hAnsi="Arial"/>
                <w:sz w:val="13"/>
                <w:szCs w:val="13"/>
                <w:color w:val="6D6D6D"/>
                <w:w w:val="95"/>
              </w:rPr>
              <w:t>$169.1</w:t>
            </w:r>
          </w:p>
        </w:tc>
        <w:tc>
          <w:tcPr>
            <w:tcW w:w="960" w:type="dxa"/>
            <w:vAlign w:val="bottom"/>
          </w:tcPr>
          <w:p>
            <w:pPr>
              <w:jc w:val="center"/>
              <w:ind w:right="77"/>
              <w:spacing w:after="0"/>
              <w:rPr>
                <w:sz w:val="20"/>
                <w:szCs w:val="20"/>
                <w:color w:val="auto"/>
              </w:rPr>
            </w:pPr>
            <w:r>
              <w:rPr>
                <w:rFonts w:ascii="Arial" w:cs="Arial" w:eastAsia="Arial" w:hAnsi="Arial"/>
                <w:sz w:val="13"/>
                <w:szCs w:val="13"/>
                <w:color w:val="6D6D6D"/>
                <w:w w:val="98"/>
              </w:rPr>
              <w:t>$1,542.4</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EFEDED"/>
            </w:tcBorders>
            <w:shd w:val="clear" w:color="auto" w:fill="EFEDED"/>
          </w:tcPr>
          <w:p>
            <w:pPr>
              <w:jc w:val="right"/>
              <w:ind w:right="317"/>
              <w:spacing w:after="0"/>
              <w:rPr>
                <w:sz w:val="20"/>
                <w:szCs w:val="20"/>
                <w:color w:val="auto"/>
              </w:rPr>
            </w:pPr>
            <w:r>
              <w:rPr>
                <w:rFonts w:ascii="Arial" w:cs="Arial" w:eastAsia="Arial" w:hAnsi="Arial"/>
                <w:sz w:val="13"/>
                <w:szCs w:val="13"/>
                <w:b w:val="1"/>
                <w:bCs w:val="1"/>
                <w:color w:val="58595B"/>
              </w:rPr>
              <w:t>2020</w:t>
            </w:r>
          </w:p>
        </w:tc>
        <w:tc>
          <w:tcPr>
            <w:tcW w:w="1100" w:type="dxa"/>
            <w:vAlign w:val="bottom"/>
            <w:tcBorders>
              <w:bottom w:val="single" w:sz="8" w:color="EFEDED"/>
            </w:tcBorders>
            <w:shd w:val="clear" w:color="auto" w:fill="EFEDED"/>
          </w:tcPr>
          <w:p>
            <w:pPr>
              <w:spacing w:after="0"/>
              <w:rPr>
                <w:sz w:val="15"/>
                <w:szCs w:val="15"/>
                <w:color w:val="auto"/>
              </w:rPr>
            </w:pPr>
          </w:p>
        </w:tc>
        <w:tc>
          <w:tcPr>
            <w:tcW w:w="10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$7,740,699</w:t>
            </w:r>
          </w:p>
        </w:tc>
        <w:tc>
          <w:tcPr>
            <w:tcW w:w="1100" w:type="dxa"/>
            <w:vAlign w:val="bottom"/>
            <w:tcBorders>
              <w:bottom w:val="single" w:sz="8" w:color="EFEDED"/>
            </w:tcBorders>
            <w:shd w:val="clear" w:color="auto" w:fill="EFEDED"/>
          </w:tcPr>
          <w:p>
            <w:pPr>
              <w:spacing w:after="0"/>
              <w:rPr>
                <w:sz w:val="15"/>
                <w:szCs w:val="15"/>
                <w:color w:val="auto"/>
              </w:rPr>
            </w:pPr>
          </w:p>
        </w:tc>
        <w:tc>
          <w:tcPr>
            <w:tcW w:w="1080" w:type="dxa"/>
            <w:vAlign w:val="bottom"/>
            <w:tcBorders>
              <w:bottom w:val="single" w:sz="8" w:color="EFEDED"/>
            </w:tcBorders>
            <w:shd w:val="clear" w:color="auto" w:fill="EFEDED"/>
          </w:tcPr>
          <w:p>
            <w:pPr>
              <w:jc w:val="right"/>
              <w:ind w:right="157"/>
              <w:spacing w:after="0"/>
              <w:rPr>
                <w:sz w:val="20"/>
                <w:szCs w:val="20"/>
                <w:color w:val="auto"/>
              </w:rPr>
            </w:pPr>
            <w:r>
              <w:rPr>
                <w:rFonts w:ascii="Arial" w:cs="Arial" w:eastAsia="Arial" w:hAnsi="Arial"/>
                <w:sz w:val="13"/>
                <w:szCs w:val="13"/>
                <w:color w:val="6D6D6D"/>
              </w:rPr>
              <w:t>$8,391,087</w:t>
            </w:r>
          </w:p>
        </w:tc>
        <w:tc>
          <w:tcPr>
            <w:tcW w:w="114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$1,882,148</w:t>
            </w:r>
          </w:p>
        </w:tc>
        <w:tc>
          <w:tcPr>
            <w:tcW w:w="11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8"/>
              </w:rPr>
              <w:t>$2,197,221</w:t>
            </w:r>
          </w:p>
        </w:tc>
        <w:tc>
          <w:tcPr>
            <w:tcW w:w="102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3"/>
              </w:rPr>
              <w:t>$111.39</w:t>
            </w:r>
          </w:p>
        </w:tc>
        <w:tc>
          <w:tcPr>
            <w:tcW w:w="98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3"/>
              </w:rPr>
              <w:t>$114.41</w:t>
            </w:r>
          </w:p>
        </w:tc>
        <w:tc>
          <w:tcPr>
            <w:tcW w:w="900" w:type="dxa"/>
            <w:vAlign w:val="bottom"/>
            <w:tcBorders>
              <w:bottom w:val="single" w:sz="8" w:color="EFEDED"/>
            </w:tcBorders>
            <w:shd w:val="clear" w:color="auto" w:fill="EFEDED"/>
          </w:tcPr>
          <w:p>
            <w:pPr>
              <w:jc w:val="center"/>
              <w:spacing w:after="0"/>
              <w:rPr>
                <w:sz w:val="20"/>
                <w:szCs w:val="20"/>
                <w:color w:val="auto"/>
              </w:rPr>
            </w:pPr>
            <w:r>
              <w:rPr>
                <w:rFonts w:ascii="Arial" w:cs="Arial" w:eastAsia="Arial" w:hAnsi="Arial"/>
                <w:sz w:val="13"/>
                <w:szCs w:val="13"/>
                <w:color w:val="6D6D6D"/>
                <w:w w:val="95"/>
              </w:rPr>
              <w:t>$133.9</w:t>
            </w:r>
          </w:p>
        </w:tc>
        <w:tc>
          <w:tcPr>
            <w:tcW w:w="960" w:type="dxa"/>
            <w:vAlign w:val="bottom"/>
            <w:tcBorders>
              <w:bottom w:val="single" w:sz="8" w:color="EFEDED"/>
            </w:tcBorders>
            <w:shd w:val="clear" w:color="auto" w:fill="EFEDED"/>
          </w:tcPr>
          <w:p>
            <w:pPr>
              <w:jc w:val="center"/>
              <w:ind w:right="77"/>
              <w:spacing w:after="0"/>
              <w:rPr>
                <w:sz w:val="20"/>
                <w:szCs w:val="20"/>
                <w:color w:val="auto"/>
              </w:rPr>
            </w:pPr>
            <w:r>
              <w:rPr>
                <w:rFonts w:ascii="Arial" w:cs="Arial" w:eastAsia="Arial" w:hAnsi="Arial"/>
                <w:sz w:val="13"/>
                <w:szCs w:val="13"/>
                <w:color w:val="6D6D6D"/>
                <w:w w:val="98"/>
              </w:rPr>
              <w:t>$1,371.9</w:t>
            </w:r>
          </w:p>
        </w:tc>
        <w:tc>
          <w:tcPr>
            <w:tcW w:w="0" w:type="dxa"/>
            <w:vAlign w:val="bottom"/>
          </w:tcPr>
          <w:p>
            <w:pPr>
              <w:spacing w:after="0"/>
              <w:rPr>
                <w:sz w:val="1"/>
                <w:szCs w:val="1"/>
                <w:color w:val="auto"/>
              </w:rPr>
            </w:pPr>
          </w:p>
        </w:tc>
      </w:tr>
      <w:tr>
        <w:trPr>
          <w:trHeight w:val="20"/>
        </w:trPr>
        <w:tc>
          <w:tcPr>
            <w:tcW w:w="760" w:type="dxa"/>
            <w:vAlign w:val="bottom"/>
            <w:shd w:val="clear" w:color="auto" w:fill="58595B"/>
          </w:tcPr>
          <w:p>
            <w:pPr>
              <w:spacing w:after="0" w:line="20" w:lineRule="exact"/>
              <w:rPr>
                <w:sz w:val="1"/>
                <w:szCs w:val="1"/>
                <w:color w:val="auto"/>
              </w:rPr>
            </w:pPr>
          </w:p>
        </w:tc>
        <w:tc>
          <w:tcPr>
            <w:tcW w:w="110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1100" w:type="dxa"/>
            <w:vAlign w:val="bottom"/>
            <w:shd w:val="clear" w:color="auto" w:fill="58595B"/>
          </w:tcPr>
          <w:p>
            <w:pPr>
              <w:spacing w:after="0" w:line="20" w:lineRule="exact"/>
              <w:rPr>
                <w:sz w:val="1"/>
                <w:szCs w:val="1"/>
                <w:color w:val="auto"/>
              </w:rPr>
            </w:pPr>
          </w:p>
        </w:tc>
        <w:tc>
          <w:tcPr>
            <w:tcW w:w="1080" w:type="dxa"/>
            <w:vAlign w:val="bottom"/>
            <w:shd w:val="clear" w:color="auto" w:fill="58595B"/>
          </w:tcPr>
          <w:p>
            <w:pPr>
              <w:spacing w:after="0" w:line="20" w:lineRule="exact"/>
              <w:rPr>
                <w:sz w:val="1"/>
                <w:szCs w:val="1"/>
                <w:color w:val="auto"/>
              </w:rPr>
            </w:pPr>
          </w:p>
        </w:tc>
        <w:tc>
          <w:tcPr>
            <w:tcW w:w="1140" w:type="dxa"/>
            <w:vAlign w:val="bottom"/>
            <w:shd w:val="clear" w:color="auto" w:fill="58595B"/>
          </w:tcPr>
          <w:p>
            <w:pPr>
              <w:spacing w:after="0" w:line="20" w:lineRule="exact"/>
              <w:rPr>
                <w:sz w:val="1"/>
                <w:szCs w:val="1"/>
                <w:color w:val="auto"/>
              </w:rPr>
            </w:pPr>
          </w:p>
        </w:tc>
        <w:tc>
          <w:tcPr>
            <w:tcW w:w="1120" w:type="dxa"/>
            <w:vAlign w:val="bottom"/>
            <w:shd w:val="clear" w:color="auto" w:fill="58595B"/>
          </w:tcPr>
          <w:p>
            <w:pPr>
              <w:spacing w:after="0" w:line="20" w:lineRule="exact"/>
              <w:rPr>
                <w:sz w:val="1"/>
                <w:szCs w:val="1"/>
                <w:color w:val="auto"/>
              </w:rPr>
            </w:pPr>
          </w:p>
        </w:tc>
        <w:tc>
          <w:tcPr>
            <w:tcW w:w="1020" w:type="dxa"/>
            <w:vAlign w:val="bottom"/>
            <w:shd w:val="clear" w:color="auto" w:fill="58595B"/>
          </w:tcPr>
          <w:p>
            <w:pPr>
              <w:spacing w:after="0" w:line="20" w:lineRule="exact"/>
              <w:rPr>
                <w:sz w:val="1"/>
                <w:szCs w:val="1"/>
                <w:color w:val="auto"/>
              </w:rPr>
            </w:pPr>
          </w:p>
        </w:tc>
        <w:tc>
          <w:tcPr>
            <w:tcW w:w="980" w:type="dxa"/>
            <w:vAlign w:val="bottom"/>
            <w:shd w:val="clear" w:color="auto" w:fill="58595B"/>
          </w:tcPr>
          <w:p>
            <w:pPr>
              <w:spacing w:after="0" w:line="20" w:lineRule="exact"/>
              <w:rPr>
                <w:sz w:val="1"/>
                <w:szCs w:val="1"/>
                <w:color w:val="auto"/>
              </w:rPr>
            </w:pPr>
          </w:p>
        </w:tc>
        <w:tc>
          <w:tcPr>
            <w:tcW w:w="900" w:type="dxa"/>
            <w:vAlign w:val="bottom"/>
            <w:shd w:val="clear" w:color="auto" w:fill="58595B"/>
          </w:tcPr>
          <w:p>
            <w:pPr>
              <w:spacing w:after="0" w:line="20" w:lineRule="exact"/>
              <w:rPr>
                <w:sz w:val="1"/>
                <w:szCs w:val="1"/>
                <w:color w:val="auto"/>
              </w:rPr>
            </w:pPr>
          </w:p>
        </w:tc>
        <w:tc>
          <w:tcPr>
            <w:tcW w:w="960" w:type="dxa"/>
            <w:vAlign w:val="bottom"/>
            <w:shd w:val="clear" w:color="auto" w:fill="58595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PEO and Non-PEO NEOs for the applicable years are as follows: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2023: Mr. De Witte served as PEO and Mses. Knight and Anderson and Messrs. Davis, McBreen, Mosebrook and Schwartz served as Non-PEO NEOs</w:t>
      </w:r>
    </w:p>
    <w:p>
      <w:pPr>
        <w:spacing w:after="0" w:line="55" w:lineRule="exact"/>
        <w:rPr>
          <w:rFonts w:ascii="Arial" w:cs="Arial" w:eastAsia="Arial" w:hAnsi="Arial"/>
          <w:sz w:val="14"/>
          <w:szCs w:val="14"/>
          <w:color w:val="auto"/>
        </w:rPr>
      </w:pPr>
    </w:p>
    <w:p>
      <w:pPr>
        <w:ind w:left="940" w:hanging="284"/>
        <w:spacing w:after="0"/>
        <w:tabs>
          <w:tab w:leader="none" w:pos="9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2022: Mr. De Witte served as PEO and Ms. Anderson and Messrs. Davis, McBreen, Schwartz and Coleman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2021: Mr. De Witte and Mr. Peter J. Arduini served as PEO and Ms. Anderson and Messrs. Davis, McBreen and Coleman served as Non-PEO NEOs</w:t>
      </w:r>
    </w:p>
    <w:p>
      <w:pPr>
        <w:spacing w:after="0" w:line="68" w:lineRule="exact"/>
        <w:rPr>
          <w:rFonts w:ascii="Arial" w:cs="Arial" w:eastAsia="Arial" w:hAnsi="Arial"/>
          <w:sz w:val="14"/>
          <w:szCs w:val="14"/>
          <w:color w:val="auto"/>
        </w:rPr>
      </w:pPr>
    </w:p>
    <w:p>
      <w:pPr>
        <w:ind w:left="940" w:hanging="284"/>
        <w:spacing w:after="0"/>
        <w:tabs>
          <w:tab w:leader="none" w:pos="9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2020: Mr. Arduini served as PEO and Ms. Anderson and Messrs. Davis, McBreen and Coleman served as Non-PEO NEOs</w:t>
      </w:r>
    </w:p>
    <w:p>
      <w:pPr>
        <w:spacing w:after="0" w:line="3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68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160" w:hanging="332"/>
        <w:spacing w:after="0" w:line="305" w:lineRule="auto"/>
        <w:tabs>
          <w:tab w:leader="none" w:pos="338"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table below provides the adjustments to the Summary Compensation Table total compensation made to arrive at the compensation actually paid for the PEO and the average of the Non-PEO NEOs: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900" w:type="dxa"/>
            <w:vAlign w:val="bottom"/>
            <w:tcBorders>
              <w:bottom w:val="single" w:sz="8" w:color="EFEDED"/>
            </w:tcBorders>
            <w:shd w:val="clear" w:color="auto" w:fill="EFEDED"/>
          </w:tcPr>
          <w:p>
            <w:pPr>
              <w:spacing w:after="0"/>
              <w:rPr>
                <w:sz w:val="17"/>
                <w:szCs w:val="17"/>
                <w:color w:val="auto"/>
              </w:rPr>
            </w:pPr>
          </w:p>
        </w:tc>
        <w:tc>
          <w:tcPr>
            <w:tcW w:w="2020" w:type="dxa"/>
            <w:vAlign w:val="bottom"/>
            <w:tcBorders>
              <w:bottom w:val="single" w:sz="8" w:color="58595B"/>
            </w:tcBorders>
            <w:shd w:val="clear" w:color="auto" w:fill="EFEDED"/>
          </w:tcPr>
          <w:p>
            <w:pPr>
              <w:jc w:val="right"/>
              <w:ind w:right="817"/>
              <w:spacing w:after="0"/>
              <w:rPr>
                <w:sz w:val="20"/>
                <w:szCs w:val="20"/>
                <w:color w:val="auto"/>
              </w:rPr>
            </w:pPr>
            <w:r>
              <w:rPr>
                <w:rFonts w:ascii="Arial" w:cs="Arial" w:eastAsia="Arial" w:hAnsi="Arial"/>
                <w:sz w:val="13"/>
                <w:szCs w:val="13"/>
                <w:b w:val="1"/>
                <w:bCs w:val="1"/>
                <w:color w:val="58595B"/>
              </w:rPr>
              <w:t>2020</w:t>
            </w:r>
          </w:p>
        </w:tc>
        <w:tc>
          <w:tcPr>
            <w:tcW w:w="2660" w:type="dxa"/>
            <w:vAlign w:val="bottom"/>
            <w:tcBorders>
              <w:bottom w:val="single" w:sz="8" w:color="58595B"/>
            </w:tcBorders>
            <w:gridSpan w:val="2"/>
            <w:shd w:val="clear" w:color="auto" w:fill="EFEDED"/>
          </w:tcPr>
          <w:p>
            <w:pPr>
              <w:jc w:val="right"/>
              <w:ind w:right="1137"/>
              <w:spacing w:after="0"/>
              <w:rPr>
                <w:sz w:val="20"/>
                <w:szCs w:val="20"/>
                <w:color w:val="auto"/>
              </w:rPr>
            </w:pPr>
            <w:r>
              <w:rPr>
                <w:rFonts w:ascii="Arial" w:cs="Arial" w:eastAsia="Arial" w:hAnsi="Arial"/>
                <w:sz w:val="13"/>
                <w:szCs w:val="13"/>
                <w:b w:val="1"/>
                <w:bCs w:val="1"/>
                <w:color w:val="58595B"/>
              </w:rPr>
              <w:t>2021</w:t>
            </w:r>
          </w:p>
        </w:tc>
        <w:tc>
          <w:tcPr>
            <w:tcW w:w="1640" w:type="dxa"/>
            <w:vAlign w:val="bottom"/>
            <w:tcBorders>
              <w:bottom w:val="single" w:sz="8" w:color="58595B"/>
            </w:tcBorders>
            <w:shd w:val="clear" w:color="auto" w:fill="EFEDED"/>
          </w:tcPr>
          <w:p>
            <w:pPr>
              <w:jc w:val="right"/>
              <w:ind w:right="637"/>
              <w:spacing w:after="0"/>
              <w:rPr>
                <w:sz w:val="20"/>
                <w:szCs w:val="20"/>
                <w:color w:val="auto"/>
              </w:rPr>
            </w:pPr>
            <w:r>
              <w:rPr>
                <w:rFonts w:ascii="Arial" w:cs="Arial" w:eastAsia="Arial" w:hAnsi="Arial"/>
                <w:sz w:val="13"/>
                <w:szCs w:val="13"/>
                <w:b w:val="1"/>
                <w:bCs w:val="1"/>
                <w:color w:val="58595B"/>
              </w:rPr>
              <w:t>2022</w:t>
            </w:r>
          </w:p>
        </w:tc>
        <w:tc>
          <w:tcPr>
            <w:tcW w:w="130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2023</w:t>
            </w:r>
          </w:p>
        </w:tc>
      </w:tr>
      <w:tr>
        <w:trPr>
          <w:trHeight w:val="156"/>
        </w:trPr>
        <w:tc>
          <w:tcPr>
            <w:tcW w:w="2900" w:type="dxa"/>
            <w:vAlign w:val="bottom"/>
            <w:shd w:val="clear" w:color="auto" w:fill="EFEDED"/>
          </w:tcPr>
          <w:p>
            <w:pPr>
              <w:spacing w:after="0"/>
              <w:rPr>
                <w:sz w:val="13"/>
                <w:szCs w:val="13"/>
                <w:color w:val="auto"/>
              </w:rPr>
            </w:pPr>
          </w:p>
        </w:tc>
        <w:tc>
          <w:tcPr>
            <w:tcW w:w="2020" w:type="dxa"/>
            <w:vAlign w:val="bottom"/>
            <w:shd w:val="clear" w:color="auto" w:fill="EFEDED"/>
          </w:tcPr>
          <w:p>
            <w:pPr>
              <w:spacing w:after="0"/>
              <w:rPr>
                <w:sz w:val="13"/>
                <w:szCs w:val="13"/>
                <w:color w:val="auto"/>
              </w:rPr>
            </w:pPr>
          </w:p>
        </w:tc>
        <w:tc>
          <w:tcPr>
            <w:tcW w:w="134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7"/>
              </w:rPr>
              <w:t>Current PEO</w:t>
            </w:r>
          </w:p>
        </w:tc>
        <w:tc>
          <w:tcPr>
            <w:tcW w:w="1320" w:type="dxa"/>
            <w:vAlign w:val="bottom"/>
            <w:shd w:val="clear" w:color="auto" w:fill="EFEDED"/>
          </w:tcPr>
          <w:p>
            <w:pPr>
              <w:jc w:val="center"/>
              <w:ind w:right="77"/>
              <w:spacing w:after="0"/>
              <w:rPr>
                <w:sz w:val="20"/>
                <w:szCs w:val="20"/>
                <w:color w:val="auto"/>
              </w:rPr>
            </w:pPr>
            <w:r>
              <w:rPr>
                <w:rFonts w:ascii="Arial" w:cs="Arial" w:eastAsia="Arial" w:hAnsi="Arial"/>
                <w:sz w:val="13"/>
                <w:szCs w:val="13"/>
                <w:b w:val="1"/>
                <w:bCs w:val="1"/>
                <w:color w:val="58595B"/>
                <w:w w:val="97"/>
              </w:rPr>
              <w:t>Former PEO</w:t>
            </w:r>
          </w:p>
        </w:tc>
        <w:tc>
          <w:tcPr>
            <w:tcW w:w="1640" w:type="dxa"/>
            <w:vAlign w:val="bottom"/>
            <w:shd w:val="clear" w:color="auto" w:fill="EFEDED"/>
          </w:tcPr>
          <w:p>
            <w:pPr>
              <w:spacing w:after="0"/>
              <w:rPr>
                <w:sz w:val="13"/>
                <w:szCs w:val="13"/>
                <w:color w:val="auto"/>
              </w:rPr>
            </w:pP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7"/>
              </w:rPr>
              <w:t>PEO (Jan De</w:t>
            </w:r>
          </w:p>
        </w:tc>
      </w:tr>
      <w:tr>
        <w:trPr>
          <w:trHeight w:val="172"/>
        </w:trPr>
        <w:tc>
          <w:tcPr>
            <w:tcW w:w="2900" w:type="dxa"/>
            <w:vAlign w:val="bottom"/>
            <w:shd w:val="clear" w:color="auto" w:fill="EFEDED"/>
          </w:tcPr>
          <w:p>
            <w:pPr>
              <w:ind w:left="1060"/>
              <w:spacing w:after="0"/>
              <w:rPr>
                <w:sz w:val="20"/>
                <w:szCs w:val="20"/>
                <w:color w:val="auto"/>
              </w:rPr>
            </w:pPr>
            <w:r>
              <w:rPr>
                <w:rFonts w:ascii="Arial" w:cs="Arial" w:eastAsia="Arial" w:hAnsi="Arial"/>
                <w:sz w:val="13"/>
                <w:szCs w:val="13"/>
                <w:b w:val="1"/>
                <w:bCs w:val="1"/>
                <w:color w:val="58595B"/>
              </w:rPr>
              <w:t>Adjustments</w:t>
            </w:r>
          </w:p>
        </w:tc>
        <w:tc>
          <w:tcPr>
            <w:tcW w:w="202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Former PEO (Peter J. Arduini)</w:t>
            </w:r>
          </w:p>
        </w:tc>
        <w:tc>
          <w:tcPr>
            <w:tcW w:w="1340" w:type="dxa"/>
            <w:vAlign w:val="bottom"/>
            <w:shd w:val="clear" w:color="auto" w:fill="EFEDED"/>
          </w:tcPr>
          <w:p>
            <w:pPr>
              <w:jc w:val="center"/>
              <w:ind w:left="37"/>
              <w:spacing w:after="0"/>
              <w:rPr>
                <w:sz w:val="20"/>
                <w:szCs w:val="20"/>
                <w:color w:val="auto"/>
              </w:rPr>
            </w:pPr>
            <w:r>
              <w:rPr>
                <w:rFonts w:ascii="Arial" w:cs="Arial" w:eastAsia="Arial" w:hAnsi="Arial"/>
                <w:sz w:val="13"/>
                <w:szCs w:val="13"/>
                <w:b w:val="1"/>
                <w:bCs w:val="1"/>
                <w:color w:val="58595B"/>
                <w:w w:val="97"/>
              </w:rPr>
              <w:t>(Jan. D. De Witte)</w:t>
            </w:r>
          </w:p>
        </w:tc>
        <w:tc>
          <w:tcPr>
            <w:tcW w:w="1320" w:type="dxa"/>
            <w:vAlign w:val="bottom"/>
            <w:shd w:val="clear" w:color="auto" w:fill="EFEDED"/>
          </w:tcPr>
          <w:p>
            <w:pPr>
              <w:jc w:val="center"/>
              <w:ind w:right="77"/>
              <w:spacing w:after="0"/>
              <w:rPr>
                <w:sz w:val="20"/>
                <w:szCs w:val="20"/>
                <w:color w:val="auto"/>
              </w:rPr>
            </w:pPr>
            <w:r>
              <w:rPr>
                <w:rFonts w:ascii="Arial" w:cs="Arial" w:eastAsia="Arial" w:hAnsi="Arial"/>
                <w:sz w:val="13"/>
                <w:szCs w:val="13"/>
                <w:b w:val="1"/>
                <w:bCs w:val="1"/>
                <w:color w:val="58595B"/>
                <w:w w:val="97"/>
              </w:rPr>
              <w:t>(Peter J. Arduini)</w:t>
            </w:r>
          </w:p>
        </w:tc>
        <w:tc>
          <w:tcPr>
            <w:tcW w:w="16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PEO (Jan De Witte)</w:t>
            </w:r>
          </w:p>
        </w:tc>
        <w:tc>
          <w:tcPr>
            <w:tcW w:w="130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4"/>
              </w:rPr>
              <w:t>Witte)</w:t>
            </w:r>
          </w:p>
        </w:tc>
      </w:tr>
      <w:tr>
        <w:trPr>
          <w:trHeight w:val="75"/>
        </w:trPr>
        <w:tc>
          <w:tcPr>
            <w:tcW w:w="2900" w:type="dxa"/>
            <w:vAlign w:val="bottom"/>
            <w:shd w:val="clear" w:color="auto" w:fill="EFEDED"/>
          </w:tcPr>
          <w:p>
            <w:pPr>
              <w:spacing w:after="0"/>
              <w:rPr>
                <w:sz w:val="6"/>
                <w:szCs w:val="6"/>
                <w:color w:val="auto"/>
              </w:rPr>
            </w:pPr>
          </w:p>
        </w:tc>
        <w:tc>
          <w:tcPr>
            <w:tcW w:w="2020" w:type="dxa"/>
            <w:vAlign w:val="bottom"/>
            <w:shd w:val="clear" w:color="auto" w:fill="EFEDED"/>
          </w:tcPr>
          <w:p>
            <w:pPr>
              <w:spacing w:after="0"/>
              <w:rPr>
                <w:sz w:val="6"/>
                <w:szCs w:val="6"/>
                <w:color w:val="auto"/>
              </w:rPr>
            </w:pPr>
          </w:p>
        </w:tc>
        <w:tc>
          <w:tcPr>
            <w:tcW w:w="1340" w:type="dxa"/>
            <w:vAlign w:val="bottom"/>
            <w:shd w:val="clear" w:color="auto" w:fill="EFEDED"/>
          </w:tcPr>
          <w:p>
            <w:pPr>
              <w:spacing w:after="0"/>
              <w:rPr>
                <w:sz w:val="6"/>
                <w:szCs w:val="6"/>
                <w:color w:val="auto"/>
              </w:rPr>
            </w:pPr>
          </w:p>
        </w:tc>
        <w:tc>
          <w:tcPr>
            <w:tcW w:w="1320" w:type="dxa"/>
            <w:vAlign w:val="bottom"/>
            <w:shd w:val="clear" w:color="auto" w:fill="EFEDED"/>
          </w:tcPr>
          <w:p>
            <w:pPr>
              <w:spacing w:after="0"/>
              <w:rPr>
                <w:sz w:val="6"/>
                <w:szCs w:val="6"/>
                <w:color w:val="auto"/>
              </w:rPr>
            </w:pPr>
          </w:p>
        </w:tc>
        <w:tc>
          <w:tcPr>
            <w:tcW w:w="1640" w:type="dxa"/>
            <w:vAlign w:val="bottom"/>
            <w:shd w:val="clear" w:color="auto" w:fill="EFEDED"/>
          </w:tcPr>
          <w:p>
            <w:pPr>
              <w:spacing w:after="0"/>
              <w:rPr>
                <w:sz w:val="6"/>
                <w:szCs w:val="6"/>
                <w:color w:val="auto"/>
              </w:rPr>
            </w:pPr>
          </w:p>
        </w:tc>
        <w:tc>
          <w:tcPr>
            <w:tcW w:w="1300" w:type="dxa"/>
            <w:vAlign w:val="bottom"/>
            <w:shd w:val="clear" w:color="auto" w:fill="EFEDED"/>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-33655</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9"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Total Compensation reported in SCT</w:t>
      </w:r>
    </w:p>
    <w:p>
      <w:pPr>
        <w:spacing w:after="0" w:line="53" w:lineRule="exact"/>
        <w:rPr>
          <w:sz w:val="20"/>
          <w:szCs w:val="20"/>
          <w:color w:val="auto"/>
        </w:rPr>
      </w:pPr>
    </w:p>
    <w:p>
      <w:pPr>
        <w:ind w:left="440" w:right="320"/>
        <w:spacing w:after="0" w:line="274" w:lineRule="auto"/>
        <w:rPr>
          <w:sz w:val="20"/>
          <w:szCs w:val="20"/>
          <w:color w:val="auto"/>
        </w:rPr>
      </w:pPr>
      <w:r>
        <w:rPr>
          <w:rFonts w:ascii="Arial" w:cs="Arial" w:eastAsia="Arial" w:hAnsi="Arial"/>
          <w:sz w:val="13"/>
          <w:szCs w:val="13"/>
          <w:b w:val="1"/>
          <w:bCs w:val="1"/>
          <w:color w:val="58595B"/>
        </w:rPr>
        <w:t>Deduction for Stock and Options Awards reported in SCT</w:t>
      </w:r>
    </w:p>
    <w:p>
      <w:pPr>
        <w:spacing w:after="0" w:line="10" w:lineRule="exact"/>
        <w:rPr>
          <w:sz w:val="20"/>
          <w:szCs w:val="20"/>
          <w:color w:val="auto"/>
        </w:rPr>
      </w:pPr>
    </w:p>
    <w:p>
      <w:pPr>
        <w:ind w:left="440" w:right="160"/>
        <w:spacing w:after="0" w:line="256" w:lineRule="auto"/>
        <w:rPr>
          <w:sz w:val="20"/>
          <w:szCs w:val="20"/>
          <w:color w:val="auto"/>
        </w:rPr>
      </w:pPr>
      <w:r>
        <w:rPr>
          <w:rFonts w:ascii="Arial" w:cs="Arial" w:eastAsia="Arial" w:hAnsi="Arial"/>
          <w:sz w:val="13"/>
          <w:szCs w:val="13"/>
          <w:b w:val="1"/>
          <w:bCs w:val="1"/>
          <w:color w:val="58595B"/>
        </w:rPr>
        <w:t>Deduction for Change in Pension Value and Nonqualified Deferred Compensation Earnings Value reported in SCT</w:t>
      </w:r>
    </w:p>
    <w:p>
      <w:pPr>
        <w:spacing w:after="0" w:line="35" w:lineRule="exact"/>
        <w:rPr>
          <w:sz w:val="20"/>
          <w:szCs w:val="20"/>
          <w:color w:val="auto"/>
        </w:rPr>
      </w:pPr>
    </w:p>
    <w:p>
      <w:pPr>
        <w:ind w:left="440" w:right="80"/>
        <w:spacing w:after="0" w:line="250" w:lineRule="auto"/>
        <w:rPr>
          <w:sz w:val="20"/>
          <w:szCs w:val="20"/>
          <w:color w:val="auto"/>
        </w:rPr>
      </w:pPr>
      <w:r>
        <w:rPr>
          <w:rFonts w:ascii="Arial" w:cs="Arial" w:eastAsia="Arial" w:hAnsi="Arial"/>
          <w:sz w:val="13"/>
          <w:szCs w:val="13"/>
          <w:b w:val="1"/>
          <w:bCs w:val="1"/>
          <w:color w:val="58595B"/>
        </w:rPr>
        <w:t>Increase by FV of Awards Granted during Applicable FY that Remain Unvested as of Applicable FY End, Determined at Applicable FY End</w:t>
      </w:r>
    </w:p>
    <w:p>
      <w:pPr>
        <w:spacing w:after="0" w:line="39" w:lineRule="exact"/>
        <w:rPr>
          <w:sz w:val="20"/>
          <w:szCs w:val="20"/>
          <w:color w:val="auto"/>
        </w:rPr>
      </w:pPr>
    </w:p>
    <w:p>
      <w:pPr>
        <w:ind w:left="440" w:right="140"/>
        <w:spacing w:after="0" w:line="287" w:lineRule="auto"/>
        <w:rPr>
          <w:sz w:val="20"/>
          <w:szCs w:val="20"/>
          <w:color w:val="auto"/>
        </w:rPr>
      </w:pPr>
      <w:r>
        <w:rPr>
          <w:rFonts w:ascii="Arial" w:cs="Arial" w:eastAsia="Arial" w:hAnsi="Arial"/>
          <w:sz w:val="12"/>
          <w:szCs w:val="12"/>
          <w:b w:val="1"/>
          <w:bCs w:val="1"/>
          <w:color w:val="58595B"/>
        </w:rPr>
        <w:t>Increase by FV of Awards Granted during Applicable FY that Vested during Applicable FY, Determined at Vesting Date</w:t>
      </w:r>
    </w:p>
    <w:p>
      <w:pPr>
        <w:spacing w:after="0" w:line="18" w:lineRule="exact"/>
        <w:rPr>
          <w:sz w:val="20"/>
          <w:szCs w:val="20"/>
          <w:color w:val="auto"/>
        </w:rPr>
      </w:pPr>
    </w:p>
    <w:p>
      <w:pPr>
        <w:ind w:left="440" w:right="140"/>
        <w:spacing w:after="0" w:line="277" w:lineRule="auto"/>
        <w:rPr>
          <w:sz w:val="20"/>
          <w:szCs w:val="20"/>
          <w:color w:val="auto"/>
        </w:rPr>
      </w:pPr>
      <w:r>
        <w:rPr>
          <w:rFonts w:ascii="Arial" w:cs="Arial" w:eastAsia="Arial" w:hAnsi="Arial"/>
          <w:sz w:val="12"/>
          <w:szCs w:val="12"/>
          <w:b w:val="1"/>
          <w:bCs w:val="1"/>
          <w:color w:val="58595B"/>
        </w:rPr>
        <w:t>Increase or Decrease by Change in FV of Outstanding Unvested Prior FY Awards that Remain Unvested at Applicable FY End as Compared to FV as of Prior FY End</w:t>
      </w:r>
    </w:p>
    <w:p>
      <w:pPr>
        <w:spacing w:after="0" w:line="24" w:lineRule="exact"/>
        <w:rPr>
          <w:sz w:val="20"/>
          <w:szCs w:val="20"/>
          <w:color w:val="auto"/>
        </w:rPr>
      </w:pPr>
    </w:p>
    <w:p>
      <w:pPr>
        <w:ind w:left="440"/>
        <w:spacing w:after="0" w:line="250" w:lineRule="auto"/>
        <w:rPr>
          <w:sz w:val="20"/>
          <w:szCs w:val="20"/>
          <w:color w:val="auto"/>
        </w:rPr>
      </w:pPr>
      <w:r>
        <w:rPr>
          <w:rFonts w:ascii="Arial" w:cs="Arial" w:eastAsia="Arial" w:hAnsi="Arial"/>
          <w:sz w:val="13"/>
          <w:szCs w:val="13"/>
          <w:b w:val="1"/>
          <w:bCs w:val="1"/>
          <w:color w:val="58595B"/>
        </w:rPr>
        <w:t>Increase or Decrease by Change in FV of Prior FY Awards that Vested During the Applicable FY as of vesting date as compared to FV as of Prior FY End</w:t>
      </w:r>
    </w:p>
    <w:p>
      <w:pPr>
        <w:spacing w:after="0" w:line="39" w:lineRule="exact"/>
        <w:rPr>
          <w:sz w:val="20"/>
          <w:szCs w:val="20"/>
          <w:color w:val="auto"/>
        </w:rPr>
      </w:pPr>
    </w:p>
    <w:p>
      <w:pPr>
        <w:ind w:left="440" w:right="300"/>
        <w:spacing w:after="0" w:line="256" w:lineRule="auto"/>
        <w:rPr>
          <w:sz w:val="20"/>
          <w:szCs w:val="20"/>
          <w:color w:val="auto"/>
        </w:rPr>
      </w:pPr>
      <w:r>
        <w:rPr>
          <w:rFonts w:ascii="Arial" w:cs="Arial" w:eastAsia="Arial" w:hAnsi="Arial"/>
          <w:sz w:val="13"/>
          <w:szCs w:val="13"/>
          <w:b w:val="1"/>
          <w:bCs w:val="1"/>
          <w:color w:val="58595B"/>
        </w:rPr>
        <w:t>Deduction of FV of Prior FY Awards as of Prior FY End that were forfeited during Applicable FY (N/A)</w:t>
      </w:r>
    </w:p>
    <w:p>
      <w:pPr>
        <w:spacing w:after="0" w:line="35" w:lineRule="exact"/>
        <w:rPr>
          <w:sz w:val="20"/>
          <w:szCs w:val="20"/>
          <w:color w:val="auto"/>
        </w:rPr>
      </w:pPr>
    </w:p>
    <w:p>
      <w:pPr>
        <w:ind w:left="440"/>
        <w:spacing w:after="0" w:line="256" w:lineRule="auto"/>
        <w:rPr>
          <w:sz w:val="20"/>
          <w:szCs w:val="20"/>
          <w:color w:val="auto"/>
        </w:rPr>
      </w:pPr>
      <w:r>
        <w:rPr>
          <w:rFonts w:ascii="Arial" w:cs="Arial" w:eastAsia="Arial" w:hAnsi="Arial"/>
          <w:sz w:val="13"/>
          <w:szCs w:val="13"/>
          <w:b w:val="1"/>
          <w:bCs w:val="1"/>
          <w:color w:val="58595B"/>
        </w:rPr>
        <w:t>Increase by amount of dividends paid on unvested awards during applicable FY prior to vesting date (N/A)</w:t>
      </w:r>
    </w:p>
    <w:p>
      <w:pPr>
        <w:spacing w:after="0" w:line="35" w:lineRule="exact"/>
        <w:rPr>
          <w:sz w:val="20"/>
          <w:szCs w:val="20"/>
          <w:color w:val="auto"/>
        </w:rPr>
      </w:pPr>
    </w:p>
    <w:p>
      <w:pPr>
        <w:ind w:left="440" w:right="80"/>
        <w:spacing w:after="0" w:line="256" w:lineRule="auto"/>
        <w:rPr>
          <w:sz w:val="20"/>
          <w:szCs w:val="20"/>
          <w:color w:val="auto"/>
        </w:rPr>
      </w:pPr>
      <w:r>
        <w:rPr>
          <w:rFonts w:ascii="Arial" w:cs="Arial" w:eastAsia="Arial" w:hAnsi="Arial"/>
          <w:sz w:val="13"/>
          <w:szCs w:val="13"/>
          <w:b w:val="1"/>
          <w:bCs w:val="1"/>
          <w:color w:val="58595B"/>
        </w:rPr>
        <w:t>Increase by incremental fair value of Options/SARs modified during applicable FY (N/A)</w:t>
      </w:r>
    </w:p>
    <w:p>
      <w:pPr>
        <w:spacing w:after="0" w:line="35" w:lineRule="exact"/>
        <w:rPr>
          <w:sz w:val="20"/>
          <w:szCs w:val="20"/>
          <w:color w:val="auto"/>
        </w:rPr>
      </w:pPr>
    </w:p>
    <w:p>
      <w:pPr>
        <w:ind w:left="440" w:right="40"/>
        <w:spacing w:after="0" w:line="274" w:lineRule="auto"/>
        <w:rPr>
          <w:sz w:val="20"/>
          <w:szCs w:val="20"/>
          <w:color w:val="auto"/>
        </w:rPr>
      </w:pPr>
      <w:r>
        <w:rPr>
          <w:rFonts w:ascii="Arial" w:cs="Arial" w:eastAsia="Arial" w:hAnsi="Arial"/>
          <w:sz w:val="13"/>
          <w:szCs w:val="13"/>
          <w:b w:val="1"/>
          <w:bCs w:val="1"/>
          <w:color w:val="58595B"/>
        </w:rPr>
        <w:t>Increase by Change in Pension Service Costs (N/A)</w:t>
      </w:r>
    </w:p>
    <w:p>
      <w:pPr>
        <w:spacing w:after="0" w:line="10" w:lineRule="exact"/>
        <w:rPr>
          <w:sz w:val="20"/>
          <w:szCs w:val="20"/>
          <w:color w:val="auto"/>
        </w:rPr>
      </w:pPr>
    </w:p>
    <w:p>
      <w:pPr>
        <w:ind w:left="440" w:right="180"/>
        <w:spacing w:after="0" w:line="256" w:lineRule="auto"/>
        <w:rPr>
          <w:sz w:val="20"/>
          <w:szCs w:val="20"/>
          <w:color w:val="auto"/>
        </w:rPr>
      </w:pPr>
      <w:r>
        <w:rPr>
          <w:rFonts w:ascii="Arial" w:cs="Arial" w:eastAsia="Arial" w:hAnsi="Arial"/>
          <w:sz w:val="13"/>
          <w:szCs w:val="13"/>
          <w:b w:val="1"/>
          <w:bCs w:val="1"/>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80" w:type="dxa"/>
            <w:vAlign w:val="bottom"/>
          </w:tcPr>
          <w:p>
            <w:pPr>
              <w:jc w:val="center"/>
              <w:ind w:right="477"/>
              <w:spacing w:after="0"/>
              <w:rPr>
                <w:sz w:val="20"/>
                <w:szCs w:val="20"/>
                <w:color w:val="auto"/>
              </w:rPr>
            </w:pPr>
            <w:r>
              <w:rPr>
                <w:rFonts w:ascii="Arial" w:cs="Arial" w:eastAsia="Arial" w:hAnsi="Arial"/>
                <w:sz w:val="13"/>
                <w:szCs w:val="13"/>
                <w:color w:val="6D6D6D"/>
                <w:w w:val="95"/>
              </w:rPr>
              <w:t>$7,740,699</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5"/>
              </w:rPr>
              <w:t>$251,773</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$9,839,221</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$9,319,913</w:t>
            </w:r>
          </w:p>
        </w:tc>
        <w:tc>
          <w:tcPr>
            <w:tcW w:w="1240" w:type="dxa"/>
            <w:vAlign w:val="bottom"/>
          </w:tcPr>
          <w:p>
            <w:pPr>
              <w:jc w:val="center"/>
              <w:ind w:left="157"/>
              <w:spacing w:after="0"/>
              <w:rPr>
                <w:sz w:val="20"/>
                <w:szCs w:val="20"/>
                <w:color w:val="auto"/>
              </w:rPr>
            </w:pPr>
            <w:r>
              <w:rPr>
                <w:rFonts w:ascii="Arial" w:cs="Arial" w:eastAsia="Arial" w:hAnsi="Arial"/>
                <w:sz w:val="13"/>
                <w:szCs w:val="13"/>
                <w:color w:val="6D6D6D"/>
                <w:w w:val="95"/>
              </w:rPr>
              <w:t>$6,388,756</w:t>
            </w:r>
          </w:p>
        </w:tc>
      </w:tr>
      <w:tr>
        <w:trPr>
          <w:trHeight w:val="270"/>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7"/>
              </w:rPr>
              <w:t>$(6,000,068)</w:t>
            </w:r>
          </w:p>
        </w:tc>
        <w:tc>
          <w:tcPr>
            <w:tcW w:w="1380" w:type="dxa"/>
            <w:vAlign w:val="bottom"/>
          </w:tcPr>
          <w:p>
            <w:pPr>
              <w:spacing w:after="0"/>
              <w:rPr>
                <w:sz w:val="23"/>
                <w:szCs w:val="23"/>
                <w:color w:val="auto"/>
              </w:rPr>
            </w:pPr>
          </w:p>
        </w:tc>
        <w:tc>
          <w:tcPr>
            <w:tcW w:w="1420" w:type="dxa"/>
            <w:vAlign w:val="bottom"/>
          </w:tcPr>
          <w:p>
            <w:pPr>
              <w:jc w:val="center"/>
              <w:ind w:right="57"/>
              <w:spacing w:after="0"/>
              <w:rPr>
                <w:sz w:val="20"/>
                <w:szCs w:val="20"/>
                <w:color w:val="auto"/>
              </w:rPr>
            </w:pPr>
            <w:r>
              <w:rPr>
                <w:rFonts w:ascii="Arial" w:cs="Arial" w:eastAsia="Arial" w:hAnsi="Arial"/>
                <w:sz w:val="13"/>
                <w:szCs w:val="13"/>
                <w:color w:val="6D6D6D"/>
                <w:w w:val="94"/>
              </w:rPr>
              <w:t>$(7,250,113)</w:t>
            </w:r>
          </w:p>
        </w:tc>
        <w:tc>
          <w:tcPr>
            <w:tcW w:w="1500" w:type="dxa"/>
            <w:vAlign w:val="bottom"/>
          </w:tcPr>
          <w:p>
            <w:pPr>
              <w:jc w:val="center"/>
              <w:spacing w:after="0"/>
              <w:rPr>
                <w:sz w:val="20"/>
                <w:szCs w:val="20"/>
                <w:color w:val="auto"/>
              </w:rPr>
            </w:pPr>
            <w:r>
              <w:rPr>
                <w:rFonts w:ascii="Arial" w:cs="Arial" w:eastAsia="Arial" w:hAnsi="Arial"/>
                <w:sz w:val="13"/>
                <w:szCs w:val="13"/>
                <w:color w:val="6D6D6D"/>
                <w:w w:val="97"/>
              </w:rPr>
              <w:t>$(7,500,107)</w:t>
            </w:r>
          </w:p>
        </w:tc>
        <w:tc>
          <w:tcPr>
            <w:tcW w:w="1240" w:type="dxa"/>
            <w:vAlign w:val="bottom"/>
          </w:tcPr>
          <w:p>
            <w:pPr>
              <w:jc w:val="right"/>
              <w:spacing w:after="0"/>
              <w:rPr>
                <w:sz w:val="20"/>
                <w:szCs w:val="20"/>
                <w:color w:val="auto"/>
              </w:rPr>
            </w:pPr>
            <w:r>
              <w:rPr>
                <w:rFonts w:ascii="Arial" w:cs="Arial" w:eastAsia="Arial" w:hAnsi="Arial"/>
                <w:sz w:val="13"/>
                <w:szCs w:val="13"/>
                <w:color w:val="58595B"/>
              </w:rPr>
              <w:t>(5,500,089)</w:t>
            </w:r>
          </w:p>
        </w:tc>
      </w:tr>
      <w:tr>
        <w:trPr>
          <w:trHeight w:val="432"/>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right"/>
              <w:spacing w:after="0"/>
              <w:rPr>
                <w:sz w:val="20"/>
                <w:szCs w:val="20"/>
                <w:color w:val="auto"/>
              </w:rPr>
            </w:pPr>
            <w:r>
              <w:rPr>
                <w:rFonts w:ascii="Arial" w:cs="Arial" w:eastAsia="Arial" w:hAnsi="Arial"/>
                <w:sz w:val="13"/>
                <w:szCs w:val="13"/>
                <w:color w:val="58595B"/>
              </w:rPr>
              <w:t>—</w:t>
            </w:r>
          </w:p>
        </w:tc>
      </w:tr>
      <w:tr>
        <w:trPr>
          <w:trHeight w:val="594"/>
        </w:trPr>
        <w:tc>
          <w:tcPr>
            <w:tcW w:w="1280" w:type="dxa"/>
            <w:vAlign w:val="bottom"/>
          </w:tcPr>
          <w:p>
            <w:pPr>
              <w:jc w:val="center"/>
              <w:ind w:right="477"/>
              <w:spacing w:after="0"/>
              <w:rPr>
                <w:sz w:val="20"/>
                <w:szCs w:val="20"/>
                <w:color w:val="auto"/>
              </w:rPr>
            </w:pPr>
            <w:r>
              <w:rPr>
                <w:rFonts w:ascii="Arial" w:cs="Arial" w:eastAsia="Arial" w:hAnsi="Arial"/>
                <w:sz w:val="13"/>
                <w:szCs w:val="13"/>
                <w:color w:val="6D6D6D"/>
                <w:w w:val="95"/>
              </w:rPr>
              <w:t>$8,875,367</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$5,560,371</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$6,647,453</w:t>
            </w:r>
          </w:p>
        </w:tc>
        <w:tc>
          <w:tcPr>
            <w:tcW w:w="1240" w:type="dxa"/>
            <w:vAlign w:val="bottom"/>
          </w:tcPr>
          <w:p>
            <w:pPr>
              <w:jc w:val="center"/>
              <w:ind w:left="157"/>
              <w:spacing w:after="0"/>
              <w:rPr>
                <w:sz w:val="20"/>
                <w:szCs w:val="20"/>
                <w:color w:val="auto"/>
              </w:rPr>
            </w:pPr>
            <w:r>
              <w:rPr>
                <w:rFonts w:ascii="Arial" w:cs="Arial" w:eastAsia="Arial" w:hAnsi="Arial"/>
                <w:sz w:val="13"/>
                <w:szCs w:val="13"/>
                <w:color w:val="6D6D6D"/>
                <w:w w:val="95"/>
              </w:rPr>
              <w:t>$3,775,014</w:t>
            </w:r>
          </w:p>
        </w:tc>
      </w:tr>
      <w:tr>
        <w:trPr>
          <w:trHeight w:val="580"/>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$2,862,580</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57"/>
              <w:spacing w:after="0"/>
              <w:rPr>
                <w:sz w:val="20"/>
                <w:szCs w:val="20"/>
                <w:color w:val="auto"/>
              </w:rPr>
            </w:pPr>
            <w:r>
              <w:rPr>
                <w:rFonts w:ascii="Arial" w:cs="Arial" w:eastAsia="Arial" w:hAnsi="Arial"/>
                <w:sz w:val="13"/>
                <w:szCs w:val="13"/>
                <w:color w:val="6D6D6D"/>
                <w:w w:val="97"/>
              </w:rPr>
              <w:t>$34,449</w:t>
            </w:r>
          </w:p>
        </w:tc>
      </w:tr>
      <w:tr>
        <w:trPr>
          <w:trHeight w:val="594"/>
        </w:trPr>
        <w:tc>
          <w:tcPr>
            <w:tcW w:w="1280" w:type="dxa"/>
            <w:vAlign w:val="bottom"/>
          </w:tcPr>
          <w:p>
            <w:pPr>
              <w:jc w:val="center"/>
              <w:ind w:right="477"/>
              <w:spacing w:after="0"/>
              <w:rPr>
                <w:sz w:val="20"/>
                <w:szCs w:val="20"/>
                <w:color w:val="auto"/>
              </w:rPr>
            </w:pPr>
            <w:r>
              <w:rPr>
                <w:rFonts w:ascii="Arial" w:cs="Arial" w:eastAsia="Arial" w:hAnsi="Arial"/>
                <w:sz w:val="13"/>
                <w:szCs w:val="13"/>
                <w:color w:val="6D6D6D"/>
                <w:w w:val="98"/>
              </w:rPr>
              <w:t>$(505,550)</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$1,476,527</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37"/>
              <w:spacing w:after="0"/>
              <w:rPr>
                <w:sz w:val="20"/>
                <w:szCs w:val="20"/>
                <w:color w:val="auto"/>
              </w:rPr>
            </w:pPr>
            <w:r>
              <w:rPr>
                <w:rFonts w:ascii="Arial" w:cs="Arial" w:eastAsia="Arial" w:hAnsi="Arial"/>
                <w:sz w:val="13"/>
                <w:szCs w:val="13"/>
                <w:color w:val="6D6D6D"/>
                <w:w w:val="97"/>
              </w:rPr>
              <w:t>$(1,412,612)</w:t>
            </w:r>
          </w:p>
        </w:tc>
      </w:tr>
      <w:tr>
        <w:trPr>
          <w:trHeight w:val="662"/>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7"/>
              </w:rPr>
              <w:t>$(1,719,360)</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5"/>
              </w:rPr>
              <w:t>$445,188</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57"/>
              <w:spacing w:after="0"/>
              <w:rPr>
                <w:sz w:val="20"/>
                <w:szCs w:val="20"/>
                <w:color w:val="auto"/>
              </w:rPr>
            </w:pPr>
            <w:r>
              <w:rPr>
                <w:rFonts w:ascii="Arial" w:cs="Arial" w:eastAsia="Arial" w:hAnsi="Arial"/>
                <w:sz w:val="13"/>
                <w:szCs w:val="13"/>
                <w:color w:val="6D6D6D"/>
                <w:w w:val="98"/>
              </w:rPr>
              <w:t>$(231,068)</w:t>
            </w:r>
          </w:p>
        </w:tc>
      </w:tr>
      <w:tr>
        <w:trPr>
          <w:trHeight w:val="580"/>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37"/>
              <w:spacing w:after="0"/>
              <w:rPr>
                <w:sz w:val="20"/>
                <w:szCs w:val="20"/>
                <w:color w:val="auto"/>
              </w:rPr>
            </w:pPr>
            <w:r>
              <w:rPr>
                <w:rFonts w:ascii="Arial" w:cs="Arial" w:eastAsia="Arial" w:hAnsi="Arial"/>
                <w:sz w:val="13"/>
                <w:szCs w:val="13"/>
                <w:color w:val="6D6D6D"/>
                <w:w w:val="98"/>
              </w:rPr>
              <w:t>$—</w:t>
            </w:r>
          </w:p>
        </w:tc>
      </w:tr>
      <w:tr>
        <w:trPr>
          <w:trHeight w:val="513"/>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37"/>
              <w:spacing w:after="0"/>
              <w:rPr>
                <w:sz w:val="20"/>
                <w:szCs w:val="20"/>
                <w:color w:val="auto"/>
              </w:rPr>
            </w:pPr>
            <w:r>
              <w:rPr>
                <w:rFonts w:ascii="Arial" w:cs="Arial" w:eastAsia="Arial" w:hAnsi="Arial"/>
                <w:sz w:val="13"/>
                <w:szCs w:val="13"/>
                <w:color w:val="6D6D6D"/>
                <w:w w:val="98"/>
              </w:rPr>
              <w:t>$—</w:t>
            </w:r>
          </w:p>
        </w:tc>
      </w:tr>
      <w:tr>
        <w:trPr>
          <w:trHeight w:val="513"/>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37"/>
              <w:spacing w:after="0"/>
              <w:rPr>
                <w:sz w:val="20"/>
                <w:szCs w:val="20"/>
                <w:color w:val="auto"/>
              </w:rPr>
            </w:pPr>
            <w:r>
              <w:rPr>
                <w:rFonts w:ascii="Arial" w:cs="Arial" w:eastAsia="Arial" w:hAnsi="Arial"/>
                <w:sz w:val="13"/>
                <w:szCs w:val="13"/>
                <w:color w:val="6D6D6D"/>
                <w:w w:val="98"/>
              </w:rPr>
              <w:t>$—</w:t>
            </w:r>
          </w:p>
        </w:tc>
      </w:tr>
      <w:tr>
        <w:trPr>
          <w:trHeight w:val="432"/>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37"/>
              <w:spacing w:after="0"/>
              <w:rPr>
                <w:sz w:val="20"/>
                <w:szCs w:val="20"/>
                <w:color w:val="auto"/>
              </w:rPr>
            </w:pPr>
            <w:r>
              <w:rPr>
                <w:rFonts w:ascii="Arial" w:cs="Arial" w:eastAsia="Arial" w:hAnsi="Arial"/>
                <w:sz w:val="13"/>
                <w:szCs w:val="13"/>
                <w:color w:val="6D6D6D"/>
                <w:w w:val="98"/>
              </w:rPr>
              <w:t>$—</w:t>
            </w:r>
          </w:p>
        </w:tc>
      </w:tr>
      <w:tr>
        <w:trPr>
          <w:trHeight w:val="432"/>
        </w:trPr>
        <w:tc>
          <w:tcPr>
            <w:tcW w:w="1280" w:type="dxa"/>
            <w:vAlign w:val="bottom"/>
          </w:tcPr>
          <w:p>
            <w:pPr>
              <w:jc w:val="center"/>
              <w:ind w:right="497"/>
              <w:spacing w:after="0"/>
              <w:rPr>
                <w:sz w:val="20"/>
                <w:szCs w:val="20"/>
                <w:color w:val="auto"/>
              </w:rPr>
            </w:pPr>
            <w:r>
              <w:rPr>
                <w:rFonts w:ascii="Arial" w:cs="Arial" w:eastAsia="Arial" w:hAnsi="Arial"/>
                <w:sz w:val="13"/>
                <w:szCs w:val="13"/>
                <w:color w:val="6D6D6D"/>
                <w:w w:val="98"/>
              </w:rPr>
              <w:t>$—</w:t>
            </w:r>
          </w:p>
        </w:tc>
        <w:tc>
          <w:tcPr>
            <w:tcW w:w="1380" w:type="dxa"/>
            <w:vAlign w:val="bottom"/>
          </w:tcPr>
          <w:p>
            <w:pPr>
              <w:jc w:val="center"/>
              <w:ind w:left="197"/>
              <w:spacing w:after="0"/>
              <w:rPr>
                <w:sz w:val="20"/>
                <w:szCs w:val="20"/>
                <w:color w:val="auto"/>
              </w:rPr>
            </w:pPr>
            <w:r>
              <w:rPr>
                <w:rFonts w:ascii="Arial" w:cs="Arial" w:eastAsia="Arial" w:hAnsi="Arial"/>
                <w:sz w:val="13"/>
                <w:szCs w:val="13"/>
                <w:color w:val="6D6D6D"/>
                <w:w w:val="98"/>
              </w:rPr>
              <w:t>$—</w:t>
            </w:r>
          </w:p>
        </w:tc>
        <w:tc>
          <w:tcPr>
            <w:tcW w:w="1420" w:type="dxa"/>
            <w:vAlign w:val="bottom"/>
          </w:tcPr>
          <w:p>
            <w:pPr>
              <w:jc w:val="center"/>
              <w:ind w:right="37"/>
              <w:spacing w:after="0"/>
              <w:rPr>
                <w:sz w:val="20"/>
                <w:szCs w:val="20"/>
                <w:color w:val="auto"/>
              </w:rPr>
            </w:pPr>
            <w:r>
              <w:rPr>
                <w:rFonts w:ascii="Arial" w:cs="Arial" w:eastAsia="Arial" w:hAnsi="Arial"/>
                <w:sz w:val="13"/>
                <w:szCs w:val="13"/>
                <w:color w:val="6D6D6D"/>
                <w:w w:val="98"/>
              </w:rPr>
              <w:t>$—</w:t>
            </w:r>
          </w:p>
        </w:tc>
        <w:tc>
          <w:tcPr>
            <w:tcW w:w="150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240" w:type="dxa"/>
            <w:vAlign w:val="bottom"/>
          </w:tcPr>
          <w:p>
            <w:pPr>
              <w:jc w:val="center"/>
              <w:ind w:left="137"/>
              <w:spacing w:after="0"/>
              <w:rPr>
                <w:sz w:val="20"/>
                <w:szCs w:val="20"/>
                <w:color w:val="auto"/>
              </w:rPr>
            </w:pPr>
            <w:r>
              <w:rPr>
                <w:rFonts w:ascii="Arial" w:cs="Arial" w:eastAsia="Arial" w:hAnsi="Arial"/>
                <w:sz w:val="13"/>
                <w:szCs w:val="13"/>
                <w:color w:val="6D6D6D"/>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-3539490</wp:posOffset>
            </wp:positionV>
            <wp:extent cx="6686550" cy="2228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-2990850</wp:posOffset>
            </wp:positionV>
            <wp:extent cx="6686550" cy="420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86550" cy="42037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-2245360</wp:posOffset>
            </wp:positionV>
            <wp:extent cx="6686550" cy="420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86550" cy="42037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-1404620</wp:posOffset>
            </wp:positionV>
            <wp:extent cx="6686550" cy="3257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-753745</wp:posOffset>
            </wp:positionV>
            <wp:extent cx="6686550" cy="3257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-204470</wp:posOffset>
            </wp:positionV>
            <wp:extent cx="6686550" cy="3340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686550" cy="334010"/>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3200" w:space="680"/>
            <w:col w:w="7360"/>
          </w:cols>
          <w:pgMar w:left="320" w:top="122" w:right="339" w:bottom="1440" w:gutter="0" w:footer="0" w:header="0"/>
          <w:type w:val="continuous"/>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69</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320" w:type="dxa"/>
            <w:vAlign w:val="bottom"/>
            <w:tcBorders>
              <w:bottom w:val="single" w:sz="8" w:color="EFEDED"/>
            </w:tcBorders>
            <w:shd w:val="clear" w:color="auto" w:fill="EFEDED"/>
          </w:tcPr>
          <w:p>
            <w:pPr>
              <w:spacing w:after="0"/>
              <w:rPr>
                <w:sz w:val="17"/>
                <w:szCs w:val="17"/>
                <w:color w:val="auto"/>
              </w:rPr>
            </w:pPr>
          </w:p>
        </w:tc>
        <w:tc>
          <w:tcPr>
            <w:tcW w:w="144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2020</w:t>
            </w:r>
          </w:p>
        </w:tc>
        <w:tc>
          <w:tcPr>
            <w:tcW w:w="158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2021</w:t>
            </w:r>
          </w:p>
        </w:tc>
        <w:tc>
          <w:tcPr>
            <w:tcW w:w="1540" w:type="dxa"/>
            <w:vAlign w:val="bottom"/>
            <w:tcBorders>
              <w:bottom w:val="single" w:sz="8" w:color="58595B"/>
            </w:tcBorders>
            <w:shd w:val="clear" w:color="auto" w:fill="EFEDED"/>
          </w:tcPr>
          <w:p>
            <w:pPr>
              <w:jc w:val="center"/>
              <w:spacing w:after="0"/>
              <w:rPr>
                <w:sz w:val="20"/>
                <w:szCs w:val="20"/>
                <w:color w:val="auto"/>
              </w:rPr>
            </w:pPr>
            <w:r>
              <w:rPr>
                <w:rFonts w:ascii="Arial" w:cs="Arial" w:eastAsia="Arial" w:hAnsi="Arial"/>
                <w:sz w:val="13"/>
                <w:szCs w:val="13"/>
                <w:b w:val="1"/>
                <w:bCs w:val="1"/>
                <w:color w:val="58595B"/>
                <w:w w:val="96"/>
              </w:rPr>
              <w:t>2022</w:t>
            </w:r>
          </w:p>
        </w:tc>
        <w:tc>
          <w:tcPr>
            <w:tcW w:w="1640" w:type="dxa"/>
            <w:vAlign w:val="bottom"/>
            <w:tcBorders>
              <w:bottom w:val="single" w:sz="8" w:color="58595B"/>
            </w:tcBorders>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6"/>
              </w:rPr>
              <w:t>2023</w:t>
            </w:r>
          </w:p>
        </w:tc>
      </w:tr>
      <w:tr>
        <w:trPr>
          <w:trHeight w:val="156"/>
        </w:trPr>
        <w:tc>
          <w:tcPr>
            <w:tcW w:w="4320" w:type="dxa"/>
            <w:vAlign w:val="bottom"/>
            <w:shd w:val="clear" w:color="auto" w:fill="EFEDED"/>
          </w:tcPr>
          <w:p>
            <w:pPr>
              <w:spacing w:after="0"/>
              <w:rPr>
                <w:sz w:val="13"/>
                <w:szCs w:val="13"/>
                <w:color w:val="auto"/>
              </w:rPr>
            </w:pPr>
          </w:p>
        </w:tc>
        <w:tc>
          <w:tcPr>
            <w:tcW w:w="14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5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5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Average for Other</w:t>
            </w:r>
          </w:p>
        </w:tc>
        <w:tc>
          <w:tcPr>
            <w:tcW w:w="1640" w:type="dxa"/>
            <w:vAlign w:val="bottom"/>
            <w:shd w:val="clear" w:color="auto" w:fill="EFEDED"/>
          </w:tcPr>
          <w:p>
            <w:pPr>
              <w:jc w:val="center"/>
              <w:ind w:right="17"/>
              <w:spacing w:after="0"/>
              <w:rPr>
                <w:sz w:val="20"/>
                <w:szCs w:val="20"/>
                <w:color w:val="auto"/>
              </w:rPr>
            </w:pPr>
            <w:r>
              <w:rPr>
                <w:rFonts w:ascii="Arial" w:cs="Arial" w:eastAsia="Arial" w:hAnsi="Arial"/>
                <w:sz w:val="13"/>
                <w:szCs w:val="13"/>
                <w:b w:val="1"/>
                <w:bCs w:val="1"/>
                <w:color w:val="58595B"/>
                <w:w w:val="97"/>
              </w:rPr>
              <w:t>Average for Other</w:t>
            </w:r>
          </w:p>
        </w:tc>
      </w:tr>
      <w:tr>
        <w:trPr>
          <w:trHeight w:val="172"/>
        </w:trPr>
        <w:tc>
          <w:tcPr>
            <w:tcW w:w="4320" w:type="dxa"/>
            <w:vAlign w:val="bottom"/>
            <w:shd w:val="clear" w:color="auto" w:fill="EFEDED"/>
          </w:tcPr>
          <w:p>
            <w:pPr>
              <w:ind w:left="1780"/>
              <w:spacing w:after="0"/>
              <w:rPr>
                <w:sz w:val="20"/>
                <w:szCs w:val="20"/>
                <w:color w:val="auto"/>
              </w:rPr>
            </w:pPr>
            <w:r>
              <w:rPr>
                <w:rFonts w:ascii="Arial" w:cs="Arial" w:eastAsia="Arial" w:hAnsi="Arial"/>
                <w:sz w:val="13"/>
                <w:szCs w:val="13"/>
                <w:b w:val="1"/>
                <w:bCs w:val="1"/>
                <w:color w:val="58595B"/>
              </w:rPr>
              <w:t>Adjustments</w:t>
            </w:r>
          </w:p>
        </w:tc>
        <w:tc>
          <w:tcPr>
            <w:tcW w:w="14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58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540" w:type="dxa"/>
            <w:vAlign w:val="bottom"/>
            <w:shd w:val="clear" w:color="auto" w:fill="EFEDED"/>
          </w:tcPr>
          <w:p>
            <w:pPr>
              <w:jc w:val="center"/>
              <w:spacing w:after="0"/>
              <w:rPr>
                <w:sz w:val="20"/>
                <w:szCs w:val="20"/>
                <w:color w:val="auto"/>
              </w:rPr>
            </w:pPr>
            <w:r>
              <w:rPr>
                <w:rFonts w:ascii="Arial" w:cs="Arial" w:eastAsia="Arial" w:hAnsi="Arial"/>
                <w:sz w:val="13"/>
                <w:szCs w:val="13"/>
                <w:b w:val="1"/>
                <w:bCs w:val="1"/>
                <w:color w:val="58595B"/>
                <w:w w:val="95"/>
              </w:rPr>
              <w:t>NEOs</w:t>
            </w:r>
          </w:p>
        </w:tc>
        <w:tc>
          <w:tcPr>
            <w:tcW w:w="1640" w:type="dxa"/>
            <w:vAlign w:val="bottom"/>
            <w:shd w:val="clear" w:color="auto" w:fill="EFEDED"/>
          </w:tcPr>
          <w:p>
            <w:pPr>
              <w:jc w:val="center"/>
              <w:ind w:right="37"/>
              <w:spacing w:after="0"/>
              <w:rPr>
                <w:sz w:val="20"/>
                <w:szCs w:val="20"/>
                <w:color w:val="auto"/>
              </w:rPr>
            </w:pPr>
            <w:r>
              <w:rPr>
                <w:rFonts w:ascii="Arial" w:cs="Arial" w:eastAsia="Arial" w:hAnsi="Arial"/>
                <w:sz w:val="13"/>
                <w:szCs w:val="13"/>
                <w:b w:val="1"/>
                <w:bCs w:val="1"/>
                <w:color w:val="58595B"/>
                <w:w w:val="95"/>
              </w:rPr>
              <w:t>NEOs</w:t>
            </w:r>
          </w:p>
        </w:tc>
      </w:tr>
      <w:tr>
        <w:trPr>
          <w:trHeight w:val="76"/>
        </w:trPr>
        <w:tc>
          <w:tcPr>
            <w:tcW w:w="4320" w:type="dxa"/>
            <w:vAlign w:val="bottom"/>
            <w:shd w:val="clear" w:color="auto" w:fill="EFEDED"/>
          </w:tcPr>
          <w:p>
            <w:pPr>
              <w:spacing w:after="0"/>
              <w:rPr>
                <w:sz w:val="6"/>
                <w:szCs w:val="6"/>
                <w:color w:val="auto"/>
              </w:rPr>
            </w:pPr>
          </w:p>
        </w:tc>
        <w:tc>
          <w:tcPr>
            <w:tcW w:w="1440" w:type="dxa"/>
            <w:vAlign w:val="bottom"/>
            <w:shd w:val="clear" w:color="auto" w:fill="EFEDED"/>
          </w:tcPr>
          <w:p>
            <w:pPr>
              <w:spacing w:after="0"/>
              <w:rPr>
                <w:sz w:val="6"/>
                <w:szCs w:val="6"/>
                <w:color w:val="auto"/>
              </w:rPr>
            </w:pPr>
          </w:p>
        </w:tc>
        <w:tc>
          <w:tcPr>
            <w:tcW w:w="1580" w:type="dxa"/>
            <w:vAlign w:val="bottom"/>
            <w:shd w:val="clear" w:color="auto" w:fill="EFEDED"/>
          </w:tcPr>
          <w:p>
            <w:pPr>
              <w:spacing w:after="0"/>
              <w:rPr>
                <w:sz w:val="6"/>
                <w:szCs w:val="6"/>
                <w:color w:val="auto"/>
              </w:rPr>
            </w:pPr>
          </w:p>
        </w:tc>
        <w:tc>
          <w:tcPr>
            <w:tcW w:w="1540" w:type="dxa"/>
            <w:vAlign w:val="bottom"/>
            <w:shd w:val="clear" w:color="auto" w:fill="EFEDED"/>
          </w:tcPr>
          <w:p>
            <w:pPr>
              <w:spacing w:after="0"/>
              <w:rPr>
                <w:sz w:val="6"/>
                <w:szCs w:val="6"/>
                <w:color w:val="auto"/>
              </w:rPr>
            </w:pPr>
          </w:p>
        </w:tc>
        <w:tc>
          <w:tcPr>
            <w:tcW w:w="1640" w:type="dxa"/>
            <w:vAlign w:val="bottom"/>
            <w:shd w:val="clear" w:color="auto" w:fill="EFEDED"/>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-33655</wp:posOffset>
            </wp:positionV>
            <wp:extent cx="85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9"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Total Compensation reported in SCT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Deduction for Stock and Options Awards reported in SCT</w:t>
      </w:r>
    </w:p>
    <w:p>
      <w:pPr>
        <w:spacing w:after="0" w:line="53" w:lineRule="exact"/>
        <w:rPr>
          <w:sz w:val="20"/>
          <w:szCs w:val="20"/>
          <w:color w:val="auto"/>
        </w:rPr>
      </w:pPr>
    </w:p>
    <w:p>
      <w:pPr>
        <w:ind w:left="440" w:right="200"/>
        <w:spacing w:after="0" w:line="274" w:lineRule="auto"/>
        <w:rPr>
          <w:sz w:val="20"/>
          <w:szCs w:val="20"/>
          <w:color w:val="auto"/>
        </w:rPr>
      </w:pPr>
      <w:r>
        <w:rPr>
          <w:rFonts w:ascii="Arial" w:cs="Arial" w:eastAsia="Arial" w:hAnsi="Arial"/>
          <w:sz w:val="13"/>
          <w:szCs w:val="13"/>
          <w:b w:val="1"/>
          <w:bCs w:val="1"/>
          <w:color w:val="58595B"/>
        </w:rPr>
        <w:t>Deduction for Change in Pension Value and Nonqualified Deferred Compensation Earnings Value reported in SCT</w:t>
      </w:r>
    </w:p>
    <w:p>
      <w:pPr>
        <w:spacing w:after="0" w:line="10" w:lineRule="exact"/>
        <w:rPr>
          <w:sz w:val="20"/>
          <w:szCs w:val="20"/>
          <w:color w:val="auto"/>
        </w:rPr>
      </w:pPr>
    </w:p>
    <w:p>
      <w:pPr>
        <w:ind w:left="440" w:right="80"/>
        <w:spacing w:after="0" w:line="305" w:lineRule="auto"/>
        <w:rPr>
          <w:sz w:val="20"/>
          <w:szCs w:val="20"/>
          <w:color w:val="auto"/>
        </w:rPr>
      </w:pPr>
      <w:r>
        <w:rPr>
          <w:rFonts w:ascii="Arial" w:cs="Arial" w:eastAsia="Arial" w:hAnsi="Arial"/>
          <w:sz w:val="12"/>
          <w:szCs w:val="12"/>
          <w:b w:val="1"/>
          <w:bCs w:val="1"/>
          <w:color w:val="58595B"/>
        </w:rPr>
        <w:t>Increase by FV of Awards Granted during Applicable FY that Remain Unvested as of Applicable FY End, Determined at Applicable FY End</w:t>
      </w:r>
    </w:p>
    <w:p>
      <w:pPr>
        <w:ind w:left="440" w:right="120"/>
        <w:spacing w:after="0" w:line="274" w:lineRule="auto"/>
        <w:rPr>
          <w:sz w:val="20"/>
          <w:szCs w:val="20"/>
          <w:color w:val="auto"/>
        </w:rPr>
      </w:pPr>
      <w:r>
        <w:rPr>
          <w:rFonts w:ascii="Arial" w:cs="Arial" w:eastAsia="Arial" w:hAnsi="Arial"/>
          <w:sz w:val="13"/>
          <w:szCs w:val="13"/>
          <w:b w:val="1"/>
          <w:bCs w:val="1"/>
          <w:color w:val="58595B"/>
        </w:rPr>
        <w:t>Increase by FV of Awards Granted during Applicable FY that Vested during Applicable FY, Determined at Vesting Date</w:t>
      </w:r>
    </w:p>
    <w:p>
      <w:pPr>
        <w:spacing w:after="0" w:line="10" w:lineRule="exact"/>
        <w:rPr>
          <w:sz w:val="20"/>
          <w:szCs w:val="20"/>
          <w:color w:val="auto"/>
        </w:rPr>
      </w:pPr>
    </w:p>
    <w:p>
      <w:pPr>
        <w:jc w:val="both"/>
        <w:ind w:left="440" w:right="20"/>
        <w:spacing w:after="0" w:line="256" w:lineRule="auto"/>
        <w:rPr>
          <w:sz w:val="20"/>
          <w:szCs w:val="20"/>
          <w:color w:val="auto"/>
        </w:rPr>
      </w:pPr>
      <w:r>
        <w:rPr>
          <w:rFonts w:ascii="Arial" w:cs="Arial" w:eastAsia="Arial" w:hAnsi="Arial"/>
          <w:sz w:val="13"/>
          <w:szCs w:val="13"/>
          <w:b w:val="1"/>
          <w:bCs w:val="1"/>
          <w:color w:val="58595B"/>
        </w:rPr>
        <w:t>Increase or Decrease by Change in FV of Outstanding Unvested Prior FY Awards that Remain Unvested at Applicable FY End as Compared to FV as of Prior FY End</w:t>
      </w:r>
    </w:p>
    <w:p>
      <w:pPr>
        <w:spacing w:after="0" w:line="35" w:lineRule="exact"/>
        <w:rPr>
          <w:sz w:val="20"/>
          <w:szCs w:val="20"/>
          <w:color w:val="auto"/>
        </w:rPr>
      </w:pPr>
    </w:p>
    <w:p>
      <w:pPr>
        <w:ind w:left="440"/>
        <w:spacing w:after="0" w:line="256" w:lineRule="auto"/>
        <w:rPr>
          <w:sz w:val="20"/>
          <w:szCs w:val="20"/>
          <w:color w:val="auto"/>
        </w:rPr>
      </w:pPr>
      <w:r>
        <w:rPr>
          <w:rFonts w:ascii="Arial" w:cs="Arial" w:eastAsia="Arial" w:hAnsi="Arial"/>
          <w:sz w:val="13"/>
          <w:szCs w:val="13"/>
          <w:b w:val="1"/>
          <w:bCs w:val="1"/>
          <w:color w:val="58595B"/>
        </w:rPr>
        <w:t>Increase or Decrease by Change in FV of Prior FY Awards that Vested During the Applicable FY as of vesting date as compared to FV as of Prior FY End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120" w:type="dxa"/>
            <w:vAlign w:val="bottom"/>
          </w:tcPr>
          <w:p>
            <w:pPr>
              <w:jc w:val="center"/>
              <w:ind w:right="357"/>
              <w:spacing w:after="0"/>
              <w:rPr>
                <w:sz w:val="20"/>
                <w:szCs w:val="20"/>
                <w:color w:val="auto"/>
              </w:rPr>
            </w:pPr>
            <w:r>
              <w:rPr>
                <w:rFonts w:ascii="Arial" w:cs="Arial" w:eastAsia="Arial" w:hAnsi="Arial"/>
                <w:sz w:val="13"/>
                <w:szCs w:val="13"/>
                <w:color w:val="6D6D6D"/>
                <w:w w:val="95"/>
              </w:rPr>
              <w:t>$1,882,148</w:t>
            </w:r>
          </w:p>
        </w:tc>
        <w:tc>
          <w:tcPr>
            <w:tcW w:w="1540" w:type="dxa"/>
            <w:vAlign w:val="bottom"/>
          </w:tcPr>
          <w:p>
            <w:pPr>
              <w:jc w:val="center"/>
              <w:spacing w:after="0"/>
              <w:rPr>
                <w:sz w:val="20"/>
                <w:szCs w:val="20"/>
                <w:color w:val="auto"/>
              </w:rPr>
            </w:pPr>
            <w:r>
              <w:rPr>
                <w:rFonts w:ascii="Arial" w:cs="Arial" w:eastAsia="Arial" w:hAnsi="Arial"/>
                <w:sz w:val="13"/>
                <w:szCs w:val="13"/>
                <w:color w:val="6D6D6D"/>
                <w:w w:val="95"/>
              </w:rPr>
              <w:t>$2,503,086</w:t>
            </w:r>
          </w:p>
        </w:tc>
        <w:tc>
          <w:tcPr>
            <w:tcW w:w="1540" w:type="dxa"/>
            <w:vAlign w:val="bottom"/>
          </w:tcPr>
          <w:p>
            <w:pPr>
              <w:jc w:val="center"/>
              <w:spacing w:after="0"/>
              <w:rPr>
                <w:sz w:val="20"/>
                <w:szCs w:val="20"/>
                <w:color w:val="auto"/>
              </w:rPr>
            </w:pPr>
            <w:r>
              <w:rPr>
                <w:rFonts w:ascii="Arial" w:cs="Arial" w:eastAsia="Arial" w:hAnsi="Arial"/>
                <w:sz w:val="13"/>
                <w:szCs w:val="13"/>
                <w:color w:val="6D6D6D"/>
                <w:w w:val="95"/>
              </w:rPr>
              <w:t>$2,971,115</w:t>
            </w:r>
          </w:p>
        </w:tc>
        <w:tc>
          <w:tcPr>
            <w:tcW w:w="1140" w:type="dxa"/>
            <w:vAlign w:val="bottom"/>
          </w:tcPr>
          <w:p>
            <w:pPr>
              <w:jc w:val="center"/>
              <w:ind w:left="357"/>
              <w:spacing w:after="0"/>
              <w:rPr>
                <w:sz w:val="20"/>
                <w:szCs w:val="20"/>
                <w:color w:val="auto"/>
              </w:rPr>
            </w:pPr>
            <w:r>
              <w:rPr>
                <w:rFonts w:ascii="Arial" w:cs="Arial" w:eastAsia="Arial" w:hAnsi="Arial"/>
                <w:sz w:val="13"/>
                <w:szCs w:val="13"/>
                <w:color w:val="6D6D6D"/>
                <w:w w:val="98"/>
              </w:rPr>
              <w:t>$1,760,212</w:t>
            </w:r>
          </w:p>
        </w:tc>
      </w:tr>
      <w:tr>
        <w:trPr>
          <w:trHeight w:val="203"/>
        </w:trPr>
        <w:tc>
          <w:tcPr>
            <w:tcW w:w="1120" w:type="dxa"/>
            <w:vAlign w:val="bottom"/>
          </w:tcPr>
          <w:p>
            <w:pPr>
              <w:jc w:val="center"/>
              <w:ind w:right="337"/>
              <w:spacing w:after="0"/>
              <w:rPr>
                <w:sz w:val="20"/>
                <w:szCs w:val="20"/>
                <w:color w:val="auto"/>
              </w:rPr>
            </w:pPr>
            <w:r>
              <w:rPr>
                <w:rFonts w:ascii="Arial" w:cs="Arial" w:eastAsia="Arial" w:hAnsi="Arial"/>
                <w:sz w:val="13"/>
                <w:szCs w:val="13"/>
                <w:color w:val="6D6D6D"/>
                <w:w w:val="97"/>
              </w:rPr>
              <w:t>$(1,128,807)</w:t>
            </w:r>
          </w:p>
        </w:tc>
        <w:tc>
          <w:tcPr>
            <w:tcW w:w="1540" w:type="dxa"/>
            <w:vAlign w:val="bottom"/>
          </w:tcPr>
          <w:p>
            <w:pPr>
              <w:jc w:val="center"/>
              <w:spacing w:after="0"/>
              <w:rPr>
                <w:sz w:val="20"/>
                <w:szCs w:val="20"/>
                <w:color w:val="auto"/>
              </w:rPr>
            </w:pPr>
            <w:r>
              <w:rPr>
                <w:rFonts w:ascii="Arial" w:cs="Arial" w:eastAsia="Arial" w:hAnsi="Arial"/>
                <w:sz w:val="13"/>
                <w:szCs w:val="13"/>
                <w:color w:val="6D6D6D"/>
                <w:w w:val="97"/>
              </w:rPr>
              <w:t>$(1,477,260)</w:t>
            </w:r>
          </w:p>
        </w:tc>
        <w:tc>
          <w:tcPr>
            <w:tcW w:w="1540" w:type="dxa"/>
            <w:vAlign w:val="bottom"/>
          </w:tcPr>
          <w:p>
            <w:pPr>
              <w:jc w:val="center"/>
              <w:spacing w:after="0"/>
              <w:rPr>
                <w:sz w:val="20"/>
                <w:szCs w:val="20"/>
                <w:color w:val="auto"/>
              </w:rPr>
            </w:pPr>
            <w:r>
              <w:rPr>
                <w:rFonts w:ascii="Arial" w:cs="Arial" w:eastAsia="Arial" w:hAnsi="Arial"/>
                <w:sz w:val="13"/>
                <w:szCs w:val="13"/>
                <w:color w:val="6D6D6D"/>
                <w:w w:val="94"/>
              </w:rPr>
              <w:t>$(1,859,455)</w:t>
            </w:r>
          </w:p>
        </w:tc>
        <w:tc>
          <w:tcPr>
            <w:tcW w:w="1140" w:type="dxa"/>
            <w:vAlign w:val="bottom"/>
          </w:tcPr>
          <w:p>
            <w:pPr>
              <w:jc w:val="center"/>
              <w:ind w:left="357"/>
              <w:spacing w:after="0"/>
              <w:rPr>
                <w:sz w:val="20"/>
                <w:szCs w:val="20"/>
                <w:color w:val="auto"/>
              </w:rPr>
            </w:pPr>
            <w:r>
              <w:rPr>
                <w:rFonts w:ascii="Arial" w:cs="Arial" w:eastAsia="Arial" w:hAnsi="Arial"/>
                <w:sz w:val="13"/>
                <w:szCs w:val="13"/>
                <w:color w:val="6D6D6D"/>
                <w:w w:val="97"/>
              </w:rPr>
              <w:t>$(1,188,985)</w:t>
            </w:r>
          </w:p>
        </w:tc>
      </w:tr>
      <w:tr>
        <w:trPr>
          <w:trHeight w:val="270"/>
        </w:trPr>
        <w:tc>
          <w:tcPr>
            <w:tcW w:w="1120" w:type="dxa"/>
            <w:vAlign w:val="bottom"/>
          </w:tcPr>
          <w:p>
            <w:pPr>
              <w:jc w:val="center"/>
              <w:ind w:right="337"/>
              <w:spacing w:after="0"/>
              <w:rPr>
                <w:sz w:val="20"/>
                <w:szCs w:val="20"/>
                <w:color w:val="auto"/>
              </w:rPr>
            </w:pPr>
            <w:r>
              <w:rPr>
                <w:rFonts w:ascii="Arial" w:cs="Arial" w:eastAsia="Arial" w:hAnsi="Arial"/>
                <w:sz w:val="13"/>
                <w:szCs w:val="13"/>
                <w:color w:val="6D6D6D"/>
                <w:w w:val="98"/>
              </w:rPr>
              <w:t>$—</w:t>
            </w:r>
          </w:p>
        </w:tc>
        <w:tc>
          <w:tcPr>
            <w:tcW w:w="15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5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140" w:type="dxa"/>
            <w:vAlign w:val="bottom"/>
          </w:tcPr>
          <w:p>
            <w:pPr>
              <w:spacing w:after="0"/>
              <w:rPr>
                <w:sz w:val="23"/>
                <w:szCs w:val="23"/>
                <w:color w:val="auto"/>
              </w:rPr>
            </w:pPr>
          </w:p>
        </w:tc>
      </w:tr>
      <w:tr>
        <w:trPr>
          <w:trHeight w:val="351"/>
        </w:trPr>
        <w:tc>
          <w:tcPr>
            <w:tcW w:w="1120" w:type="dxa"/>
            <w:vAlign w:val="bottom"/>
          </w:tcPr>
          <w:p>
            <w:pPr>
              <w:jc w:val="center"/>
              <w:ind w:right="357"/>
              <w:spacing w:after="0"/>
              <w:rPr>
                <w:sz w:val="20"/>
                <w:szCs w:val="20"/>
                <w:color w:val="auto"/>
              </w:rPr>
            </w:pPr>
            <w:r>
              <w:rPr>
                <w:rFonts w:ascii="Arial" w:cs="Arial" w:eastAsia="Arial" w:hAnsi="Arial"/>
                <w:sz w:val="13"/>
                <w:szCs w:val="13"/>
                <w:color w:val="6D6D6D"/>
                <w:w w:val="95"/>
              </w:rPr>
              <w:t>$1,654,501</w:t>
            </w:r>
          </w:p>
        </w:tc>
        <w:tc>
          <w:tcPr>
            <w:tcW w:w="1540" w:type="dxa"/>
            <w:vAlign w:val="bottom"/>
          </w:tcPr>
          <w:p>
            <w:pPr>
              <w:jc w:val="center"/>
              <w:spacing w:after="0"/>
              <w:rPr>
                <w:sz w:val="20"/>
                <w:szCs w:val="20"/>
                <w:color w:val="auto"/>
              </w:rPr>
            </w:pPr>
            <w:r>
              <w:rPr>
                <w:rFonts w:ascii="Arial" w:cs="Arial" w:eastAsia="Arial" w:hAnsi="Arial"/>
                <w:sz w:val="13"/>
                <w:szCs w:val="13"/>
                <w:color w:val="6D6D6D"/>
                <w:w w:val="95"/>
              </w:rPr>
              <w:t>$1,725,068</w:t>
            </w:r>
          </w:p>
        </w:tc>
        <w:tc>
          <w:tcPr>
            <w:tcW w:w="1540" w:type="dxa"/>
            <w:vAlign w:val="bottom"/>
          </w:tcPr>
          <w:p>
            <w:pPr>
              <w:jc w:val="center"/>
              <w:spacing w:after="0"/>
              <w:rPr>
                <w:sz w:val="20"/>
                <w:szCs w:val="20"/>
                <w:color w:val="auto"/>
              </w:rPr>
            </w:pPr>
            <w:r>
              <w:rPr>
                <w:rFonts w:ascii="Arial" w:cs="Arial" w:eastAsia="Arial" w:hAnsi="Arial"/>
                <w:sz w:val="13"/>
                <w:szCs w:val="13"/>
                <w:color w:val="6D6D6D"/>
                <w:w w:val="95"/>
              </w:rPr>
              <w:t>$1,402,280</w:t>
            </w:r>
          </w:p>
        </w:tc>
        <w:tc>
          <w:tcPr>
            <w:tcW w:w="1140" w:type="dxa"/>
            <w:vAlign w:val="bottom"/>
          </w:tcPr>
          <w:p>
            <w:pPr>
              <w:jc w:val="center"/>
              <w:ind w:left="357"/>
              <w:spacing w:after="0"/>
              <w:rPr>
                <w:sz w:val="20"/>
                <w:szCs w:val="20"/>
                <w:color w:val="auto"/>
              </w:rPr>
            </w:pPr>
            <w:r>
              <w:rPr>
                <w:rFonts w:ascii="Arial" w:cs="Arial" w:eastAsia="Arial" w:hAnsi="Arial"/>
                <w:sz w:val="13"/>
                <w:szCs w:val="13"/>
                <w:color w:val="6D6D6D"/>
                <w:w w:val="95"/>
              </w:rPr>
              <w:t>$944,464</w:t>
            </w:r>
          </w:p>
        </w:tc>
      </w:tr>
      <w:tr>
        <w:trPr>
          <w:trHeight w:val="351"/>
        </w:trPr>
        <w:tc>
          <w:tcPr>
            <w:tcW w:w="1120" w:type="dxa"/>
            <w:vAlign w:val="bottom"/>
          </w:tcPr>
          <w:p>
            <w:pPr>
              <w:jc w:val="center"/>
              <w:ind w:right="337"/>
              <w:spacing w:after="0"/>
              <w:rPr>
                <w:sz w:val="20"/>
                <w:szCs w:val="20"/>
                <w:color w:val="auto"/>
              </w:rPr>
            </w:pPr>
            <w:r>
              <w:rPr>
                <w:rFonts w:ascii="Arial" w:cs="Arial" w:eastAsia="Arial" w:hAnsi="Arial"/>
                <w:sz w:val="13"/>
                <w:szCs w:val="13"/>
                <w:color w:val="6D6D6D"/>
                <w:w w:val="98"/>
              </w:rPr>
              <w:t>$—</w:t>
            </w:r>
          </w:p>
        </w:tc>
        <w:tc>
          <w:tcPr>
            <w:tcW w:w="1540" w:type="dxa"/>
            <w:vAlign w:val="bottom"/>
          </w:tcPr>
          <w:p>
            <w:pPr>
              <w:jc w:val="center"/>
              <w:spacing w:after="0"/>
              <w:rPr>
                <w:sz w:val="20"/>
                <w:szCs w:val="20"/>
                <w:color w:val="auto"/>
              </w:rPr>
            </w:pPr>
            <w:r>
              <w:rPr>
                <w:rFonts w:ascii="Arial" w:cs="Arial" w:eastAsia="Arial" w:hAnsi="Arial"/>
                <w:sz w:val="13"/>
                <w:szCs w:val="13"/>
                <w:color w:val="6D6D6D"/>
                <w:w w:val="98"/>
              </w:rPr>
              <w:t>$—</w:t>
            </w:r>
          </w:p>
        </w:tc>
        <w:tc>
          <w:tcPr>
            <w:tcW w:w="1540" w:type="dxa"/>
            <w:vAlign w:val="bottom"/>
          </w:tcPr>
          <w:p>
            <w:pPr>
              <w:jc w:val="center"/>
              <w:spacing w:after="0"/>
              <w:rPr>
                <w:sz w:val="20"/>
                <w:szCs w:val="20"/>
                <w:color w:val="auto"/>
              </w:rPr>
            </w:pPr>
            <w:r>
              <w:rPr>
                <w:rFonts w:ascii="Arial" w:cs="Arial" w:eastAsia="Arial" w:hAnsi="Arial"/>
                <w:sz w:val="13"/>
                <w:szCs w:val="13"/>
                <w:color w:val="6D6D6D"/>
                <w:w w:val="99"/>
              </w:rPr>
              <w:t>$106,875</w:t>
            </w:r>
          </w:p>
        </w:tc>
        <w:tc>
          <w:tcPr>
            <w:tcW w:w="1140" w:type="dxa"/>
            <w:vAlign w:val="bottom"/>
          </w:tcPr>
          <w:p>
            <w:pPr>
              <w:jc w:val="center"/>
              <w:ind w:left="357"/>
              <w:spacing w:after="0"/>
              <w:rPr>
                <w:sz w:val="20"/>
                <w:szCs w:val="20"/>
                <w:color w:val="auto"/>
              </w:rPr>
            </w:pPr>
            <w:r>
              <w:rPr>
                <w:rFonts w:ascii="Arial" w:cs="Arial" w:eastAsia="Arial" w:hAnsi="Arial"/>
                <w:sz w:val="13"/>
                <w:szCs w:val="13"/>
                <w:color w:val="6D6D6D"/>
                <w:w w:val="98"/>
              </w:rPr>
              <w:t>$—</w:t>
            </w:r>
          </w:p>
        </w:tc>
      </w:tr>
      <w:tr>
        <w:trPr>
          <w:trHeight w:val="432"/>
        </w:trPr>
        <w:tc>
          <w:tcPr>
            <w:tcW w:w="1120" w:type="dxa"/>
            <w:vAlign w:val="bottom"/>
          </w:tcPr>
          <w:p>
            <w:pPr>
              <w:jc w:val="center"/>
              <w:ind w:right="357"/>
              <w:spacing w:after="0"/>
              <w:rPr>
                <w:sz w:val="20"/>
                <w:szCs w:val="20"/>
                <w:color w:val="auto"/>
              </w:rPr>
            </w:pPr>
            <w:r>
              <w:rPr>
                <w:rFonts w:ascii="Arial" w:cs="Arial" w:eastAsia="Arial" w:hAnsi="Arial"/>
                <w:sz w:val="13"/>
                <w:szCs w:val="13"/>
                <w:color w:val="6D6D6D"/>
                <w:w w:val="97"/>
              </w:rPr>
              <w:t>$41,558</w:t>
            </w:r>
          </w:p>
        </w:tc>
        <w:tc>
          <w:tcPr>
            <w:tcW w:w="1540" w:type="dxa"/>
            <w:vAlign w:val="bottom"/>
          </w:tcPr>
          <w:p>
            <w:pPr>
              <w:jc w:val="center"/>
              <w:spacing w:after="0"/>
              <w:rPr>
                <w:sz w:val="20"/>
                <w:szCs w:val="20"/>
                <w:color w:val="auto"/>
              </w:rPr>
            </w:pPr>
            <w:r>
              <w:rPr>
                <w:rFonts w:ascii="Arial" w:cs="Arial" w:eastAsia="Arial" w:hAnsi="Arial"/>
                <w:sz w:val="13"/>
                <w:szCs w:val="13"/>
                <w:color w:val="6D6D6D"/>
                <w:w w:val="95"/>
              </w:rPr>
              <w:t>$279,824</w:t>
            </w:r>
          </w:p>
        </w:tc>
        <w:tc>
          <w:tcPr>
            <w:tcW w:w="1540" w:type="dxa"/>
            <w:vAlign w:val="bottom"/>
          </w:tcPr>
          <w:p>
            <w:pPr>
              <w:jc w:val="center"/>
              <w:spacing w:after="0"/>
              <w:rPr>
                <w:sz w:val="20"/>
                <w:szCs w:val="20"/>
                <w:color w:val="auto"/>
              </w:rPr>
            </w:pPr>
            <w:r>
              <w:rPr>
                <w:rFonts w:ascii="Arial" w:cs="Arial" w:eastAsia="Arial" w:hAnsi="Arial"/>
                <w:sz w:val="13"/>
                <w:szCs w:val="13"/>
                <w:color w:val="6D6D6D"/>
                <w:w w:val="98"/>
              </w:rPr>
              <w:t>$(288,653)</w:t>
            </w:r>
          </w:p>
        </w:tc>
        <w:tc>
          <w:tcPr>
            <w:tcW w:w="1140" w:type="dxa"/>
            <w:vAlign w:val="bottom"/>
          </w:tcPr>
          <w:p>
            <w:pPr>
              <w:jc w:val="center"/>
              <w:ind w:left="357"/>
              <w:spacing w:after="0"/>
              <w:rPr>
                <w:sz w:val="20"/>
                <w:szCs w:val="20"/>
                <w:color w:val="auto"/>
              </w:rPr>
            </w:pPr>
            <w:r>
              <w:rPr>
                <w:rFonts w:ascii="Arial" w:cs="Arial" w:eastAsia="Arial" w:hAnsi="Arial"/>
                <w:sz w:val="13"/>
                <w:szCs w:val="13"/>
                <w:color w:val="6D6D6D"/>
                <w:w w:val="95"/>
              </w:rPr>
              <w:t>$(285,475)</w:t>
            </w:r>
          </w:p>
        </w:tc>
      </w:tr>
      <w:tr>
        <w:trPr>
          <w:trHeight w:val="513"/>
        </w:trPr>
        <w:tc>
          <w:tcPr>
            <w:tcW w:w="1120" w:type="dxa"/>
            <w:vAlign w:val="bottom"/>
          </w:tcPr>
          <w:p>
            <w:pPr>
              <w:jc w:val="center"/>
              <w:ind w:right="357"/>
              <w:spacing w:after="0"/>
              <w:rPr>
                <w:sz w:val="20"/>
                <w:szCs w:val="20"/>
                <w:color w:val="auto"/>
              </w:rPr>
            </w:pPr>
            <w:r>
              <w:rPr>
                <w:rFonts w:ascii="Arial" w:cs="Arial" w:eastAsia="Arial" w:hAnsi="Arial"/>
                <w:sz w:val="13"/>
                <w:szCs w:val="13"/>
                <w:color w:val="6D6D6D"/>
                <w:w w:val="98"/>
              </w:rPr>
              <w:t>$(252,180)</w:t>
            </w:r>
          </w:p>
        </w:tc>
        <w:tc>
          <w:tcPr>
            <w:tcW w:w="1540" w:type="dxa"/>
            <w:vAlign w:val="bottom"/>
          </w:tcPr>
          <w:p>
            <w:pPr>
              <w:jc w:val="center"/>
              <w:spacing w:after="0"/>
              <w:rPr>
                <w:sz w:val="20"/>
                <w:szCs w:val="20"/>
                <w:color w:val="auto"/>
              </w:rPr>
            </w:pPr>
            <w:r>
              <w:rPr>
                <w:rFonts w:ascii="Arial" w:cs="Arial" w:eastAsia="Arial" w:hAnsi="Arial"/>
                <w:sz w:val="13"/>
                <w:szCs w:val="13"/>
                <w:color w:val="6D6D6D"/>
                <w:w w:val="93"/>
              </w:rPr>
              <w:t>$63,113</w:t>
            </w:r>
          </w:p>
        </w:tc>
        <w:tc>
          <w:tcPr>
            <w:tcW w:w="1540" w:type="dxa"/>
            <w:vAlign w:val="bottom"/>
          </w:tcPr>
          <w:p>
            <w:pPr>
              <w:jc w:val="center"/>
              <w:spacing w:after="0"/>
              <w:rPr>
                <w:sz w:val="20"/>
                <w:szCs w:val="20"/>
                <w:color w:val="auto"/>
              </w:rPr>
            </w:pPr>
            <w:r>
              <w:rPr>
                <w:rFonts w:ascii="Arial" w:cs="Arial" w:eastAsia="Arial" w:hAnsi="Arial"/>
                <w:sz w:val="13"/>
                <w:szCs w:val="13"/>
                <w:color w:val="6D6D6D"/>
                <w:w w:val="98"/>
              </w:rPr>
              <w:t>$(251,272)</w:t>
            </w:r>
          </w:p>
        </w:tc>
        <w:tc>
          <w:tcPr>
            <w:tcW w:w="1140" w:type="dxa"/>
            <w:vAlign w:val="bottom"/>
          </w:tcPr>
          <w:p>
            <w:pPr>
              <w:jc w:val="center"/>
              <w:ind w:left="337"/>
              <w:spacing w:after="0"/>
              <w:rPr>
                <w:sz w:val="20"/>
                <w:szCs w:val="20"/>
                <w:color w:val="auto"/>
              </w:rPr>
            </w:pPr>
            <w:r>
              <w:rPr>
                <w:rFonts w:ascii="Arial" w:cs="Arial" w:eastAsia="Arial" w:hAnsi="Arial"/>
                <w:sz w:val="13"/>
                <w:szCs w:val="13"/>
                <w:color w:val="6D6D6D"/>
                <w:w w:val="96"/>
              </w:rPr>
              <w:t>$(34,887)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-1327785</wp:posOffset>
            </wp:positionV>
            <wp:extent cx="668655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686550" cy="12890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-975995</wp:posOffset>
            </wp:positionV>
            <wp:extent cx="6686550" cy="2228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-530860</wp:posOffset>
            </wp:positionV>
            <wp:extent cx="6686550" cy="3257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86550" cy="3257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120015</wp:posOffset>
            </wp:positionV>
            <wp:extent cx="6686550" cy="2228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86550" cy="22288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00" w:space="420"/>
            <w:col w:w="6200"/>
          </w:cols>
          <w:pgMar w:left="320" w:top="122" w:right="359" w:bottom="1440" w:gutter="0" w:footer="0" w:header="0"/>
          <w:type w:val="continuous"/>
        </w:sectPr>
      </w:pPr>
    </w:p>
    <w:p>
      <w:pPr>
        <w:ind w:left="440" w:right="280"/>
        <w:spacing w:after="0" w:line="274" w:lineRule="auto"/>
        <w:rPr>
          <w:sz w:val="20"/>
          <w:szCs w:val="20"/>
          <w:color w:val="auto"/>
        </w:rPr>
      </w:pPr>
      <w:r>
        <w:rPr>
          <w:rFonts w:ascii="Arial" w:cs="Arial" w:eastAsia="Arial" w:hAnsi="Arial"/>
          <w:sz w:val="13"/>
          <w:szCs w:val="13"/>
          <w:b w:val="1"/>
          <w:bCs w:val="1"/>
          <w:color w:val="58595B"/>
        </w:rPr>
        <w:t>Deduction of FV of Prior FY Awards as of Prior FY End that were forfeited during Applicable FY (N/A)</w:t>
      </w:r>
    </w:p>
    <w:p>
      <w:pPr>
        <w:spacing w:after="0" w:line="10" w:lineRule="exact"/>
        <w:rPr>
          <w:sz w:val="20"/>
          <w:szCs w:val="20"/>
          <w:color w:val="auto"/>
        </w:rPr>
      </w:pPr>
    </w:p>
    <w:p>
      <w:pPr>
        <w:ind w:left="440" w:right="200"/>
        <w:spacing w:after="0" w:line="274" w:lineRule="auto"/>
        <w:rPr>
          <w:sz w:val="20"/>
          <w:szCs w:val="20"/>
          <w:color w:val="auto"/>
        </w:rPr>
      </w:pPr>
      <w:r>
        <w:rPr>
          <w:rFonts w:ascii="Arial" w:cs="Arial" w:eastAsia="Arial" w:hAnsi="Arial"/>
          <w:sz w:val="13"/>
          <w:szCs w:val="13"/>
          <w:b w:val="1"/>
          <w:bCs w:val="1"/>
          <w:color w:val="58595B"/>
        </w:rPr>
        <w:t>Increase by amount of dividends paid on unvested awards during applicable FY prior to vesting date (N/A)</w:t>
      </w:r>
    </w:p>
    <w:p>
      <w:pPr>
        <w:spacing w:after="0" w:line="10" w:lineRule="exact"/>
        <w:rPr>
          <w:sz w:val="20"/>
          <w:szCs w:val="20"/>
          <w:color w:val="auto"/>
        </w:rPr>
      </w:pPr>
    </w:p>
    <w:p>
      <w:pPr>
        <w:ind w:left="440" w:right="80"/>
        <w:spacing w:after="0" w:line="274" w:lineRule="auto"/>
        <w:rPr>
          <w:sz w:val="20"/>
          <w:szCs w:val="20"/>
          <w:color w:val="auto"/>
        </w:rPr>
      </w:pPr>
      <w:r>
        <w:rPr>
          <w:rFonts w:ascii="Arial" w:cs="Arial" w:eastAsia="Arial" w:hAnsi="Arial"/>
          <w:sz w:val="13"/>
          <w:szCs w:val="13"/>
          <w:b w:val="1"/>
          <w:bCs w:val="1"/>
          <w:color w:val="58595B"/>
        </w:rPr>
        <w:t>Increase by incremental fair value of Options/SARs modified during applicable FY (N/A)</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58595B"/>
        </w:rPr>
        <w:t>Increase by Change in Pension Service Costs (N/A)</w:t>
      </w:r>
    </w:p>
    <w:p>
      <w:pPr>
        <w:spacing w:after="0" w:line="53" w:lineRule="exact"/>
        <w:rPr>
          <w:sz w:val="20"/>
          <w:szCs w:val="20"/>
          <w:color w:val="auto"/>
        </w:rPr>
      </w:pPr>
    </w:p>
    <w:p>
      <w:pPr>
        <w:ind w:left="440" w:right="360"/>
        <w:spacing w:after="0" w:line="274" w:lineRule="auto"/>
        <w:rPr>
          <w:sz w:val="20"/>
          <w:szCs w:val="20"/>
          <w:color w:val="auto"/>
        </w:rPr>
      </w:pPr>
      <w:r>
        <w:rPr>
          <w:rFonts w:ascii="Arial" w:cs="Arial" w:eastAsia="Arial" w:hAnsi="Arial"/>
          <w:sz w:val="13"/>
          <w:szCs w:val="13"/>
          <w:b w:val="1"/>
          <w:bCs w:val="1"/>
          <w:color w:val="58595B"/>
        </w:rPr>
        <w:t>Increase by Above-Market or Preferential Earnings on Deferred Compensation that is Not Tax-Qualified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880" w:type="dxa"/>
            <w:vAlign w:val="bottom"/>
          </w:tcPr>
          <w:p>
            <w:pPr>
              <w:ind w:left="680"/>
              <w:spacing w:after="0"/>
              <w:rPr>
                <w:sz w:val="20"/>
                <w:szCs w:val="20"/>
                <w:color w:val="auto"/>
              </w:rPr>
            </w:pPr>
            <w:r>
              <w:rPr>
                <w:rFonts w:ascii="Arial" w:cs="Arial" w:eastAsia="Arial" w:hAnsi="Arial"/>
                <w:sz w:val="13"/>
                <w:szCs w:val="13"/>
                <w:color w:val="6D6D6D"/>
                <w:w w:val="88"/>
              </w:rPr>
              <w:t>$—</w:t>
            </w:r>
          </w:p>
        </w:tc>
      </w:tr>
      <w:tr>
        <w:trPr>
          <w:trHeight w:val="351"/>
        </w:trPr>
        <w:tc>
          <w:tcPr>
            <w:tcW w:w="860" w:type="dxa"/>
            <w:vAlign w:val="bottom"/>
          </w:tcPr>
          <w:p>
            <w:pPr>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880" w:type="dxa"/>
            <w:vAlign w:val="bottom"/>
          </w:tcPr>
          <w:p>
            <w:pPr>
              <w:ind w:left="680"/>
              <w:spacing w:after="0"/>
              <w:rPr>
                <w:sz w:val="20"/>
                <w:szCs w:val="20"/>
                <w:color w:val="auto"/>
              </w:rPr>
            </w:pPr>
            <w:r>
              <w:rPr>
                <w:rFonts w:ascii="Arial" w:cs="Arial" w:eastAsia="Arial" w:hAnsi="Arial"/>
                <w:sz w:val="13"/>
                <w:szCs w:val="13"/>
                <w:color w:val="6D6D6D"/>
                <w:w w:val="88"/>
              </w:rPr>
              <w:t>$—</w:t>
            </w:r>
          </w:p>
        </w:tc>
      </w:tr>
      <w:tr>
        <w:trPr>
          <w:trHeight w:val="351"/>
        </w:trPr>
        <w:tc>
          <w:tcPr>
            <w:tcW w:w="860" w:type="dxa"/>
            <w:vAlign w:val="bottom"/>
          </w:tcPr>
          <w:p>
            <w:pPr>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880" w:type="dxa"/>
            <w:vAlign w:val="bottom"/>
          </w:tcPr>
          <w:p>
            <w:pPr>
              <w:ind w:left="680"/>
              <w:spacing w:after="0"/>
              <w:rPr>
                <w:sz w:val="20"/>
                <w:szCs w:val="20"/>
                <w:color w:val="auto"/>
              </w:rPr>
            </w:pPr>
            <w:r>
              <w:rPr>
                <w:rFonts w:ascii="Arial" w:cs="Arial" w:eastAsia="Arial" w:hAnsi="Arial"/>
                <w:sz w:val="13"/>
                <w:szCs w:val="13"/>
                <w:color w:val="6D6D6D"/>
                <w:w w:val="88"/>
              </w:rPr>
              <w:t>$—</w:t>
            </w:r>
          </w:p>
        </w:tc>
      </w:tr>
      <w:tr>
        <w:trPr>
          <w:trHeight w:val="284"/>
        </w:trPr>
        <w:tc>
          <w:tcPr>
            <w:tcW w:w="860" w:type="dxa"/>
            <w:vAlign w:val="bottom"/>
          </w:tcPr>
          <w:p>
            <w:pPr>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880" w:type="dxa"/>
            <w:vAlign w:val="bottom"/>
          </w:tcPr>
          <w:p>
            <w:pPr>
              <w:ind w:left="680"/>
              <w:spacing w:after="0"/>
              <w:rPr>
                <w:sz w:val="20"/>
                <w:szCs w:val="20"/>
                <w:color w:val="auto"/>
              </w:rPr>
            </w:pPr>
            <w:r>
              <w:rPr>
                <w:rFonts w:ascii="Arial" w:cs="Arial" w:eastAsia="Arial" w:hAnsi="Arial"/>
                <w:sz w:val="13"/>
                <w:szCs w:val="13"/>
                <w:color w:val="6D6D6D"/>
                <w:w w:val="88"/>
              </w:rPr>
              <w:t>$—</w:t>
            </w:r>
          </w:p>
        </w:tc>
      </w:tr>
      <w:tr>
        <w:trPr>
          <w:trHeight w:val="270"/>
        </w:trPr>
        <w:tc>
          <w:tcPr>
            <w:tcW w:w="860" w:type="dxa"/>
            <w:vAlign w:val="bottom"/>
          </w:tcPr>
          <w:p>
            <w:pPr>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1540" w:type="dxa"/>
            <w:vAlign w:val="bottom"/>
          </w:tcPr>
          <w:p>
            <w:pPr>
              <w:ind w:left="680"/>
              <w:spacing w:after="0"/>
              <w:rPr>
                <w:sz w:val="20"/>
                <w:szCs w:val="20"/>
                <w:color w:val="auto"/>
              </w:rPr>
            </w:pPr>
            <w:r>
              <w:rPr>
                <w:rFonts w:ascii="Arial" w:cs="Arial" w:eastAsia="Arial" w:hAnsi="Arial"/>
                <w:sz w:val="13"/>
                <w:szCs w:val="13"/>
                <w:color w:val="6D6D6D"/>
              </w:rPr>
              <w:t>$—</w:t>
            </w:r>
          </w:p>
        </w:tc>
        <w:tc>
          <w:tcPr>
            <w:tcW w:w="880" w:type="dxa"/>
            <w:vAlign w:val="bottom"/>
          </w:tcPr>
          <w:p>
            <w:pPr>
              <w:ind w:left="680"/>
              <w:spacing w:after="0"/>
              <w:rPr>
                <w:sz w:val="20"/>
                <w:szCs w:val="20"/>
                <w:color w:val="auto"/>
              </w:rPr>
            </w:pPr>
            <w:r>
              <w:rPr>
                <w:rFonts w:ascii="Arial" w:cs="Arial" w:eastAsia="Arial" w:hAnsi="Arial"/>
                <w:sz w:val="13"/>
                <w:szCs w:val="13"/>
                <w:color w:val="6D6D6D"/>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-504825</wp:posOffset>
            </wp:positionV>
            <wp:extent cx="6686550" cy="2228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-153670</wp:posOffset>
            </wp:positionV>
            <wp:extent cx="6686550" cy="2311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686550" cy="231140"/>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4560" w:space="720"/>
            <w:col w:w="5940"/>
          </w:cols>
          <w:pgMar w:left="320" w:top="122" w:right="359" w:bottom="1440" w:gutter="0" w:footer="0" w:header="0"/>
          <w:type w:val="continuous"/>
        </w:sectPr>
      </w:pPr>
    </w:p>
    <w:p>
      <w:pPr>
        <w:ind w:left="340" w:hanging="332"/>
        <w:spacing w:after="0" w:line="273" w:lineRule="auto"/>
        <w:tabs>
          <w:tab w:leader="none" w:pos="338"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cumulative total shareholder return (“TSR”) of the Company and of the S&amp;P 500 Healthcare Equipment &amp; Services Industry Index for the year ended December 31, 2020, the two-years ended December 31, 2021, the three years ended December 31, 2022 and the four years ended December 31, 2023, assuming a $100 investment at the closing price on December 31, 2019 and the reinvestment of all dividends.</w:t>
      </w:r>
    </w:p>
    <w:p>
      <w:pPr>
        <w:spacing w:after="0" w:line="17"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column presents the Company's consolidated net income as reported in our Form 10-K for each covered year.</w:t>
      </w:r>
    </w:p>
    <w:p>
      <w:pPr>
        <w:spacing w:after="0" w:line="68" w:lineRule="exact"/>
        <w:rPr>
          <w:rFonts w:ascii="Arial" w:cs="Arial" w:eastAsia="Arial" w:hAnsi="Arial"/>
          <w:sz w:val="14"/>
          <w:szCs w:val="14"/>
          <w:color w:val="auto"/>
        </w:rPr>
      </w:pPr>
    </w:p>
    <w:p>
      <w:pPr>
        <w:ind w:left="340" w:right="20" w:hanging="332"/>
        <w:spacing w:after="0" w:line="267" w:lineRule="auto"/>
        <w:tabs>
          <w:tab w:leader="none" w:pos="338"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determined Revenue to be the most important financial performance measure used to link Company performance to Compensation Actually Paid to our PEO and Non-PEO NEOs in 2022 and 2023. This performance measure may not have been the most important financial performance measure for years 2021 and 2020 and we may determine a different financial performance measure to be the most important financial performance measure in future years. Revenue for annual bonus pool purposes is defined as reported revenue adjusted for foreign exchange impact against budget and excludes certain transactions such as acquisitions or divestitures if these items were not included in the performance target. See "Appendix A - Reconciliation of Annual Cash Bonus Program Performance Metrics".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Tabular List of Most Important Financial Measures</w:t>
      </w:r>
    </w:p>
    <w:p>
      <w:pPr>
        <w:spacing w:after="0" w:line="208" w:lineRule="exact"/>
        <w:rPr>
          <w:sz w:val="20"/>
          <w:szCs w:val="20"/>
          <w:color w:val="auto"/>
        </w:rPr>
      </w:pPr>
    </w:p>
    <w:p>
      <w:pPr>
        <w:ind w:right="400"/>
        <w:spacing w:after="0" w:line="337" w:lineRule="auto"/>
        <w:rPr>
          <w:sz w:val="20"/>
          <w:szCs w:val="20"/>
          <w:color w:val="auto"/>
        </w:rPr>
      </w:pPr>
      <w:r>
        <w:rPr>
          <w:rFonts w:ascii="Arial" w:cs="Arial" w:eastAsia="Arial" w:hAnsi="Arial"/>
          <w:sz w:val="16"/>
          <w:szCs w:val="16"/>
          <w:color w:val="58595B"/>
        </w:rPr>
        <w:t>The following table presents the financial performance measures that the Company considers to have been the most important in linking Compensation Actually Paid to our PEO and Non-PEO NEOs to the Company’s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-10160</wp:posOffset>
            </wp:positionV>
            <wp:extent cx="2400300" cy="1797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00300" cy="1797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FFFFFF"/>
        </w:rPr>
        <w:t>Important Financial Performance Measures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595B"/>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145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00300" cy="145415"/>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Adjusted EBITDA</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595B"/>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146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0300" cy="146050"/>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58595B"/>
        </w:rPr>
        <w:t>Annual 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32385</wp:posOffset>
            </wp:positionV>
            <wp:extent cx="24003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Compensation Actually Paid Versus Company Performance</w:t>
      </w:r>
    </w:p>
    <w:p>
      <w:pPr>
        <w:spacing w:after="0" w:line="72" w:lineRule="exact"/>
        <w:rPr>
          <w:sz w:val="20"/>
          <w:szCs w:val="20"/>
          <w:color w:val="auto"/>
        </w:rPr>
      </w:pPr>
    </w:p>
    <w:p>
      <w:pPr>
        <w:ind w:right="1040"/>
        <w:spacing w:after="0" w:line="339" w:lineRule="auto"/>
        <w:rPr>
          <w:sz w:val="20"/>
          <w:szCs w:val="20"/>
          <w:color w:val="auto"/>
        </w:rPr>
      </w:pPr>
      <w:r>
        <w:rPr>
          <w:rFonts w:ascii="Arial" w:cs="Arial" w:eastAsia="Arial" w:hAnsi="Arial"/>
          <w:sz w:val="16"/>
          <w:szCs w:val="16"/>
          <w:color w:val="58595B"/>
        </w:rPr>
        <w:t>The following charts provide a clear, visual depiction of the relationships between the compensation actually paid for our PEO and the average compensation actually paid for our Non-PEO NEOs, to aspects of Integra's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132080</wp:posOffset>
            </wp:positionV>
            <wp:extent cx="4526280" cy="38576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52628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color w:val="009845"/>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269240</wp:posOffset>
            </wp:positionV>
            <wp:extent cx="4526280" cy="26403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2628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PEO and Average Non-PEO NEO Compensation Actually Paid vs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132080</wp:posOffset>
            </wp:positionV>
            <wp:extent cx="4526280" cy="25546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52628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36"/>
          <w:szCs w:val="36"/>
          <w:color w:val="009845"/>
        </w:rPr>
        <w:t>EQUITY COMPENSATION PLAN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provides information as of December 31, 2023 regarding existing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under which equity securities of the Company are authorized for issuance: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shd w:val="clear" w:color="auto" w:fill="EFEDED"/>
          </w:tcPr>
          <w:p>
            <w:pPr>
              <w:spacing w:after="0"/>
              <w:rPr>
                <w:sz w:val="16"/>
                <w:szCs w:val="16"/>
                <w:color w:val="auto"/>
              </w:rPr>
            </w:pPr>
          </w:p>
        </w:tc>
        <w:tc>
          <w:tcPr>
            <w:tcW w:w="2180" w:type="dxa"/>
            <w:vAlign w:val="bottom"/>
            <w:shd w:val="clear" w:color="auto" w:fill="EFEDED"/>
          </w:tcPr>
          <w:p>
            <w:pPr>
              <w:spacing w:after="0"/>
              <w:rPr>
                <w:sz w:val="16"/>
                <w:szCs w:val="16"/>
                <w:color w:val="auto"/>
              </w:rPr>
            </w:pPr>
          </w:p>
        </w:tc>
        <w:tc>
          <w:tcPr>
            <w:tcW w:w="520" w:type="dxa"/>
            <w:vAlign w:val="bottom"/>
            <w:shd w:val="clear" w:color="auto" w:fill="EFEDED"/>
          </w:tcPr>
          <w:p>
            <w:pPr>
              <w:spacing w:after="0"/>
              <w:rPr>
                <w:sz w:val="16"/>
                <w:szCs w:val="16"/>
                <w:color w:val="auto"/>
              </w:rPr>
            </w:pPr>
          </w:p>
        </w:tc>
        <w:tc>
          <w:tcPr>
            <w:tcW w:w="1900" w:type="dxa"/>
            <w:vAlign w:val="bottom"/>
            <w:shd w:val="clear" w:color="auto" w:fill="EFEDED"/>
          </w:tcPr>
          <w:p>
            <w:pPr>
              <w:spacing w:after="0"/>
              <w:rPr>
                <w:sz w:val="16"/>
                <w:szCs w:val="16"/>
                <w:color w:val="auto"/>
              </w:rPr>
            </w:pPr>
          </w:p>
        </w:tc>
        <w:tc>
          <w:tcPr>
            <w:tcW w:w="540" w:type="dxa"/>
            <w:vAlign w:val="bottom"/>
            <w:shd w:val="clear" w:color="auto" w:fill="EFEDED"/>
          </w:tcPr>
          <w:p>
            <w:pPr>
              <w:spacing w:after="0"/>
              <w:rPr>
                <w:sz w:val="16"/>
                <w:szCs w:val="16"/>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Number of Securities</w:t>
            </w:r>
          </w:p>
        </w:tc>
        <w:tc>
          <w:tcPr>
            <w:tcW w:w="340" w:type="dxa"/>
            <w:vAlign w:val="bottom"/>
            <w:shd w:val="clear" w:color="auto" w:fill="EFEDED"/>
          </w:tcPr>
          <w:p>
            <w:pPr>
              <w:spacing w:after="0"/>
              <w:rPr>
                <w:sz w:val="16"/>
                <w:szCs w:val="16"/>
                <w:color w:val="auto"/>
              </w:rPr>
            </w:pPr>
          </w:p>
        </w:tc>
      </w:tr>
      <w:tr>
        <w:trPr>
          <w:trHeight w:val="162"/>
        </w:trPr>
        <w:tc>
          <w:tcPr>
            <w:tcW w:w="3780" w:type="dxa"/>
            <w:vAlign w:val="bottom"/>
            <w:shd w:val="clear" w:color="auto" w:fill="EFEDED"/>
          </w:tcPr>
          <w:p>
            <w:pPr>
              <w:spacing w:after="0"/>
              <w:rPr>
                <w:sz w:val="14"/>
                <w:szCs w:val="14"/>
                <w:color w:val="auto"/>
              </w:rPr>
            </w:pP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Number of Securities to</w:t>
            </w:r>
          </w:p>
        </w:tc>
        <w:tc>
          <w:tcPr>
            <w:tcW w:w="520" w:type="dxa"/>
            <w:vAlign w:val="bottom"/>
            <w:shd w:val="clear" w:color="auto" w:fill="EFEDED"/>
          </w:tcPr>
          <w:p>
            <w:pPr>
              <w:spacing w:after="0"/>
              <w:rPr>
                <w:sz w:val="14"/>
                <w:szCs w:val="14"/>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Weighted–Average</w:t>
            </w:r>
          </w:p>
        </w:tc>
        <w:tc>
          <w:tcPr>
            <w:tcW w:w="540" w:type="dxa"/>
            <w:vAlign w:val="bottom"/>
            <w:shd w:val="clear" w:color="auto" w:fill="EFEDED"/>
          </w:tcPr>
          <w:p>
            <w:pPr>
              <w:spacing w:after="0"/>
              <w:rPr>
                <w:sz w:val="14"/>
                <w:szCs w:val="14"/>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Remaining Available for</w:t>
            </w:r>
          </w:p>
        </w:tc>
        <w:tc>
          <w:tcPr>
            <w:tcW w:w="340" w:type="dxa"/>
            <w:vAlign w:val="bottom"/>
            <w:shd w:val="clear" w:color="auto" w:fill="EFEDED"/>
          </w:tcPr>
          <w:p>
            <w:pPr>
              <w:spacing w:after="0"/>
              <w:rPr>
                <w:sz w:val="14"/>
                <w:szCs w:val="14"/>
                <w:color w:val="auto"/>
              </w:rPr>
            </w:pPr>
          </w:p>
        </w:tc>
      </w:tr>
      <w:tr>
        <w:trPr>
          <w:trHeight w:val="175"/>
        </w:trPr>
        <w:tc>
          <w:tcPr>
            <w:tcW w:w="3780" w:type="dxa"/>
            <w:vAlign w:val="bottom"/>
            <w:shd w:val="clear" w:color="auto" w:fill="EFEDED"/>
          </w:tcPr>
          <w:p>
            <w:pPr>
              <w:spacing w:after="0"/>
              <w:rPr>
                <w:sz w:val="15"/>
                <w:szCs w:val="15"/>
                <w:color w:val="auto"/>
              </w:rPr>
            </w:pP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be Issued Upon Exercise</w:t>
            </w:r>
          </w:p>
        </w:tc>
        <w:tc>
          <w:tcPr>
            <w:tcW w:w="520" w:type="dxa"/>
            <w:vAlign w:val="bottom"/>
            <w:shd w:val="clear" w:color="auto" w:fill="EFEDED"/>
          </w:tcPr>
          <w:p>
            <w:pPr>
              <w:spacing w:after="0"/>
              <w:rPr>
                <w:sz w:val="15"/>
                <w:szCs w:val="15"/>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Exercise Price of</w:t>
            </w:r>
          </w:p>
        </w:tc>
        <w:tc>
          <w:tcPr>
            <w:tcW w:w="540" w:type="dxa"/>
            <w:vAlign w:val="bottom"/>
            <w:shd w:val="clear" w:color="auto" w:fill="EFEDED"/>
          </w:tcPr>
          <w:p>
            <w:pPr>
              <w:spacing w:after="0"/>
              <w:rPr>
                <w:sz w:val="15"/>
                <w:szCs w:val="15"/>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Future Issuance Under</w:t>
            </w:r>
          </w:p>
        </w:tc>
        <w:tc>
          <w:tcPr>
            <w:tcW w:w="340" w:type="dxa"/>
            <w:vAlign w:val="bottom"/>
            <w:shd w:val="clear" w:color="auto" w:fill="EFEDED"/>
          </w:tcPr>
          <w:p>
            <w:pPr>
              <w:spacing w:after="0"/>
              <w:rPr>
                <w:sz w:val="15"/>
                <w:szCs w:val="15"/>
                <w:color w:val="auto"/>
              </w:rPr>
            </w:pPr>
          </w:p>
        </w:tc>
      </w:tr>
      <w:tr>
        <w:trPr>
          <w:trHeight w:val="176"/>
        </w:trPr>
        <w:tc>
          <w:tcPr>
            <w:tcW w:w="3780" w:type="dxa"/>
            <w:vAlign w:val="bottom"/>
            <w:shd w:val="clear" w:color="auto" w:fill="EFEDED"/>
          </w:tcPr>
          <w:p>
            <w:pPr>
              <w:spacing w:after="0"/>
              <w:rPr>
                <w:sz w:val="15"/>
                <w:szCs w:val="15"/>
                <w:color w:val="auto"/>
              </w:rPr>
            </w:pP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of Outstanding Options,</w:t>
            </w:r>
          </w:p>
        </w:tc>
        <w:tc>
          <w:tcPr>
            <w:tcW w:w="520" w:type="dxa"/>
            <w:vAlign w:val="bottom"/>
            <w:shd w:val="clear" w:color="auto" w:fill="EFEDED"/>
          </w:tcPr>
          <w:p>
            <w:pPr>
              <w:spacing w:after="0"/>
              <w:rPr>
                <w:sz w:val="15"/>
                <w:szCs w:val="15"/>
                <w:color w:val="auto"/>
              </w:rPr>
            </w:pPr>
          </w:p>
        </w:tc>
        <w:tc>
          <w:tcPr>
            <w:tcW w:w="1900" w:type="dxa"/>
            <w:vAlign w:val="bottom"/>
            <w:shd w:val="clear" w:color="auto" w:fill="EFEDED"/>
          </w:tcPr>
          <w:p>
            <w:pPr>
              <w:jc w:val="center"/>
              <w:ind w:left="91"/>
              <w:spacing w:after="0"/>
              <w:rPr>
                <w:sz w:val="20"/>
                <w:szCs w:val="20"/>
                <w:color w:val="auto"/>
              </w:rPr>
            </w:pPr>
            <w:r>
              <w:rPr>
                <w:rFonts w:ascii="Arial" w:cs="Arial" w:eastAsia="Arial" w:hAnsi="Arial"/>
                <w:sz w:val="14"/>
                <w:szCs w:val="14"/>
                <w:b w:val="1"/>
                <w:bCs w:val="1"/>
                <w:color w:val="58595B"/>
              </w:rPr>
              <w:t>Outstanding Options,</w:t>
            </w:r>
          </w:p>
        </w:tc>
        <w:tc>
          <w:tcPr>
            <w:tcW w:w="540" w:type="dxa"/>
            <w:vAlign w:val="bottom"/>
            <w:shd w:val="clear" w:color="auto" w:fill="EFEDED"/>
          </w:tcPr>
          <w:p>
            <w:pPr>
              <w:spacing w:after="0"/>
              <w:rPr>
                <w:sz w:val="15"/>
                <w:szCs w:val="15"/>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Equity Compensation</w:t>
            </w:r>
          </w:p>
        </w:tc>
        <w:tc>
          <w:tcPr>
            <w:tcW w:w="340" w:type="dxa"/>
            <w:vAlign w:val="bottom"/>
            <w:shd w:val="clear" w:color="auto" w:fill="EFEDED"/>
          </w:tcPr>
          <w:p>
            <w:pPr>
              <w:spacing w:after="0"/>
              <w:rPr>
                <w:sz w:val="15"/>
                <w:szCs w:val="15"/>
                <w:color w:val="auto"/>
              </w:rPr>
            </w:pPr>
          </w:p>
        </w:tc>
      </w:tr>
      <w:tr>
        <w:trPr>
          <w:trHeight w:val="196"/>
        </w:trPr>
        <w:tc>
          <w:tcPr>
            <w:tcW w:w="37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Plan Category</w:t>
            </w:r>
          </w:p>
        </w:tc>
        <w:tc>
          <w:tcPr>
            <w:tcW w:w="2180" w:type="dxa"/>
            <w:vAlign w:val="bottom"/>
            <w:shd w:val="clear" w:color="auto" w:fill="EFEDED"/>
          </w:tcPr>
          <w:p>
            <w:pPr>
              <w:jc w:val="center"/>
              <w:ind w:left="251"/>
              <w:spacing w:after="0"/>
              <w:rPr>
                <w:sz w:val="20"/>
                <w:szCs w:val="20"/>
                <w:color w:val="auto"/>
              </w:rPr>
            </w:pPr>
            <w:r>
              <w:rPr>
                <w:rFonts w:ascii="Arial" w:cs="Arial" w:eastAsia="Arial" w:hAnsi="Arial"/>
                <w:sz w:val="14"/>
                <w:szCs w:val="14"/>
                <w:b w:val="1"/>
                <w:bCs w:val="1"/>
                <w:color w:val="58595B"/>
              </w:rPr>
              <w:t>Warrants and Rights</w:t>
            </w:r>
          </w:p>
        </w:tc>
        <w:tc>
          <w:tcPr>
            <w:tcW w:w="520" w:type="dxa"/>
            <w:vAlign w:val="bottom"/>
            <w:shd w:val="clear" w:color="auto" w:fill="EFEDED"/>
          </w:tcPr>
          <w:p>
            <w:pPr>
              <w:spacing w:after="0"/>
              <w:rPr>
                <w:sz w:val="17"/>
                <w:szCs w:val="17"/>
                <w:color w:val="auto"/>
              </w:rPr>
            </w:pPr>
          </w:p>
        </w:tc>
        <w:tc>
          <w:tcPr>
            <w:tcW w:w="190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Warrants and Rights</w:t>
            </w:r>
          </w:p>
        </w:tc>
        <w:tc>
          <w:tcPr>
            <w:tcW w:w="540" w:type="dxa"/>
            <w:vAlign w:val="bottom"/>
            <w:shd w:val="clear" w:color="auto" w:fill="EFEDED"/>
          </w:tcPr>
          <w:p>
            <w:pPr>
              <w:spacing w:after="0"/>
              <w:rPr>
                <w:sz w:val="17"/>
                <w:szCs w:val="17"/>
                <w:color w:val="auto"/>
              </w:rPr>
            </w:pPr>
          </w:p>
        </w:tc>
        <w:tc>
          <w:tcPr>
            <w:tcW w:w="1980" w:type="dxa"/>
            <w:vAlign w:val="bottom"/>
            <w:shd w:val="clear" w:color="auto" w:fill="EFEDED"/>
          </w:tcPr>
          <w:p>
            <w:pPr>
              <w:jc w:val="center"/>
              <w:ind w:left="111"/>
              <w:spacing w:after="0"/>
              <w:rPr>
                <w:sz w:val="20"/>
                <w:szCs w:val="20"/>
                <w:color w:val="auto"/>
              </w:rPr>
            </w:pPr>
            <w:r>
              <w:rPr>
                <w:rFonts w:ascii="Arial" w:cs="Arial" w:eastAsia="Arial" w:hAnsi="Arial"/>
                <w:sz w:val="14"/>
                <w:szCs w:val="14"/>
                <w:b w:val="1"/>
                <w:bCs w:val="1"/>
                <w:color w:val="58595B"/>
              </w:rPr>
              <w:t>Plans(1)</w:t>
            </w:r>
          </w:p>
        </w:tc>
        <w:tc>
          <w:tcPr>
            <w:tcW w:w="340" w:type="dxa"/>
            <w:vAlign w:val="bottom"/>
            <w:shd w:val="clear" w:color="auto" w:fill="EFEDED"/>
          </w:tcPr>
          <w:p>
            <w:pPr>
              <w:spacing w:after="0"/>
              <w:rPr>
                <w:sz w:val="17"/>
                <w:szCs w:val="17"/>
                <w:color w:val="auto"/>
              </w:rPr>
            </w:pPr>
          </w:p>
        </w:tc>
      </w:tr>
      <w:tr>
        <w:trPr>
          <w:trHeight w:val="70"/>
        </w:trPr>
        <w:tc>
          <w:tcPr>
            <w:tcW w:w="3780" w:type="dxa"/>
            <w:vAlign w:val="bottom"/>
            <w:shd w:val="clear" w:color="auto" w:fill="EFEDED"/>
          </w:tcPr>
          <w:p>
            <w:pPr>
              <w:spacing w:after="0"/>
              <w:rPr>
                <w:sz w:val="6"/>
                <w:szCs w:val="6"/>
                <w:color w:val="auto"/>
              </w:rPr>
            </w:pPr>
          </w:p>
        </w:tc>
        <w:tc>
          <w:tcPr>
            <w:tcW w:w="2180" w:type="dxa"/>
            <w:vAlign w:val="bottom"/>
            <w:shd w:val="clear" w:color="auto" w:fill="EFEDED"/>
          </w:tcPr>
          <w:p>
            <w:pPr>
              <w:spacing w:after="0"/>
              <w:rPr>
                <w:sz w:val="6"/>
                <w:szCs w:val="6"/>
                <w:color w:val="auto"/>
              </w:rPr>
            </w:pPr>
          </w:p>
        </w:tc>
        <w:tc>
          <w:tcPr>
            <w:tcW w:w="520" w:type="dxa"/>
            <w:vAlign w:val="bottom"/>
            <w:shd w:val="clear" w:color="auto" w:fill="EFEDED"/>
          </w:tcPr>
          <w:p>
            <w:pPr>
              <w:spacing w:after="0"/>
              <w:rPr>
                <w:sz w:val="6"/>
                <w:szCs w:val="6"/>
                <w:color w:val="auto"/>
              </w:rPr>
            </w:pPr>
          </w:p>
        </w:tc>
        <w:tc>
          <w:tcPr>
            <w:tcW w:w="1900" w:type="dxa"/>
            <w:vAlign w:val="bottom"/>
            <w:shd w:val="clear" w:color="auto" w:fill="EFEDED"/>
          </w:tcPr>
          <w:p>
            <w:pPr>
              <w:spacing w:after="0"/>
              <w:rPr>
                <w:sz w:val="6"/>
                <w:szCs w:val="6"/>
                <w:color w:val="auto"/>
              </w:rPr>
            </w:pPr>
          </w:p>
        </w:tc>
        <w:tc>
          <w:tcPr>
            <w:tcW w:w="540" w:type="dxa"/>
            <w:vAlign w:val="bottom"/>
            <w:shd w:val="clear" w:color="auto" w:fill="EFEDED"/>
          </w:tcPr>
          <w:p>
            <w:pPr>
              <w:spacing w:after="0"/>
              <w:rPr>
                <w:sz w:val="6"/>
                <w:szCs w:val="6"/>
                <w:color w:val="auto"/>
              </w:rPr>
            </w:pPr>
          </w:p>
        </w:tc>
        <w:tc>
          <w:tcPr>
            <w:tcW w:w="1980" w:type="dxa"/>
            <w:vAlign w:val="bottom"/>
            <w:shd w:val="clear" w:color="auto" w:fill="EFEDED"/>
          </w:tcPr>
          <w:p>
            <w:pPr>
              <w:spacing w:after="0"/>
              <w:rPr>
                <w:sz w:val="6"/>
                <w:szCs w:val="6"/>
                <w:color w:val="auto"/>
              </w:rPr>
            </w:pPr>
          </w:p>
        </w:tc>
        <w:tc>
          <w:tcPr>
            <w:tcW w:w="340" w:type="dxa"/>
            <w:vAlign w:val="bottom"/>
            <w:shd w:val="clear" w:color="auto" w:fill="EFEDED"/>
          </w:tcPr>
          <w:p>
            <w:pPr>
              <w:spacing w:after="0"/>
              <w:rPr>
                <w:sz w:val="6"/>
                <w:szCs w:val="6"/>
                <w:color w:val="auto"/>
              </w:rPr>
            </w:pPr>
          </w:p>
        </w:tc>
      </w:tr>
      <w:tr>
        <w:trPr>
          <w:trHeight w:val="181"/>
        </w:trPr>
        <w:tc>
          <w:tcPr>
            <w:tcW w:w="3780" w:type="dxa"/>
            <w:vAlign w:val="bottom"/>
          </w:tcPr>
          <w:p>
            <w:pPr>
              <w:ind w:left="100"/>
              <w:spacing w:after="0"/>
              <w:rPr>
                <w:sz w:val="20"/>
                <w:szCs w:val="20"/>
                <w:color w:val="auto"/>
              </w:rPr>
            </w:pPr>
            <w:r>
              <w:rPr>
                <w:rFonts w:ascii="Arial" w:cs="Arial" w:eastAsia="Arial" w:hAnsi="Arial"/>
                <w:sz w:val="13"/>
                <w:szCs w:val="13"/>
                <w:b w:val="1"/>
                <w:bCs w:val="1"/>
                <w:color w:val="58595B"/>
              </w:rPr>
              <w:t>Equity compensation plans approved by stockholders</w:t>
            </w:r>
          </w:p>
        </w:tc>
        <w:tc>
          <w:tcPr>
            <w:tcW w:w="2180" w:type="dxa"/>
            <w:vAlign w:val="bottom"/>
          </w:tcPr>
          <w:p>
            <w:pPr>
              <w:jc w:val="right"/>
              <w:ind w:right="751"/>
              <w:spacing w:after="0"/>
              <w:rPr>
                <w:sz w:val="20"/>
                <w:szCs w:val="20"/>
                <w:color w:val="auto"/>
              </w:rPr>
            </w:pPr>
            <w:r>
              <w:rPr>
                <w:rFonts w:ascii="Arial" w:cs="Arial" w:eastAsia="Arial" w:hAnsi="Arial"/>
                <w:sz w:val="13"/>
                <w:szCs w:val="13"/>
                <w:color w:val="58595B"/>
              </w:rPr>
              <w:t>1,616,798</w:t>
            </w:r>
          </w:p>
        </w:tc>
        <w:tc>
          <w:tcPr>
            <w:tcW w:w="520" w:type="dxa"/>
            <w:vAlign w:val="bottom"/>
          </w:tcPr>
          <w:p>
            <w:pPr>
              <w:jc w:val="right"/>
              <w:ind w:right="237"/>
              <w:spacing w:after="0"/>
              <w:rPr>
                <w:sz w:val="20"/>
                <w:szCs w:val="20"/>
                <w:color w:val="auto"/>
              </w:rPr>
            </w:pPr>
            <w:r>
              <w:rPr>
                <w:rFonts w:ascii="Arial" w:cs="Arial" w:eastAsia="Arial" w:hAnsi="Arial"/>
                <w:sz w:val="13"/>
                <w:szCs w:val="13"/>
                <w:color w:val="58595B"/>
              </w:rPr>
              <w:t>(2)</w:t>
            </w:r>
          </w:p>
        </w:tc>
        <w:tc>
          <w:tcPr>
            <w:tcW w:w="1900" w:type="dxa"/>
            <w:vAlign w:val="bottom"/>
          </w:tcPr>
          <w:p>
            <w:pPr>
              <w:jc w:val="right"/>
              <w:ind w:right="811"/>
              <w:spacing w:after="0"/>
              <w:rPr>
                <w:sz w:val="20"/>
                <w:szCs w:val="20"/>
                <w:color w:val="auto"/>
              </w:rPr>
            </w:pPr>
            <w:r>
              <w:rPr>
                <w:rFonts w:ascii="Arial" w:cs="Arial" w:eastAsia="Arial" w:hAnsi="Arial"/>
                <w:sz w:val="13"/>
                <w:szCs w:val="13"/>
                <w:color w:val="58595B"/>
              </w:rPr>
              <w:t>50.64</w:t>
            </w:r>
          </w:p>
        </w:tc>
        <w:tc>
          <w:tcPr>
            <w:tcW w:w="540" w:type="dxa"/>
            <w:vAlign w:val="bottom"/>
          </w:tcPr>
          <w:p>
            <w:pPr>
              <w:jc w:val="right"/>
              <w:ind w:right="197"/>
              <w:spacing w:after="0"/>
              <w:rPr>
                <w:sz w:val="20"/>
                <w:szCs w:val="20"/>
                <w:color w:val="auto"/>
              </w:rPr>
            </w:pPr>
            <w:r>
              <w:rPr>
                <w:rFonts w:ascii="Arial" w:cs="Arial" w:eastAsia="Arial" w:hAnsi="Arial"/>
                <w:sz w:val="13"/>
                <w:szCs w:val="13"/>
                <w:color w:val="58595B"/>
              </w:rPr>
              <w:t>(3)</w:t>
            </w:r>
          </w:p>
        </w:tc>
        <w:tc>
          <w:tcPr>
            <w:tcW w:w="1980" w:type="dxa"/>
            <w:vAlign w:val="bottom"/>
          </w:tcPr>
          <w:p>
            <w:pPr>
              <w:jc w:val="right"/>
              <w:ind w:right="731"/>
              <w:spacing w:after="0"/>
              <w:rPr>
                <w:sz w:val="20"/>
                <w:szCs w:val="20"/>
                <w:color w:val="auto"/>
              </w:rPr>
            </w:pPr>
            <w:r>
              <w:rPr>
                <w:rFonts w:ascii="Arial" w:cs="Arial" w:eastAsia="Arial" w:hAnsi="Arial"/>
                <w:sz w:val="13"/>
                <w:szCs w:val="13"/>
                <w:color w:val="58595B"/>
              </w:rPr>
              <w:t>4,665,186</w:t>
            </w:r>
          </w:p>
        </w:tc>
        <w:tc>
          <w:tcPr>
            <w:tcW w:w="340" w:type="dxa"/>
            <w:vAlign w:val="bottom"/>
          </w:tcPr>
          <w:p>
            <w:pPr>
              <w:jc w:val="right"/>
              <w:ind w:right="37"/>
              <w:spacing w:after="0"/>
              <w:rPr>
                <w:sz w:val="20"/>
                <w:szCs w:val="20"/>
                <w:color w:val="auto"/>
              </w:rPr>
            </w:pPr>
            <w:r>
              <w:rPr>
                <w:rFonts w:ascii="Arial" w:cs="Arial" w:eastAsia="Arial" w:hAnsi="Arial"/>
                <w:sz w:val="13"/>
                <w:szCs w:val="13"/>
                <w:color w:val="58595B"/>
              </w:rPr>
              <w:t>(4)</w:t>
            </w:r>
          </w:p>
        </w:tc>
      </w:tr>
      <w:tr>
        <w:trPr>
          <w:trHeight w:val="22"/>
        </w:trPr>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378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3"/>
                <w:szCs w:val="13"/>
                <w:b w:val="1"/>
                <w:bCs w:val="1"/>
                <w:color w:val="58595B"/>
              </w:rPr>
              <w:t>Total</w:t>
            </w:r>
          </w:p>
        </w:tc>
        <w:tc>
          <w:tcPr>
            <w:tcW w:w="2180" w:type="dxa"/>
            <w:vAlign w:val="bottom"/>
            <w:tcBorders>
              <w:bottom w:val="single" w:sz="8" w:color="EFEDED"/>
            </w:tcBorders>
            <w:shd w:val="clear" w:color="auto" w:fill="EFEDED"/>
          </w:tcPr>
          <w:p>
            <w:pPr>
              <w:jc w:val="right"/>
              <w:ind w:right="751"/>
              <w:spacing w:after="0"/>
              <w:rPr>
                <w:sz w:val="20"/>
                <w:szCs w:val="20"/>
                <w:color w:val="auto"/>
              </w:rPr>
            </w:pPr>
            <w:r>
              <w:rPr>
                <w:rFonts w:ascii="Arial" w:cs="Arial" w:eastAsia="Arial" w:hAnsi="Arial"/>
                <w:sz w:val="13"/>
                <w:szCs w:val="13"/>
                <w:color w:val="58595B"/>
              </w:rPr>
              <w:t>1,616,798</w:t>
            </w:r>
          </w:p>
        </w:tc>
        <w:tc>
          <w:tcPr>
            <w:tcW w:w="520" w:type="dxa"/>
            <w:vAlign w:val="bottom"/>
            <w:tcBorders>
              <w:bottom w:val="single" w:sz="8" w:color="EFEDED"/>
            </w:tcBorders>
            <w:shd w:val="clear" w:color="auto" w:fill="EFEDED"/>
          </w:tcPr>
          <w:p>
            <w:pPr>
              <w:spacing w:after="0"/>
              <w:rPr>
                <w:sz w:val="15"/>
                <w:szCs w:val="15"/>
                <w:color w:val="auto"/>
              </w:rPr>
            </w:pPr>
          </w:p>
        </w:tc>
        <w:tc>
          <w:tcPr>
            <w:tcW w:w="1900" w:type="dxa"/>
            <w:vAlign w:val="bottom"/>
            <w:tcBorders>
              <w:bottom w:val="single" w:sz="8" w:color="EFEDED"/>
            </w:tcBorders>
            <w:shd w:val="clear" w:color="auto" w:fill="EFEDED"/>
          </w:tcPr>
          <w:p>
            <w:pPr>
              <w:jc w:val="right"/>
              <w:ind w:right="811"/>
              <w:spacing w:after="0"/>
              <w:rPr>
                <w:sz w:val="20"/>
                <w:szCs w:val="20"/>
                <w:color w:val="auto"/>
              </w:rPr>
            </w:pPr>
            <w:r>
              <w:rPr>
                <w:rFonts w:ascii="Arial" w:cs="Arial" w:eastAsia="Arial" w:hAnsi="Arial"/>
                <w:sz w:val="13"/>
                <w:szCs w:val="13"/>
                <w:color w:val="58595B"/>
              </w:rPr>
              <w:t>50.64</w:t>
            </w:r>
          </w:p>
        </w:tc>
        <w:tc>
          <w:tcPr>
            <w:tcW w:w="540" w:type="dxa"/>
            <w:vAlign w:val="bottom"/>
            <w:tcBorders>
              <w:bottom w:val="single" w:sz="8" w:color="EFEDED"/>
            </w:tcBorders>
            <w:shd w:val="clear" w:color="auto" w:fill="EFEDED"/>
          </w:tcPr>
          <w:p>
            <w:pPr>
              <w:spacing w:after="0"/>
              <w:rPr>
                <w:sz w:val="15"/>
                <w:szCs w:val="15"/>
                <w:color w:val="auto"/>
              </w:rPr>
            </w:pPr>
          </w:p>
        </w:tc>
        <w:tc>
          <w:tcPr>
            <w:tcW w:w="1980" w:type="dxa"/>
            <w:vAlign w:val="bottom"/>
            <w:tcBorders>
              <w:bottom w:val="single" w:sz="8" w:color="EFEDED"/>
            </w:tcBorders>
            <w:shd w:val="clear" w:color="auto" w:fill="EFEDED"/>
          </w:tcPr>
          <w:p>
            <w:pPr>
              <w:jc w:val="right"/>
              <w:ind w:right="731"/>
              <w:spacing w:after="0"/>
              <w:rPr>
                <w:sz w:val="20"/>
                <w:szCs w:val="20"/>
                <w:color w:val="auto"/>
              </w:rPr>
            </w:pPr>
            <w:r>
              <w:rPr>
                <w:rFonts w:ascii="Arial" w:cs="Arial" w:eastAsia="Arial" w:hAnsi="Arial"/>
                <w:sz w:val="13"/>
                <w:szCs w:val="13"/>
                <w:color w:val="58595B"/>
              </w:rPr>
              <w:t>4,665,186</w:t>
            </w:r>
          </w:p>
        </w:tc>
        <w:tc>
          <w:tcPr>
            <w:tcW w:w="340" w:type="dxa"/>
            <w:vAlign w:val="bottom"/>
            <w:tcBorders>
              <w:bottom w:val="single" w:sz="8" w:color="EFEDED"/>
            </w:tcBorders>
            <w:shd w:val="clear" w:color="auto" w:fill="EFEDED"/>
          </w:tcPr>
          <w:p>
            <w:pPr>
              <w:spacing w:after="0"/>
              <w:rPr>
                <w:sz w:val="15"/>
                <w:szCs w:val="15"/>
                <w:color w:val="auto"/>
              </w:rPr>
            </w:pPr>
          </w:p>
        </w:tc>
      </w:tr>
      <w:tr>
        <w:trPr>
          <w:trHeight w:val="20"/>
        </w:trPr>
        <w:tc>
          <w:tcPr>
            <w:tcW w:w="3780" w:type="dxa"/>
            <w:vAlign w:val="bottom"/>
            <w:shd w:val="clear" w:color="auto" w:fill="58595B"/>
          </w:tcPr>
          <w:p>
            <w:pPr>
              <w:spacing w:after="0" w:line="20" w:lineRule="exact"/>
              <w:rPr>
                <w:sz w:val="1"/>
                <w:szCs w:val="1"/>
                <w:color w:val="auto"/>
              </w:rPr>
            </w:pPr>
          </w:p>
        </w:tc>
        <w:tc>
          <w:tcPr>
            <w:tcW w:w="2180" w:type="dxa"/>
            <w:vAlign w:val="bottom"/>
            <w:shd w:val="clear" w:color="auto" w:fill="58595B"/>
          </w:tcPr>
          <w:p>
            <w:pPr>
              <w:spacing w:after="0" w:line="20" w:lineRule="exact"/>
              <w:rPr>
                <w:sz w:val="1"/>
                <w:szCs w:val="1"/>
                <w:color w:val="auto"/>
              </w:rPr>
            </w:pPr>
          </w:p>
        </w:tc>
        <w:tc>
          <w:tcPr>
            <w:tcW w:w="520" w:type="dxa"/>
            <w:vAlign w:val="bottom"/>
            <w:shd w:val="clear" w:color="auto" w:fill="58595B"/>
          </w:tcPr>
          <w:p>
            <w:pPr>
              <w:spacing w:after="0" w:line="20" w:lineRule="exact"/>
              <w:rPr>
                <w:sz w:val="1"/>
                <w:szCs w:val="1"/>
                <w:color w:val="auto"/>
              </w:rPr>
            </w:pPr>
          </w:p>
        </w:tc>
        <w:tc>
          <w:tcPr>
            <w:tcW w:w="1900" w:type="dxa"/>
            <w:vAlign w:val="bottom"/>
            <w:shd w:val="clear" w:color="auto" w:fill="58595B"/>
          </w:tcPr>
          <w:p>
            <w:pPr>
              <w:spacing w:after="0" w:line="20" w:lineRule="exact"/>
              <w:rPr>
                <w:sz w:val="1"/>
                <w:szCs w:val="1"/>
                <w:color w:val="auto"/>
              </w:rPr>
            </w:pPr>
          </w:p>
        </w:tc>
        <w:tc>
          <w:tcPr>
            <w:tcW w:w="540" w:type="dxa"/>
            <w:vAlign w:val="bottom"/>
            <w:shd w:val="clear" w:color="auto" w:fill="58595B"/>
          </w:tcPr>
          <w:p>
            <w:pPr>
              <w:spacing w:after="0" w:line="20" w:lineRule="exact"/>
              <w:rPr>
                <w:sz w:val="1"/>
                <w:szCs w:val="1"/>
                <w:color w:val="auto"/>
              </w:rPr>
            </w:pPr>
          </w:p>
        </w:tc>
        <w:tc>
          <w:tcPr>
            <w:tcW w:w="1980" w:type="dxa"/>
            <w:vAlign w:val="bottom"/>
            <w:shd w:val="clear" w:color="auto" w:fill="58595B"/>
          </w:tcPr>
          <w:p>
            <w:pPr>
              <w:spacing w:after="0" w:line="20" w:lineRule="exact"/>
              <w:rPr>
                <w:sz w:val="1"/>
                <w:szCs w:val="1"/>
                <w:color w:val="auto"/>
              </w:rPr>
            </w:pPr>
          </w:p>
        </w:tc>
        <w:tc>
          <w:tcPr>
            <w:tcW w:w="340" w:type="dxa"/>
            <w:vAlign w:val="bottom"/>
            <w:shd w:val="clear" w:color="auto" w:fill="58595B"/>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Excludes securities to be issued upon the exercise of outstanding options, warrants and rights.</w:t>
      </w:r>
    </w:p>
    <w:p>
      <w:pPr>
        <w:spacing w:after="0" w:line="68" w:lineRule="exact"/>
        <w:rPr>
          <w:rFonts w:ascii="Arial" w:cs="Arial" w:eastAsia="Arial" w:hAnsi="Arial"/>
          <w:sz w:val="14"/>
          <w:szCs w:val="14"/>
          <w:color w:val="auto"/>
        </w:rPr>
      </w:pPr>
    </w:p>
    <w:p>
      <w:pPr>
        <w:ind w:left="340" w:right="40" w:hanging="332"/>
        <w:spacing w:after="0" w:line="264"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(a) 145,437 shares of common stock underlying unvested Restricted Stock Units, (b) 14,370 shares of common stock underlying vested and deferred Restricted Stock Units, (c) No shares of common stock underlying outstanding unvested contract stock, (d) 289,772 shares of common stock underlying outstanding unvested options, (e) 278,861 shares underlying unvested Performance Stock Units, (f) no shares of common stock underlying vested and deferred Performance Stock Units, (g) no shares of common stock underlying vested and deferred contract stock and (h) 888,358 shares of common stock underlying outstanding vested options. Of these amounts, the following securities are issuable under the 2003 Plan: (a) 145,437 shares of common stock underlying Restricted Stock Units, (b) 14,370 shares of common stock underlying vested and deferred Restricted Stock Units, (c) 278,861 shares of common stock underlying outstanding Performance Stock Units, (d) no shares underlying vested and deferred Performance Stock Units, (e) no shares of common stock underlying contract stock and (f) 1,178,130 shares of common stock underlying outstanding options. Performance Stock Units granted in March 2020 and March 2021 which are vesting in March 2023 are calculated at 88% of target. Performance Stock Units granted in March 2022 which are vesting in March 2023 are calculated at 87.3% of target.</w:t>
      </w:r>
    </w:p>
    <w:p>
      <w:pPr>
        <w:spacing w:after="0" w:line="12"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Excluding the Restricted Stock Units, Performance Stock Units and contract stock, the weighted average exercise price is $50.64.</w:t>
      </w:r>
    </w:p>
    <w:p>
      <w:pPr>
        <w:spacing w:after="0" w:line="68" w:lineRule="exact"/>
        <w:rPr>
          <w:rFonts w:ascii="Arial" w:cs="Arial" w:eastAsia="Arial" w:hAnsi="Arial"/>
          <w:sz w:val="14"/>
          <w:szCs w:val="14"/>
          <w:color w:val="auto"/>
        </w:rPr>
      </w:pPr>
    </w:p>
    <w:p>
      <w:pPr>
        <w:ind w:left="340" w:right="540" w:hanging="332"/>
        <w:spacing w:after="0" w:line="305" w:lineRule="auto"/>
        <w:tabs>
          <w:tab w:leader="none" w:pos="338"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1,941,037 shares of common stock which remain available for issuance under the Employee Stock Purchase Plan and, 2,723,355 shares which remain available for issuance under the 2003 Equity Incentive Plan.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78" w:name="page79"/>
    <w:bookmarkEnd w:id="78"/>
    <w:p>
      <w:pPr>
        <w:ind w:right="2500"/>
        <w:spacing w:after="0" w:line="287" w:lineRule="auto"/>
        <w:rPr>
          <w:sz w:val="20"/>
          <w:szCs w:val="20"/>
          <w:color w:val="auto"/>
        </w:rPr>
      </w:pPr>
      <w:r>
        <w:rPr>
          <w:rFonts w:ascii="Arial" w:cs="Arial" w:eastAsia="Arial" w:hAnsi="Arial"/>
          <w:sz w:val="36"/>
          <w:szCs w:val="36"/>
          <w:color w:val="009845"/>
        </w:rPr>
        <w:t>CERTAIN RELATIONSHIPS AND RELATED PERSON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Review and Approval of Related Person Transactions</w:t>
      </w:r>
    </w:p>
    <w:p>
      <w:pPr>
        <w:spacing w:after="0" w:line="72" w:lineRule="exact"/>
        <w:rPr>
          <w:sz w:val="20"/>
          <w:szCs w:val="20"/>
          <w:color w:val="auto"/>
        </w:rPr>
      </w:pPr>
    </w:p>
    <w:p>
      <w:pPr>
        <w:spacing w:after="0" w:line="328" w:lineRule="auto"/>
        <w:rPr>
          <w:sz w:val="20"/>
          <w:szCs w:val="20"/>
          <w:color w:val="auto"/>
        </w:rPr>
      </w:pPr>
      <w:r>
        <w:rPr>
          <w:rFonts w:ascii="Arial" w:cs="Arial" w:eastAsia="Arial" w:hAnsi="Arial"/>
          <w:sz w:val="16"/>
          <w:szCs w:val="16"/>
          <w:color w:val="58595B"/>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10" w:lineRule="exact"/>
        <w:rPr>
          <w:sz w:val="20"/>
          <w:szCs w:val="20"/>
          <w:color w:val="auto"/>
        </w:rPr>
      </w:pPr>
    </w:p>
    <w:p>
      <w:pPr>
        <w:ind w:left="660" w:right="340" w:hanging="328"/>
        <w:spacing w:after="0" w:line="356" w:lineRule="auto"/>
        <w:tabs>
          <w:tab w:leader="none" w:pos="669" w:val="left"/>
        </w:tabs>
        <w:numPr>
          <w:ilvl w:val="0"/>
          <w:numId w:val="63"/>
        </w:numPr>
        <w:rPr>
          <w:rFonts w:ascii="Arial" w:cs="Arial" w:eastAsia="Arial" w:hAnsi="Arial"/>
          <w:sz w:val="16"/>
          <w:szCs w:val="16"/>
          <w:color w:val="58595B"/>
        </w:rPr>
      </w:pPr>
      <w:r>
        <w:rPr>
          <w:rFonts w:ascii="Arial" w:cs="Arial" w:eastAsia="Arial" w:hAnsi="Arial"/>
          <w:sz w:val="16"/>
          <w:szCs w:val="16"/>
          <w:color w:val="58595B"/>
        </w:rPr>
        <w:t>any person who is, or at any time since the beginning of the Company’s last fiscal year was, a director or executive officer of the Company or a nominee to become a director of the Company;</w:t>
      </w:r>
    </w:p>
    <w:p>
      <w:pPr>
        <w:spacing w:after="0" w:line="88" w:lineRule="exact"/>
        <w:rPr>
          <w:rFonts w:ascii="Arial" w:cs="Arial" w:eastAsia="Arial" w:hAnsi="Arial"/>
          <w:sz w:val="16"/>
          <w:szCs w:val="16"/>
          <w:color w:val="58595B"/>
        </w:rPr>
      </w:pPr>
    </w:p>
    <w:p>
      <w:pPr>
        <w:ind w:left="660" w:hanging="328"/>
        <w:spacing w:after="0"/>
        <w:tabs>
          <w:tab w:leader="none" w:pos="660" w:val="left"/>
        </w:tabs>
        <w:numPr>
          <w:ilvl w:val="0"/>
          <w:numId w:val="63"/>
        </w:numPr>
        <w:rPr>
          <w:rFonts w:ascii="Arial" w:cs="Arial" w:eastAsia="Arial" w:hAnsi="Arial"/>
          <w:sz w:val="16"/>
          <w:szCs w:val="16"/>
          <w:color w:val="58595B"/>
        </w:rPr>
      </w:pPr>
      <w:r>
        <w:rPr>
          <w:rFonts w:ascii="Arial" w:cs="Arial" w:eastAsia="Arial" w:hAnsi="Arial"/>
          <w:sz w:val="16"/>
          <w:szCs w:val="16"/>
          <w:color w:val="58595B"/>
        </w:rPr>
        <w:t>any person who is known to be the beneficial owner of more than 5% of any class of the Company’s voting securities;</w:t>
      </w:r>
    </w:p>
    <w:p>
      <w:pPr>
        <w:spacing w:after="0" w:line="221" w:lineRule="exact"/>
        <w:rPr>
          <w:rFonts w:ascii="Arial" w:cs="Arial" w:eastAsia="Arial" w:hAnsi="Arial"/>
          <w:sz w:val="16"/>
          <w:szCs w:val="16"/>
          <w:color w:val="58595B"/>
        </w:rPr>
      </w:pPr>
    </w:p>
    <w:p>
      <w:pPr>
        <w:ind w:left="660" w:hanging="328"/>
        <w:spacing w:after="0"/>
        <w:tabs>
          <w:tab w:leader="none" w:pos="660" w:val="left"/>
        </w:tabs>
        <w:numPr>
          <w:ilvl w:val="0"/>
          <w:numId w:val="63"/>
        </w:numPr>
        <w:rPr>
          <w:rFonts w:ascii="Arial" w:cs="Arial" w:eastAsia="Arial" w:hAnsi="Arial"/>
          <w:sz w:val="16"/>
          <w:szCs w:val="16"/>
          <w:color w:val="58595B"/>
        </w:rPr>
      </w:pPr>
      <w:r>
        <w:rPr>
          <w:rFonts w:ascii="Arial" w:cs="Arial" w:eastAsia="Arial" w:hAnsi="Arial"/>
          <w:sz w:val="16"/>
          <w:szCs w:val="16"/>
          <w:color w:val="58595B"/>
        </w:rPr>
        <w:t>any immediate family member of any of the foregoing persons; or</w:t>
      </w:r>
    </w:p>
    <w:p>
      <w:pPr>
        <w:spacing w:after="0" w:line="207" w:lineRule="exact"/>
        <w:rPr>
          <w:rFonts w:ascii="Arial" w:cs="Arial" w:eastAsia="Arial" w:hAnsi="Arial"/>
          <w:sz w:val="16"/>
          <w:szCs w:val="16"/>
          <w:color w:val="58595B"/>
        </w:rPr>
      </w:pPr>
    </w:p>
    <w:p>
      <w:pPr>
        <w:ind w:left="660" w:right="100" w:hanging="328"/>
        <w:spacing w:after="0" w:line="339" w:lineRule="auto"/>
        <w:tabs>
          <w:tab w:leader="none" w:pos="669" w:val="left"/>
        </w:tabs>
        <w:numPr>
          <w:ilvl w:val="0"/>
          <w:numId w:val="63"/>
        </w:numPr>
        <w:rPr>
          <w:rFonts w:ascii="Arial" w:cs="Arial" w:eastAsia="Arial" w:hAnsi="Arial"/>
          <w:sz w:val="16"/>
          <w:szCs w:val="16"/>
          <w:color w:val="58595B"/>
        </w:rPr>
      </w:pPr>
      <w:r>
        <w:rPr>
          <w:rFonts w:ascii="Arial" w:cs="Arial" w:eastAsia="Arial" w:hAnsi="Arial"/>
          <w:sz w:val="16"/>
          <w:szCs w:val="16"/>
          <w:color w:val="58595B"/>
        </w:rPr>
        <w:t>any firm, corporation or other entity in which any of the foregoing persons is employed or is a partner or principal or in a similar position or in which such person has a 5% or greater beneficial ownership interest.</w:t>
      </w:r>
    </w:p>
    <w:p>
      <w:pPr>
        <w:spacing w:after="0" w:line="115"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color w:val="58595B"/>
        </w:rPr>
        <w:t>If the Company’s legal department determines that a proposed transaction is a transaction for which approval is required under applicable rules and regulations of the SEC, the proposed transaction shall be submitted to the Audit Committee for consideration.</w:t>
      </w:r>
    </w:p>
    <w:p>
      <w:pPr>
        <w:spacing w:after="0" w:line="11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58595B"/>
        </w:rPr>
        <w:t>The Audit Committee will consider all of the relevant facts and circumstances available to the Audit Committee, including (if applicable)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27" w:lineRule="exact"/>
        <w:rPr>
          <w:sz w:val="20"/>
          <w:szCs w:val="20"/>
          <w:color w:val="auto"/>
        </w:rPr>
      </w:pPr>
    </w:p>
    <w:p>
      <w:pPr>
        <w:jc w:val="both"/>
        <w:ind w:right="100"/>
        <w:spacing w:after="0" w:line="318" w:lineRule="auto"/>
        <w:rPr>
          <w:sz w:val="20"/>
          <w:szCs w:val="20"/>
          <w:color w:val="auto"/>
        </w:rPr>
      </w:pPr>
      <w:r>
        <w:rPr>
          <w:rFonts w:ascii="Arial" w:cs="Arial" w:eastAsia="Arial" w:hAnsi="Arial"/>
          <w:sz w:val="16"/>
          <w:szCs w:val="16"/>
          <w:color w:val="58595B"/>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Related Person Transactions</w:t>
      </w:r>
    </w:p>
    <w:p>
      <w:pPr>
        <w:spacing w:after="0" w:line="7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$295,515 for rent of this facility for 2023. As of the date of this proxy statement, the Company has paid $73,878.75 for rent of this facility in 2024.</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79" w:name="page80"/>
    <w:bookmarkEnd w:id="79"/>
    <w:p>
      <w:pPr>
        <w:ind w:right="580"/>
        <w:spacing w:after="0" w:line="287" w:lineRule="auto"/>
        <w:rPr>
          <w:sz w:val="20"/>
          <w:szCs w:val="20"/>
          <w:color w:val="auto"/>
        </w:rPr>
      </w:pPr>
      <w:r>
        <w:rPr>
          <w:rFonts w:ascii="Arial" w:cs="Arial" w:eastAsia="Arial" w:hAnsi="Arial"/>
          <w:sz w:val="36"/>
          <w:szCs w:val="36"/>
          <w:color w:val="009845"/>
        </w:rPr>
        <w:t>PROPOSAL 2. RATIFICATION OF INDEPENDENT REGISTERED PUBLIC ACCOUNTING FIRM</w:t>
      </w:r>
    </w:p>
    <w:p>
      <w:pPr>
        <w:spacing w:after="0" w:line="276"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The firm of PricewaterhouseCoopers LLP served as our independent registered public accounting firm for fiscal year 2023 and has been selected by the Audit Committee to serve in the same capacity for fiscal year 2024. The stockholders will be asked to ratify this appointment at the Annual Meeting. The ratification of our independent registered public accounting firm by the stockholders is not required by law or our bylaws. We have traditionally submitted this matter to the stockholders and believe it is good practice to continue to do so.</w:t>
      </w:r>
    </w:p>
    <w:p>
      <w:pPr>
        <w:spacing w:after="0" w:line="132"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58595B"/>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30"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58595B"/>
        </w:rPr>
        <w:t>During fiscal year 2023, PricewaterhouseCoopers LLP not only provided audit services, but also rendered other services, including tax compliance and planning services.</w:t>
      </w:r>
    </w:p>
    <w:p>
      <w:pPr>
        <w:spacing w:after="0" w:line="11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shd w:val="clear" w:color="auto" w:fill="009845"/>
          </w:tcPr>
          <w:p>
            <w:pPr>
              <w:spacing w:after="0"/>
              <w:rPr>
                <w:sz w:val="18"/>
                <w:szCs w:val="18"/>
                <w:color w:val="auto"/>
              </w:rPr>
            </w:pPr>
          </w:p>
        </w:tc>
        <w:tc>
          <w:tcPr>
            <w:tcW w:w="280" w:type="dxa"/>
            <w:vAlign w:val="bottom"/>
            <w:shd w:val="clear" w:color="auto" w:fill="009845"/>
          </w:tcPr>
          <w:p>
            <w:pPr>
              <w:spacing w:after="0"/>
              <w:rPr>
                <w:sz w:val="18"/>
                <w:szCs w:val="18"/>
                <w:color w:val="auto"/>
              </w:rPr>
            </w:pPr>
          </w:p>
        </w:tc>
        <w:tc>
          <w:tcPr>
            <w:tcW w:w="1580" w:type="dxa"/>
            <w:vAlign w:val="bottom"/>
            <w:gridSpan w:val="2"/>
            <w:shd w:val="clear" w:color="auto" w:fill="009845"/>
          </w:tcPr>
          <w:p>
            <w:pPr>
              <w:jc w:val="right"/>
              <w:ind w:right="48"/>
              <w:spacing w:after="0"/>
              <w:rPr>
                <w:sz w:val="20"/>
                <w:szCs w:val="20"/>
                <w:color w:val="auto"/>
              </w:rPr>
            </w:pPr>
            <w:r>
              <w:rPr>
                <w:rFonts w:ascii="Arial" w:cs="Arial" w:eastAsia="Arial" w:hAnsi="Arial"/>
                <w:sz w:val="14"/>
                <w:szCs w:val="14"/>
                <w:b w:val="1"/>
                <w:bCs w:val="1"/>
                <w:color w:val="FFFFFF"/>
              </w:rPr>
              <w:t>Actual Fees</w:t>
            </w:r>
          </w:p>
        </w:tc>
        <w:tc>
          <w:tcPr>
            <w:tcW w:w="820" w:type="dxa"/>
            <w:vAlign w:val="bottom"/>
            <w:shd w:val="clear" w:color="auto" w:fill="009845"/>
          </w:tcPr>
          <w:p>
            <w:pPr>
              <w:spacing w:after="0"/>
              <w:rPr>
                <w:sz w:val="18"/>
                <w:szCs w:val="18"/>
                <w:color w:val="auto"/>
              </w:rPr>
            </w:pPr>
          </w:p>
        </w:tc>
      </w:tr>
      <w:tr>
        <w:trPr>
          <w:trHeight w:val="241"/>
        </w:trPr>
        <w:tc>
          <w:tcPr>
            <w:tcW w:w="8560" w:type="dxa"/>
            <w:vAlign w:val="bottom"/>
            <w:shd w:val="clear" w:color="auto" w:fill="009845"/>
          </w:tcPr>
          <w:p>
            <w:pPr>
              <w:spacing w:after="0"/>
              <w:rPr>
                <w:sz w:val="20"/>
                <w:szCs w:val="20"/>
                <w:color w:val="auto"/>
              </w:rPr>
            </w:pPr>
          </w:p>
        </w:tc>
        <w:tc>
          <w:tcPr>
            <w:tcW w:w="280" w:type="dxa"/>
            <w:vAlign w:val="bottom"/>
            <w:shd w:val="clear" w:color="auto" w:fill="009845"/>
          </w:tcPr>
          <w:p>
            <w:pPr>
              <w:spacing w:after="0"/>
              <w:rPr>
                <w:sz w:val="20"/>
                <w:szCs w:val="20"/>
                <w:color w:val="auto"/>
              </w:rPr>
            </w:pPr>
          </w:p>
        </w:tc>
        <w:tc>
          <w:tcPr>
            <w:tcW w:w="1040" w:type="dxa"/>
            <w:vAlign w:val="bottom"/>
            <w:shd w:val="clear" w:color="auto" w:fill="009845"/>
          </w:tcPr>
          <w:p>
            <w:pPr>
              <w:jc w:val="right"/>
              <w:ind w:right="448"/>
              <w:spacing w:after="0"/>
              <w:rPr>
                <w:sz w:val="20"/>
                <w:szCs w:val="20"/>
                <w:color w:val="auto"/>
              </w:rPr>
            </w:pPr>
            <w:r>
              <w:rPr>
                <w:rFonts w:ascii="Arial" w:cs="Arial" w:eastAsia="Arial" w:hAnsi="Arial"/>
                <w:sz w:val="14"/>
                <w:szCs w:val="14"/>
                <w:b w:val="1"/>
                <w:bCs w:val="1"/>
                <w:color w:val="FFFFFF"/>
              </w:rPr>
              <w:t>2023</w:t>
            </w:r>
          </w:p>
        </w:tc>
        <w:tc>
          <w:tcPr>
            <w:tcW w:w="540" w:type="dxa"/>
            <w:vAlign w:val="bottom"/>
            <w:shd w:val="clear" w:color="auto" w:fill="009845"/>
          </w:tcPr>
          <w:p>
            <w:pPr>
              <w:spacing w:after="0"/>
              <w:rPr>
                <w:sz w:val="20"/>
                <w:szCs w:val="20"/>
                <w:color w:val="auto"/>
              </w:rPr>
            </w:pPr>
          </w:p>
        </w:tc>
        <w:tc>
          <w:tcPr>
            <w:tcW w:w="820" w:type="dxa"/>
            <w:vAlign w:val="bottom"/>
            <w:shd w:val="clear" w:color="auto" w:fill="009845"/>
          </w:tcPr>
          <w:p>
            <w:pPr>
              <w:jc w:val="right"/>
              <w:ind w:right="408"/>
              <w:spacing w:after="0"/>
              <w:rPr>
                <w:sz w:val="20"/>
                <w:szCs w:val="20"/>
                <w:color w:val="auto"/>
              </w:rPr>
            </w:pPr>
            <w:r>
              <w:rPr>
                <w:rFonts w:ascii="Arial" w:cs="Arial" w:eastAsia="Arial" w:hAnsi="Arial"/>
                <w:sz w:val="14"/>
                <w:szCs w:val="14"/>
                <w:b w:val="1"/>
                <w:bCs w:val="1"/>
                <w:color w:val="FFFFFF"/>
              </w:rPr>
              <w:t>2022</w:t>
            </w:r>
          </w:p>
        </w:tc>
      </w:tr>
      <w:tr>
        <w:trPr>
          <w:trHeight w:val="230"/>
        </w:trPr>
        <w:tc>
          <w:tcPr>
            <w:tcW w:w="8560" w:type="dxa"/>
            <w:vAlign w:val="bottom"/>
            <w:shd w:val="clear" w:color="auto" w:fill="009845"/>
          </w:tcPr>
          <w:p>
            <w:pPr>
              <w:spacing w:after="0"/>
              <w:rPr>
                <w:sz w:val="19"/>
                <w:szCs w:val="19"/>
                <w:color w:val="auto"/>
              </w:rPr>
            </w:pPr>
          </w:p>
        </w:tc>
        <w:tc>
          <w:tcPr>
            <w:tcW w:w="280" w:type="dxa"/>
            <w:vAlign w:val="bottom"/>
            <w:shd w:val="clear" w:color="auto" w:fill="009845"/>
          </w:tcPr>
          <w:p>
            <w:pPr>
              <w:spacing w:after="0"/>
              <w:rPr>
                <w:sz w:val="19"/>
                <w:szCs w:val="19"/>
                <w:color w:val="auto"/>
              </w:rPr>
            </w:pPr>
          </w:p>
        </w:tc>
        <w:tc>
          <w:tcPr>
            <w:tcW w:w="1580" w:type="dxa"/>
            <w:vAlign w:val="bottom"/>
            <w:gridSpan w:val="2"/>
            <w:shd w:val="clear" w:color="auto" w:fill="009845"/>
          </w:tcPr>
          <w:p>
            <w:pPr>
              <w:jc w:val="right"/>
              <w:spacing w:after="0"/>
              <w:rPr>
                <w:sz w:val="20"/>
                <w:szCs w:val="20"/>
                <w:color w:val="auto"/>
              </w:rPr>
            </w:pPr>
            <w:r>
              <w:rPr>
                <w:rFonts w:ascii="Arial" w:cs="Arial" w:eastAsia="Arial" w:hAnsi="Arial"/>
                <w:sz w:val="14"/>
                <w:szCs w:val="14"/>
                <w:b w:val="1"/>
                <w:bCs w:val="1"/>
                <w:color w:val="FFFFFF"/>
              </w:rPr>
              <w:t>(In thousands)</w:t>
            </w:r>
          </w:p>
        </w:tc>
        <w:tc>
          <w:tcPr>
            <w:tcW w:w="820" w:type="dxa"/>
            <w:vAlign w:val="bottom"/>
            <w:shd w:val="clear" w:color="auto" w:fill="009845"/>
          </w:tcPr>
          <w:p>
            <w:pPr>
              <w:spacing w:after="0"/>
              <w:rPr>
                <w:sz w:val="19"/>
                <w:szCs w:val="19"/>
                <w:color w:val="auto"/>
              </w:rPr>
            </w:pPr>
          </w:p>
        </w:tc>
      </w:tr>
      <w:tr>
        <w:trPr>
          <w:trHeight w:val="69"/>
        </w:trPr>
        <w:tc>
          <w:tcPr>
            <w:tcW w:w="8560" w:type="dxa"/>
            <w:vAlign w:val="bottom"/>
            <w:shd w:val="clear" w:color="auto" w:fill="009845"/>
          </w:tcPr>
          <w:p>
            <w:pPr>
              <w:spacing w:after="0"/>
              <w:rPr>
                <w:sz w:val="6"/>
                <w:szCs w:val="6"/>
                <w:color w:val="auto"/>
              </w:rPr>
            </w:pPr>
          </w:p>
        </w:tc>
        <w:tc>
          <w:tcPr>
            <w:tcW w:w="280" w:type="dxa"/>
            <w:vAlign w:val="bottom"/>
            <w:shd w:val="clear" w:color="auto" w:fill="009845"/>
          </w:tcPr>
          <w:p>
            <w:pPr>
              <w:spacing w:after="0"/>
              <w:rPr>
                <w:sz w:val="6"/>
                <w:szCs w:val="6"/>
                <w:color w:val="auto"/>
              </w:rPr>
            </w:pPr>
          </w:p>
        </w:tc>
        <w:tc>
          <w:tcPr>
            <w:tcW w:w="1040" w:type="dxa"/>
            <w:vAlign w:val="bottom"/>
            <w:shd w:val="clear" w:color="auto" w:fill="009845"/>
          </w:tcPr>
          <w:p>
            <w:pPr>
              <w:spacing w:after="0"/>
              <w:rPr>
                <w:sz w:val="6"/>
                <w:szCs w:val="6"/>
                <w:color w:val="auto"/>
              </w:rPr>
            </w:pPr>
          </w:p>
        </w:tc>
        <w:tc>
          <w:tcPr>
            <w:tcW w:w="54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r>
      <w:tr>
        <w:trPr>
          <w:trHeight w:val="230"/>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Audit Fees</w:t>
            </w:r>
          </w:p>
        </w:tc>
        <w:tc>
          <w:tcPr>
            <w:tcW w:w="28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3,883</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3,430</w:t>
            </w:r>
          </w:p>
        </w:tc>
      </w:tr>
      <w:tr>
        <w:trPr>
          <w:trHeight w:val="222"/>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Audit-Related Fees</w:t>
            </w:r>
          </w:p>
        </w:tc>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58595B"/>
              </w:rPr>
              <w:t>2</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2</w:t>
            </w:r>
          </w:p>
        </w:tc>
      </w:tr>
      <w:tr>
        <w:trPr>
          <w:trHeight w:val="237"/>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Total Audit and Audit-Related Fees</w:t>
            </w:r>
          </w:p>
        </w:tc>
        <w:tc>
          <w:tcPr>
            <w:tcW w:w="28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3,885</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3,432</w:t>
            </w:r>
          </w:p>
        </w:tc>
      </w:tr>
      <w:tr>
        <w:trPr>
          <w:trHeight w:val="222"/>
        </w:trPr>
        <w:tc>
          <w:tcPr>
            <w:tcW w:w="8560" w:type="dxa"/>
            <w:vAlign w:val="bottom"/>
          </w:tcPr>
          <w:p>
            <w:pPr>
              <w:ind w:left="100"/>
              <w:spacing w:after="0"/>
              <w:rPr>
                <w:sz w:val="20"/>
                <w:szCs w:val="20"/>
                <w:color w:val="auto"/>
              </w:rPr>
            </w:pPr>
            <w:r>
              <w:rPr>
                <w:rFonts w:ascii="Arial" w:cs="Arial" w:eastAsia="Arial" w:hAnsi="Arial"/>
                <w:sz w:val="14"/>
                <w:szCs w:val="14"/>
                <w:b w:val="1"/>
                <w:bCs w:val="1"/>
                <w:color w:val="58595B"/>
              </w:rPr>
              <w:t>Tax Fees</w:t>
            </w:r>
          </w:p>
        </w:tc>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58595B"/>
              </w:rPr>
              <w:t>767</w:t>
            </w:r>
          </w:p>
        </w:tc>
        <w:tc>
          <w:tcPr>
            <w:tcW w:w="540" w:type="dxa"/>
            <w:vAlign w:val="bottom"/>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Pr>
          <w:p>
            <w:pPr>
              <w:jc w:val="right"/>
              <w:spacing w:after="0"/>
              <w:rPr>
                <w:sz w:val="20"/>
                <w:szCs w:val="20"/>
                <w:color w:val="auto"/>
              </w:rPr>
            </w:pPr>
            <w:r>
              <w:rPr>
                <w:rFonts w:ascii="Arial" w:cs="Arial" w:eastAsia="Arial" w:hAnsi="Arial"/>
                <w:sz w:val="14"/>
                <w:szCs w:val="14"/>
                <w:color w:val="58595B"/>
              </w:rPr>
              <w:t>530</w:t>
            </w:r>
          </w:p>
        </w:tc>
      </w:tr>
      <w:tr>
        <w:trPr>
          <w:trHeight w:val="237"/>
        </w:trPr>
        <w:tc>
          <w:tcPr>
            <w:tcW w:w="85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Other Fees</w:t>
            </w:r>
          </w:p>
        </w:tc>
        <w:tc>
          <w:tcPr>
            <w:tcW w:w="280" w:type="dxa"/>
            <w:vAlign w:val="bottom"/>
            <w:shd w:val="clear" w:color="auto" w:fill="EFEDED"/>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shd w:val="clear" w:color="auto" w:fill="EFEDED"/>
          </w:tcPr>
          <w:p>
            <w:pPr>
              <w:jc w:val="right"/>
              <w:ind w:right="28"/>
              <w:spacing w:after="0"/>
              <w:rPr>
                <w:sz w:val="20"/>
                <w:szCs w:val="20"/>
                <w:color w:val="auto"/>
              </w:rPr>
            </w:pPr>
            <w:r>
              <w:rPr>
                <w:rFonts w:ascii="Arial" w:cs="Arial" w:eastAsia="Arial" w:hAnsi="Arial"/>
                <w:sz w:val="14"/>
                <w:szCs w:val="14"/>
                <w:color w:val="58595B"/>
              </w:rPr>
              <w:t>56</w:t>
            </w:r>
          </w:p>
        </w:tc>
        <w:tc>
          <w:tcPr>
            <w:tcW w:w="540" w:type="dxa"/>
            <w:vAlign w:val="bottom"/>
            <w:shd w:val="clear" w:color="auto" w:fill="EFEDED"/>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shd w:val="clear" w:color="auto" w:fill="EFEDED"/>
          </w:tcPr>
          <w:p>
            <w:pPr>
              <w:jc w:val="right"/>
              <w:spacing w:after="0"/>
              <w:rPr>
                <w:sz w:val="20"/>
                <w:szCs w:val="20"/>
                <w:color w:val="auto"/>
              </w:rPr>
            </w:pPr>
            <w:r>
              <w:rPr>
                <w:rFonts w:ascii="Arial" w:cs="Arial" w:eastAsia="Arial" w:hAnsi="Arial"/>
                <w:sz w:val="14"/>
                <w:szCs w:val="14"/>
                <w:color w:val="58595B"/>
              </w:rPr>
              <w:t>9</w:t>
            </w:r>
          </w:p>
        </w:tc>
      </w:tr>
      <w:tr>
        <w:trPr>
          <w:trHeight w:val="223"/>
        </w:trPr>
        <w:tc>
          <w:tcPr>
            <w:tcW w:w="85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Total Fees</w:t>
            </w:r>
          </w:p>
        </w:tc>
        <w:tc>
          <w:tcPr>
            <w:tcW w:w="280" w:type="dxa"/>
            <w:vAlign w:val="bottom"/>
            <w:tcBorders>
              <w:bottom w:val="single" w:sz="8" w:color="58595B"/>
            </w:tcBorders>
          </w:tcPr>
          <w:p>
            <w:pPr>
              <w:jc w:val="right"/>
              <w:ind w:right="108"/>
              <w:spacing w:after="0"/>
              <w:rPr>
                <w:sz w:val="20"/>
                <w:szCs w:val="20"/>
                <w:color w:val="auto"/>
              </w:rPr>
            </w:pPr>
            <w:r>
              <w:rPr>
                <w:rFonts w:ascii="Arial" w:cs="Arial" w:eastAsia="Arial" w:hAnsi="Arial"/>
                <w:sz w:val="14"/>
                <w:szCs w:val="14"/>
                <w:color w:val="58595B"/>
              </w:rPr>
              <w:t>$</w:t>
            </w:r>
          </w:p>
        </w:tc>
        <w:tc>
          <w:tcPr>
            <w:tcW w:w="1040" w:type="dxa"/>
            <w:vAlign w:val="bottom"/>
            <w:tcBorders>
              <w:bottom w:val="single" w:sz="8" w:color="58595B"/>
            </w:tcBorders>
          </w:tcPr>
          <w:p>
            <w:pPr>
              <w:jc w:val="right"/>
              <w:ind w:right="28"/>
              <w:spacing w:after="0"/>
              <w:rPr>
                <w:sz w:val="20"/>
                <w:szCs w:val="20"/>
                <w:color w:val="auto"/>
              </w:rPr>
            </w:pPr>
            <w:r>
              <w:rPr>
                <w:rFonts w:ascii="Arial" w:cs="Arial" w:eastAsia="Arial" w:hAnsi="Arial"/>
                <w:sz w:val="14"/>
                <w:szCs w:val="14"/>
                <w:color w:val="58595B"/>
              </w:rPr>
              <w:t>4,708</w:t>
            </w:r>
          </w:p>
        </w:tc>
        <w:tc>
          <w:tcPr>
            <w:tcW w:w="540" w:type="dxa"/>
            <w:vAlign w:val="bottom"/>
            <w:tcBorders>
              <w:bottom w:val="single" w:sz="8" w:color="58595B"/>
            </w:tcBorders>
          </w:tcPr>
          <w:p>
            <w:pPr>
              <w:jc w:val="right"/>
              <w:ind w:right="308"/>
              <w:spacing w:after="0"/>
              <w:rPr>
                <w:sz w:val="20"/>
                <w:szCs w:val="20"/>
                <w:color w:val="auto"/>
              </w:rPr>
            </w:pPr>
            <w:r>
              <w:rPr>
                <w:rFonts w:ascii="Arial" w:cs="Arial" w:eastAsia="Arial" w:hAnsi="Arial"/>
                <w:sz w:val="14"/>
                <w:szCs w:val="14"/>
                <w:color w:val="58595B"/>
              </w:rPr>
              <w:t>$</w:t>
            </w:r>
          </w:p>
        </w:tc>
        <w:tc>
          <w:tcPr>
            <w:tcW w:w="820" w:type="dxa"/>
            <w:vAlign w:val="bottom"/>
            <w:tcBorders>
              <w:bottom w:val="single" w:sz="8" w:color="58595B"/>
            </w:tcBorders>
          </w:tcPr>
          <w:p>
            <w:pPr>
              <w:jc w:val="right"/>
              <w:spacing w:after="0"/>
              <w:rPr>
                <w:sz w:val="20"/>
                <w:szCs w:val="20"/>
                <w:color w:val="auto"/>
              </w:rPr>
            </w:pPr>
            <w:r>
              <w:rPr>
                <w:rFonts w:ascii="Arial" w:cs="Arial" w:eastAsia="Arial" w:hAnsi="Arial"/>
                <w:sz w:val="14"/>
                <w:szCs w:val="14"/>
                <w:color w:val="58595B"/>
              </w:rPr>
              <w:t>3,971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-1216660</wp:posOffset>
            </wp:positionV>
            <wp:extent cx="17056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58595B"/>
        </w:rPr>
        <w:t>The nature of the services provided in each of the categories listed above is described below:</w:t>
      </w:r>
    </w:p>
    <w:p>
      <w:pPr>
        <w:spacing w:after="0" w:line="22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58595B"/>
        </w:rPr>
        <w:t xml:space="preserve">Audit Fees </w:t>
      </w:r>
      <w:r>
        <w:rPr>
          <w:rFonts w:ascii="Arial" w:cs="Arial" w:eastAsia="Arial" w:hAnsi="Arial"/>
          <w:sz w:val="16"/>
          <w:szCs w:val="16"/>
          <w:color w:val="58595B"/>
        </w:rPr>
        <w:t>— Consists of professional services rendered for the integrated audit of the consolidated financial statements of the Company, quarterly reviews,</w:t>
      </w:r>
      <w:r>
        <w:rPr>
          <w:rFonts w:ascii="Arial" w:cs="Arial" w:eastAsia="Arial" w:hAnsi="Arial"/>
          <w:sz w:val="16"/>
          <w:szCs w:val="16"/>
          <w:i w:val="1"/>
          <w:iCs w:val="1"/>
          <w:color w:val="58595B"/>
        </w:rPr>
        <w:t xml:space="preserve"> </w:t>
      </w:r>
      <w:r>
        <w:rPr>
          <w:rFonts w:ascii="Arial" w:cs="Arial" w:eastAsia="Arial" w:hAnsi="Arial"/>
          <w:sz w:val="16"/>
          <w:szCs w:val="16"/>
          <w:color w:val="58595B"/>
        </w:rPr>
        <w:t>statutory audits, comfort letters, non-recurring audit work, transaction related work, consents and review of documents filed with the Securities and Exchange Commission.</w:t>
      </w:r>
    </w:p>
    <w:p>
      <w:pPr>
        <w:spacing w:after="0" w:line="110"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i w:val="1"/>
          <w:iCs w:val="1"/>
          <w:color w:val="58595B"/>
        </w:rPr>
        <w:t xml:space="preserve">Audit-Related Fees </w:t>
      </w:r>
      <w:r>
        <w:rPr>
          <w:rFonts w:ascii="Arial" w:cs="Arial" w:eastAsia="Arial" w:hAnsi="Arial"/>
          <w:sz w:val="16"/>
          <w:szCs w:val="16"/>
          <w:color w:val="58595B"/>
        </w:rPr>
        <w:t>— Consists of services related to accounting consultations in connection with acquisitions and divestitures, consultations concerning</w:t>
      </w:r>
      <w:r>
        <w:rPr>
          <w:rFonts w:ascii="Arial" w:cs="Arial" w:eastAsia="Arial" w:hAnsi="Arial"/>
          <w:sz w:val="16"/>
          <w:szCs w:val="16"/>
          <w:i w:val="1"/>
          <w:iCs w:val="1"/>
          <w:color w:val="58595B"/>
        </w:rPr>
        <w:t xml:space="preserve"> </w:t>
      </w:r>
      <w:r>
        <w:rPr>
          <w:rFonts w:ascii="Arial" w:cs="Arial" w:eastAsia="Arial" w:hAnsi="Arial"/>
          <w:sz w:val="16"/>
          <w:szCs w:val="16"/>
          <w:color w:val="58595B"/>
        </w:rPr>
        <w:t>financial accounting and reporting standards, and statutory related filing requirements due to tax restructuring projects.</w:t>
      </w:r>
    </w:p>
    <w:p>
      <w:pPr>
        <w:spacing w:after="0" w:line="115"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i w:val="1"/>
          <w:iCs w:val="1"/>
          <w:color w:val="58595B"/>
        </w:rPr>
        <w:t xml:space="preserve">Tax Fees </w:t>
      </w:r>
      <w:r>
        <w:rPr>
          <w:rFonts w:ascii="Arial" w:cs="Arial" w:eastAsia="Arial" w:hAnsi="Arial"/>
          <w:sz w:val="16"/>
          <w:szCs w:val="16"/>
          <w:color w:val="58595B"/>
        </w:rPr>
        <w:t>— Consists of tax compliance (review of corporate tax returns, assistance with tax audits and review of the tax treatment for certain expenses),</w:t>
      </w:r>
      <w:r>
        <w:rPr>
          <w:rFonts w:ascii="Arial" w:cs="Arial" w:eastAsia="Arial" w:hAnsi="Arial"/>
          <w:sz w:val="16"/>
          <w:szCs w:val="16"/>
          <w:i w:val="1"/>
          <w:iCs w:val="1"/>
          <w:color w:val="58595B"/>
        </w:rPr>
        <w:t xml:space="preserve"> </w:t>
      </w:r>
      <w:r>
        <w:rPr>
          <w:rFonts w:ascii="Arial" w:cs="Arial" w:eastAsia="Arial" w:hAnsi="Arial"/>
          <w:sz w:val="16"/>
          <w:szCs w:val="16"/>
          <w:color w:val="58595B"/>
        </w:rPr>
        <w:t>global restructuring tax consultation services, and state, local and international tax planning and consultations with respect to various domestic and international tax planning matters.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color w:val="009845"/>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 xml:space="preserve">All Other Fees </w:t>
      </w:r>
      <w:r>
        <w:rPr>
          <w:rFonts w:ascii="Arial" w:cs="Arial" w:eastAsia="Arial" w:hAnsi="Arial"/>
          <w:sz w:val="16"/>
          <w:szCs w:val="16"/>
          <w:color w:val="58595B"/>
        </w:rPr>
        <w:t>— Consists of advisory services, divestiture support services and the licensing of accounting research software.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58595B"/>
        </w:rPr>
        <w:t>No other fees were incurred to PricewaterhouseCoopers LLP during 2022 or 2023.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8595B"/>
        </w:rPr>
        <w:t>The Audit Committee pre-approved all services and fees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Pre-Approval of Audit and Non-Audit Services</w:t>
      </w:r>
    </w:p>
    <w:p>
      <w:pPr>
        <w:spacing w:after="0" w:line="72" w:lineRule="exact"/>
        <w:rPr>
          <w:sz w:val="20"/>
          <w:szCs w:val="20"/>
          <w:color w:val="auto"/>
        </w:rPr>
      </w:pPr>
    </w:p>
    <w:p>
      <w:pPr>
        <w:ind w:right="200"/>
        <w:spacing w:after="0" w:line="356" w:lineRule="auto"/>
        <w:rPr>
          <w:sz w:val="20"/>
          <w:szCs w:val="20"/>
          <w:color w:val="auto"/>
        </w:rPr>
      </w:pPr>
      <w:r>
        <w:rPr>
          <w:rFonts w:ascii="Arial" w:cs="Arial" w:eastAsia="Arial" w:hAnsi="Arial"/>
          <w:sz w:val="16"/>
          <w:szCs w:val="16"/>
          <w:color w:val="58595B"/>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89"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58595B"/>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51"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58595B"/>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113"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color w:val="58595B"/>
        </w:rPr>
        <w:t>The Audit Committee has determined that the rendering of the services other than audit services by PricewaterhouseCoopers LLP is compatible with maintaining PricewaterhouseCoopers LLP’s independence.</w:t>
      </w:r>
    </w:p>
    <w:p>
      <w:pPr>
        <w:spacing w:after="0" w:line="115"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58595B"/>
        </w:rPr>
        <w:t>Representatives of PricewaterhouseCoopers LLP are expected to be present at the Annual Meeting and will be allowed to make a statement. Additionally, they will be available to respond to appropriate questions from stockholders during the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72"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is required to ratify the appointment of PricewaterhouseCoopers LLP as the Company’s independent registered public accounting firm for the fiscal year 2024. Abstentions will have the effect of a vote against this proposal. Broker non-votes will not occur in connection with this proposal because brokers, banks, trustees and other nominees have discretionary voting authority to vote shares on the ratification of independent registered public accounting firms under stock exchange rules without specific instructions from the beneficial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172720</wp:posOffset>
            </wp:positionV>
            <wp:extent cx="94615" cy="7454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4615" cy="745490"/>
                    </a:xfrm>
                    <a:prstGeom prst="rect">
                      <a:avLst/>
                    </a:prstGeom>
                    <a:noFill/>
                  </pic:spPr>
                </pic:pic>
              </a:graphicData>
            </a:graphic>
          </wp:anchor>
        </w:drawing>
      </w:r>
    </w:p>
    <w:p>
      <w:pPr>
        <w:spacing w:after="0" w:line="266" w:lineRule="exact"/>
        <w:rPr>
          <w:sz w:val="20"/>
          <w:szCs w:val="20"/>
          <w:color w:val="auto"/>
        </w:rPr>
      </w:pPr>
    </w:p>
    <w:p>
      <w:pPr>
        <w:ind w:left="1400"/>
        <w:spacing w:after="0" w:line="274" w:lineRule="auto"/>
        <w:rPr>
          <w:sz w:val="20"/>
          <w:szCs w:val="20"/>
          <w:color w:val="auto"/>
        </w:rPr>
      </w:pPr>
      <w:r>
        <w:rPr>
          <w:rFonts w:ascii="Arial" w:cs="Arial" w:eastAsia="Arial" w:hAnsi="Arial"/>
          <w:sz w:val="22"/>
          <w:szCs w:val="22"/>
          <w:color w:val="58595B"/>
        </w:rPr>
        <w:t xml:space="preserve">The Audit Committee of the Board of Directors has adopted a resolution approving the appointment of PricewaterhouseCoopers LLP. The Board of Directors hereby recommends that the stockholders of the Company vote </w:t>
      </w:r>
      <w:r>
        <w:rPr>
          <w:rFonts w:ascii="Arial" w:cs="Arial" w:eastAsia="Arial" w:hAnsi="Arial"/>
          <w:sz w:val="22"/>
          <w:szCs w:val="22"/>
          <w:color w:val="009845"/>
        </w:rPr>
        <w:t>“FOR”</w:t>
      </w:r>
      <w:r>
        <w:rPr>
          <w:rFonts w:ascii="Arial" w:cs="Arial" w:eastAsia="Arial" w:hAnsi="Arial"/>
          <w:sz w:val="22"/>
          <w:szCs w:val="22"/>
          <w:color w:val="58595B"/>
        </w:rPr>
        <w:t xml:space="preserve"> ratification of the appointment of PricewaterhouseCoopers LLP as the Company’s independent registered public accounting firm for fiscal year 2024.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36"/>
          <w:szCs w:val="36"/>
          <w:color w:val="009845"/>
        </w:rPr>
        <w:t>AUDIT COMMITTEE REPORT</w:t>
      </w:r>
    </w:p>
    <w:p>
      <w:pPr>
        <w:spacing w:after="0" w:line="200" w:lineRule="exact"/>
        <w:rPr>
          <w:sz w:val="20"/>
          <w:szCs w:val="20"/>
          <w:color w:val="auto"/>
        </w:rPr>
      </w:pPr>
    </w:p>
    <w:p>
      <w:pPr>
        <w:spacing w:after="0" w:line="220"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58595B"/>
        </w:rPr>
        <w:t>The following report of the Audit Committee is required by the rules of the SEC to be included in this proxy statement. This report shall not be deemed incorporated by reference into any filing under the Securities Act of 1933, as amended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32"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The purpose of the Audit Committee is to oversee the Company’s accounting and financial reporting process and the audits of the Company’s financial statements. The Audit Committee operates pursuant to the Audit Committee Charter that the Board amended and restated on December 13, 2022, a copy of which is available on the Company’s website.</w:t>
      </w:r>
    </w:p>
    <w:p>
      <w:pPr>
        <w:spacing w:after="0" w:line="130"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color w:val="58595B"/>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122"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2023. The Audit Committee has also discussed with the independent registered public accounting firm the matters required to be discussed by the applicable requirements of the Public Company Accounting Oversight Board and the SEC.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14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58595B"/>
        </w:rPr>
        <w:t>Based upon the review and discussions referred to above, the Audit Committee recommended to the Board that the audited financial statements of the Company for the fiscal year ended December 31, 2023 be included in the Company’s Annual Report on Form 10-K for such fiscal year, as filed with the SEC on February 28, 2024.</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CHRISTIAN S. SCHADE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SHAUNDRA D. CLAY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RAYMOND G. MURPHY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77</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2" w:name="page83"/>
    <w:bookmarkEnd w:id="82"/>
    <w:p>
      <w:pPr>
        <w:ind w:right="1620"/>
        <w:spacing w:after="0" w:line="287" w:lineRule="auto"/>
        <w:rPr>
          <w:sz w:val="20"/>
          <w:szCs w:val="20"/>
          <w:color w:val="auto"/>
        </w:rPr>
      </w:pPr>
      <w:r>
        <w:rPr>
          <w:rFonts w:ascii="Arial" w:cs="Arial" w:eastAsia="Arial" w:hAnsi="Arial"/>
          <w:sz w:val="36"/>
          <w:szCs w:val="36"/>
          <w:color w:val="009845"/>
        </w:rPr>
        <w:t>PROPOSAL 3. ADVISORY VOTE ON NAMED EXECUTIVE OFFICER COMPENSATION</w:t>
      </w:r>
    </w:p>
    <w:p>
      <w:pPr>
        <w:spacing w:after="0" w:line="276"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We are seeking our stockholders’ vote, as required by Section 14A of the Exchange Act, to approve, on a non-binding, advisory basis, the compensation of our named executive officers (“NEOs”), as disclosed pursuant to Item 402 of Regulation S-K in the Compensation Discussion and Analysis (“CD&amp;A”), tabular disclosures and related narrative of this proxy statement. As described in the CD&amp;A, our executive compensation programs are carefully designed by the Compensation Committee to attract, retain and motivate our talented executives, with a focus on delivering business results and value to our stockholders and other stakeholders. Under these programs, we provide our NEOs with appropriate objectives and incentives to achieve our business goals while aligning with stockholders’ interest.</w:t>
      </w:r>
    </w:p>
    <w:p>
      <w:pPr>
        <w:spacing w:after="0" w:line="122"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The compensation awarded to our CEO and other NEOs for 2023 recognizes the financial, operational and overall performance of the Company. We encourage stockholders to read the CD&amp;A, which describes how our executive compensation policies and procedures operate and are designed to achieve our compensation objectives, as well as the Summary Compensation Table and other related compensation tables and narratives, which provide detailed information on the compensation of our NEOs.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Compensation Committee and the Board believe that the policies and procedures articulated in the CD&amp;A are effective in achieving our goals and that the compensation of our NEOs reported in this proxy statement contributes to the Company’s long-term success.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8595B"/>
        </w:rPr>
        <w:t>We ask our stockholders to vote “FOR” the following advisory resolution at the Annual Meeting:</w:t>
      </w:r>
    </w:p>
    <w:p>
      <w:pPr>
        <w:spacing w:after="0" w:line="22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58595B"/>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130"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58595B"/>
        </w:rPr>
        <w:t>Because the Say-on-Pay vote is advisory, it will not bind the Company, the Compensation Committee or our Board. That said, because we value the opinions of our stockholders, the Compensation Committee will review the voting results and take them into consideration when making future decisions regarding executive compensation.</w:t>
      </w:r>
    </w:p>
    <w:p>
      <w:pPr>
        <w:spacing w:after="0" w:line="130" w:lineRule="exact"/>
        <w:rPr>
          <w:sz w:val="20"/>
          <w:szCs w:val="20"/>
          <w:color w:val="auto"/>
        </w:rPr>
      </w:pPr>
    </w:p>
    <w:p>
      <w:pPr>
        <w:ind w:right="340"/>
        <w:spacing w:after="0" w:line="328" w:lineRule="auto"/>
        <w:rPr>
          <w:sz w:val="20"/>
          <w:szCs w:val="20"/>
          <w:color w:val="auto"/>
        </w:rPr>
      </w:pPr>
      <w:r>
        <w:rPr>
          <w:rFonts w:ascii="Arial" w:cs="Arial" w:eastAsia="Arial" w:hAnsi="Arial"/>
          <w:sz w:val="16"/>
          <w:szCs w:val="16"/>
          <w:color w:val="58595B"/>
        </w:rPr>
        <w:t>With regard to the frequency of future votes on Say-on-Pay, the Board has determined it will submit a Say-on-Pay proposal to our stockholders annually. Therefore, we expect the next stockholder vote to approve the compensation of our named executive officers to occur at the Company’s 2025 annual meeting of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Advisory Approval and Recommendation of the Board of Directors</w:t>
      </w:r>
    </w:p>
    <w:p>
      <w:pPr>
        <w:spacing w:after="0" w:line="72" w:lineRule="exact"/>
        <w:rPr>
          <w:sz w:val="20"/>
          <w:szCs w:val="20"/>
          <w:color w:val="auto"/>
        </w:rPr>
      </w:pPr>
    </w:p>
    <w:p>
      <w:pPr>
        <w:jc w:val="both"/>
        <w:ind w:right="100"/>
        <w:spacing w:after="0" w:line="328"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advisory approval of this proposal. Abstentions will have the effect of a vote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155575</wp:posOffset>
            </wp:positionV>
            <wp:extent cx="94615" cy="5657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239" w:lineRule="exact"/>
        <w:rPr>
          <w:sz w:val="20"/>
          <w:szCs w:val="20"/>
          <w:color w:val="auto"/>
        </w:rPr>
      </w:pPr>
    </w:p>
    <w:p>
      <w:pPr>
        <w:ind w:left="1400" w:right="380"/>
        <w:spacing w:after="0" w:line="283" w:lineRule="auto"/>
        <w:rPr>
          <w:sz w:val="20"/>
          <w:szCs w:val="20"/>
          <w:color w:val="auto"/>
        </w:rPr>
      </w:pPr>
      <w:r>
        <w:rPr>
          <w:rFonts w:ascii="Arial" w:cs="Arial" w:eastAsia="Arial" w:hAnsi="Arial"/>
          <w:sz w:val="22"/>
          <w:szCs w:val="22"/>
          <w:color w:val="58595B"/>
        </w:rPr>
        <w:t xml:space="preserve">The Board of Directors hereby recommends a vote </w:t>
      </w:r>
      <w:r>
        <w:rPr>
          <w:rFonts w:ascii="Arial" w:cs="Arial" w:eastAsia="Arial" w:hAnsi="Arial"/>
          <w:sz w:val="22"/>
          <w:szCs w:val="22"/>
          <w:color w:val="009845"/>
        </w:rPr>
        <w:t>“FOR”</w:t>
      </w:r>
      <w:r>
        <w:rPr>
          <w:rFonts w:ascii="Arial" w:cs="Arial" w:eastAsia="Arial" w:hAnsi="Arial"/>
          <w:sz w:val="22"/>
          <w:szCs w:val="22"/>
          <w:color w:val="58595B"/>
        </w:rPr>
        <w:t xml:space="preserve"> the advisory resolution set forth in this Proposal 3, approving the compensation of our named executive officers, as disclosed in this proxy statement.</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78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83" w:name="page84"/>
    <w:bookmarkEnd w:id="83"/>
    <w:p>
      <w:pPr>
        <w:ind w:right="300"/>
        <w:spacing w:after="0" w:line="259" w:lineRule="auto"/>
        <w:rPr>
          <w:sz w:val="20"/>
          <w:szCs w:val="20"/>
          <w:color w:val="auto"/>
        </w:rPr>
      </w:pPr>
      <w:r>
        <w:rPr>
          <w:rFonts w:ascii="Arial" w:cs="Arial" w:eastAsia="Arial" w:hAnsi="Arial"/>
          <w:sz w:val="36"/>
          <w:szCs w:val="36"/>
          <w:color w:val="009845"/>
        </w:rPr>
        <w:t>Proposal 4. Approval of an Amendment to the Integra LifeSciences Holdings Corporation Amended and Restated Certificate of Incorporation, as amended, to Limit the Liability of Certain Officers of the Company as Permitted by Recent Amendments to the General Corporation Law of the State of Delaware</w:t>
      </w:r>
    </w:p>
    <w:p>
      <w:pPr>
        <w:spacing w:after="0" w:line="328"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color w:val="58595B"/>
        </w:rPr>
        <w:t>Article SEVENTH of our Amended and Restated Certificate of Incorporation, as amended (the "Charter"), currently provides for the Company to limit the monetary liability of directors in certain circumstances consistent with Section 102(b)(7) of the Delaware General Corporation Law (“DGCL”).</w:t>
      </w:r>
    </w:p>
    <w:p>
      <w:pPr>
        <w:spacing w:after="0" w:line="115"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58595B"/>
        </w:rPr>
        <w:t>In August 2022, Section 102(b)(7) of the DGCL was amended to authorize exculpation of officers of Delaware corporations. Pursuant to this amendment, Delaware corporations can now exculpate their officers, in addition to their directors, for personal liability for breach of the duty of care in certain actions. The amendment does not allow for the exculpation of officers from liability for breach of the duty of loyalty, acts or omissions not in good faith or that involve intentional misconduct or a knowing violation of law, or any transaction in which the officer derived an improper personal benefit. The amendment does not allow for exculpation of such officers from liability for claims brought by or in the right of the company, such as derivative claims.</w:t>
      </w:r>
    </w:p>
    <w:p>
      <w:pPr>
        <w:spacing w:after="0" w:line="13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58595B"/>
        </w:rPr>
        <w:t>The proposed Amendment to our Charter (the "Proposed Amendment") would authorize the exculpation of officers for personal liability for breach of the duty of care in certain actions as permitted by Section 102(b)(7) of the DGCL. Pursuant to Section 102(b)(7) of the DGCL, the Proposed Amendment would only permit the exculpation of certain officers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In addition, as is currently the case with directors under our Charter, the Proposed Amendment would not limit the liability of officers for any breach of the duty of loyalty to the corporation or its stockholders, any acts or omissions not in good faith or which involve intentional misconduct or a knowing violation of the law, or any transaction from which the officer derived an improper personal benefit. Article SEVENTH of our Charter currently allows for the exculpation of directors, but does not include language that allows for the exculpation of officers.</w:t>
      </w:r>
    </w:p>
    <w:p>
      <w:pPr>
        <w:spacing w:after="0" w:line="125"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58595B"/>
        </w:rPr>
        <w:t>The Board believes it is necessary to provide protection to officers to the fullest extent permitted by law in order to attract and retain top talent. The Board believes it is important to provide protection from certain liabilities because without such protection, qualified officers might be deterred from serving as officers due to exposure to personal liability. This protection has long been afforded to directors. The Board balanced these considerations with our corporate governance guidelines and determined that it is in the best interests of the Company and its stockholders to amend the current exculpation and liability provisions in Article SEVENTH of our Charter to extend exculpation protection to our officers in addition to our directors.</w:t>
      </w:r>
    </w:p>
    <w:p>
      <w:pPr>
        <w:spacing w:after="0" w:line="137"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58595B"/>
        </w:rPr>
        <w:t>If our stockholders approve this Proposal No. 4, we expect to file a certificate of amendment with the Delaware Secretary of State to limit the liability of certain officers of the Company as permitted by recent amendments to the DGCL. The general description of the Proposed Amendment set forth above is qualified in its entirety by reference to the full text of the Proposed Amendment as set forth in Appendix B to this Proxy Statement.</w:t>
      </w:r>
    </w:p>
    <w:p>
      <w:pPr>
        <w:spacing w:after="0" w:line="110" w:lineRule="exact"/>
        <w:rPr>
          <w:sz w:val="20"/>
          <w:szCs w:val="20"/>
          <w:color w:val="auto"/>
        </w:rPr>
      </w:pPr>
    </w:p>
    <w:p>
      <w:pPr>
        <w:ind w:right="380"/>
        <w:spacing w:after="0" w:line="328" w:lineRule="auto"/>
        <w:rPr>
          <w:sz w:val="20"/>
          <w:szCs w:val="20"/>
          <w:color w:val="auto"/>
        </w:rPr>
      </w:pPr>
      <w:r>
        <w:rPr>
          <w:rFonts w:ascii="Arial" w:cs="Arial" w:eastAsia="Arial" w:hAnsi="Arial"/>
          <w:sz w:val="16"/>
          <w:szCs w:val="16"/>
          <w:color w:val="58595B"/>
        </w:rPr>
        <w:t>Approval of the Proposed Amendment will require the affirmative vote of the holders of a majority of the outstanding shares entitled to vote thereon. Abstentions are counted toward the tabulation of votes on this proposal and will have the same effect as an against vote. Broker non-votes will have the effect of an against vote on the outcome of this proposal.</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79</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color w:val="009845"/>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If this Proposal No. 4 is approved by our stockholders, all other sections of our Charter would be maintained in their current form. The Proposed Amendment would become effective upon the filing of a Certificate of Amendment to our Charter with the Secretary of State of the State of Delaware, which we intend to do promptly after the Annual Meeting if this Proposal No. 4 is approved by our stockholders. In the event that the amendment is not approved by our stockholders at the Annual Meeting, the current Charter would remain in effect in its entirety. Our Board reserves the right, notwithstanding stockholder approval of the amendment and without further action by our stockholders, not to proceed with the amendment at any time before it becomes effective.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72"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color w:val="58595B"/>
        </w:rPr>
        <w:t>The affirmative vote of the holders of a majority of the outstanding shares entitled to vote thereon is required for approval of this proposal. Abstentions will have the effect of a vote against this proposal. Broker non-votes will have the effect of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73660</wp:posOffset>
            </wp:positionV>
            <wp:extent cx="94615" cy="5657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4615" cy="565785"/>
                    </a:xfrm>
                    <a:prstGeom prst="rect">
                      <a:avLst/>
                    </a:prstGeom>
                    <a:noFill/>
                  </pic:spPr>
                </pic:pic>
              </a:graphicData>
            </a:graphic>
          </wp:anchor>
        </w:drawing>
      </w:r>
    </w:p>
    <w:p>
      <w:pPr>
        <w:spacing w:after="0" w:line="110" w:lineRule="exact"/>
        <w:rPr>
          <w:sz w:val="20"/>
          <w:szCs w:val="20"/>
          <w:color w:val="auto"/>
        </w:rPr>
      </w:pPr>
    </w:p>
    <w:p>
      <w:pPr>
        <w:ind w:left="1400" w:right="40"/>
        <w:spacing w:after="0" w:line="283" w:lineRule="auto"/>
        <w:rPr>
          <w:sz w:val="20"/>
          <w:szCs w:val="20"/>
          <w:color w:val="auto"/>
        </w:rPr>
      </w:pPr>
      <w:r>
        <w:rPr>
          <w:rFonts w:ascii="Arial" w:cs="Arial" w:eastAsia="Arial" w:hAnsi="Arial"/>
          <w:sz w:val="22"/>
          <w:szCs w:val="22"/>
          <w:color w:val="58595B"/>
        </w:rPr>
        <w:t xml:space="preserve">The Board of Directors hereby recommends that stockholders vote </w:t>
      </w:r>
      <w:r>
        <w:rPr>
          <w:rFonts w:ascii="Arial" w:cs="Arial" w:eastAsia="Arial" w:hAnsi="Arial"/>
          <w:sz w:val="22"/>
          <w:szCs w:val="22"/>
          <w:color w:val="009845"/>
        </w:rPr>
        <w:t>"FOR"</w:t>
      </w:r>
      <w:r>
        <w:rPr>
          <w:rFonts w:ascii="Arial" w:cs="Arial" w:eastAsia="Arial" w:hAnsi="Arial"/>
          <w:sz w:val="22"/>
          <w:szCs w:val="22"/>
          <w:color w:val="58595B"/>
        </w:rPr>
        <w:t xml:space="preserve"> the approval of an amendment to our Charter to limit the liability of certain officers of the Company as permitted by recent amendments to the General Corporation Law of the State of Delaware.</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ind w:right="120"/>
        <w:spacing w:after="0" w:line="268" w:lineRule="auto"/>
        <w:rPr>
          <w:sz w:val="20"/>
          <w:szCs w:val="20"/>
          <w:color w:val="auto"/>
        </w:rPr>
      </w:pPr>
      <w:r>
        <w:rPr>
          <w:rFonts w:ascii="Arial" w:cs="Arial" w:eastAsia="Arial" w:hAnsi="Arial"/>
          <w:sz w:val="36"/>
          <w:szCs w:val="36"/>
          <w:color w:val="009845"/>
        </w:rPr>
        <w:t>Proposal 5. Approval of Amendment No. 1 to the Integra LifeSciences Holdings Corporation Fifth Amended and Restated 2003 Equity Incentive Plan</w:t>
      </w:r>
    </w:p>
    <w:p>
      <w:pPr>
        <w:spacing w:after="0" w:line="311"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On March 22, 2024, the Compensation Committee and the Board of Directors, respectively, authorized and approved an amendment to the Integra LifeSciences Fifth Amended and Restated 2003 Equity Incentive Plan (the “Plan”) to (i) increase the number of shares of common stock available for awards under the Plan by 1,900,000 shares (the "Share Increase Amendment") and (ii) remove a provision in the Plan which permits shares withheld for taxes with respect to an award to continue to be available for issuance under the Plan (the "Share Availability Amendment," and, together with the Share Increase Amendment, "Amendment No. 1 to the Plan").</w:t>
      </w:r>
    </w:p>
    <w:p>
      <w:pPr>
        <w:spacing w:after="0" w:line="118" w:lineRule="exact"/>
        <w:rPr>
          <w:sz w:val="20"/>
          <w:szCs w:val="20"/>
          <w:color w:val="auto"/>
        </w:rPr>
      </w:pPr>
    </w:p>
    <w:p>
      <w:pPr>
        <w:ind w:right="140"/>
        <w:spacing w:after="0" w:line="318" w:lineRule="auto"/>
        <w:rPr>
          <w:sz w:val="20"/>
          <w:szCs w:val="20"/>
          <w:color w:val="auto"/>
        </w:rPr>
      </w:pPr>
      <w:r>
        <w:rPr>
          <w:rFonts w:ascii="Arial" w:cs="Arial" w:eastAsia="Arial" w:hAnsi="Arial"/>
          <w:sz w:val="16"/>
          <w:szCs w:val="16"/>
          <w:color w:val="58595B"/>
        </w:rPr>
        <w:t>The Plan was initially authorized and approved by the Board in April 2021 and approved by the stockholders in May 2021, with an initial authorization of up to 16,600,000 shares of common stock reserved under the Plan. We are seeking stockholder approval to amend the Plan to increase the number of shares of our common stock available for issuance under the Plan by 1,900,000 shares so the Company can continue to provide equity-based compensation as approved by the Compensation Committee.</w:t>
      </w:r>
    </w:p>
    <w:p>
      <w:pPr>
        <w:spacing w:after="0" w:line="132"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58595B"/>
        </w:rPr>
        <w:t>If our shareholders do not approve Amendment No. 1 to the Plan, then the 1,900,000 additional shares requested will not become available for issuance under the Plan, the Share Availability Amendment will not become operative and the Plan will remain in effect in accordance with its terms and will continue to be administered in its current form until such time as the shares available for issuance thereunder have been depleted (or its expiration, whichever occurs first). Based on historical and current grant practices, we anticipate that there will not be sufficient shares available under the Plan for continued equity awards to our employees and non-employee directors over the next few years if our stockholders do not approve Amendment No. 1 to the Plan. This would place us at a severe competitive disadvantage by severely restricting our ability to offer equity incentives to motivate, attract, and retain our employees. We also could be forced to replace equity incentive awards with cash compensation, which may not align the interests of our executives and employees with those of our stockholders as effectively as equity incentive awards, would reduce resources available to meet our business needs, and may potentially lead to increased indebtedness or loss of needed financial flexibility. In such event, the Compensation Committee will be required to revise its compensation philosophy and will need to consider whether to adopt alternative compensation arrangements based on its assessment of our needs. We believe that the proposed share pool increase to the Stock Plan is reasonable, appropriate, and in the best interests of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Reasons for the Plan Amendments</w:t>
      </w:r>
    </w:p>
    <w:p>
      <w:pPr>
        <w:spacing w:after="0" w:line="72"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58595B"/>
        </w:rPr>
        <w:t>We are seeking stockholder approval of Amendment No. 1 to the Plan to (i) increase the number of shares of common stock issuable pursuant to the Plan by 1,900,000 shares and (ii) remove a provision in the Plan which permits shares withheld for taxes with respect to an award to continue to be available for issuance under the Plan. As of March 13, 2024, there were 1,697,176 shares remaining available for issuance under future awards to be made under the Plan. As noted above, if our shareholders do not approve Amendment No. 1 to the Plan, we anticipate that there will not be sufficient shares available under the Plan for continued equity awards to our employees and non-employee directors over the next few years. This would result in the loss of an important compensation tool aligned with stockholder interests to attract, motivate and retain highly qualified talent.</w:t>
      </w:r>
    </w:p>
    <w:p>
      <w:pPr>
        <w:spacing w:after="0" w:line="12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We recognize the dilutive impact of our equity compensation program on our stockholders and continuously strive to balance this concern with the competition for talent in the competitive business environment and talent market, as well as the current market conditions, in which we operate. In determining the appropriate number of shares to request and add to the pool of shares available for issuance pursuant to Amendment No. 1 to the Plan, our Board and the Compensation Committee worked with management and an independent compensation consultant to evaluate a number of factors, and carefully considered (i) the potential dilutive impact on stockholders, (ii) our historical run rate and overhang, (iii) the number of shares remaining available under the Plan, (iv) forecasted grants, (v) the realities of equity awards being a key component of designing competitive compensation packages necessary for attracting and retaining key talent in a competitive medical devices marketplace, (vi) our strategic growth plans, and (vii) the interests of our stockholders.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40"/>
        <w:spacing w:after="0" w:line="328" w:lineRule="auto"/>
        <w:rPr>
          <w:sz w:val="20"/>
          <w:szCs w:val="20"/>
          <w:color w:val="auto"/>
        </w:rPr>
      </w:pPr>
      <w:r>
        <w:rPr>
          <w:rFonts w:ascii="Arial" w:cs="Arial" w:eastAsia="Arial" w:hAnsi="Arial"/>
          <w:sz w:val="16"/>
          <w:szCs w:val="16"/>
          <w:color w:val="58595B"/>
        </w:rPr>
        <w:t>We anticipate the additional shares requested under Amendment No. 1 to the Plan, plus the remaining shares that are available for issuance under the Plan, to be sufficient for a period of two to three years, with an anticipated annual run rate of approximately 1%, assuming we continue to grant awards consistent with our current practices and historical run rate.</w:t>
      </w:r>
    </w:p>
    <w:p>
      <w:pPr>
        <w:spacing w:after="0" w:line="1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58595B"/>
        </w:rPr>
        <w:t>The Plan is designed to attract and retain non-employee directors and employees and reward them for making contributions to the success of the Company and its subsidiaries. These objectives are to be accomplished by making awards under the Plan and thereby providing participants with a proprietary interest in the growth and performance of the Company and align a portion of their compensation with the stockholders. Stockholder approval of this proposal will enable us to continue to grant equity awards to our employees and non-employee directors at levels determined by the Board to be necessary to attract, retain and motivate the individuals who will be critical to our success in achieving our business objectives and thereby creating greater value for our stockholders. In addition to the crucial role, we believe such grants play in attracting and retaining talented individuals, we believe that the equity compensation granted under the Plan also serves the important function of aligning the interests of participants with those of our stockholders and focusing such participants on the long-term growth of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Historical Run Rate, Proposed Share Reserve and Impact on Dilution</w:t>
      </w:r>
    </w:p>
    <w:p>
      <w:pPr>
        <w:spacing w:after="0" w:line="72"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58595B"/>
        </w:rPr>
        <w:t>Our Compensation Committee carefully monitors our total dilution and equity expense to ensure that we maximize stockholder value by granting only the appropriate number of equity awards necessary to attract, reward and retain employees. In addition, the Plan includes provisions designed to be less dilutive to stockholders. As described further below, the Plan does not contain an “evergreen” provision, so the number of shares available for issuance under the Plan does not automatically increase each year.</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Further to our commitment to balance our philosophy of closely aligning compensation with stockholder interests by utilizing long-term value creation with the exercise of deploying equity responsibly, the Compensation Committee carefully monitors our annual net run rate, total dilution, and stock-based compensation expense in order to maximize stockholder value by granting only the number of equity incentive awards that it believes are necessary and appropriate to attract, reward, and retain our employees. Our compensation philosophy for equity incentive awards links the interests of employees with those of our stockholders and motivates our employees to act as owners of the business.</w:t>
      </w:r>
    </w:p>
    <w:p>
      <w:pPr>
        <w:spacing w:after="0" w:line="118"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58595B"/>
        </w:rPr>
        <w:t>Although equity incentive awards are an important part of our pay-for-performance compensation program, the Board and the Compensation Committee are mindful of their responsibility to our stockholders to exercise judgment in granting equity-based awards. We review a number of metrics to assess the cumulative impact of our equity compensation programs, including run rate and overhang.</w:t>
      </w:r>
    </w:p>
    <w:p>
      <w:pPr>
        <w:spacing w:after="0" w:line="110"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8595B"/>
        </w:rPr>
        <w:t>Run rate measures our usage of shares from our equity incentive plans as a percentage of our outstanding common stock. Overhang measures the potential dilution to which our existing stockholders are exposed due to outstanding equity awards.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sets forth information regarding historical awards granted and earned for each of the last three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60" w:type="dxa"/>
            <w:vAlign w:val="bottom"/>
            <w:shd w:val="clear" w:color="auto" w:fill="009845"/>
          </w:tcPr>
          <w:p>
            <w:pPr>
              <w:spacing w:after="0"/>
              <w:rPr>
                <w:sz w:val="16"/>
                <w:szCs w:val="16"/>
                <w:color w:val="auto"/>
              </w:rPr>
            </w:pPr>
          </w:p>
        </w:tc>
        <w:tc>
          <w:tcPr>
            <w:tcW w:w="1820" w:type="dxa"/>
            <w:vAlign w:val="bottom"/>
            <w:shd w:val="clear" w:color="auto" w:fill="009845"/>
          </w:tcPr>
          <w:p>
            <w:pPr>
              <w:spacing w:after="0"/>
              <w:rPr>
                <w:sz w:val="16"/>
                <w:szCs w:val="16"/>
                <w:color w:val="auto"/>
              </w:rPr>
            </w:pPr>
          </w:p>
        </w:tc>
        <w:tc>
          <w:tcPr>
            <w:tcW w:w="1360" w:type="dxa"/>
            <w:vAlign w:val="bottom"/>
            <w:shd w:val="clear" w:color="auto" w:fill="009845"/>
          </w:tcPr>
          <w:p>
            <w:pPr>
              <w:spacing w:after="0"/>
              <w:rPr>
                <w:sz w:val="16"/>
                <w:szCs w:val="16"/>
                <w:color w:val="auto"/>
              </w:rPr>
            </w:pPr>
          </w:p>
        </w:tc>
        <w:tc>
          <w:tcPr>
            <w:tcW w:w="1780" w:type="dxa"/>
            <w:vAlign w:val="bottom"/>
            <w:vMerge w:val="restart"/>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rPr>
              <w:t>RSUs/</w:t>
            </w:r>
          </w:p>
        </w:tc>
        <w:tc>
          <w:tcPr>
            <w:tcW w:w="1820" w:type="dxa"/>
            <w:vAlign w:val="bottom"/>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Weighted Average</w:t>
            </w:r>
          </w:p>
        </w:tc>
        <w:tc>
          <w:tcPr>
            <w:tcW w:w="1540" w:type="dxa"/>
            <w:vAlign w:val="bottom"/>
            <w:shd w:val="clear" w:color="auto" w:fill="009845"/>
          </w:tcPr>
          <w:p>
            <w:pPr>
              <w:spacing w:after="0"/>
              <w:rPr>
                <w:sz w:val="16"/>
                <w:szCs w:val="16"/>
                <w:color w:val="auto"/>
              </w:rPr>
            </w:pPr>
          </w:p>
        </w:tc>
        <w:tc>
          <w:tcPr>
            <w:tcW w:w="1680" w:type="dxa"/>
            <w:vAlign w:val="bottom"/>
            <w:shd w:val="clear" w:color="auto" w:fill="009845"/>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60" w:type="dxa"/>
            <w:vAlign w:val="bottom"/>
            <w:shd w:val="clear" w:color="auto" w:fill="009845"/>
          </w:tcPr>
          <w:p>
            <w:pPr>
              <w:spacing w:after="0"/>
              <w:rPr>
                <w:sz w:val="13"/>
                <w:szCs w:val="13"/>
                <w:color w:val="auto"/>
              </w:rPr>
            </w:pPr>
          </w:p>
        </w:tc>
        <w:tc>
          <w:tcPr>
            <w:tcW w:w="1820" w:type="dxa"/>
            <w:vAlign w:val="bottom"/>
            <w:shd w:val="clear" w:color="auto" w:fill="009845"/>
          </w:tcPr>
          <w:p>
            <w:pPr>
              <w:spacing w:after="0"/>
              <w:rPr>
                <w:sz w:val="13"/>
                <w:szCs w:val="13"/>
                <w:color w:val="auto"/>
              </w:rPr>
            </w:pPr>
          </w:p>
        </w:tc>
        <w:tc>
          <w:tcPr>
            <w:tcW w:w="1360" w:type="dxa"/>
            <w:vAlign w:val="bottom"/>
            <w:shd w:val="clear" w:color="auto" w:fill="009845"/>
          </w:tcPr>
          <w:p>
            <w:pPr>
              <w:spacing w:after="0"/>
              <w:rPr>
                <w:sz w:val="13"/>
                <w:szCs w:val="13"/>
                <w:color w:val="auto"/>
              </w:rPr>
            </w:pPr>
          </w:p>
        </w:tc>
        <w:tc>
          <w:tcPr>
            <w:tcW w:w="1780" w:type="dxa"/>
            <w:vAlign w:val="bottom"/>
            <w:vMerge w:val="continue"/>
            <w:shd w:val="clear" w:color="auto" w:fill="009845"/>
          </w:tcPr>
          <w:p>
            <w:pPr>
              <w:spacing w:after="0"/>
              <w:rPr>
                <w:sz w:val="13"/>
                <w:szCs w:val="13"/>
                <w:color w:val="auto"/>
              </w:rPr>
            </w:pPr>
          </w:p>
        </w:tc>
        <w:tc>
          <w:tcPr>
            <w:tcW w:w="1820" w:type="dxa"/>
            <w:vAlign w:val="bottom"/>
            <w:shd w:val="clear" w:color="auto" w:fill="009845"/>
          </w:tcPr>
          <w:p>
            <w:pPr>
              <w:jc w:val="center"/>
              <w:ind w:right="8"/>
              <w:spacing w:after="0" w:line="159" w:lineRule="exact"/>
              <w:rPr>
                <w:sz w:val="20"/>
                <w:szCs w:val="20"/>
                <w:color w:val="auto"/>
              </w:rPr>
            </w:pPr>
            <w:r>
              <w:rPr>
                <w:rFonts w:ascii="Arial" w:cs="Arial" w:eastAsia="Arial" w:hAnsi="Arial"/>
                <w:sz w:val="14"/>
                <w:szCs w:val="14"/>
                <w:b w:val="1"/>
                <w:bCs w:val="1"/>
                <w:color w:val="FFFFFF"/>
              </w:rPr>
              <w:t>Common Shares</w:t>
            </w:r>
          </w:p>
        </w:tc>
        <w:tc>
          <w:tcPr>
            <w:tcW w:w="1540" w:type="dxa"/>
            <w:vAlign w:val="bottom"/>
            <w:shd w:val="clear" w:color="auto" w:fill="009845"/>
          </w:tcPr>
          <w:p>
            <w:pPr>
              <w:spacing w:after="0"/>
              <w:rPr>
                <w:sz w:val="13"/>
                <w:szCs w:val="13"/>
                <w:color w:val="auto"/>
              </w:rPr>
            </w:pPr>
          </w:p>
        </w:tc>
        <w:tc>
          <w:tcPr>
            <w:tcW w:w="1680" w:type="dxa"/>
            <w:vAlign w:val="bottom"/>
            <w:shd w:val="clear" w:color="auto" w:fill="009845"/>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16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bottom w:val="single" w:sz="8" w:color="009845"/>
            </w:tcBorders>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Options Granted</w:t>
            </w:r>
          </w:p>
        </w:tc>
        <w:tc>
          <w:tcPr>
            <w:tcW w:w="136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RSAs</w:t>
            </w:r>
          </w:p>
        </w:tc>
        <w:tc>
          <w:tcPr>
            <w:tcW w:w="1780" w:type="dxa"/>
            <w:vAlign w:val="bottom"/>
            <w:tcBorders>
              <w:bottom w:val="single" w:sz="8" w:color="009845"/>
            </w:tcBorders>
            <w:shd w:val="clear" w:color="auto" w:fill="009845"/>
          </w:tcPr>
          <w:p>
            <w:pPr>
              <w:jc w:val="center"/>
              <w:ind w:left="108"/>
              <w:spacing w:after="0"/>
              <w:rPr>
                <w:sz w:val="20"/>
                <w:szCs w:val="20"/>
                <w:color w:val="auto"/>
              </w:rPr>
            </w:pPr>
            <w:r>
              <w:rPr>
                <w:rFonts w:ascii="Arial" w:cs="Arial" w:eastAsia="Arial" w:hAnsi="Arial"/>
                <w:sz w:val="14"/>
                <w:szCs w:val="14"/>
                <w:b w:val="1"/>
                <w:bCs w:val="1"/>
                <w:color w:val="FFFFFF"/>
                <w:w w:val="99"/>
              </w:rPr>
              <w:t>PSUs Granted</w:t>
            </w:r>
            <w:r>
              <w:rPr>
                <w:rFonts w:ascii="Arial" w:cs="Arial" w:eastAsia="Arial" w:hAnsi="Arial"/>
                <w:sz w:val="18"/>
                <w:szCs w:val="18"/>
                <w:b w:val="1"/>
                <w:bCs w:val="1"/>
                <w:color w:val="FFFFFF"/>
                <w:w w:val="99"/>
                <w:vertAlign w:val="superscript"/>
              </w:rPr>
              <w:t>(1)</w:t>
            </w:r>
          </w:p>
        </w:tc>
        <w:tc>
          <w:tcPr>
            <w:tcW w:w="1820" w:type="dxa"/>
            <w:vAlign w:val="bottom"/>
            <w:tcBorders>
              <w:bottom w:val="single" w:sz="8" w:color="009845"/>
            </w:tcBorders>
            <w:shd w:val="clear" w:color="auto" w:fill="009845"/>
          </w:tcPr>
          <w:p>
            <w:pPr>
              <w:jc w:val="center"/>
              <w:ind w:right="8"/>
              <w:spacing w:after="0"/>
              <w:rPr>
                <w:sz w:val="20"/>
                <w:szCs w:val="20"/>
                <w:color w:val="auto"/>
              </w:rPr>
            </w:pPr>
            <w:r>
              <w:rPr>
                <w:rFonts w:ascii="Arial" w:cs="Arial" w:eastAsia="Arial" w:hAnsi="Arial"/>
                <w:sz w:val="14"/>
                <w:szCs w:val="14"/>
                <w:b w:val="1"/>
                <w:bCs w:val="1"/>
                <w:color w:val="FFFFFF"/>
              </w:rPr>
              <w:t>Outstanding</w:t>
            </w:r>
          </w:p>
        </w:tc>
        <w:tc>
          <w:tcPr>
            <w:tcW w:w="1540" w:type="dxa"/>
            <w:vAlign w:val="bottom"/>
            <w:tcBorders>
              <w:bottom w:val="single" w:sz="8" w:color="009845"/>
            </w:tcBorders>
            <w:shd w:val="clear" w:color="auto" w:fill="009845"/>
          </w:tcPr>
          <w:p>
            <w:pPr>
              <w:jc w:val="center"/>
              <w:ind w:right="48"/>
              <w:spacing w:after="0"/>
              <w:rPr>
                <w:sz w:val="20"/>
                <w:szCs w:val="20"/>
                <w:color w:val="auto"/>
              </w:rPr>
            </w:pPr>
            <w:r>
              <w:rPr>
                <w:rFonts w:ascii="Arial" w:cs="Arial" w:eastAsia="Arial" w:hAnsi="Arial"/>
                <w:sz w:val="14"/>
                <w:szCs w:val="14"/>
                <w:b w:val="1"/>
                <w:bCs w:val="1"/>
                <w:color w:val="FFFFFF"/>
              </w:rPr>
              <w:t>Run Rate</w:t>
            </w:r>
            <w:r>
              <w:rPr>
                <w:rFonts w:ascii="Arial" w:cs="Arial" w:eastAsia="Arial" w:hAnsi="Arial"/>
                <w:sz w:val="9"/>
                <w:szCs w:val="9"/>
                <w:b w:val="1"/>
                <w:bCs w:val="1"/>
                <w:color w:val="FFFFFF"/>
              </w:rPr>
              <w:t>(2)</w:t>
            </w:r>
          </w:p>
        </w:tc>
        <w:tc>
          <w:tcPr>
            <w:tcW w:w="168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Overhang</w:t>
            </w:r>
            <w:r>
              <w:rPr>
                <w:rFonts w:ascii="Arial" w:cs="Arial" w:eastAsia="Arial" w:hAnsi="Arial"/>
                <w:sz w:val="9"/>
                <w:szCs w:val="9"/>
                <w:b w:val="1"/>
                <w:bCs w:val="1"/>
                <w:color w:val="FFFFFF"/>
              </w:rPr>
              <w:t>(3)</w:t>
            </w:r>
          </w:p>
        </w:tc>
        <w:tc>
          <w:tcPr>
            <w:tcW w:w="0" w:type="dxa"/>
            <w:vAlign w:val="bottom"/>
          </w:tcPr>
          <w:p>
            <w:pPr>
              <w:spacing w:after="0"/>
              <w:rPr>
                <w:sz w:val="1"/>
                <w:szCs w:val="1"/>
                <w:color w:val="auto"/>
              </w:rPr>
            </w:pPr>
          </w:p>
        </w:tc>
      </w:tr>
      <w:tr>
        <w:trPr>
          <w:trHeight w:val="222"/>
        </w:trPr>
        <w:tc>
          <w:tcPr>
            <w:tcW w:w="1160" w:type="dxa"/>
            <w:vAlign w:val="bottom"/>
          </w:tcPr>
          <w:p>
            <w:pPr>
              <w:ind w:left="100"/>
              <w:spacing w:after="0"/>
              <w:rPr>
                <w:sz w:val="20"/>
                <w:szCs w:val="20"/>
                <w:color w:val="auto"/>
              </w:rPr>
            </w:pPr>
            <w:r>
              <w:rPr>
                <w:rFonts w:ascii="Arial" w:cs="Arial" w:eastAsia="Arial" w:hAnsi="Arial"/>
                <w:sz w:val="14"/>
                <w:szCs w:val="14"/>
                <w:b w:val="1"/>
                <w:bCs w:val="1"/>
                <w:color w:val="58595B"/>
              </w:rPr>
              <w:t>2023</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58595B"/>
              </w:rPr>
              <w:t>151,000</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58595B"/>
              </w:rPr>
              <w:t>411,000</w:t>
            </w:r>
          </w:p>
        </w:tc>
        <w:tc>
          <w:tcPr>
            <w:tcW w:w="1780" w:type="dxa"/>
            <w:vAlign w:val="bottom"/>
          </w:tcPr>
          <w:p>
            <w:pPr>
              <w:jc w:val="center"/>
              <w:ind w:left="108"/>
              <w:spacing w:after="0"/>
              <w:rPr>
                <w:sz w:val="20"/>
                <w:szCs w:val="20"/>
                <w:color w:val="auto"/>
              </w:rPr>
            </w:pPr>
            <w:r>
              <w:rPr>
                <w:rFonts w:ascii="Arial" w:cs="Arial" w:eastAsia="Arial" w:hAnsi="Arial"/>
                <w:sz w:val="14"/>
                <w:szCs w:val="14"/>
                <w:b w:val="1"/>
                <w:bCs w:val="1"/>
                <w:color w:val="58595B"/>
              </w:rPr>
              <w:t>229,000</w:t>
            </w: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58595B"/>
              </w:rPr>
              <w:t>80,089,000</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58595B"/>
              </w:rPr>
              <w:t>0.99%</w:t>
            </w:r>
          </w:p>
        </w:tc>
        <w:tc>
          <w:tcPr>
            <w:tcW w:w="1680" w:type="dxa"/>
            <w:vAlign w:val="bottom"/>
          </w:tcPr>
          <w:p>
            <w:pPr>
              <w:jc w:val="right"/>
              <w:ind w:right="608"/>
              <w:spacing w:after="0"/>
              <w:rPr>
                <w:sz w:val="20"/>
                <w:szCs w:val="20"/>
                <w:color w:val="auto"/>
              </w:rPr>
            </w:pPr>
            <w:r>
              <w:rPr>
                <w:rFonts w:ascii="Arial" w:cs="Arial" w:eastAsia="Arial" w:hAnsi="Arial"/>
                <w:sz w:val="14"/>
                <w:szCs w:val="14"/>
                <w:b w:val="1"/>
                <w:bCs w:val="1"/>
                <w:color w:val="58595B"/>
              </w:rPr>
              <w:t>6.1%</w:t>
            </w:r>
          </w:p>
        </w:tc>
        <w:tc>
          <w:tcPr>
            <w:tcW w:w="0" w:type="dxa"/>
            <w:vAlign w:val="bottom"/>
          </w:tcPr>
          <w:p>
            <w:pPr>
              <w:spacing w:after="0"/>
              <w:rPr>
                <w:sz w:val="1"/>
                <w:szCs w:val="1"/>
                <w:color w:val="auto"/>
              </w:rPr>
            </w:pPr>
          </w:p>
        </w:tc>
      </w:tr>
      <w:tr>
        <w:trPr>
          <w:trHeight w:val="237"/>
        </w:trPr>
        <w:tc>
          <w:tcPr>
            <w:tcW w:w="11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2022</w:t>
            </w:r>
          </w:p>
        </w:tc>
        <w:tc>
          <w:tcPr>
            <w:tcW w:w="1820" w:type="dxa"/>
            <w:vAlign w:val="bottom"/>
            <w:shd w:val="clear" w:color="auto" w:fill="EFEDED"/>
          </w:tcPr>
          <w:p>
            <w:pPr>
              <w:jc w:val="center"/>
              <w:ind w:right="68"/>
              <w:spacing w:after="0"/>
              <w:rPr>
                <w:sz w:val="20"/>
                <w:szCs w:val="20"/>
                <w:color w:val="auto"/>
              </w:rPr>
            </w:pPr>
            <w:r>
              <w:rPr>
                <w:rFonts w:ascii="Arial" w:cs="Arial" w:eastAsia="Arial" w:hAnsi="Arial"/>
                <w:sz w:val="14"/>
                <w:szCs w:val="14"/>
                <w:b w:val="1"/>
                <w:bCs w:val="1"/>
                <w:color w:val="58595B"/>
              </w:rPr>
              <w:t>146,000</w:t>
            </w:r>
          </w:p>
        </w:tc>
        <w:tc>
          <w:tcPr>
            <w:tcW w:w="1360" w:type="dxa"/>
            <w:vAlign w:val="bottom"/>
            <w:shd w:val="clear" w:color="auto" w:fill="EFEDED"/>
          </w:tcPr>
          <w:p>
            <w:pPr>
              <w:jc w:val="center"/>
              <w:spacing w:after="0"/>
              <w:rPr>
                <w:sz w:val="20"/>
                <w:szCs w:val="20"/>
                <w:color w:val="auto"/>
              </w:rPr>
            </w:pPr>
            <w:r>
              <w:rPr>
                <w:rFonts w:ascii="Arial" w:cs="Arial" w:eastAsia="Arial" w:hAnsi="Arial"/>
                <w:sz w:val="14"/>
                <w:szCs w:val="14"/>
                <w:b w:val="1"/>
                <w:bCs w:val="1"/>
                <w:color w:val="58595B"/>
              </w:rPr>
              <w:t>334,000</w:t>
            </w:r>
          </w:p>
        </w:tc>
        <w:tc>
          <w:tcPr>
            <w:tcW w:w="1780" w:type="dxa"/>
            <w:vAlign w:val="bottom"/>
            <w:shd w:val="clear" w:color="auto" w:fill="EFEDED"/>
          </w:tcPr>
          <w:p>
            <w:pPr>
              <w:jc w:val="center"/>
              <w:ind w:left="108"/>
              <w:spacing w:after="0"/>
              <w:rPr>
                <w:sz w:val="20"/>
                <w:szCs w:val="20"/>
                <w:color w:val="auto"/>
              </w:rPr>
            </w:pPr>
            <w:r>
              <w:rPr>
                <w:rFonts w:ascii="Arial" w:cs="Arial" w:eastAsia="Arial" w:hAnsi="Arial"/>
                <w:sz w:val="14"/>
                <w:szCs w:val="14"/>
                <w:b w:val="1"/>
                <w:bCs w:val="1"/>
                <w:color w:val="58595B"/>
              </w:rPr>
              <w:t>245,000</w:t>
            </w:r>
          </w:p>
        </w:tc>
        <w:tc>
          <w:tcPr>
            <w:tcW w:w="1820" w:type="dxa"/>
            <w:vAlign w:val="bottom"/>
            <w:shd w:val="clear" w:color="auto" w:fill="EFEDED"/>
          </w:tcPr>
          <w:p>
            <w:pPr>
              <w:jc w:val="center"/>
              <w:ind w:right="28"/>
              <w:spacing w:after="0"/>
              <w:rPr>
                <w:sz w:val="20"/>
                <w:szCs w:val="20"/>
                <w:color w:val="auto"/>
              </w:rPr>
            </w:pPr>
            <w:r>
              <w:rPr>
                <w:rFonts w:ascii="Arial" w:cs="Arial" w:eastAsia="Arial" w:hAnsi="Arial"/>
                <w:sz w:val="14"/>
                <w:szCs w:val="14"/>
                <w:b w:val="1"/>
                <w:bCs w:val="1"/>
                <w:color w:val="58595B"/>
              </w:rPr>
              <w:t>82,997,000</w:t>
            </w:r>
          </w:p>
        </w:tc>
        <w:tc>
          <w:tcPr>
            <w:tcW w:w="1540" w:type="dxa"/>
            <w:vAlign w:val="bottom"/>
            <w:shd w:val="clear" w:color="auto" w:fill="EFEDED"/>
          </w:tcPr>
          <w:p>
            <w:pPr>
              <w:jc w:val="center"/>
              <w:ind w:right="28"/>
              <w:spacing w:after="0"/>
              <w:rPr>
                <w:sz w:val="20"/>
                <w:szCs w:val="20"/>
                <w:color w:val="auto"/>
              </w:rPr>
            </w:pPr>
            <w:r>
              <w:rPr>
                <w:rFonts w:ascii="Arial" w:cs="Arial" w:eastAsia="Arial" w:hAnsi="Arial"/>
                <w:sz w:val="14"/>
                <w:szCs w:val="14"/>
                <w:b w:val="1"/>
                <w:bCs w:val="1"/>
                <w:color w:val="58595B"/>
              </w:rPr>
              <w:t>0.87%</w:t>
            </w:r>
          </w:p>
        </w:tc>
        <w:tc>
          <w:tcPr>
            <w:tcW w:w="168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58595B"/>
            </w:tcBorders>
          </w:tcPr>
          <w:p>
            <w:pPr>
              <w:ind w:left="100"/>
              <w:spacing w:after="0"/>
              <w:rPr>
                <w:sz w:val="20"/>
                <w:szCs w:val="20"/>
                <w:color w:val="auto"/>
              </w:rPr>
            </w:pPr>
            <w:r>
              <w:rPr>
                <w:rFonts w:ascii="Arial" w:cs="Arial" w:eastAsia="Arial" w:hAnsi="Arial"/>
                <w:sz w:val="14"/>
                <w:szCs w:val="14"/>
                <w:b w:val="1"/>
                <w:bCs w:val="1"/>
                <w:color w:val="58595B"/>
              </w:rPr>
              <w:t>2021</w:t>
            </w:r>
          </w:p>
        </w:tc>
        <w:tc>
          <w:tcPr>
            <w:tcW w:w="1820" w:type="dxa"/>
            <w:vAlign w:val="bottom"/>
            <w:tcBorders>
              <w:bottom w:val="single" w:sz="8" w:color="58595B"/>
            </w:tcBorders>
          </w:tcPr>
          <w:p>
            <w:pPr>
              <w:jc w:val="center"/>
              <w:ind w:right="68"/>
              <w:spacing w:after="0"/>
              <w:rPr>
                <w:sz w:val="20"/>
                <w:szCs w:val="20"/>
                <w:color w:val="auto"/>
              </w:rPr>
            </w:pPr>
            <w:r>
              <w:rPr>
                <w:rFonts w:ascii="Arial" w:cs="Arial" w:eastAsia="Arial" w:hAnsi="Arial"/>
                <w:sz w:val="14"/>
                <w:szCs w:val="14"/>
                <w:b w:val="1"/>
                <w:bCs w:val="1"/>
                <w:color w:val="58595B"/>
              </w:rPr>
              <w:t>150,000</w:t>
            </w:r>
          </w:p>
        </w:tc>
        <w:tc>
          <w:tcPr>
            <w:tcW w:w="1360" w:type="dxa"/>
            <w:vAlign w:val="bottom"/>
            <w:tcBorders>
              <w:bottom w:val="single" w:sz="8" w:color="58595B"/>
            </w:tcBorders>
          </w:tcPr>
          <w:p>
            <w:pPr>
              <w:jc w:val="center"/>
              <w:spacing w:after="0"/>
              <w:rPr>
                <w:sz w:val="20"/>
                <w:szCs w:val="20"/>
                <w:color w:val="auto"/>
              </w:rPr>
            </w:pPr>
            <w:r>
              <w:rPr>
                <w:rFonts w:ascii="Arial" w:cs="Arial" w:eastAsia="Arial" w:hAnsi="Arial"/>
                <w:sz w:val="14"/>
                <w:szCs w:val="14"/>
                <w:b w:val="1"/>
                <w:bCs w:val="1"/>
                <w:color w:val="58595B"/>
              </w:rPr>
              <w:t>242,000</w:t>
            </w:r>
          </w:p>
        </w:tc>
        <w:tc>
          <w:tcPr>
            <w:tcW w:w="1780" w:type="dxa"/>
            <w:vAlign w:val="bottom"/>
            <w:tcBorders>
              <w:bottom w:val="single" w:sz="8" w:color="58595B"/>
            </w:tcBorders>
          </w:tcPr>
          <w:p>
            <w:pPr>
              <w:jc w:val="center"/>
              <w:ind w:left="108"/>
              <w:spacing w:after="0"/>
              <w:rPr>
                <w:sz w:val="20"/>
                <w:szCs w:val="20"/>
                <w:color w:val="auto"/>
              </w:rPr>
            </w:pPr>
            <w:r>
              <w:rPr>
                <w:rFonts w:ascii="Arial" w:cs="Arial" w:eastAsia="Arial" w:hAnsi="Arial"/>
                <w:sz w:val="14"/>
                <w:szCs w:val="14"/>
                <w:b w:val="1"/>
                <w:bCs w:val="1"/>
                <w:color w:val="58595B"/>
              </w:rPr>
              <w:t>223,000</w:t>
            </w:r>
          </w:p>
        </w:tc>
        <w:tc>
          <w:tcPr>
            <w:tcW w:w="1820" w:type="dxa"/>
            <w:vAlign w:val="bottom"/>
            <w:tcBorders>
              <w:bottom w:val="single" w:sz="8" w:color="58595B"/>
            </w:tcBorders>
          </w:tcPr>
          <w:p>
            <w:pPr>
              <w:jc w:val="center"/>
              <w:ind w:right="28"/>
              <w:spacing w:after="0"/>
              <w:rPr>
                <w:sz w:val="20"/>
                <w:szCs w:val="20"/>
                <w:color w:val="auto"/>
              </w:rPr>
            </w:pPr>
            <w:r>
              <w:rPr>
                <w:rFonts w:ascii="Arial" w:cs="Arial" w:eastAsia="Arial" w:hAnsi="Arial"/>
                <w:sz w:val="14"/>
                <w:szCs w:val="14"/>
                <w:b w:val="1"/>
                <w:bCs w:val="1"/>
                <w:color w:val="58595B"/>
              </w:rPr>
              <w:t>84,698,000</w:t>
            </w:r>
          </w:p>
        </w:tc>
        <w:tc>
          <w:tcPr>
            <w:tcW w:w="1540" w:type="dxa"/>
            <w:vAlign w:val="bottom"/>
            <w:tcBorders>
              <w:bottom w:val="single" w:sz="8" w:color="58595B"/>
            </w:tcBorders>
          </w:tcPr>
          <w:p>
            <w:pPr>
              <w:jc w:val="center"/>
              <w:ind w:right="28"/>
              <w:spacing w:after="0"/>
              <w:rPr>
                <w:sz w:val="20"/>
                <w:szCs w:val="20"/>
                <w:color w:val="auto"/>
              </w:rPr>
            </w:pPr>
            <w:r>
              <w:rPr>
                <w:rFonts w:ascii="Arial" w:cs="Arial" w:eastAsia="Arial" w:hAnsi="Arial"/>
                <w:sz w:val="14"/>
                <w:szCs w:val="14"/>
                <w:b w:val="1"/>
                <w:bCs w:val="1"/>
                <w:color w:val="58595B"/>
              </w:rPr>
              <w:t>0.73%</w:t>
            </w:r>
          </w:p>
        </w:tc>
        <w:tc>
          <w:tcPr>
            <w:tcW w:w="1680" w:type="dxa"/>
            <w:vAlign w:val="bottom"/>
            <w:tcBorders>
              <w:bottom w:val="single" w:sz="8" w:color="58595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320" w:hanging="332"/>
        <w:spacing w:after="0" w:line="301"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number of PSUs included above represents a number in respect of PSUs granted under the Plan assuming the target performance for the three-year performance period applicable to the award has been achieved. For each year shown above, the breakout of PSUs is 161,000 in 2023, 131, 000 in 2022 and 176,000 in 2021.</w:t>
      </w:r>
    </w:p>
    <w:p>
      <w:pPr>
        <w:spacing w:after="0" w:line="1" w:lineRule="exact"/>
        <w:rPr>
          <w:rFonts w:ascii="Arial" w:cs="Arial" w:eastAsia="Arial" w:hAnsi="Arial"/>
          <w:sz w:val="14"/>
          <w:szCs w:val="14"/>
          <w:color w:val="auto"/>
        </w:rPr>
      </w:pPr>
    </w:p>
    <w:p>
      <w:pPr>
        <w:ind w:left="340" w:right="180" w:hanging="332"/>
        <w:spacing w:after="0" w:line="285"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Run rate represents (i) the sum of stock options, restricted stock, RSUs and PSUs granted divided by (ii) the basic weighted average common shares outstanding for the applicable fiscal year.</w:t>
      </w:r>
    </w:p>
    <w:p>
      <w:pPr>
        <w:spacing w:after="0" w:line="9" w:lineRule="exact"/>
        <w:rPr>
          <w:rFonts w:ascii="Arial" w:cs="Arial" w:eastAsia="Arial" w:hAnsi="Arial"/>
          <w:sz w:val="14"/>
          <w:szCs w:val="14"/>
          <w:color w:val="auto"/>
        </w:rPr>
      </w:pPr>
    </w:p>
    <w:p>
      <w:pPr>
        <w:ind w:left="340" w:right="220" w:hanging="332"/>
        <w:spacing w:after="0" w:line="305" w:lineRule="auto"/>
        <w:tabs>
          <w:tab w:leader="none" w:pos="338" w:val="left"/>
        </w:tabs>
        <w:numPr>
          <w:ilvl w:val="0"/>
          <w:numId w:val="64"/>
        </w:numPr>
        <w:rPr>
          <w:rFonts w:ascii="Arial" w:cs="Arial" w:eastAsia="Arial" w:hAnsi="Arial"/>
          <w:sz w:val="14"/>
          <w:szCs w:val="14"/>
          <w:color w:val="auto"/>
        </w:rPr>
      </w:pPr>
      <w:r>
        <w:rPr>
          <w:rFonts w:ascii="Arial" w:cs="Arial" w:eastAsia="Arial" w:hAnsi="Arial"/>
          <w:sz w:val="14"/>
          <w:szCs w:val="14"/>
          <w:color w:val="auto"/>
        </w:rPr>
        <w:t>Overhang represents (i) Total Plan Shares divided by (ii) the common shares outstanding, where Total Plan Shares equals the sum of the number of shares available for future grants under the Plan (excluding shares reserved under the Amendment), and the number of stock options, restricted stock, RSUs and PSUs outstanding.</w:t>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58595B"/>
        </w:rPr>
        <w:t>The three-year average run rate for the fiscal years 2021 through 2023 period was 0.86%.</w:t>
      </w:r>
    </w:p>
    <w:p>
      <w:pPr>
        <w:spacing w:after="0" w:line="208" w:lineRule="exact"/>
        <w:rPr>
          <w:sz w:val="20"/>
          <w:szCs w:val="20"/>
          <w:color w:val="auto"/>
        </w:rPr>
      </w:pPr>
    </w:p>
    <w:p>
      <w:pPr>
        <w:ind w:right="140"/>
        <w:spacing w:after="0" w:line="356" w:lineRule="auto"/>
        <w:rPr>
          <w:sz w:val="20"/>
          <w:szCs w:val="20"/>
          <w:color w:val="auto"/>
        </w:rPr>
      </w:pPr>
      <w:r>
        <w:rPr>
          <w:rFonts w:ascii="Arial" w:cs="Arial" w:eastAsia="Arial" w:hAnsi="Arial"/>
          <w:sz w:val="16"/>
          <w:szCs w:val="16"/>
          <w:color w:val="58595B"/>
        </w:rPr>
        <w:t>There were 1,501,797 full-value awards outstanding including PSUs at target value and 1,327,555 stock options outstanding with a weighted average price of $48.89. and weighted average remaining term of 4.48 years as of March 13, 2024.</w:t>
      </w:r>
    </w:p>
    <w:p>
      <w:pPr>
        <w:spacing w:after="0" w:line="89"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58595B"/>
        </w:rPr>
        <w:t>If approved, the issuance of shares to be reserved under Amendment No. 1 to the Plan would increase the overhang by approximately 2.4% of common shares outstanding (determined as of March 13, 2024), and a total overhang (including outstanding awards and shares available for future grants under the Plan) at March 13, 2024 would be approximately 8.3%.</w:t>
      </w:r>
    </w:p>
    <w:p>
      <w:pPr>
        <w:spacing w:after="0" w:line="110"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The Compensation Committee determined the size of the reserved pool under the Plan based on projected equity awards to anticipated new hires, projected annual equity awards to existing employees, and conducted an assessment of the magnitude of a share reserve increase that our stockholders would likely find acceptable. As noted above, we anticipate that if our request to increase the share reserve is approved by our stockholders, it will provide us with enough shares for equity awards for approximately two years. This is only an estimate, and circumstances could cause the share reserve to be used more quickly or more slowly. These circumstances include, but are not limited to, the future price of shares of our common stock,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Description of Amendment No. 1 to the Plan</w:t>
      </w:r>
    </w:p>
    <w:p>
      <w:pPr>
        <w:spacing w:after="0" w:line="72" w:lineRule="exact"/>
        <w:rPr>
          <w:sz w:val="20"/>
          <w:szCs w:val="20"/>
          <w:color w:val="auto"/>
        </w:rPr>
      </w:pPr>
    </w:p>
    <w:p>
      <w:pPr>
        <w:ind w:right="100"/>
        <w:spacing w:after="0" w:line="356" w:lineRule="auto"/>
        <w:rPr>
          <w:sz w:val="20"/>
          <w:szCs w:val="20"/>
          <w:color w:val="auto"/>
        </w:rPr>
      </w:pPr>
      <w:r>
        <w:rPr>
          <w:rFonts w:ascii="Arial" w:cs="Arial" w:eastAsia="Arial" w:hAnsi="Arial"/>
          <w:sz w:val="16"/>
          <w:szCs w:val="16"/>
          <w:color w:val="58595B"/>
        </w:rPr>
        <w:t>Amendment No. 1 to the Plan is set forth in Appendix C to this Proxy Statement. The full text of the Plan (prior to Amendment No. 1 to the Plan described in this Proposal No. 5) is set forth in Exhibit 10.1 to the Company's Current Report on Form 8-K, filed with the SEC on May 18, 2021.</w:t>
      </w:r>
    </w:p>
    <w:p>
      <w:pPr>
        <w:spacing w:after="0" w:line="89"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The following is a summary of the principal features of the Plan. This summary does not purport to be a complete description of all of the provisions of the Plan. It is qualified in its entirety by reference to the full text of the Plan.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Administration</w:t>
      </w:r>
    </w:p>
    <w:p>
      <w:pPr>
        <w:spacing w:after="0" w:line="208"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58595B"/>
        </w:rPr>
        <w:t>The Compensation Committee has the exclusive authority to administer the Plan, including the power to determine eligibility, the types and sizes of awards, the price and timing of awards, the acceleration or waiver of any vesting restriction, and the authority to delegate such administrative responsibilities.</w:t>
      </w:r>
    </w:p>
    <w:p>
      <w:pPr>
        <w:spacing w:after="0" w:line="8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The Compensation Committee may delegate to a committee of one or more of our directors or one or more of our officers the authority to grant or amend awards to participants other than our senior executives who are subject to Section 16 of the Exchange Act. Pursuant to this provision, our Compensation Committee’s current practice is to delegate to our Chief Executive Officer the authority to determine and make most of the individual grants to our employees who are not subject to Section 16 of the Exchange Act within guidelines approved by the Compensation Committee. Unless otherwise determined by the Board, the Compensation Committee shall consist solely of two or more members of the Board, each of whom is a non-employee director, and an “independent director” under the rules of Nasdaq (or other principal securities market on which shares of our common stock are traded).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Eligibility</w:t>
      </w:r>
    </w:p>
    <w:p>
      <w:pPr>
        <w:spacing w:after="0" w:line="221"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58595B"/>
        </w:rPr>
        <w:t>Officers, executives, managerial and non-managerial employees of the Company, a parent or subsidiary corporation (referred to herein as a “Related Corporation”) or an affiliate as well as non-employee directors, consultants and other service providers to the Company, a Related Corporation or an affiliate are eligible to participate in the Plan. Only eligible employees of the Company or a Related Corporation may receive Incentive Stock Options ("ISOs") under the Plan. Other types of awards may be granted to all eligible individuals.</w:t>
      </w:r>
    </w:p>
    <w:p>
      <w:pPr>
        <w:spacing w:after="0" w:line="118" w:lineRule="exact"/>
        <w:rPr>
          <w:sz w:val="20"/>
          <w:szCs w:val="20"/>
          <w:color w:val="auto"/>
        </w:rPr>
      </w:pPr>
    </w:p>
    <w:p>
      <w:pPr>
        <w:ind w:right="420"/>
        <w:spacing w:after="0" w:line="356" w:lineRule="auto"/>
        <w:rPr>
          <w:sz w:val="20"/>
          <w:szCs w:val="20"/>
          <w:color w:val="auto"/>
        </w:rPr>
      </w:pPr>
      <w:r>
        <w:rPr>
          <w:rFonts w:ascii="Arial" w:cs="Arial" w:eastAsia="Arial" w:hAnsi="Arial"/>
          <w:sz w:val="16"/>
          <w:szCs w:val="16"/>
          <w:color w:val="58595B"/>
        </w:rPr>
        <w:t>As of the date of this Proxy Statement, approximately 1,900 employees and 7 non-employee directors (but no consultants) are eligible to receive equity awards under the Plan.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Limitation on Awards and Shares Available for Issuance</w:t>
      </w:r>
    </w:p>
    <w:p>
      <w:pPr>
        <w:spacing w:after="0" w:line="208"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58595B"/>
        </w:rPr>
        <w:t>The total number of shares of common stock that may be issued or awarded under the Plan is 16,600,000 shares. If this Proposal 5 is approved by our stockholders, then an additional 1,900,000 shares will be available for issuance under the Plan (for a total of 18,500,000 shares), and the maximum number of shares of common stock that may be granted as ISOs will be 18,500,000 shares.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that were withheld, as applicable, will continue to be available for future awards under the Plan. If approved by our stockholders, any future withholding of shares for the payment of taxes will no longer be available for issuance under the Plan, pursuant to the terms of the Share Availability Amendment.</w:t>
      </w:r>
    </w:p>
    <w:p>
      <w:pPr>
        <w:spacing w:after="0" w:line="124"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In addition, the aggregate fair market value (determined at the time of grant) of shares of common stock with respect to which any ISOs are exercisable for the first time by any participant during a calendar year (under the Plan and under any other stock option plan of the Company or a Related Corporation (as defined in the Plan)) may not exceed $100,000. The shares of common stock issued under the Plan may be authorized but unissued shares, treasury shares or reacquired shares, and the Company may purchase shares required for this purpose, from time to time, if it deems such purchase to be advisable.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The Plan provides that no employee may be granted awards under the Plan for more than 2,000,000 shares in the aggregate during any calendar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Types of Awards</w:t>
      </w:r>
    </w:p>
    <w:p>
      <w:pPr>
        <w:spacing w:after="0" w:line="208"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58595B"/>
        </w:rPr>
        <w:t>Awards under the Plan may be made in the form of stock options, stock appreciation rights, restricted stock, performance stock, contract stock, dividends and dividend equivalent rights, stock payments and other incentive awards, whether singly or in combination with any other form of award. The terms of all awards made under the Plan will be determined by the Compensation Committee and will be stated in an award agreement.</w:t>
      </w:r>
    </w:p>
    <w:p>
      <w:pPr>
        <w:spacing w:after="0" w:line="12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58595B"/>
        </w:rPr>
        <w:t>Stock Options</w:t>
      </w:r>
      <w:r>
        <w:rPr>
          <w:rFonts w:ascii="Arial" w:cs="Arial" w:eastAsia="Arial" w:hAnsi="Arial"/>
          <w:sz w:val="16"/>
          <w:szCs w:val="16"/>
          <w:color w:val="58595B"/>
        </w:rPr>
        <w:t>. The Plan permits the Compensation Committee to grant options that qualify as ISOs under the Code and stock options that do not so qualify</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(“nonqualified stock options” or “NQSOs”). An option gives the holder the right to purchase common stock in the future at an exercise price that is set on the date of grant. The per share exercise price of options granted under the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127"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58595B"/>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124"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spacing w:after="0" w:line="89"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b w:val="1"/>
          <w:bCs w:val="1"/>
          <w:i w:val="1"/>
          <w:iCs w:val="1"/>
          <w:color w:val="58595B"/>
        </w:rPr>
        <w:t>Stock Appreciation Rights</w:t>
      </w:r>
      <w:r>
        <w:rPr>
          <w:rFonts w:ascii="Arial" w:cs="Arial" w:eastAsia="Arial" w:hAnsi="Arial"/>
          <w:sz w:val="16"/>
          <w:szCs w:val="16"/>
          <w:i w:val="1"/>
          <w:iCs w:val="1"/>
          <w:color w:val="58595B"/>
        </w:rPr>
        <w:t>.</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Compensation Committee may grant stock appreciation rights, either alone or in tandem with options, entitling the</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participant upon exercise to receive an amount in cash, shares of common stock or a combination thereof (as determined by the Compensation Committee), measured by the increase since the date of grant in the value of the shares covered by such right.</w:t>
      </w: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58595B"/>
        </w:rPr>
        <w:t>The exercise price of a stock appreciation right granted under the Plan may not be less than the fair market value of the shares of common stock subject to the stock appreciation right on the date of grant (or, if greater, the par value per share).</w:t>
      </w:r>
    </w:p>
    <w:p>
      <w:pPr>
        <w:spacing w:after="0" w:line="115"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color w:val="58595B"/>
        </w:rPr>
        <w:t>Stock appreciation rights may be exercised during the period specified in the award agreement, but in no event after the tenth anniversary of the date of grant.</w:t>
      </w:r>
    </w:p>
    <w:p>
      <w:pPr>
        <w:spacing w:after="0" w:line="11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b w:val="1"/>
          <w:bCs w:val="1"/>
          <w:i w:val="1"/>
          <w:iCs w:val="1"/>
          <w:color w:val="58595B"/>
        </w:rPr>
        <w:t>Restricted Stock</w:t>
      </w:r>
      <w:r>
        <w:rPr>
          <w:rFonts w:ascii="Arial" w:cs="Arial" w:eastAsia="Arial" w:hAnsi="Arial"/>
          <w:sz w:val="16"/>
          <w:szCs w:val="16"/>
          <w:color w:val="58595B"/>
        </w:rPr>
        <w:t>. The Compensation Committee may grant shares of common stock to participants either with or without any required payment by the</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participant, subject to such restrictions as the Compensation Committee may determine. Any such issuances of restricted stock under the Plan without any required payment by the participant are limited to the extent permitted by applicable law.</w:t>
      </w:r>
    </w:p>
    <w:p>
      <w:pPr>
        <w:spacing w:after="0" w:line="130"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b w:val="1"/>
          <w:bCs w:val="1"/>
          <w:i w:val="1"/>
          <w:iCs w:val="1"/>
          <w:color w:val="58595B"/>
        </w:rPr>
        <w:t>Performance Stock</w:t>
      </w:r>
      <w:r>
        <w:rPr>
          <w:rFonts w:ascii="Arial" w:cs="Arial" w:eastAsia="Arial" w:hAnsi="Arial"/>
          <w:sz w:val="16"/>
          <w:szCs w:val="16"/>
          <w:i w:val="1"/>
          <w:iCs w:val="1"/>
          <w:color w:val="58595B"/>
        </w:rPr>
        <w:t>.</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Compensation Committee may grant awards entitling a participant to receive shares of common stock without payment provided</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p>
      <w:pPr>
        <w:sectPr>
          <w:pgSz w:w="11900" w:h="16838" w:orient="portrait"/>
          <w:cols w:equalWidth="0" w:num="1">
            <w:col w:w="11240"/>
          </w:cols>
          <w:pgMar w:left="320" w:top="121" w:right="339" w:bottom="1440" w:gutter="0" w:footer="0" w:header="0"/>
        </w:sectPr>
      </w:pPr>
    </w:p>
    <w:p>
      <w:pPr>
        <w:spacing w:after="0" w:line="110" w:lineRule="exact"/>
        <w:rPr>
          <w:sz w:val="20"/>
          <w:szCs w:val="20"/>
          <w:color w:val="auto"/>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return on assets;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return on equity;</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market price appreciation of shares;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total stockholder return;</w:t>
      </w:r>
    </w:p>
    <w:p>
      <w:pPr>
        <w:spacing w:after="0" w:line="55" w:lineRule="exact"/>
        <w:rPr>
          <w:rFonts w:ascii="Arial" w:cs="Arial" w:eastAsia="Arial" w:hAnsi="Arial"/>
          <w:sz w:val="14"/>
          <w:szCs w:val="14"/>
          <w:color w:val="58595B"/>
        </w:rPr>
      </w:pPr>
    </w:p>
    <w:p>
      <w:pPr>
        <w:ind w:left="580" w:right="520" w:hanging="167"/>
        <w:spacing w:after="0" w:line="301" w:lineRule="auto"/>
        <w:tabs>
          <w:tab w:leader="none" w:pos="536"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revenue (including gross revenue or net revenue);</w:t>
      </w:r>
    </w:p>
    <w:p>
      <w:pPr>
        <w:spacing w:after="0" w:line="1"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adjusted net income;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gross or net profit;</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earnings per share;</w:t>
      </w:r>
    </w:p>
    <w:p>
      <w:pPr>
        <w:spacing w:after="0" w:line="55"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operating profit margin;</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return on sales;</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free cash flow;</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market share;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sales growth;</w:t>
      </w:r>
    </w:p>
    <w:p>
      <w:pPr>
        <w:spacing w:after="0" w:line="55" w:lineRule="exact"/>
        <w:rPr>
          <w:rFonts w:ascii="Arial" w:cs="Arial" w:eastAsia="Arial" w:hAnsi="Arial"/>
          <w:sz w:val="14"/>
          <w:szCs w:val="14"/>
          <w:color w:val="58595B"/>
        </w:rPr>
      </w:pPr>
    </w:p>
    <w:p>
      <w:pPr>
        <w:ind w:left="580" w:right="1020" w:hanging="167"/>
        <w:spacing w:after="0" w:line="301" w:lineRule="auto"/>
        <w:tabs>
          <w:tab w:leader="none" w:pos="536"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regulatory body approval for commercialization of a product;</w:t>
      </w:r>
    </w:p>
    <w:p>
      <w:pPr>
        <w:spacing w:after="0" w:line="1"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capacity utilization;</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increase in customer base;</w:t>
      </w:r>
    </w:p>
    <w:p>
      <w:pPr>
        <w:spacing w:after="0" w:line="68"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employee satisfaction;</w:t>
      </w:r>
    </w:p>
    <w:p>
      <w:pPr>
        <w:spacing w:after="0" w:line="55" w:lineRule="exact"/>
        <w:rPr>
          <w:rFonts w:ascii="Arial" w:cs="Arial" w:eastAsia="Arial" w:hAnsi="Arial"/>
          <w:sz w:val="14"/>
          <w:szCs w:val="14"/>
          <w:color w:val="58595B"/>
        </w:rPr>
      </w:pPr>
    </w:p>
    <w:p>
      <w:pPr>
        <w:ind w:left="540" w:hanging="127"/>
        <w:spacing w:after="0"/>
        <w:tabs>
          <w:tab w:leader="none" w:pos="540" w:val="left"/>
        </w:tabs>
        <w:numPr>
          <w:ilvl w:val="0"/>
          <w:numId w:val="65"/>
        </w:numPr>
        <w:rPr>
          <w:rFonts w:ascii="Arial" w:cs="Arial" w:eastAsia="Arial" w:hAnsi="Arial"/>
          <w:sz w:val="14"/>
          <w:szCs w:val="14"/>
          <w:color w:val="58595B"/>
        </w:rPr>
      </w:pPr>
      <w:r>
        <w:rPr>
          <w:rFonts w:ascii="Arial" w:cs="Arial" w:eastAsia="Arial" w:hAnsi="Arial"/>
          <w:sz w:val="14"/>
          <w:szCs w:val="14"/>
          <w:color w:val="58595B"/>
        </w:rPr>
        <w:t>diversity; and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2"/>
          </w:tcPr>
          <w:p>
            <w:pPr>
              <w:spacing w:after="0"/>
              <w:rPr>
                <w:sz w:val="20"/>
                <w:szCs w:val="20"/>
                <w:color w:val="auto"/>
              </w:rPr>
            </w:pPr>
            <w:r>
              <w:rPr>
                <w:rFonts w:ascii="Arial" w:cs="Arial" w:eastAsia="Arial" w:hAnsi="Arial"/>
                <w:sz w:val="14"/>
                <w:szCs w:val="14"/>
                <w:color w:val="58595B"/>
              </w:rPr>
              <w:t>• return on net assets;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asset turnover;</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return on capital;</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working capital;</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price per share;</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economic value or economic value added;</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EBITDA;</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adjusted EBITDA;</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4"/>
                <w:szCs w:val="14"/>
                <w:color w:val="58595B"/>
              </w:rPr>
              <w:t>• revenue growth;</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net income;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r>
              <w:rPr>
                <w:rFonts w:ascii="Arial" w:cs="Arial" w:eastAsia="Arial" w:hAnsi="Arial"/>
                <w:sz w:val="14"/>
                <w:szCs w:val="14"/>
                <w:color w:val="58595B"/>
              </w:rPr>
              <w:t>•</w:t>
            </w:r>
          </w:p>
        </w:tc>
        <w:tc>
          <w:tcPr>
            <w:tcW w:w="3080" w:type="dxa"/>
            <w:vAlign w:val="bottom"/>
          </w:tcPr>
          <w:p>
            <w:pPr>
              <w:ind w:left="40"/>
              <w:spacing w:after="0"/>
              <w:rPr>
                <w:sz w:val="20"/>
                <w:szCs w:val="20"/>
                <w:color w:val="auto"/>
              </w:rPr>
            </w:pPr>
            <w:r>
              <w:rPr>
                <w:rFonts w:ascii="Arial" w:cs="Arial" w:eastAsia="Arial" w:hAnsi="Arial"/>
                <w:sz w:val="14"/>
                <w:szCs w:val="14"/>
                <w:color w:val="58595B"/>
              </w:rPr>
              <w:t>pre-tax income;</w:t>
            </w:r>
          </w:p>
        </w:tc>
        <w:tc>
          <w:tcPr>
            <w:tcW w:w="800" w:type="dxa"/>
            <w:vAlign w:val="bottom"/>
          </w:tcPr>
          <w:p>
            <w:pPr>
              <w:ind w:left="720"/>
              <w:spacing w:after="0"/>
              <w:rPr>
                <w:sz w:val="20"/>
                <w:szCs w:val="20"/>
                <w:color w:val="auto"/>
              </w:rPr>
            </w:pPr>
            <w:r>
              <w:rPr>
                <w:rFonts w:ascii="Arial" w:cs="Arial" w:eastAsia="Arial" w:hAnsi="Arial"/>
                <w:sz w:val="14"/>
                <w:szCs w:val="14"/>
                <w:color w:val="58595B"/>
              </w:rPr>
              <w:t>•</w:t>
            </w:r>
          </w:p>
        </w:tc>
        <w:tc>
          <w:tcPr>
            <w:tcW w:w="2720" w:type="dxa"/>
            <w:vAlign w:val="bottom"/>
          </w:tcPr>
          <w:p>
            <w:pPr>
              <w:ind w:left="40"/>
              <w:spacing w:after="0"/>
              <w:rPr>
                <w:sz w:val="20"/>
                <w:szCs w:val="20"/>
                <w:color w:val="auto"/>
              </w:rPr>
            </w:pPr>
            <w:r>
              <w:rPr>
                <w:rFonts w:ascii="Arial" w:cs="Arial" w:eastAsia="Arial" w:hAnsi="Arial"/>
                <w:sz w:val="14"/>
                <w:szCs w:val="14"/>
                <w:color w:val="58595B"/>
              </w:rPr>
              <w:t>profitability;</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20"/>
                <w:szCs w:val="20"/>
                <w:color w:val="auto"/>
              </w:rPr>
            </w:pPr>
            <w:r>
              <w:rPr>
                <w:rFonts w:ascii="Arial" w:cs="Arial" w:eastAsia="Arial" w:hAnsi="Arial"/>
                <w:sz w:val="14"/>
                <w:szCs w:val="14"/>
                <w:color w:val="58595B"/>
              </w:rPr>
              <w:t>•</w:t>
            </w:r>
          </w:p>
        </w:tc>
        <w:tc>
          <w:tcPr>
            <w:tcW w:w="3080" w:type="dxa"/>
            <w:vAlign w:val="bottom"/>
          </w:tcPr>
          <w:p>
            <w:pPr>
              <w:ind w:left="40"/>
              <w:spacing w:after="0"/>
              <w:rPr>
                <w:sz w:val="20"/>
                <w:szCs w:val="20"/>
                <w:color w:val="auto"/>
              </w:rPr>
            </w:pPr>
            <w:r>
              <w:rPr>
                <w:rFonts w:ascii="Arial" w:cs="Arial" w:eastAsia="Arial" w:hAnsi="Arial"/>
                <w:sz w:val="14"/>
                <w:szCs w:val="14"/>
                <w:color w:val="58595B"/>
              </w:rPr>
              <w:t>profitability growth;</w:t>
            </w:r>
          </w:p>
        </w:tc>
        <w:tc>
          <w:tcPr>
            <w:tcW w:w="800" w:type="dxa"/>
            <w:vAlign w:val="bottom"/>
          </w:tcPr>
          <w:p>
            <w:pPr>
              <w:ind w:left="720"/>
              <w:spacing w:after="0"/>
              <w:rPr>
                <w:sz w:val="20"/>
                <w:szCs w:val="20"/>
                <w:color w:val="auto"/>
              </w:rPr>
            </w:pPr>
            <w:r>
              <w:rPr>
                <w:rFonts w:ascii="Arial" w:cs="Arial" w:eastAsia="Arial" w:hAnsi="Arial"/>
                <w:sz w:val="14"/>
                <w:szCs w:val="14"/>
                <w:color w:val="58595B"/>
              </w:rPr>
              <w:t>•</w:t>
            </w:r>
          </w:p>
        </w:tc>
        <w:tc>
          <w:tcPr>
            <w:tcW w:w="2720" w:type="dxa"/>
            <w:vAlign w:val="bottom"/>
          </w:tcPr>
          <w:p>
            <w:pPr>
              <w:ind w:left="40"/>
              <w:spacing w:after="0"/>
              <w:rPr>
                <w:sz w:val="20"/>
                <w:szCs w:val="20"/>
                <w:color w:val="auto"/>
              </w:rPr>
            </w:pPr>
            <w:r>
              <w:rPr>
                <w:rFonts w:ascii="Arial" w:cs="Arial" w:eastAsia="Arial" w:hAnsi="Arial"/>
                <w:sz w:val="14"/>
                <w:szCs w:val="14"/>
                <w:color w:val="58595B"/>
              </w:rPr>
              <w:t>operating profit;</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adjusted earnings per share;</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operating earnings;</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net income margin;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gross or net sales;</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4"/>
                <w:szCs w:val="14"/>
                <w:color w:val="58595B"/>
              </w:rPr>
              <w:t>• sales margin;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cash flow;</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operating cash flow;</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year-end cash;</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asset turnover;</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inventory turnover;</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4"/>
                <w:szCs w:val="14"/>
                <w:color w:val="58595B"/>
              </w:rPr>
              <w:t>• cost improvements;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cost or expenses;</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4"/>
                <w:szCs w:val="14"/>
                <w:color w:val="58595B"/>
              </w:rPr>
              <w:t>• research and development activities;</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implementation of critical projects;</w:t>
            </w:r>
          </w:p>
        </w:tc>
        <w:tc>
          <w:tcPr>
            <w:tcW w:w="0" w:type="dxa"/>
            <w:vAlign w:val="bottom"/>
          </w:tcPr>
          <w:p>
            <w:pPr>
              <w:spacing w:after="0"/>
              <w:rPr>
                <w:sz w:val="1"/>
                <w:szCs w:val="1"/>
                <w:color w:val="auto"/>
              </w:rPr>
            </w:pPr>
          </w:p>
        </w:tc>
      </w:tr>
      <w:tr>
        <w:trPr>
          <w:trHeight w:val="201"/>
        </w:trPr>
        <w:tc>
          <w:tcPr>
            <w:tcW w:w="3160" w:type="dxa"/>
            <w:vAlign w:val="bottom"/>
            <w:gridSpan w:val="2"/>
          </w:tcPr>
          <w:p>
            <w:pPr>
              <w:spacing w:after="0"/>
              <w:rPr>
                <w:sz w:val="20"/>
                <w:szCs w:val="20"/>
                <w:color w:val="auto"/>
              </w:rPr>
            </w:pPr>
            <w:r>
              <w:rPr>
                <w:rFonts w:ascii="Arial" w:cs="Arial" w:eastAsia="Arial" w:hAnsi="Arial"/>
                <w:sz w:val="14"/>
                <w:szCs w:val="14"/>
                <w:color w:val="58595B"/>
              </w:rPr>
              <w:t>• mergers and acquisitions integration;</w:t>
            </w:r>
          </w:p>
        </w:tc>
        <w:tc>
          <w:tcPr>
            <w:tcW w:w="3520" w:type="dxa"/>
            <w:vAlign w:val="bottom"/>
            <w:gridSpan w:val="2"/>
          </w:tcPr>
          <w:p>
            <w:pPr>
              <w:ind w:left="720"/>
              <w:spacing w:after="0"/>
              <w:rPr>
                <w:sz w:val="20"/>
                <w:szCs w:val="20"/>
                <w:color w:val="auto"/>
              </w:rPr>
            </w:pPr>
            <w:r>
              <w:rPr>
                <w:rFonts w:ascii="Arial" w:cs="Arial" w:eastAsia="Arial" w:hAnsi="Arial"/>
                <w:sz w:val="14"/>
                <w:szCs w:val="14"/>
                <w:color w:val="58595B"/>
              </w:rPr>
              <w:t>• financial and other capital-raising</w:t>
            </w: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spacing w:after="0"/>
              <w:rPr>
                <w:sz w:val="20"/>
                <w:szCs w:val="20"/>
                <w:color w:val="auto"/>
              </w:rPr>
            </w:pPr>
            <w:r>
              <w:rPr>
                <w:rFonts w:ascii="Arial" w:cs="Arial" w:eastAsia="Arial" w:hAnsi="Arial"/>
                <w:sz w:val="14"/>
                <w:szCs w:val="14"/>
                <w:color w:val="58595B"/>
              </w:rPr>
              <w:t>• customer retention;</w:t>
            </w:r>
          </w:p>
        </w:tc>
        <w:tc>
          <w:tcPr>
            <w:tcW w:w="800" w:type="dxa"/>
            <w:vAlign w:val="bottom"/>
          </w:tcPr>
          <w:p>
            <w:pPr>
              <w:spacing w:after="0"/>
              <w:rPr>
                <w:sz w:val="16"/>
                <w:szCs w:val="16"/>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58595B"/>
              </w:rPr>
              <w:t>transactions;</w:t>
            </w: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3520" w:type="dxa"/>
            <w:vAlign w:val="bottom"/>
            <w:gridSpan w:val="2"/>
            <w:vMerge w:val="restart"/>
          </w:tcPr>
          <w:p>
            <w:pPr>
              <w:ind w:left="720"/>
              <w:spacing w:after="0"/>
              <w:rPr>
                <w:sz w:val="20"/>
                <w:szCs w:val="20"/>
                <w:color w:val="auto"/>
              </w:rPr>
            </w:pPr>
            <w:r>
              <w:rPr>
                <w:rFonts w:ascii="Arial" w:cs="Arial" w:eastAsia="Arial" w:hAnsi="Arial"/>
                <w:sz w:val="14"/>
                <w:szCs w:val="14"/>
                <w:color w:val="58595B"/>
              </w:rPr>
              <w:t>• customer satisfaction and/or growth;</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spacing w:after="0"/>
              <w:rPr>
                <w:sz w:val="20"/>
                <w:szCs w:val="20"/>
                <w:color w:val="auto"/>
              </w:rPr>
            </w:pPr>
            <w:r>
              <w:rPr>
                <w:rFonts w:ascii="Arial" w:cs="Arial" w:eastAsia="Arial" w:hAnsi="Arial"/>
                <w:sz w:val="14"/>
                <w:szCs w:val="14"/>
                <w:color w:val="58595B"/>
              </w:rPr>
              <w:t>• recruiting/maintaining personnel;</w:t>
            </w:r>
          </w:p>
        </w:tc>
        <w:tc>
          <w:tcPr>
            <w:tcW w:w="3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3520" w:type="dxa"/>
            <w:vAlign w:val="bottom"/>
            <w:gridSpan w:val="2"/>
            <w:vMerge w:val="restart"/>
          </w:tcPr>
          <w:p>
            <w:pPr>
              <w:ind w:left="720"/>
              <w:spacing w:after="0"/>
              <w:rPr>
                <w:sz w:val="20"/>
                <w:szCs w:val="20"/>
                <w:color w:val="auto"/>
              </w:rPr>
            </w:pPr>
            <w:r>
              <w:rPr>
                <w:rFonts w:ascii="Arial" w:cs="Arial" w:eastAsia="Arial" w:hAnsi="Arial"/>
                <w:sz w:val="14"/>
                <w:szCs w:val="14"/>
                <w:color w:val="58595B"/>
              </w:rPr>
              <w:t>• environmental health and safety;</w:t>
            </w:r>
          </w:p>
        </w:tc>
        <w:tc>
          <w:tcPr>
            <w:tcW w:w="0" w:type="dxa"/>
            <w:vAlign w:val="bottom"/>
          </w:tcPr>
          <w:p>
            <w:pPr>
              <w:spacing w:after="0"/>
              <w:rPr>
                <w:sz w:val="1"/>
                <w:szCs w:val="1"/>
                <w:color w:val="auto"/>
              </w:rPr>
            </w:pPr>
          </w:p>
        </w:tc>
      </w:tr>
      <w:tr>
        <w:trPr>
          <w:trHeight w:val="175"/>
        </w:trPr>
        <w:tc>
          <w:tcPr>
            <w:tcW w:w="80" w:type="dxa"/>
            <w:vAlign w:val="bottom"/>
            <w:vMerge w:val="restart"/>
          </w:tcPr>
          <w:p>
            <w:pPr>
              <w:spacing w:after="0"/>
              <w:rPr>
                <w:sz w:val="20"/>
                <w:szCs w:val="20"/>
                <w:color w:val="auto"/>
              </w:rPr>
            </w:pPr>
            <w:r>
              <w:rPr>
                <w:rFonts w:ascii="Arial" w:cs="Arial" w:eastAsia="Arial" w:hAnsi="Arial"/>
                <w:sz w:val="14"/>
                <w:szCs w:val="14"/>
                <w:color w:val="58595B"/>
              </w:rPr>
              <w:t>•</w:t>
            </w:r>
          </w:p>
        </w:tc>
        <w:tc>
          <w:tcPr>
            <w:tcW w:w="3080" w:type="dxa"/>
            <w:vAlign w:val="bottom"/>
            <w:vMerge w:val="restart"/>
          </w:tcPr>
          <w:p>
            <w:pPr>
              <w:ind w:left="40"/>
              <w:spacing w:after="0"/>
              <w:rPr>
                <w:sz w:val="20"/>
                <w:szCs w:val="20"/>
                <w:color w:val="auto"/>
              </w:rPr>
            </w:pPr>
            <w:r>
              <w:rPr>
                <w:rFonts w:ascii="Arial" w:cs="Arial" w:eastAsia="Arial" w:hAnsi="Arial"/>
                <w:sz w:val="14"/>
                <w:szCs w:val="14"/>
                <w:color w:val="58595B"/>
              </w:rPr>
              <w:t>quality.</w:t>
            </w:r>
          </w:p>
        </w:tc>
        <w:tc>
          <w:tcPr>
            <w:tcW w:w="3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vMerge w:val="continue"/>
          </w:tcPr>
          <w:p>
            <w:pPr>
              <w:spacing w:after="0"/>
              <w:rPr>
                <w:sz w:val="4"/>
                <w:szCs w:val="4"/>
                <w:color w:val="auto"/>
              </w:rPr>
            </w:pPr>
          </w:p>
        </w:tc>
        <w:tc>
          <w:tcPr>
            <w:tcW w:w="30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0"/>
          <w:szCs w:val="20"/>
          <w:color w:val="auto"/>
        </w:rPr>
      </w:pPr>
    </w:p>
    <w:p>
      <w:pPr>
        <w:sectPr>
          <w:pgSz w:w="11900" w:h="16838" w:orient="portrait"/>
          <w:cols w:equalWidth="0" w:num="2">
            <w:col w:w="3580" w:space="720"/>
            <w:col w:w="6940"/>
          </w:cols>
          <w:pgMar w:left="320" w:top="121" w:right="339" w:bottom="1440" w:gutter="0" w:footer="0" w:header="0"/>
          <w:type w:val="continuous"/>
        </w:sectPr>
      </w:pPr>
    </w:p>
    <w:p>
      <w:pPr>
        <w:spacing w:after="0" w:line="282" w:lineRule="exact"/>
        <w:rPr>
          <w:sz w:val="20"/>
          <w:szCs w:val="20"/>
          <w:color w:val="auto"/>
        </w:rPr>
      </w:pPr>
    </w:p>
    <w:p>
      <w:pPr>
        <w:ind w:right="220"/>
        <w:spacing w:after="0" w:line="356" w:lineRule="auto"/>
        <w:rPr>
          <w:sz w:val="20"/>
          <w:szCs w:val="20"/>
          <w:color w:val="auto"/>
        </w:rPr>
      </w:pPr>
      <w:r>
        <w:rPr>
          <w:rFonts w:ascii="Arial" w:cs="Arial" w:eastAsia="Arial" w:hAnsi="Arial"/>
          <w:sz w:val="16"/>
          <w:szCs w:val="16"/>
          <w:b w:val="1"/>
          <w:bCs w:val="1"/>
          <w:i w:val="1"/>
          <w:iCs w:val="1"/>
          <w:color w:val="58595B"/>
        </w:rPr>
        <w:t>Contract Stock</w:t>
      </w:r>
      <w:r>
        <w:rPr>
          <w:rFonts w:ascii="Arial" w:cs="Arial" w:eastAsia="Arial" w:hAnsi="Arial"/>
          <w:sz w:val="16"/>
          <w:szCs w:val="16"/>
          <w:color w:val="58595B"/>
        </w:rPr>
        <w:t>. The Compensation Committee may grant awards that entitle participants to receive shares of common stock, at a future date specified in</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award.</w:t>
      </w:r>
    </w:p>
    <w:p>
      <w:pPr>
        <w:spacing w:after="0" w:line="8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58595B"/>
        </w:rPr>
        <w:t>Dividends; Dividend Equivalent Rights</w:t>
      </w:r>
      <w:r>
        <w:rPr>
          <w:rFonts w:ascii="Arial" w:cs="Arial" w:eastAsia="Arial" w:hAnsi="Arial"/>
          <w:sz w:val="16"/>
          <w:szCs w:val="16"/>
          <w:color w:val="58595B"/>
        </w:rPr>
        <w:t>. The Compensation Committee may grant awards that entitle the participant to receive a benefit in lieu of cash</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dividends that would have been payable on any or all shares of common stock subject to another award granted to the participant had such shares been outstanding. However, under the Plan, dividends or dividend equivalents may not be granted to participants in connection with grants of options or stock appreciation rights, and except to the extent otherwise provided in awards granted on or prior to April 1, 2009, dividends and dividend equivalents payable with respect to an award prior to the vesting of such award instead will be paid out to the participant only to the extent that the applicable vesting conditions are subsequently satisfied and the award vests. Dividends and dividend equivalents payable with respect to the portion of an award that does not vest will be forfeited.</w:t>
      </w:r>
    </w:p>
    <w:p>
      <w:pPr>
        <w:spacing w:after="0" w:line="140"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i w:val="1"/>
          <w:iCs w:val="1"/>
          <w:color w:val="58595B"/>
        </w:rPr>
        <w:t>Stock Payments</w:t>
      </w:r>
      <w:r>
        <w:rPr>
          <w:rFonts w:ascii="Arial" w:cs="Arial" w:eastAsia="Arial" w:hAnsi="Arial"/>
          <w:sz w:val="16"/>
          <w:szCs w:val="16"/>
          <w:color w:val="58595B"/>
        </w:rPr>
        <w:t>. The Compensation Committee may grant awards of fully vested shares of our common stock that may, but need not, be made in lieu of</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base salary, bonus, fees or other cash compensation otherwise payable to any individual who is eligible to receive awards.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85</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40"/>
        <w:spacing w:after="0" w:line="339" w:lineRule="auto"/>
        <w:rPr>
          <w:sz w:val="20"/>
          <w:szCs w:val="20"/>
          <w:color w:val="auto"/>
        </w:rPr>
      </w:pPr>
      <w:r>
        <w:rPr>
          <w:rFonts w:ascii="Arial" w:cs="Arial" w:eastAsia="Arial" w:hAnsi="Arial"/>
          <w:sz w:val="16"/>
          <w:szCs w:val="16"/>
          <w:b w:val="1"/>
          <w:bCs w:val="1"/>
          <w:i w:val="1"/>
          <w:iCs w:val="1"/>
          <w:color w:val="58595B"/>
        </w:rPr>
        <w:t>Other Incentive Awards</w:t>
      </w:r>
      <w:r>
        <w:rPr>
          <w:rFonts w:ascii="Arial" w:cs="Arial" w:eastAsia="Arial" w:hAnsi="Arial"/>
          <w:sz w:val="16"/>
          <w:szCs w:val="16"/>
          <w:color w:val="58595B"/>
        </w:rPr>
        <w:t>. The Compensation Committee may grant awards other than those enumerated in this summary that are denominated in, linked to</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or derived from shares of our common stock or value metrics related to our shares, and may remain forfeitable unless and until specified conditions are met.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Adjustments</w:t>
      </w:r>
    </w:p>
    <w:p>
      <w:pPr>
        <w:spacing w:after="0" w:line="208" w:lineRule="exact"/>
        <w:rPr>
          <w:sz w:val="20"/>
          <w:szCs w:val="20"/>
          <w:color w:val="auto"/>
        </w:rPr>
      </w:pPr>
    </w:p>
    <w:p>
      <w:pPr>
        <w:jc w:val="both"/>
        <w:ind w:right="100"/>
        <w:spacing w:after="0" w:line="328" w:lineRule="auto"/>
        <w:rPr>
          <w:sz w:val="20"/>
          <w:szCs w:val="20"/>
          <w:color w:val="auto"/>
        </w:rPr>
      </w:pPr>
      <w:r>
        <w:rPr>
          <w:rFonts w:ascii="Arial" w:cs="Arial" w:eastAsia="Arial" w:hAnsi="Arial"/>
          <w:sz w:val="16"/>
          <w:szCs w:val="16"/>
          <w:color w:val="58595B"/>
        </w:rPr>
        <w:t>The Plan prohibits the Compensation Committee, without shareholder approval, from reducing the exercise price of any option or stock appreciation right or canceling any option or stock appreciation right in exchange for cash, another award or options or stock appreciation rights with an exercise price per share that is less than the exercise price of the original option or stock appreciation right.</w:t>
      </w:r>
    </w:p>
    <w:p>
      <w:pPr>
        <w:spacing w:after="0" w:line="110"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58595B"/>
        </w:rPr>
        <w:t>If there is any stock split, reverse split, stock dividend, or similar change in the capitalization of the Company, the Compensation Committee will make proportionate adjustments to any or all of the following in order to reflect such change: (i) the maximum number of shares that may be delivered under the Plan, (ii) the maximum number of shares with respect to which awards may be granted to any participant under the Plan and (iii) the number of shares issuable upon the exercise or vesting of outstanding awards under the Plan (as well as the exercise price per share under outstanding options or stock appreciation rights). However, no adjustment can be made to an award that would cause the award to fail to comply with Section 409A of the Code.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Effect of Certain Corporate Transactions</w:t>
      </w:r>
    </w:p>
    <w:p>
      <w:pPr>
        <w:spacing w:after="0" w:line="221"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In the event of certain corporate transactions (such as a merger, consolidation, acquisition of property or stock, separation, reorganization or liquidation), the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spacing w:after="0" w:line="118"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Vesting of Options, Stock Appreciation Rights and Restricted Stock in the event of Death or Disability</w:t>
      </w:r>
    </w:p>
    <w:p>
      <w:pPr>
        <w:spacing w:after="0" w:line="208"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8595B"/>
        </w:rPr>
        <w:t>Except as otherwise determined by the 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Transferability, Clawback</w:t>
      </w:r>
    </w:p>
    <w:p>
      <w:pPr>
        <w:spacing w:after="0" w:line="208"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With limited exceptions, including the laws of descent and distribution, awards under the Plan are generally non-transferable prior to vesting, and are exercisable only by the participant. All awards will be subject to the provisions of any claw-back policy implemented by our company to the extent set forth in such claw-back policy and/or in the applicable award agreement. The Company currently maintains the Integra LifeSciences Holdings Corporation Incentive Compensation Recovery Policy, which was filed as Exhibit 97.1 to the Company Annual Report on Form 10-K for the year ended December 31, 2023 and the Integra LifeSciences Holdings Corporation Clawback Policy which was adopted by our Board in December 2012.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Director Compensation Limit</w:t>
      </w:r>
    </w:p>
    <w:p>
      <w:pPr>
        <w:spacing w:after="0" w:line="221"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58595B"/>
        </w:rPr>
        <w:t>The Plan limits the aggregate value of cash or other compensation and equity-based awards for any non-employee director for such director’s service as a non-employee director during any fiscal year to $750,000.</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Termination or Amendment</w:t>
      </w:r>
    </w:p>
    <w:p>
      <w:pPr>
        <w:spacing w:after="0" w:line="208"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58595B"/>
        </w:rPr>
        <w:t>Our Board may amend, suspend or terminate the Plan at any time and for any reason, provided that any amendment will be subject to stockholder approval to the extent required by the Nasdaq rules or Section 422 of the Code with respect to incentive stock options. In addition, any amendment to the Plan may not materially and adversely affect the rights of the existing participants under the Plan. No award will be made that is conditioned upon stockholder approval of any amendment to the Plan.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8595B"/>
        </w:rPr>
        <w:t>The Plan will terminate on April 1, 2031 unless re-adopted or extended by the stockholders prior to or on such date or unless terminated earlier by the Board.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Tax Withholding</w:t>
      </w:r>
    </w:p>
    <w:p>
      <w:pPr>
        <w:spacing w:after="0" w:line="22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58595B"/>
        </w:rPr>
        <w:t>In general, the Compensation Committee, in its discretion, may permit or require the participant to satisfy the Federal, state and/or local withholding tax in whole or in part in cash or by having the Company withhold shares otherwise issuable under an award or by remitting already owned shares; provided, however, that the number of shares withheld will have a fair market value on the date of withholding no greater than the aggregate amount of such withholding tax based on the maximum individual statutory withholding requirements for the applicable jurisdiction. The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New Plan Benefits</w:t>
      </w:r>
    </w:p>
    <w:p>
      <w:pPr>
        <w:spacing w:after="0" w:line="208"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58595B"/>
        </w:rPr>
        <w:t>No awards have been granted pending stockholder approval and as benefits under the Plan will depend on the Compensation Committee’s actions and the fair market value of common stock at various future dates, it is not possible to determine the benefits that will be received by executive officers, directors and other employees if the proposed Amendment No. 1 to the Plan is approved by the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Prior Grants Under the Plan</w:t>
      </w:r>
    </w:p>
    <w:p>
      <w:pPr>
        <w:spacing w:after="0" w:line="72"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Awards are subject to the discretion of the Compensation Committee. Therefore, it is not possible to determine the benefits that will be received in the future by participants in the Plan. The following table sets forth summary information concerning the number of shares of our common stock subject to option grants, restricted stock grants and performance share grants made under the Plan to our named executive officers, directors and employees as of March 13, 2024. The price per share of our common stock as of such date was $35.78.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shd w:val="clear" w:color="auto" w:fill="009845"/>
          </w:tcPr>
          <w:p>
            <w:pPr>
              <w:spacing w:after="0"/>
              <w:rPr>
                <w:sz w:val="16"/>
                <w:szCs w:val="16"/>
                <w:color w:val="auto"/>
              </w:rPr>
            </w:pPr>
          </w:p>
        </w:tc>
        <w:tc>
          <w:tcPr>
            <w:tcW w:w="1340" w:type="dxa"/>
            <w:vAlign w:val="bottom"/>
            <w:shd w:val="clear" w:color="auto" w:fill="009845"/>
          </w:tcPr>
          <w:p>
            <w:pPr>
              <w:spacing w:after="0"/>
              <w:rPr>
                <w:sz w:val="16"/>
                <w:szCs w:val="16"/>
                <w:color w:val="auto"/>
              </w:rPr>
            </w:pPr>
          </w:p>
        </w:tc>
        <w:tc>
          <w:tcPr>
            <w:tcW w:w="1400" w:type="dxa"/>
            <w:vAlign w:val="bottom"/>
            <w:shd w:val="clear" w:color="auto" w:fill="009845"/>
          </w:tcPr>
          <w:p>
            <w:pPr>
              <w:spacing w:after="0"/>
              <w:rPr>
                <w:sz w:val="16"/>
                <w:szCs w:val="16"/>
                <w:color w:val="auto"/>
              </w:rPr>
            </w:pPr>
          </w:p>
        </w:tc>
        <w:tc>
          <w:tcPr>
            <w:tcW w:w="1420" w:type="dxa"/>
            <w:vAlign w:val="bottom"/>
            <w:shd w:val="clear" w:color="auto" w:fill="009845"/>
          </w:tcPr>
          <w:p>
            <w:pPr>
              <w:spacing w:after="0"/>
              <w:rPr>
                <w:sz w:val="16"/>
                <w:szCs w:val="16"/>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009845"/>
          </w:tcPr>
          <w:p>
            <w:pPr>
              <w:spacing w:after="0"/>
              <w:rPr>
                <w:sz w:val="15"/>
                <w:szCs w:val="15"/>
                <w:color w:val="auto"/>
              </w:rPr>
            </w:pPr>
          </w:p>
        </w:tc>
        <w:tc>
          <w:tcPr>
            <w:tcW w:w="134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Underlying</w:t>
            </w:r>
          </w:p>
        </w:tc>
        <w:tc>
          <w:tcPr>
            <w:tcW w:w="1420" w:type="dxa"/>
            <w:vAlign w:val="bottom"/>
            <w:vMerge w:val="restart"/>
            <w:shd w:val="clear" w:color="auto" w:fill="009845"/>
          </w:tcPr>
          <w:p>
            <w:pPr>
              <w:ind w:left="40"/>
              <w:spacing w:after="0"/>
              <w:rPr>
                <w:sz w:val="20"/>
                <w:szCs w:val="20"/>
                <w:color w:val="auto"/>
              </w:rPr>
            </w:pPr>
            <w:r>
              <w:rPr>
                <w:rFonts w:ascii="Arial" w:cs="Arial" w:eastAsia="Arial" w:hAnsi="Arial"/>
                <w:sz w:val="14"/>
                <w:szCs w:val="14"/>
                <w:b w:val="1"/>
                <w:bCs w:val="1"/>
                <w:color w:val="FFFFFF"/>
              </w:rPr>
              <w:t>Performance Stock</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Common Stock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009845"/>
          </w:tcPr>
          <w:p>
            <w:pPr>
              <w:spacing w:after="0"/>
              <w:rPr>
                <w:sz w:val="14"/>
                <w:szCs w:val="14"/>
                <w:color w:val="auto"/>
              </w:rPr>
            </w:pPr>
          </w:p>
        </w:tc>
        <w:tc>
          <w:tcPr>
            <w:tcW w:w="1340" w:type="dxa"/>
            <w:vAlign w:val="bottom"/>
            <w:vMerge w:val="continue"/>
            <w:shd w:val="clear" w:color="auto" w:fill="009845"/>
          </w:tcPr>
          <w:p>
            <w:pPr>
              <w:spacing w:after="0"/>
              <w:rPr>
                <w:sz w:val="14"/>
                <w:szCs w:val="14"/>
                <w:color w:val="auto"/>
              </w:rPr>
            </w:pP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vMerge w:val="continue"/>
            <w:shd w:val="clear" w:color="auto" w:fill="009845"/>
          </w:tcPr>
          <w:p>
            <w:pPr>
              <w:spacing w:after="0"/>
              <w:rPr>
                <w:sz w:val="14"/>
                <w:szCs w:val="14"/>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Underlying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6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Units(1)</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Options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009845"/>
              </w:rPr>
              <w:t>Named Executive Officers</w:t>
            </w:r>
          </w:p>
        </w:tc>
        <w:tc>
          <w:tcPr>
            <w:tcW w:w="1340" w:type="dxa"/>
            <w:vAlign w:val="bottom"/>
            <w:shd w:val="clear" w:color="auto" w:fill="EFEDED"/>
          </w:tcPr>
          <w:p>
            <w:pPr>
              <w:spacing w:after="0"/>
              <w:rPr>
                <w:sz w:val="19"/>
                <w:szCs w:val="19"/>
                <w:color w:val="auto"/>
              </w:rPr>
            </w:pPr>
          </w:p>
        </w:tc>
        <w:tc>
          <w:tcPr>
            <w:tcW w:w="1400" w:type="dxa"/>
            <w:vAlign w:val="bottom"/>
            <w:shd w:val="clear" w:color="auto" w:fill="EFEDED"/>
          </w:tcPr>
          <w:p>
            <w:pPr>
              <w:spacing w:after="0"/>
              <w:rPr>
                <w:sz w:val="19"/>
                <w:szCs w:val="19"/>
                <w:color w:val="auto"/>
              </w:rPr>
            </w:pPr>
          </w:p>
        </w:tc>
        <w:tc>
          <w:tcPr>
            <w:tcW w:w="1420" w:type="dxa"/>
            <w:vAlign w:val="bottom"/>
            <w:shd w:val="clear" w:color="auto" w:fill="EFEDED"/>
          </w:tcPr>
          <w:p>
            <w:pPr>
              <w:spacing w:after="0"/>
              <w:rPr>
                <w:sz w:val="19"/>
                <w:szCs w:val="19"/>
                <w:color w:val="auto"/>
              </w:rPr>
            </w:pPr>
          </w:p>
        </w:tc>
        <w:tc>
          <w:tcPr>
            <w:tcW w:w="1340" w:type="dxa"/>
            <w:vAlign w:val="bottom"/>
            <w:shd w:val="clear" w:color="auto" w:fill="EFEDED"/>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Carrie Anderson</w:t>
            </w:r>
            <w:r>
              <w:rPr>
                <w:rFonts w:ascii="Arial" w:cs="Arial" w:eastAsia="Arial" w:hAnsi="Arial"/>
                <w:sz w:val="9"/>
                <w:szCs w:val="9"/>
                <w:b w:val="1"/>
                <w:bCs w:val="1"/>
                <w:color w:val="58595B"/>
              </w:rPr>
              <w:t>(2)</w:t>
            </w:r>
          </w:p>
        </w:tc>
        <w:tc>
          <w:tcPr>
            <w:tcW w:w="1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Robert T. Davis, Jr.</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24,228</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26,062</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107,083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 xml:space="preserve">Jan De Witte </w:t>
            </w:r>
            <w:r>
              <w:rPr>
                <w:rFonts w:ascii="Arial" w:cs="Arial" w:eastAsia="Arial" w:hAnsi="Arial"/>
                <w:sz w:val="9"/>
                <w:szCs w:val="9"/>
                <w:b w:val="1"/>
                <w:bCs w:val="1"/>
                <w:color w:val="58595B"/>
              </w:rPr>
              <w:t>(3)</w:t>
            </w:r>
          </w:p>
        </w:tc>
        <w:tc>
          <w:tcPr>
            <w:tcW w:w="13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58595B"/>
              </w:rPr>
              <w:t>93,383</w:t>
            </w:r>
          </w:p>
        </w:tc>
        <w:tc>
          <w:tcPr>
            <w:tcW w:w="1420" w:type="dxa"/>
            <w:vAlign w:val="bottom"/>
          </w:tcPr>
          <w:p>
            <w:pPr>
              <w:jc w:val="center"/>
              <w:spacing w:after="0"/>
              <w:rPr>
                <w:sz w:val="20"/>
                <w:szCs w:val="20"/>
                <w:color w:val="auto"/>
              </w:rPr>
            </w:pPr>
            <w:r>
              <w:rPr>
                <w:rFonts w:ascii="Arial" w:cs="Arial" w:eastAsia="Arial" w:hAnsi="Arial"/>
                <w:sz w:val="14"/>
                <w:szCs w:val="14"/>
                <w:color w:val="58595B"/>
              </w:rPr>
              <w:t>156,713</w:t>
            </w:r>
          </w:p>
        </w:tc>
        <w:tc>
          <w:tcPr>
            <w:tcW w:w="1340" w:type="dxa"/>
            <w:vAlign w:val="bottom"/>
          </w:tcPr>
          <w:p>
            <w:pPr>
              <w:jc w:val="center"/>
              <w:spacing w:after="0"/>
              <w:rPr>
                <w:sz w:val="20"/>
                <w:szCs w:val="20"/>
                <w:color w:val="auto"/>
              </w:rPr>
            </w:pPr>
            <w:r>
              <w:rPr>
                <w:rFonts w:ascii="Arial" w:cs="Arial" w:eastAsia="Arial" w:hAnsi="Arial"/>
                <w:sz w:val="14"/>
                <w:szCs w:val="14"/>
                <w:color w:val="58595B"/>
              </w:rPr>
              <w:t>202,580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Lea Knight</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44,496</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23,644</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27,308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Michael McBreen</w:t>
            </w:r>
          </w:p>
        </w:tc>
        <w:tc>
          <w:tcPr>
            <w:tcW w:w="1340" w:type="dxa"/>
            <w:vAlign w:val="bottom"/>
          </w:tcPr>
          <w:p>
            <w:pPr>
              <w:jc w:val="center"/>
              <w:spacing w:after="0"/>
              <w:rPr>
                <w:sz w:val="20"/>
                <w:szCs w:val="20"/>
                <w:color w:val="auto"/>
              </w:rPr>
            </w:pPr>
            <w:r>
              <w:rPr>
                <w:rFonts w:ascii="Arial" w:cs="Arial" w:eastAsia="Arial" w:hAnsi="Arial"/>
                <w:sz w:val="14"/>
                <w:szCs w:val="14"/>
                <w:color w:val="58595B"/>
              </w:rPr>
              <w:t>33,419</w:t>
            </w:r>
          </w:p>
        </w:tc>
        <w:tc>
          <w:tcPr>
            <w:tcW w:w="14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58595B"/>
              </w:rPr>
              <w:t>45,439</w:t>
            </w:r>
          </w:p>
        </w:tc>
        <w:tc>
          <w:tcPr>
            <w:tcW w:w="1340" w:type="dxa"/>
            <w:vAlign w:val="bottom"/>
          </w:tcPr>
          <w:p>
            <w:pPr>
              <w:jc w:val="center"/>
              <w:spacing w:after="0"/>
              <w:rPr>
                <w:sz w:val="20"/>
                <w:szCs w:val="20"/>
                <w:color w:val="auto"/>
              </w:rPr>
            </w:pPr>
            <w:r>
              <w:rPr>
                <w:rFonts w:ascii="Arial" w:cs="Arial" w:eastAsia="Arial" w:hAnsi="Arial"/>
                <w:sz w:val="14"/>
                <w:szCs w:val="14"/>
                <w:color w:val="58595B"/>
              </w:rPr>
              <w:t>85,430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Jeffrey Mosebrook</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18,163</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6,261</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5,490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Eric I. Schwartz</w:t>
            </w:r>
          </w:p>
        </w:tc>
        <w:tc>
          <w:tcPr>
            <w:tcW w:w="1340" w:type="dxa"/>
            <w:vAlign w:val="bottom"/>
          </w:tcPr>
          <w:p>
            <w:pPr>
              <w:jc w:val="center"/>
              <w:spacing w:after="0"/>
              <w:rPr>
                <w:sz w:val="20"/>
                <w:szCs w:val="20"/>
                <w:color w:val="auto"/>
              </w:rPr>
            </w:pPr>
            <w:r>
              <w:rPr>
                <w:rFonts w:ascii="Arial" w:cs="Arial" w:eastAsia="Arial" w:hAnsi="Arial"/>
                <w:sz w:val="14"/>
                <w:szCs w:val="14"/>
                <w:color w:val="58595B"/>
              </w:rPr>
              <w:t>22,755</w:t>
            </w:r>
          </w:p>
        </w:tc>
        <w:tc>
          <w:tcPr>
            <w:tcW w:w="14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58595B"/>
              </w:rPr>
              <w:t>39,571</w:t>
            </w:r>
          </w:p>
        </w:tc>
        <w:tc>
          <w:tcPr>
            <w:tcW w:w="1340" w:type="dxa"/>
            <w:vAlign w:val="bottom"/>
          </w:tcPr>
          <w:p>
            <w:pPr>
              <w:jc w:val="center"/>
              <w:spacing w:after="0"/>
              <w:rPr>
                <w:sz w:val="20"/>
                <w:szCs w:val="20"/>
                <w:color w:val="auto"/>
              </w:rPr>
            </w:pPr>
            <w:r>
              <w:rPr>
                <w:rFonts w:ascii="Arial" w:cs="Arial" w:eastAsia="Arial" w:hAnsi="Arial"/>
                <w:sz w:val="14"/>
                <w:szCs w:val="14"/>
                <w:color w:val="58595B"/>
              </w:rPr>
              <w:t>88,350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009845"/>
              </w:rPr>
              <w:t>Director Nominees</w:t>
            </w:r>
          </w:p>
        </w:tc>
        <w:tc>
          <w:tcPr>
            <w:tcW w:w="1340" w:type="dxa"/>
            <w:vAlign w:val="bottom"/>
            <w:shd w:val="clear" w:color="auto" w:fill="EFEDED"/>
          </w:tcPr>
          <w:p>
            <w:pPr>
              <w:spacing w:after="0"/>
              <w:rPr>
                <w:sz w:val="20"/>
                <w:szCs w:val="20"/>
                <w:color w:val="auto"/>
              </w:rPr>
            </w:pP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Keith Bradley, Ph.D.</w:t>
            </w:r>
          </w:p>
        </w:tc>
        <w:tc>
          <w:tcPr>
            <w:tcW w:w="1340" w:type="dxa"/>
            <w:vAlign w:val="bottom"/>
          </w:tcPr>
          <w:p>
            <w:pPr>
              <w:jc w:val="center"/>
              <w:spacing w:after="0"/>
              <w:rPr>
                <w:sz w:val="20"/>
                <w:szCs w:val="20"/>
                <w:color w:val="auto"/>
              </w:rPr>
            </w:pPr>
            <w:r>
              <w:rPr>
                <w:rFonts w:ascii="Arial" w:cs="Arial" w:eastAsia="Arial" w:hAnsi="Arial"/>
                <w:sz w:val="14"/>
                <w:szCs w:val="14"/>
                <w:color w:val="58595B"/>
              </w:rPr>
              <w:t>5,302</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Shaundra D. Clay</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4,486</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1"/>
        </w:trPr>
        <w:tc>
          <w:tcPr>
            <w:tcW w:w="56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009845"/>
              </w:rPr>
              <w:t>87</w:t>
            </w:r>
          </w:p>
        </w:tc>
        <w:tc>
          <w:tcPr>
            <w:tcW w:w="0" w:type="dxa"/>
            <w:vAlign w:val="bottom"/>
          </w:tcPr>
          <w:p>
            <w:pPr>
              <w:spacing w:after="0"/>
              <w:rPr>
                <w:sz w:val="1"/>
                <w:szCs w:val="1"/>
                <w:color w:val="auto"/>
              </w:rPr>
            </w:pPr>
          </w:p>
        </w:tc>
      </w:tr>
      <w:tr>
        <w:trPr>
          <w:trHeight w:val="231"/>
        </w:trPr>
        <w:tc>
          <w:tcPr>
            <w:tcW w:w="56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shd w:val="clear" w:color="auto" w:fill="009845"/>
          </w:tcPr>
          <w:p>
            <w:pPr>
              <w:spacing w:after="0"/>
              <w:rPr>
                <w:sz w:val="16"/>
                <w:szCs w:val="16"/>
                <w:color w:val="auto"/>
              </w:rPr>
            </w:pPr>
          </w:p>
        </w:tc>
        <w:tc>
          <w:tcPr>
            <w:tcW w:w="1340" w:type="dxa"/>
            <w:vAlign w:val="bottom"/>
            <w:shd w:val="clear" w:color="auto" w:fill="009845"/>
          </w:tcPr>
          <w:p>
            <w:pPr>
              <w:spacing w:after="0"/>
              <w:rPr>
                <w:sz w:val="16"/>
                <w:szCs w:val="16"/>
                <w:color w:val="auto"/>
              </w:rPr>
            </w:pPr>
          </w:p>
        </w:tc>
        <w:tc>
          <w:tcPr>
            <w:tcW w:w="1400" w:type="dxa"/>
            <w:vAlign w:val="bottom"/>
            <w:shd w:val="clear" w:color="auto" w:fill="009845"/>
          </w:tcPr>
          <w:p>
            <w:pPr>
              <w:spacing w:after="0"/>
              <w:rPr>
                <w:sz w:val="16"/>
                <w:szCs w:val="16"/>
                <w:color w:val="auto"/>
              </w:rPr>
            </w:pPr>
          </w:p>
        </w:tc>
        <w:tc>
          <w:tcPr>
            <w:tcW w:w="1420" w:type="dxa"/>
            <w:vAlign w:val="bottom"/>
            <w:shd w:val="clear" w:color="auto" w:fill="009845"/>
          </w:tcPr>
          <w:p>
            <w:pPr>
              <w:spacing w:after="0"/>
              <w:rPr>
                <w:sz w:val="16"/>
                <w:szCs w:val="16"/>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0" w:type="dxa"/>
            <w:vAlign w:val="bottom"/>
          </w:tcPr>
          <w:p>
            <w:pPr>
              <w:spacing w:after="0"/>
              <w:rPr>
                <w:sz w:val="1"/>
                <w:szCs w:val="1"/>
                <w:color w:val="auto"/>
              </w:rPr>
            </w:pPr>
          </w:p>
        </w:tc>
      </w:tr>
      <w:tr>
        <w:trPr>
          <w:trHeight w:val="175"/>
        </w:trPr>
        <w:tc>
          <w:tcPr>
            <w:tcW w:w="5680" w:type="dxa"/>
            <w:vAlign w:val="bottom"/>
            <w:shd w:val="clear" w:color="auto" w:fill="009845"/>
          </w:tcPr>
          <w:p>
            <w:pPr>
              <w:spacing w:after="0"/>
              <w:rPr>
                <w:sz w:val="15"/>
                <w:szCs w:val="15"/>
                <w:color w:val="auto"/>
              </w:rPr>
            </w:pPr>
          </w:p>
        </w:tc>
        <w:tc>
          <w:tcPr>
            <w:tcW w:w="1340" w:type="dxa"/>
            <w:vAlign w:val="bottom"/>
            <w:vMerge w:val="restart"/>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of</w:t>
            </w: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Shares Underlying</w:t>
            </w:r>
          </w:p>
        </w:tc>
        <w:tc>
          <w:tcPr>
            <w:tcW w:w="1420" w:type="dxa"/>
            <w:vAlign w:val="bottom"/>
            <w:vMerge w:val="restart"/>
            <w:shd w:val="clear" w:color="auto" w:fill="009845"/>
          </w:tcPr>
          <w:p>
            <w:pPr>
              <w:ind w:left="40"/>
              <w:spacing w:after="0"/>
              <w:rPr>
                <w:sz w:val="20"/>
                <w:szCs w:val="20"/>
                <w:color w:val="auto"/>
              </w:rPr>
            </w:pPr>
            <w:r>
              <w:rPr>
                <w:rFonts w:ascii="Arial" w:cs="Arial" w:eastAsia="Arial" w:hAnsi="Arial"/>
                <w:sz w:val="14"/>
                <w:szCs w:val="14"/>
                <w:b w:val="1"/>
                <w:bCs w:val="1"/>
                <w:color w:val="FFFFFF"/>
              </w:rPr>
              <w:t>Performance Stock</w:t>
            </w: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162"/>
        </w:trPr>
        <w:tc>
          <w:tcPr>
            <w:tcW w:w="5680" w:type="dxa"/>
            <w:vAlign w:val="bottom"/>
            <w:shd w:val="clear" w:color="auto" w:fill="009845"/>
          </w:tcPr>
          <w:p>
            <w:pPr>
              <w:spacing w:after="0"/>
              <w:rPr>
                <w:sz w:val="14"/>
                <w:szCs w:val="14"/>
                <w:color w:val="auto"/>
              </w:rPr>
            </w:pPr>
          </w:p>
        </w:tc>
        <w:tc>
          <w:tcPr>
            <w:tcW w:w="1340" w:type="dxa"/>
            <w:vAlign w:val="bottom"/>
            <w:vMerge w:val="continue"/>
            <w:shd w:val="clear" w:color="auto" w:fill="009845"/>
          </w:tcPr>
          <w:p>
            <w:pPr>
              <w:spacing w:after="0"/>
              <w:rPr>
                <w:sz w:val="14"/>
                <w:szCs w:val="14"/>
                <w:color w:val="auto"/>
              </w:rPr>
            </w:pPr>
          </w:p>
        </w:tc>
        <w:tc>
          <w:tcPr>
            <w:tcW w:w="140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20" w:type="dxa"/>
            <w:vAlign w:val="bottom"/>
            <w:vMerge w:val="continue"/>
            <w:shd w:val="clear" w:color="auto" w:fill="009845"/>
          </w:tcPr>
          <w:p>
            <w:pPr>
              <w:spacing w:after="0"/>
              <w:rPr>
                <w:sz w:val="14"/>
                <w:szCs w:val="14"/>
                <w:color w:val="auto"/>
              </w:rPr>
            </w:pPr>
          </w:p>
        </w:tc>
        <w:tc>
          <w:tcPr>
            <w:tcW w:w="134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Underlying Stock</w:t>
            </w:r>
          </w:p>
        </w:tc>
        <w:tc>
          <w:tcPr>
            <w:tcW w:w="0" w:type="dxa"/>
            <w:vAlign w:val="bottom"/>
          </w:tcPr>
          <w:p>
            <w:pPr>
              <w:spacing w:after="0"/>
              <w:rPr>
                <w:sz w:val="1"/>
                <w:szCs w:val="1"/>
                <w:color w:val="auto"/>
              </w:rPr>
            </w:pPr>
          </w:p>
        </w:tc>
      </w:tr>
      <w:tr>
        <w:trPr>
          <w:trHeight w:val="246"/>
        </w:trPr>
        <w:tc>
          <w:tcPr>
            <w:tcW w:w="5680" w:type="dxa"/>
            <w:vAlign w:val="bottom"/>
            <w:tcBorders>
              <w:bottom w:val="single" w:sz="8" w:color="009845"/>
            </w:tcBorders>
            <w:shd w:val="clear" w:color="auto" w:fill="009845"/>
          </w:tcPr>
          <w:p>
            <w:pPr>
              <w:ind w:left="10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Restricted Stock</w:t>
            </w:r>
          </w:p>
        </w:tc>
        <w:tc>
          <w:tcPr>
            <w:tcW w:w="140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w w:val="99"/>
              </w:rPr>
              <w:t>Units(1)</w:t>
            </w:r>
          </w:p>
        </w:tc>
        <w:tc>
          <w:tcPr>
            <w:tcW w:w="1340" w:type="dxa"/>
            <w:vAlign w:val="bottom"/>
            <w:tcBorders>
              <w:bottom w:val="single" w:sz="8" w:color="009845"/>
            </w:tcBorders>
            <w:shd w:val="clear" w:color="auto" w:fill="009845"/>
          </w:tcPr>
          <w:p>
            <w:pPr>
              <w:jc w:val="center"/>
              <w:spacing w:after="0"/>
              <w:rPr>
                <w:sz w:val="20"/>
                <w:szCs w:val="20"/>
                <w:color w:val="auto"/>
              </w:rPr>
            </w:pPr>
            <w:r>
              <w:rPr>
                <w:rFonts w:ascii="Arial" w:cs="Arial" w:eastAsia="Arial" w:hAnsi="Arial"/>
                <w:sz w:val="14"/>
                <w:szCs w:val="14"/>
                <w:b w:val="1"/>
                <w:bCs w:val="1"/>
                <w:color w:val="FFFFFF"/>
              </w:rPr>
              <w:t>Options</w:t>
            </w:r>
          </w:p>
        </w:tc>
        <w:tc>
          <w:tcPr>
            <w:tcW w:w="0" w:type="dxa"/>
            <w:vAlign w:val="bottom"/>
          </w:tcPr>
          <w:p>
            <w:pPr>
              <w:spacing w:after="0"/>
              <w:rPr>
                <w:sz w:val="1"/>
                <w:szCs w:val="1"/>
                <w:color w:val="auto"/>
              </w:rPr>
            </w:pPr>
          </w:p>
        </w:tc>
      </w:tr>
      <w:tr>
        <w:trPr>
          <w:trHeight w:val="229"/>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 xml:space="preserve">Stuart M. Essig, Ph.D. </w:t>
            </w:r>
            <w:r>
              <w:rPr>
                <w:rFonts w:ascii="Arial" w:cs="Arial" w:eastAsia="Arial" w:hAnsi="Arial"/>
                <w:sz w:val="18"/>
                <w:szCs w:val="18"/>
                <w:b w:val="1"/>
                <w:bCs w:val="1"/>
                <w:color w:val="58595B"/>
                <w:vertAlign w:val="superscript"/>
              </w:rPr>
              <w:t>(4)</w:t>
            </w:r>
          </w:p>
        </w:tc>
        <w:tc>
          <w:tcPr>
            <w:tcW w:w="1340" w:type="dxa"/>
            <w:vAlign w:val="bottom"/>
          </w:tcPr>
          <w:p>
            <w:pPr>
              <w:jc w:val="center"/>
              <w:spacing w:after="0"/>
              <w:rPr>
                <w:sz w:val="20"/>
                <w:szCs w:val="20"/>
                <w:color w:val="auto"/>
              </w:rPr>
            </w:pPr>
            <w:r>
              <w:rPr>
                <w:rFonts w:ascii="Arial" w:cs="Arial" w:eastAsia="Arial" w:hAnsi="Arial"/>
                <w:sz w:val="14"/>
                <w:szCs w:val="14"/>
                <w:color w:val="58595B"/>
              </w:rPr>
              <w:t>5,505</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Jeffrey A. Graves, Ph.D.</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2,216</w:t>
            </w:r>
          </w:p>
        </w:tc>
        <w:tc>
          <w:tcPr>
            <w:tcW w:w="1400" w:type="dxa"/>
            <w:vAlign w:val="bottom"/>
            <w:shd w:val="clear" w:color="auto" w:fill="EFEDED"/>
          </w:tcPr>
          <w:p>
            <w:pPr>
              <w:spacing w:after="0"/>
              <w:rPr>
                <w:sz w:val="19"/>
                <w:szCs w:val="19"/>
                <w:color w:val="auto"/>
              </w:rPr>
            </w:pPr>
          </w:p>
        </w:tc>
        <w:tc>
          <w:tcPr>
            <w:tcW w:w="1420" w:type="dxa"/>
            <w:vAlign w:val="bottom"/>
            <w:shd w:val="clear" w:color="auto" w:fill="EFEDED"/>
          </w:tcPr>
          <w:p>
            <w:pPr>
              <w:spacing w:after="0"/>
              <w:rPr>
                <w:sz w:val="19"/>
                <w:szCs w:val="19"/>
                <w:color w:val="auto"/>
              </w:rPr>
            </w:pPr>
          </w:p>
        </w:tc>
        <w:tc>
          <w:tcPr>
            <w:tcW w:w="1340" w:type="dxa"/>
            <w:vAlign w:val="bottom"/>
            <w:shd w:val="clear" w:color="auto" w:fill="EFEDED"/>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Barbara B. Hill</w:t>
            </w:r>
          </w:p>
        </w:tc>
        <w:tc>
          <w:tcPr>
            <w:tcW w:w="1340" w:type="dxa"/>
            <w:vAlign w:val="bottom"/>
          </w:tcPr>
          <w:p>
            <w:pPr>
              <w:jc w:val="center"/>
              <w:spacing w:after="0"/>
              <w:rPr>
                <w:sz w:val="20"/>
                <w:szCs w:val="20"/>
                <w:color w:val="auto"/>
              </w:rPr>
            </w:pPr>
            <w:r>
              <w:rPr>
                <w:rFonts w:ascii="Arial" w:cs="Arial" w:eastAsia="Arial" w:hAnsi="Arial"/>
                <w:sz w:val="14"/>
                <w:szCs w:val="14"/>
                <w:color w:val="58595B"/>
                <w:w w:val="96"/>
              </w:rPr>
              <w:t>6,117</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Renee W. Lo</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4,486</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Raymond G. Murphy</w:t>
            </w:r>
          </w:p>
        </w:tc>
        <w:tc>
          <w:tcPr>
            <w:tcW w:w="1340" w:type="dxa"/>
            <w:vAlign w:val="bottom"/>
          </w:tcPr>
          <w:p>
            <w:pPr>
              <w:jc w:val="center"/>
              <w:spacing w:after="0"/>
              <w:rPr>
                <w:sz w:val="20"/>
                <w:szCs w:val="20"/>
                <w:color w:val="auto"/>
              </w:rPr>
            </w:pPr>
            <w:r>
              <w:rPr>
                <w:rFonts w:ascii="Arial" w:cs="Arial" w:eastAsia="Arial" w:hAnsi="Arial"/>
                <w:sz w:val="14"/>
                <w:szCs w:val="14"/>
                <w:color w:val="58595B"/>
              </w:rPr>
              <w:t>4,486</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Christian S. Schade</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4,486</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All current executive officers as a group (9 persons)</w:t>
            </w:r>
          </w:p>
        </w:tc>
        <w:tc>
          <w:tcPr>
            <w:tcW w:w="1340" w:type="dxa"/>
            <w:vAlign w:val="bottom"/>
          </w:tcPr>
          <w:p>
            <w:pPr>
              <w:jc w:val="center"/>
              <w:spacing w:after="0"/>
              <w:rPr>
                <w:sz w:val="20"/>
                <w:szCs w:val="20"/>
                <w:color w:val="auto"/>
              </w:rPr>
            </w:pPr>
            <w:r>
              <w:rPr>
                <w:rFonts w:ascii="Arial" w:cs="Arial" w:eastAsia="Arial" w:hAnsi="Arial"/>
                <w:sz w:val="14"/>
                <w:szCs w:val="14"/>
                <w:color w:val="58595B"/>
              </w:rPr>
              <w:t>174,357</w:t>
            </w:r>
          </w:p>
        </w:tc>
        <w:tc>
          <w:tcPr>
            <w:tcW w:w="1400" w:type="dxa"/>
            <w:vAlign w:val="bottom"/>
          </w:tcPr>
          <w:p>
            <w:pPr>
              <w:jc w:val="right"/>
              <w:ind w:right="348"/>
              <w:spacing w:after="0"/>
              <w:rPr>
                <w:sz w:val="20"/>
                <w:szCs w:val="20"/>
                <w:color w:val="auto"/>
              </w:rPr>
            </w:pPr>
            <w:r>
              <w:rPr>
                <w:rFonts w:ascii="Arial" w:cs="Arial" w:eastAsia="Arial" w:hAnsi="Arial"/>
                <w:sz w:val="14"/>
                <w:szCs w:val="14"/>
                <w:color w:val="58595B"/>
              </w:rPr>
              <w:t>131,450</w:t>
            </w:r>
          </w:p>
        </w:tc>
        <w:tc>
          <w:tcPr>
            <w:tcW w:w="1420" w:type="dxa"/>
            <w:vAlign w:val="bottom"/>
          </w:tcPr>
          <w:p>
            <w:pPr>
              <w:jc w:val="center"/>
              <w:spacing w:after="0"/>
              <w:rPr>
                <w:sz w:val="20"/>
                <w:szCs w:val="20"/>
                <w:color w:val="auto"/>
              </w:rPr>
            </w:pPr>
            <w:r>
              <w:rPr>
                <w:rFonts w:ascii="Arial" w:cs="Arial" w:eastAsia="Arial" w:hAnsi="Arial"/>
                <w:sz w:val="14"/>
                <w:szCs w:val="14"/>
                <w:color w:val="58595B"/>
              </w:rPr>
              <w:t>326,132</w:t>
            </w:r>
          </w:p>
        </w:tc>
        <w:tc>
          <w:tcPr>
            <w:tcW w:w="1340" w:type="dxa"/>
            <w:vAlign w:val="bottom"/>
          </w:tcPr>
          <w:p>
            <w:pPr>
              <w:jc w:val="center"/>
              <w:spacing w:after="0"/>
              <w:rPr>
                <w:sz w:val="20"/>
                <w:szCs w:val="20"/>
                <w:color w:val="auto"/>
              </w:rPr>
            </w:pPr>
            <w:r>
              <w:rPr>
                <w:rFonts w:ascii="Arial" w:cs="Arial" w:eastAsia="Arial" w:hAnsi="Arial"/>
                <w:sz w:val="14"/>
                <w:szCs w:val="14"/>
                <w:color w:val="58595B"/>
              </w:rPr>
              <w:t>549,519</w:t>
            </w:r>
          </w:p>
        </w:tc>
        <w:tc>
          <w:tcPr>
            <w:tcW w:w="0" w:type="dxa"/>
            <w:vAlign w:val="bottom"/>
          </w:tcPr>
          <w:p>
            <w:pPr>
              <w:spacing w:after="0"/>
              <w:rPr>
                <w:sz w:val="1"/>
                <w:szCs w:val="1"/>
                <w:color w:val="auto"/>
              </w:rPr>
            </w:pPr>
          </w:p>
        </w:tc>
      </w:tr>
      <w:tr>
        <w:trPr>
          <w:trHeight w:val="237"/>
        </w:trPr>
        <w:tc>
          <w:tcPr>
            <w:tcW w:w="568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All current non-employee directors as a group (7 persons)</w:t>
            </w: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31,579</w:t>
            </w:r>
          </w:p>
        </w:tc>
        <w:tc>
          <w:tcPr>
            <w:tcW w:w="1400" w:type="dxa"/>
            <w:vAlign w:val="bottom"/>
            <w:shd w:val="clear" w:color="auto" w:fill="EFEDED"/>
          </w:tcPr>
          <w:p>
            <w:pPr>
              <w:spacing w:after="0"/>
              <w:rPr>
                <w:sz w:val="20"/>
                <w:szCs w:val="20"/>
                <w:color w:val="auto"/>
              </w:rPr>
            </w:pPr>
          </w:p>
        </w:tc>
        <w:tc>
          <w:tcPr>
            <w:tcW w:w="1420" w:type="dxa"/>
            <w:vAlign w:val="bottom"/>
            <w:shd w:val="clear" w:color="auto" w:fill="EFEDED"/>
          </w:tcPr>
          <w:p>
            <w:pPr>
              <w:spacing w:after="0"/>
              <w:rPr>
                <w:sz w:val="20"/>
                <w:szCs w:val="20"/>
                <w:color w:val="auto"/>
              </w:rPr>
            </w:pPr>
          </w:p>
        </w:tc>
        <w:tc>
          <w:tcPr>
            <w:tcW w:w="1340" w:type="dxa"/>
            <w:vAlign w:val="bottom"/>
            <w:shd w:val="clear" w:color="auto" w:fill="EFEDED"/>
          </w:tcPr>
          <w:p>
            <w:pPr>
              <w:jc w:val="center"/>
              <w:spacing w:after="0"/>
              <w:rPr>
                <w:sz w:val="20"/>
                <w:szCs w:val="20"/>
                <w:color w:val="auto"/>
              </w:rPr>
            </w:pPr>
            <w:r>
              <w:rPr>
                <w:rFonts w:ascii="Arial" w:cs="Arial" w:eastAsia="Arial" w:hAnsi="Arial"/>
                <w:sz w:val="14"/>
                <w:szCs w:val="14"/>
                <w:color w:val="58595B"/>
              </w:rPr>
              <w:t>183,290</w:t>
            </w:r>
          </w:p>
        </w:tc>
        <w:tc>
          <w:tcPr>
            <w:tcW w:w="0" w:type="dxa"/>
            <w:vAlign w:val="bottom"/>
          </w:tcPr>
          <w:p>
            <w:pPr>
              <w:spacing w:after="0"/>
              <w:rPr>
                <w:sz w:val="1"/>
                <w:szCs w:val="1"/>
                <w:color w:val="auto"/>
              </w:rPr>
            </w:pPr>
          </w:p>
        </w:tc>
      </w:tr>
      <w:tr>
        <w:trPr>
          <w:trHeight w:val="193"/>
        </w:trPr>
        <w:tc>
          <w:tcPr>
            <w:tcW w:w="5680" w:type="dxa"/>
            <w:vAlign w:val="bottom"/>
          </w:tcPr>
          <w:p>
            <w:pPr>
              <w:ind w:left="100"/>
              <w:spacing w:after="0"/>
              <w:rPr>
                <w:sz w:val="20"/>
                <w:szCs w:val="20"/>
                <w:color w:val="auto"/>
              </w:rPr>
            </w:pPr>
            <w:r>
              <w:rPr>
                <w:rFonts w:ascii="Arial" w:cs="Arial" w:eastAsia="Arial" w:hAnsi="Arial"/>
                <w:sz w:val="14"/>
                <w:szCs w:val="14"/>
                <w:b w:val="1"/>
                <w:bCs w:val="1"/>
                <w:color w:val="58595B"/>
              </w:rPr>
              <w:t>All employees, including current officers who are not executive officers, as a</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58595B"/>
              </w:rPr>
              <w:t>607,961</w:t>
            </w:r>
          </w:p>
        </w:tc>
        <w:tc>
          <w:tcPr>
            <w:tcW w:w="1400" w:type="dxa"/>
            <w:vAlign w:val="bottom"/>
            <w:vMerge w:val="restart"/>
          </w:tcPr>
          <w:p>
            <w:pPr>
              <w:jc w:val="right"/>
              <w:ind w:right="388"/>
              <w:spacing w:after="0"/>
              <w:rPr>
                <w:sz w:val="20"/>
                <w:szCs w:val="20"/>
                <w:color w:val="auto"/>
              </w:rPr>
            </w:pPr>
            <w:r>
              <w:rPr>
                <w:rFonts w:ascii="Arial" w:cs="Arial" w:eastAsia="Arial" w:hAnsi="Arial"/>
                <w:sz w:val="14"/>
                <w:szCs w:val="14"/>
                <w:color w:val="58595B"/>
              </w:rPr>
              <w:t>75,473</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58595B"/>
              </w:rPr>
              <w:t>154,845</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58595B"/>
              </w:rPr>
              <w:t>94,715</w:t>
            </w:r>
          </w:p>
        </w:tc>
        <w:tc>
          <w:tcPr>
            <w:tcW w:w="0" w:type="dxa"/>
            <w:vAlign w:val="bottom"/>
          </w:tcPr>
          <w:p>
            <w:pPr>
              <w:spacing w:after="0"/>
              <w:rPr>
                <w:sz w:val="1"/>
                <w:szCs w:val="1"/>
                <w:color w:val="auto"/>
              </w:rPr>
            </w:pPr>
          </w:p>
        </w:tc>
      </w:tr>
      <w:tr>
        <w:trPr>
          <w:trHeight w:val="96"/>
        </w:trPr>
        <w:tc>
          <w:tcPr>
            <w:tcW w:w="5680" w:type="dxa"/>
            <w:vAlign w:val="bottom"/>
            <w:vMerge w:val="restart"/>
          </w:tcPr>
          <w:p>
            <w:pPr>
              <w:ind w:left="100"/>
              <w:spacing w:after="0"/>
              <w:rPr>
                <w:sz w:val="20"/>
                <w:szCs w:val="20"/>
                <w:color w:val="auto"/>
              </w:rPr>
            </w:pPr>
            <w:r>
              <w:rPr>
                <w:rFonts w:ascii="Arial" w:cs="Arial" w:eastAsia="Arial" w:hAnsi="Arial"/>
                <w:sz w:val="14"/>
                <w:szCs w:val="14"/>
                <w:b w:val="1"/>
                <w:bCs w:val="1"/>
                <w:color w:val="58595B"/>
              </w:rPr>
              <w:t>group</w:t>
            </w:r>
          </w:p>
        </w:tc>
        <w:tc>
          <w:tcPr>
            <w:tcW w:w="13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680" w:type="dxa"/>
            <w:vAlign w:val="bottom"/>
            <w:tcBorders>
              <w:bottom w:val="single" w:sz="8" w:color="58595B"/>
            </w:tcBorders>
            <w:vMerge w:val="continue"/>
          </w:tcPr>
          <w:p>
            <w:pPr>
              <w:spacing w:after="0"/>
              <w:rPr>
                <w:sz w:val="9"/>
                <w:szCs w:val="9"/>
                <w:color w:val="auto"/>
              </w:rPr>
            </w:pPr>
          </w:p>
        </w:tc>
        <w:tc>
          <w:tcPr>
            <w:tcW w:w="1340" w:type="dxa"/>
            <w:vAlign w:val="bottom"/>
            <w:tcBorders>
              <w:bottom w:val="single" w:sz="8" w:color="58595B"/>
            </w:tcBorders>
          </w:tcPr>
          <w:p>
            <w:pPr>
              <w:spacing w:after="0"/>
              <w:rPr>
                <w:sz w:val="9"/>
                <w:szCs w:val="9"/>
                <w:color w:val="auto"/>
              </w:rPr>
            </w:pPr>
          </w:p>
        </w:tc>
        <w:tc>
          <w:tcPr>
            <w:tcW w:w="1400" w:type="dxa"/>
            <w:vAlign w:val="bottom"/>
            <w:tcBorders>
              <w:bottom w:val="single" w:sz="8" w:color="58595B"/>
            </w:tcBorders>
          </w:tcPr>
          <w:p>
            <w:pPr>
              <w:spacing w:after="0"/>
              <w:rPr>
                <w:sz w:val="9"/>
                <w:szCs w:val="9"/>
                <w:color w:val="auto"/>
              </w:rPr>
            </w:pPr>
          </w:p>
        </w:tc>
        <w:tc>
          <w:tcPr>
            <w:tcW w:w="1420" w:type="dxa"/>
            <w:vAlign w:val="bottom"/>
            <w:tcBorders>
              <w:bottom w:val="single" w:sz="8" w:color="58595B"/>
            </w:tcBorders>
          </w:tcPr>
          <w:p>
            <w:pPr>
              <w:spacing w:after="0"/>
              <w:rPr>
                <w:sz w:val="9"/>
                <w:szCs w:val="9"/>
                <w:color w:val="auto"/>
              </w:rPr>
            </w:pPr>
          </w:p>
        </w:tc>
        <w:tc>
          <w:tcPr>
            <w:tcW w:w="1340" w:type="dxa"/>
            <w:vAlign w:val="bottom"/>
            <w:tcBorders>
              <w:bottom w:val="single" w:sz="8" w:color="58595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420" w:hanging="332"/>
        <w:spacing w:after="0" w:line="285" w:lineRule="auto"/>
        <w:tabs>
          <w:tab w:leader="none" w:pos="338"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performance share units. The amounts shown above reflects shares earned with respect to completed performance periods, and target awards granted with respect to ongoing performance periods.</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Effective February 2, 2023, Ms. Anderson resigned as our Chief Financial Officer.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De Witte is also a director nominee.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Essig is also an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9845"/>
        </w:rPr>
        <w:t>Material U.S. Federal Income Tax Consequences</w:t>
      </w:r>
    </w:p>
    <w:p>
      <w:pPr>
        <w:spacing w:after="0" w:line="208"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The following is a general summary under current law of the principal United States federal income tax consequences related to awards under the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i w:val="1"/>
          <w:iCs w:val="1"/>
          <w:color w:val="58595B"/>
        </w:rPr>
        <w:t>Non-Qualified Stock Options</w:t>
      </w:r>
      <w:r>
        <w:rPr>
          <w:rFonts w:ascii="Arial" w:cs="Arial" w:eastAsia="Arial" w:hAnsi="Arial"/>
          <w:sz w:val="16"/>
          <w:szCs w:val="16"/>
          <w:color w:val="58595B"/>
        </w:rPr>
        <w:t>. Under the Code, the grant of a nonqualified stock option is generally not taxable to the participant. On exercise of a</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nonqualified stock option granted under the Plan, a participant will recognize ordinary income equal to the excess, if any, of the fair market value of the shares acquired over the exercise price. The participant’s tax basis in those shares will be equal to their fair market value on the date of exercise of the option, and the participant’s holding period for those shares will begin on that date. Upon a participant’s sale of shares acquired pursuant to the exercise of a nonqualified stock option, any difference between the sale price and the fair market value of the shares on the date when the stock option was exercised will be treated as long-term or short-term capital gain or loss.</w:t>
      </w:r>
    </w:p>
    <w:p>
      <w:pPr>
        <w:spacing w:after="0" w:line="122"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If a participant pays for shares of stock on exercise of an option by delivering shares of common stock, the participant will not recognize gain or loss on the shares delivered, even if the fair market value of such shares differs from the participant’s tax basis in such shares. The participant, however, will be taxed on the exercise of the option in the manner described above as if he had paid the exercise price in cash. The tax basis of the shares received upon exercise will be the tax basis of the shares delivered as payment, share for share, to the extent the number of shares received equals the number of shares delivered as payment. In addition, the holding period of the shares received will include the holding period of the shares delivered as payment. The participant’s tax basis and holding period for any shares received in excess of the number of shares delivered by the participant will be the same as if the participant had exercised the option solely in exchange for cash.</w:t>
      </w:r>
    </w:p>
    <w:p>
      <w:pPr>
        <w:spacing w:after="0" w:line="140" w:lineRule="exact"/>
        <w:rPr>
          <w:sz w:val="20"/>
          <w:szCs w:val="20"/>
          <w:color w:val="auto"/>
        </w:rPr>
      </w:pPr>
    </w:p>
    <w:p>
      <w:pPr>
        <w:spacing w:after="0" w:line="313" w:lineRule="auto"/>
        <w:rPr>
          <w:sz w:val="20"/>
          <w:szCs w:val="20"/>
          <w:color w:val="auto"/>
        </w:rPr>
      </w:pPr>
      <w:r>
        <w:rPr>
          <w:rFonts w:ascii="Arial" w:cs="Arial" w:eastAsia="Arial" w:hAnsi="Arial"/>
          <w:sz w:val="16"/>
          <w:szCs w:val="16"/>
          <w:color w:val="58595B"/>
        </w:rPr>
        <w:t>Upon a participant’s exercise of a nonqualified stock option, the Company or the applicable subsidiary will generally be entitled to a deduction for U.S. federal income tax purposes at such time and in the same amount recognized as ordinary income to the participant, subject to the possible limitations on deductibility under Sections 162(m) and 280G of the Code for compensation paid to executives designated in those Sections, and provided that such amount constitutes an ordinary and necessary business expense for the Company and is reasonable in amount, and either the employee includes that amount in income or the Company timely satisfies its reporting requirements with respect to that amount.</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88</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009845"/>
        </w:rPr>
        <w:t>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i w:val="1"/>
          <w:iCs w:val="1"/>
          <w:color w:val="58595B"/>
        </w:rPr>
        <w:t>Incentive Stock Options</w:t>
      </w:r>
      <w:r>
        <w:rPr>
          <w:rFonts w:ascii="Arial" w:cs="Arial" w:eastAsia="Arial" w:hAnsi="Arial"/>
          <w:sz w:val="16"/>
          <w:szCs w:val="16"/>
          <w:color w:val="58595B"/>
        </w:rPr>
        <w:t>. If an optionee is granted a nonqualified stock option under the Plan, the optionee should not have taxable income on the grant of</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122"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b w:val="1"/>
          <w:bCs w:val="1"/>
          <w:i w:val="1"/>
          <w:iCs w:val="1"/>
          <w:color w:val="58595B"/>
        </w:rPr>
        <w:t>Other Awards</w:t>
      </w:r>
      <w:r>
        <w:rPr>
          <w:rFonts w:ascii="Arial" w:cs="Arial" w:eastAsia="Arial" w:hAnsi="Arial"/>
          <w:sz w:val="16"/>
          <w:szCs w:val="16"/>
          <w:color w:val="58595B"/>
        </w:rPr>
        <w:t>. The current federal income tax consequences of other awards authorized under the Plan generally follow certain basic patterns: stock</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appreciation rights are taxed and deductible in substantially the same manner as nonqualified stock options;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performance stock awards, contract stock awards, dividend equivalents, stock payments, and other incentive awards are generally subject to tax at the time of payment.</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58595B"/>
        </w:rPr>
        <w:t>Section 409A of the Code</w:t>
      </w:r>
      <w:r>
        <w:rPr>
          <w:rFonts w:ascii="Arial" w:cs="Arial" w:eastAsia="Arial" w:hAnsi="Arial"/>
          <w:sz w:val="16"/>
          <w:szCs w:val="16"/>
          <w:color w:val="58595B"/>
        </w:rPr>
        <w:t>. Section 409A of the Code governs the taxation of deferred compensation. Certain types of awards under the Plan may</w:t>
      </w:r>
      <w:r>
        <w:rPr>
          <w:rFonts w:ascii="Arial" w:cs="Arial" w:eastAsia="Arial" w:hAnsi="Arial"/>
          <w:sz w:val="16"/>
          <w:szCs w:val="16"/>
          <w:b w:val="1"/>
          <w:bCs w:val="1"/>
          <w:i w:val="1"/>
          <w:iCs w:val="1"/>
          <w:color w:val="58595B"/>
        </w:rPr>
        <w:t xml:space="preserve"> </w:t>
      </w:r>
      <w:r>
        <w:rPr>
          <w:rFonts w:ascii="Arial" w:cs="Arial" w:eastAsia="Arial" w:hAnsi="Arial"/>
          <w:sz w:val="16"/>
          <w:szCs w:val="16"/>
          <w:color w:val="58595B"/>
        </w:rPr>
        <w:t>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Plan and awards granted under the Plan are intended to be structured and interpreted in a manner intended to either comply with or be exempt from Section</w:t>
      </w:r>
    </w:p>
    <w:p>
      <w:pPr>
        <w:spacing w:after="0" w:line="2" w:lineRule="exact"/>
        <w:rPr>
          <w:sz w:val="20"/>
          <w:szCs w:val="20"/>
          <w:color w:val="auto"/>
        </w:rPr>
      </w:pPr>
    </w:p>
    <w:p>
      <w:pPr>
        <w:jc w:val="both"/>
        <w:ind w:right="240"/>
        <w:spacing w:after="0" w:line="328" w:lineRule="auto"/>
        <w:rPr>
          <w:sz w:val="20"/>
          <w:szCs w:val="20"/>
          <w:color w:val="auto"/>
        </w:rPr>
      </w:pPr>
      <w:r>
        <w:rPr>
          <w:rFonts w:ascii="Arial" w:cs="Arial" w:eastAsia="Arial" w:hAnsi="Arial"/>
          <w:sz w:val="16"/>
          <w:szCs w:val="16"/>
          <w:color w:val="58595B"/>
        </w:rPr>
        <w:t>409A of the Code and the Department of Treasury regulations and other interpretive guidance that may be issued under Section 409A of the Code. To the extent determined necessary or appropriate by the plan administrator, the Plan and applicable award agreements may be amended to further comply with Section 409A of the Code or to exempt the applicable awards from Section 409A of the Code.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Required Vote for Approval and Recommendation of the Board of Directors</w:t>
      </w:r>
    </w:p>
    <w:p>
      <w:pPr>
        <w:spacing w:after="0" w:line="85" w:lineRule="exact"/>
        <w:rPr>
          <w:sz w:val="20"/>
          <w:szCs w:val="20"/>
          <w:color w:val="auto"/>
        </w:rPr>
      </w:pPr>
    </w:p>
    <w:p>
      <w:pPr>
        <w:jc w:val="both"/>
        <w:ind w:right="100"/>
        <w:spacing w:after="0" w:line="319" w:lineRule="auto"/>
        <w:rPr>
          <w:sz w:val="20"/>
          <w:szCs w:val="20"/>
          <w:color w:val="auto"/>
        </w:rPr>
      </w:pPr>
      <w:r>
        <w:rPr>
          <w:rFonts w:ascii="Arial" w:cs="Arial" w:eastAsia="Arial" w:hAnsi="Arial"/>
          <w:sz w:val="16"/>
          <w:szCs w:val="16"/>
          <w:color w:val="58595B"/>
        </w:rPr>
        <w:t>The affirmative vote of the holders of a majority of the shares present, in person or represented by proxy, at the Annual Meeting and entitled to vote thereon is required for approval of this proposal. Abstentions will have the effect of a vote against this proposal. Broker non-votes will have no effect on the outcome of this proposal.</w:t>
      </w:r>
    </w:p>
    <w:p>
      <w:pPr>
        <w:spacing w:after="0" w:line="238"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58595B"/>
        </w:rPr>
        <w:t>If our stockholders do not approve this proposal, the proposed additional shares will not become available for issuance under the Plan, the Share Availability Amendment will not become operative and the number of shares authorized for issuance under under the Plan shall remain 16,600,000.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90170</wp:posOffset>
            </wp:positionV>
            <wp:extent cx="94615" cy="3943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4615" cy="394335"/>
                    </a:xfrm>
                    <a:prstGeom prst="rect">
                      <a:avLst/>
                    </a:prstGeom>
                    <a:noFill/>
                  </pic:spPr>
                </pic:pic>
              </a:graphicData>
            </a:graphic>
          </wp:anchor>
        </w:drawing>
      </w:r>
    </w:p>
    <w:p>
      <w:pPr>
        <w:spacing w:after="0" w:line="136" w:lineRule="exact"/>
        <w:rPr>
          <w:sz w:val="20"/>
          <w:szCs w:val="20"/>
          <w:color w:val="auto"/>
        </w:rPr>
      </w:pPr>
    </w:p>
    <w:p>
      <w:pPr>
        <w:ind w:left="1400" w:right="300"/>
        <w:spacing w:after="0" w:line="310" w:lineRule="auto"/>
        <w:rPr>
          <w:sz w:val="20"/>
          <w:szCs w:val="20"/>
          <w:color w:val="auto"/>
        </w:rPr>
      </w:pPr>
      <w:r>
        <w:rPr>
          <w:rFonts w:ascii="Arial" w:cs="Arial" w:eastAsia="Arial" w:hAnsi="Arial"/>
          <w:sz w:val="21"/>
          <w:szCs w:val="21"/>
          <w:color w:val="58595B"/>
        </w:rPr>
        <w:t xml:space="preserve">The Board of Directors hereby recommends a vote </w:t>
      </w:r>
      <w:r>
        <w:rPr>
          <w:rFonts w:ascii="Arial" w:cs="Arial" w:eastAsia="Arial" w:hAnsi="Arial"/>
          <w:sz w:val="21"/>
          <w:szCs w:val="21"/>
          <w:color w:val="009845"/>
        </w:rPr>
        <w:t>“FOR”</w:t>
      </w:r>
      <w:r>
        <w:rPr>
          <w:rFonts w:ascii="Arial" w:cs="Arial" w:eastAsia="Arial" w:hAnsi="Arial"/>
          <w:sz w:val="21"/>
          <w:szCs w:val="21"/>
          <w:color w:val="58595B"/>
        </w:rPr>
        <w:t xml:space="preserve"> the approval of Amendment No. 1 to the Integra LifeSciences Holdings Corporation Fifth Amended and Restated 2003 Equity Incentive Plan.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89</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36"/>
          <w:szCs w:val="36"/>
          <w:color w:val="009845"/>
        </w:rPr>
        <w:t>PRINCIPAL STOCKHOLDERS</w:t>
      </w:r>
    </w:p>
    <w:p>
      <w:pPr>
        <w:spacing w:after="0" w:line="200" w:lineRule="exact"/>
        <w:rPr>
          <w:sz w:val="20"/>
          <w:szCs w:val="20"/>
          <w:color w:val="auto"/>
        </w:rPr>
      </w:pPr>
    </w:p>
    <w:p>
      <w:pPr>
        <w:spacing w:after="0" w:line="220" w:lineRule="exact"/>
        <w:rPr>
          <w:sz w:val="20"/>
          <w:szCs w:val="20"/>
          <w:color w:val="auto"/>
        </w:rPr>
      </w:pPr>
    </w:p>
    <w:p>
      <w:pPr>
        <w:spacing w:after="0" w:line="314" w:lineRule="auto"/>
        <w:rPr>
          <w:sz w:val="20"/>
          <w:szCs w:val="20"/>
          <w:color w:val="auto"/>
        </w:rPr>
      </w:pPr>
      <w:r>
        <w:rPr>
          <w:rFonts w:ascii="Arial" w:cs="Arial" w:eastAsia="Arial" w:hAnsi="Arial"/>
          <w:sz w:val="16"/>
          <w:szCs w:val="16"/>
          <w:color w:val="58595B"/>
        </w:rPr>
        <w:t>The following table sets forth certain information regarding the beneficial ownership of common stock as of February 29, 2024 by: (a) each person or entity known to the Company to be the beneficial owner of more than five percent of the outstanding shares of common stock, based upon Company records or statements filed with the SEC;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1100 Campus Road, Princeton, NJ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4457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Name and Address of Beneficial Owner</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Carrie L. Anderson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Keith Bradley, Ph.D.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Shaundra D. Clay</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Robert T. Davis, Jr.</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Jan De Witte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Stuart M. Essig, Ph.D.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Jeffrey A. Graves, Ph.D.</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Barbara B. Hill</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Lea Knight</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Renee W. Lo</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Michael McBreen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Jeffrey Mosebrook</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Raymond G. Murphy</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Christian S. Schade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Eric I. Schwartz</w:t>
      </w:r>
    </w:p>
    <w:p>
      <w:pPr>
        <w:spacing w:after="0" w:line="69" w:lineRule="exact"/>
        <w:rPr>
          <w:sz w:val="20"/>
          <w:szCs w:val="20"/>
          <w:color w:val="auto"/>
        </w:rPr>
      </w:pPr>
    </w:p>
    <w:p>
      <w:pPr>
        <w:ind w:left="220" w:right="860" w:hanging="119"/>
        <w:spacing w:after="0" w:line="301" w:lineRule="auto"/>
        <w:rPr>
          <w:sz w:val="20"/>
          <w:szCs w:val="20"/>
          <w:color w:val="auto"/>
        </w:rPr>
      </w:pPr>
      <w:r>
        <w:rPr>
          <w:rFonts w:ascii="Arial" w:cs="Arial" w:eastAsia="Arial" w:hAnsi="Arial"/>
          <w:sz w:val="14"/>
          <w:szCs w:val="14"/>
          <w:b w:val="1"/>
          <w:bCs w:val="1"/>
          <w:color w:val="58595B"/>
        </w:rPr>
        <w:t>All directors, nominees for director and executive officers as a group (16 persons)</w:t>
      </w:r>
    </w:p>
    <w:p>
      <w:pPr>
        <w:spacing w:after="0" w:line="1" w:lineRule="exact"/>
        <w:rPr>
          <w:sz w:val="20"/>
          <w:szCs w:val="20"/>
          <w:color w:val="auto"/>
        </w:rPr>
      </w:pPr>
    </w:p>
    <w:p>
      <w:pPr>
        <w:ind w:left="180" w:right="500"/>
        <w:spacing w:after="0" w:line="301" w:lineRule="auto"/>
        <w:rPr>
          <w:sz w:val="20"/>
          <w:szCs w:val="20"/>
          <w:color w:val="auto"/>
        </w:rPr>
      </w:pPr>
      <w:r>
        <w:rPr>
          <w:rFonts w:ascii="Arial" w:cs="Arial" w:eastAsia="Arial" w:hAnsi="Arial"/>
          <w:sz w:val="14"/>
          <w:szCs w:val="14"/>
          <w:color w:val="58595B"/>
        </w:rPr>
        <w:t>Tru St Partnership LP and Provco Leasing Corporation 795 E. Lancaster Avenue, Suite 200, Villanova, PA 19085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The Vanguard Group</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100 Vanguard Blvd., Malvern, PA 19355</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BlackRock, Inc.</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55 East 52nd Street New York, NY 10055</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Morgan Stanley</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1585 Broadway New York, NY 10036</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Capital Research Global Investors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58595B"/>
        </w:rPr>
        <w:t>333 South Hope Street, 55th Fl, Los Angeles, CA 90071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FFFFFF"/>
        </w:rPr>
        <w:t>Amount and Nature of Beneficial Ownership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60" w:type="dxa"/>
            <w:vAlign w:val="bottom"/>
            <w:gridSpan w:val="2"/>
            <w:shd w:val="clear" w:color="auto" w:fill="009845"/>
          </w:tcPr>
          <w:p>
            <w:pPr>
              <w:jc w:val="right"/>
              <w:ind w:right="448"/>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rPr>
              <w:t>Right to</w:t>
            </w:r>
          </w:p>
        </w:tc>
        <w:tc>
          <w:tcPr>
            <w:tcW w:w="1140" w:type="dxa"/>
            <w:vAlign w:val="bottom"/>
            <w:shd w:val="clear" w:color="auto" w:fill="009845"/>
          </w:tcPr>
          <w:p>
            <w:pPr>
              <w:spacing w:after="0"/>
              <w:rPr>
                <w:sz w:val="17"/>
                <w:szCs w:val="17"/>
                <w:color w:val="auto"/>
              </w:rPr>
            </w:pPr>
          </w:p>
        </w:tc>
        <w:tc>
          <w:tcPr>
            <w:tcW w:w="680" w:type="dxa"/>
            <w:vAlign w:val="bottom"/>
            <w:shd w:val="clear" w:color="auto" w:fill="009845"/>
          </w:tcPr>
          <w:p>
            <w:pPr>
              <w:spacing w:after="0"/>
              <w:rPr>
                <w:sz w:val="17"/>
                <w:szCs w:val="17"/>
                <w:color w:val="auto"/>
              </w:rPr>
            </w:pPr>
          </w:p>
        </w:tc>
        <w:tc>
          <w:tcPr>
            <w:tcW w:w="132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rPr>
              <w:t>Percent of</w:t>
            </w:r>
          </w:p>
        </w:tc>
      </w:tr>
      <w:tr>
        <w:trPr>
          <w:trHeight w:val="268"/>
        </w:trPr>
        <w:tc>
          <w:tcPr>
            <w:tcW w:w="1660" w:type="dxa"/>
            <w:vAlign w:val="bottom"/>
            <w:gridSpan w:val="2"/>
            <w:shd w:val="clear" w:color="auto" w:fill="009845"/>
          </w:tcPr>
          <w:p>
            <w:pPr>
              <w:jc w:val="right"/>
              <w:ind w:right="248"/>
              <w:spacing w:after="0"/>
              <w:rPr>
                <w:sz w:val="20"/>
                <w:szCs w:val="20"/>
                <w:color w:val="auto"/>
              </w:rPr>
            </w:pPr>
            <w:r>
              <w:rPr>
                <w:rFonts w:ascii="Arial" w:cs="Arial" w:eastAsia="Arial" w:hAnsi="Arial"/>
                <w:sz w:val="14"/>
                <w:szCs w:val="14"/>
                <w:b w:val="1"/>
                <w:bCs w:val="1"/>
                <w:color w:val="FFFFFF"/>
              </w:rPr>
              <w:t>Shares Owned</w:t>
            </w:r>
            <w:r>
              <w:rPr>
                <w:rFonts w:ascii="Arial" w:cs="Arial" w:eastAsia="Arial" w:hAnsi="Arial"/>
                <w:sz w:val="18"/>
                <w:szCs w:val="18"/>
                <w:b w:val="1"/>
                <w:bCs w:val="1"/>
                <w:color w:val="FFFFFF"/>
                <w:vertAlign w:val="superscript"/>
              </w:rPr>
              <w:t>(1)</w:t>
            </w:r>
          </w:p>
        </w:tc>
        <w:tc>
          <w:tcPr>
            <w:tcW w:w="1360" w:type="dxa"/>
            <w:vAlign w:val="bottom"/>
            <w:shd w:val="clear" w:color="auto" w:fill="009845"/>
          </w:tcPr>
          <w:p>
            <w:pPr>
              <w:jc w:val="center"/>
              <w:spacing w:after="0"/>
              <w:rPr>
                <w:sz w:val="20"/>
                <w:szCs w:val="20"/>
                <w:color w:val="auto"/>
              </w:rPr>
            </w:pPr>
            <w:r>
              <w:rPr>
                <w:rFonts w:ascii="Arial" w:cs="Arial" w:eastAsia="Arial" w:hAnsi="Arial"/>
                <w:sz w:val="14"/>
                <w:szCs w:val="14"/>
                <w:b w:val="1"/>
                <w:bCs w:val="1"/>
                <w:color w:val="FFFFFF"/>
                <w:w w:val="95"/>
              </w:rPr>
              <w:t>Acquire</w:t>
            </w:r>
            <w:r>
              <w:rPr>
                <w:rFonts w:ascii="Arial" w:cs="Arial" w:eastAsia="Arial" w:hAnsi="Arial"/>
                <w:sz w:val="18"/>
                <w:szCs w:val="18"/>
                <w:b w:val="1"/>
                <w:bCs w:val="1"/>
                <w:color w:val="FFFFFF"/>
                <w:w w:val="95"/>
                <w:vertAlign w:val="superscript"/>
              </w:rPr>
              <w:t>(2)</w:t>
            </w:r>
          </w:p>
        </w:tc>
        <w:tc>
          <w:tcPr>
            <w:tcW w:w="1140" w:type="dxa"/>
            <w:vAlign w:val="bottom"/>
            <w:shd w:val="clear" w:color="auto" w:fill="009845"/>
          </w:tcPr>
          <w:p>
            <w:pPr>
              <w:ind w:left="720"/>
              <w:spacing w:after="0"/>
              <w:rPr>
                <w:sz w:val="20"/>
                <w:szCs w:val="20"/>
                <w:color w:val="auto"/>
              </w:rPr>
            </w:pPr>
            <w:r>
              <w:rPr>
                <w:rFonts w:ascii="Arial" w:cs="Arial" w:eastAsia="Arial" w:hAnsi="Arial"/>
                <w:sz w:val="14"/>
                <w:szCs w:val="14"/>
                <w:b w:val="1"/>
                <w:bCs w:val="1"/>
                <w:color w:val="FFFFFF"/>
              </w:rPr>
              <w:t>Total</w:t>
            </w:r>
          </w:p>
        </w:tc>
        <w:tc>
          <w:tcPr>
            <w:tcW w:w="680" w:type="dxa"/>
            <w:vAlign w:val="bottom"/>
            <w:shd w:val="clear" w:color="auto" w:fill="009845"/>
          </w:tcPr>
          <w:p>
            <w:pPr>
              <w:spacing w:after="0"/>
              <w:rPr>
                <w:sz w:val="23"/>
                <w:szCs w:val="23"/>
                <w:color w:val="auto"/>
              </w:rPr>
            </w:pPr>
          </w:p>
        </w:tc>
        <w:tc>
          <w:tcPr>
            <w:tcW w:w="1320" w:type="dxa"/>
            <w:vAlign w:val="bottom"/>
            <w:shd w:val="clear" w:color="auto" w:fill="009845"/>
          </w:tcPr>
          <w:p>
            <w:pPr>
              <w:jc w:val="center"/>
              <w:ind w:right="68"/>
              <w:spacing w:after="0"/>
              <w:rPr>
                <w:sz w:val="20"/>
                <w:szCs w:val="20"/>
                <w:color w:val="auto"/>
              </w:rPr>
            </w:pPr>
            <w:r>
              <w:rPr>
                <w:rFonts w:ascii="Arial" w:cs="Arial" w:eastAsia="Arial" w:hAnsi="Arial"/>
                <w:sz w:val="14"/>
                <w:szCs w:val="14"/>
                <w:b w:val="1"/>
                <w:bCs w:val="1"/>
                <w:color w:val="FFFFFF"/>
                <w:w w:val="96"/>
              </w:rPr>
              <w:t>Class</w:t>
            </w:r>
            <w:r>
              <w:rPr>
                <w:rFonts w:ascii="Arial" w:cs="Arial" w:eastAsia="Arial" w:hAnsi="Arial"/>
                <w:sz w:val="18"/>
                <w:szCs w:val="18"/>
                <w:b w:val="1"/>
                <w:bCs w:val="1"/>
                <w:color w:val="FFFFFF"/>
                <w:w w:val="96"/>
                <w:vertAlign w:val="superscript"/>
              </w:rPr>
              <w:t>(3)</w:t>
            </w:r>
          </w:p>
        </w:tc>
      </w:tr>
      <w:tr>
        <w:trPr>
          <w:trHeight w:val="208"/>
        </w:trPr>
        <w:tc>
          <w:tcPr>
            <w:tcW w:w="1000" w:type="dxa"/>
            <w:vAlign w:val="bottom"/>
          </w:tcPr>
          <w:p>
            <w:pPr>
              <w:jc w:val="center"/>
              <w:ind w:left="28"/>
              <w:spacing w:after="0"/>
              <w:rPr>
                <w:sz w:val="20"/>
                <w:szCs w:val="20"/>
                <w:color w:val="auto"/>
              </w:rPr>
            </w:pPr>
            <w:r>
              <w:rPr>
                <w:rFonts w:ascii="Arial" w:cs="Arial" w:eastAsia="Arial" w:hAnsi="Arial"/>
                <w:sz w:val="14"/>
                <w:szCs w:val="14"/>
                <w:color w:val="58595B"/>
                <w:w w:val="97"/>
              </w:rPr>
              <w:t>57,811</w:t>
            </w:r>
          </w:p>
        </w:tc>
        <w:tc>
          <w:tcPr>
            <w:tcW w:w="660" w:type="dxa"/>
            <w:vAlign w:val="bottom"/>
          </w:tcPr>
          <w:p>
            <w:pPr>
              <w:jc w:val="right"/>
              <w:ind w:right="288"/>
              <w:spacing w:after="0"/>
              <w:rPr>
                <w:sz w:val="20"/>
                <w:szCs w:val="20"/>
                <w:color w:val="auto"/>
              </w:rPr>
            </w:pPr>
            <w:r>
              <w:rPr>
                <w:rFonts w:ascii="Arial" w:cs="Arial" w:eastAsia="Arial" w:hAnsi="Arial"/>
                <w:sz w:val="14"/>
                <w:szCs w:val="14"/>
                <w:color w:val="58595B"/>
              </w:rPr>
              <w:t>(4)</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57,811</w:t>
            </w:r>
          </w:p>
        </w:tc>
        <w:tc>
          <w:tcPr>
            <w:tcW w:w="680" w:type="dxa"/>
            <w:vAlign w:val="bottom"/>
          </w:tcPr>
          <w:p>
            <w:pPr>
              <w:jc w:val="right"/>
              <w:ind w:right="328"/>
              <w:spacing w:after="0"/>
              <w:rPr>
                <w:sz w:val="20"/>
                <w:szCs w:val="20"/>
                <w:color w:val="auto"/>
              </w:rPr>
            </w:pPr>
            <w:r>
              <w:rPr>
                <w:rFonts w:ascii="Arial" w:cs="Arial" w:eastAsia="Arial" w:hAnsi="Arial"/>
                <w:sz w:val="14"/>
                <w:szCs w:val="14"/>
                <w:color w:val="58595B"/>
              </w:rPr>
              <w:t>(4)</w:t>
            </w: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61,479</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61,479</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13,227</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13,227</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45,784</w:t>
            </w:r>
          </w:p>
        </w:tc>
        <w:tc>
          <w:tcPr>
            <w:tcW w:w="660" w:type="dxa"/>
            <w:vAlign w:val="bottom"/>
          </w:tcPr>
          <w:p>
            <w:pPr>
              <w:spacing w:after="0"/>
              <w:rPr>
                <w:sz w:val="19"/>
                <w:szCs w:val="19"/>
                <w:color w:val="auto"/>
              </w:rPr>
            </w:pPr>
          </w:p>
        </w:tc>
        <w:tc>
          <w:tcPr>
            <w:tcW w:w="1360" w:type="dxa"/>
            <w:vAlign w:val="bottom"/>
          </w:tcPr>
          <w:p>
            <w:pPr>
              <w:jc w:val="center"/>
              <w:ind w:right="368"/>
              <w:spacing w:after="0"/>
              <w:rPr>
                <w:sz w:val="20"/>
                <w:szCs w:val="20"/>
                <w:color w:val="auto"/>
              </w:rPr>
            </w:pPr>
            <w:r>
              <w:rPr>
                <w:rFonts w:ascii="Arial" w:cs="Arial" w:eastAsia="Arial" w:hAnsi="Arial"/>
                <w:sz w:val="14"/>
                <w:szCs w:val="14"/>
                <w:color w:val="58595B"/>
              </w:rPr>
              <w:t>89,906</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135,690</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18,350</w:t>
            </w:r>
          </w:p>
        </w:tc>
        <w:tc>
          <w:tcPr>
            <w:tcW w:w="660" w:type="dxa"/>
            <w:vAlign w:val="bottom"/>
          </w:tcPr>
          <w:p>
            <w:pPr>
              <w:spacing w:after="0"/>
              <w:rPr>
                <w:sz w:val="19"/>
                <w:szCs w:val="19"/>
                <w:color w:val="auto"/>
              </w:rPr>
            </w:pPr>
          </w:p>
        </w:tc>
        <w:tc>
          <w:tcPr>
            <w:tcW w:w="1360" w:type="dxa"/>
            <w:vAlign w:val="bottom"/>
          </w:tcPr>
          <w:p>
            <w:pPr>
              <w:jc w:val="center"/>
              <w:ind w:right="368"/>
              <w:spacing w:after="0"/>
              <w:rPr>
                <w:sz w:val="20"/>
                <w:szCs w:val="20"/>
                <w:color w:val="auto"/>
              </w:rPr>
            </w:pPr>
            <w:r>
              <w:rPr>
                <w:rFonts w:ascii="Arial" w:cs="Arial" w:eastAsia="Arial" w:hAnsi="Arial"/>
                <w:sz w:val="14"/>
                <w:szCs w:val="14"/>
                <w:color w:val="58595B"/>
              </w:rPr>
              <w:t>37,528</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55,878</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1,686,958</w:t>
            </w:r>
          </w:p>
        </w:tc>
        <w:tc>
          <w:tcPr>
            <w:tcW w:w="660" w:type="dxa"/>
            <w:vAlign w:val="bottom"/>
          </w:tcPr>
          <w:p>
            <w:pPr>
              <w:jc w:val="right"/>
              <w:ind w:right="288"/>
              <w:spacing w:after="0"/>
              <w:rPr>
                <w:sz w:val="20"/>
                <w:szCs w:val="20"/>
                <w:color w:val="auto"/>
              </w:rPr>
            </w:pPr>
            <w:r>
              <w:rPr>
                <w:rFonts w:ascii="Arial" w:cs="Arial" w:eastAsia="Arial" w:hAnsi="Arial"/>
                <w:sz w:val="14"/>
                <w:szCs w:val="14"/>
                <w:color w:val="58595B"/>
              </w:rPr>
              <w:t>(5)</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1,686,958</w:t>
            </w:r>
          </w:p>
        </w:tc>
        <w:tc>
          <w:tcPr>
            <w:tcW w:w="680" w:type="dxa"/>
            <w:vAlign w:val="bottom"/>
          </w:tcPr>
          <w:p>
            <w:pPr>
              <w:jc w:val="right"/>
              <w:ind w:right="328"/>
              <w:spacing w:after="0"/>
              <w:rPr>
                <w:sz w:val="20"/>
                <w:szCs w:val="20"/>
                <w:color w:val="auto"/>
              </w:rPr>
            </w:pPr>
            <w:r>
              <w:rPr>
                <w:rFonts w:ascii="Arial" w:cs="Arial" w:eastAsia="Arial" w:hAnsi="Arial"/>
                <w:sz w:val="14"/>
                <w:szCs w:val="14"/>
                <w:color w:val="58595B"/>
              </w:rPr>
              <w:t>(5)</w:t>
            </w: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2.16%</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2,216</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2,216</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88,463</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88,463</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24,391</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24,391</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7,455</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7,455</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42,452</w:t>
            </w:r>
          </w:p>
        </w:tc>
        <w:tc>
          <w:tcPr>
            <w:tcW w:w="660" w:type="dxa"/>
            <w:vAlign w:val="bottom"/>
          </w:tcPr>
          <w:p>
            <w:pPr>
              <w:spacing w:after="0"/>
              <w:rPr>
                <w:sz w:val="19"/>
                <w:szCs w:val="19"/>
                <w:color w:val="auto"/>
              </w:rPr>
            </w:pPr>
          </w:p>
        </w:tc>
        <w:tc>
          <w:tcPr>
            <w:tcW w:w="1360" w:type="dxa"/>
            <w:vAlign w:val="bottom"/>
          </w:tcPr>
          <w:p>
            <w:pPr>
              <w:jc w:val="center"/>
              <w:ind w:right="368"/>
              <w:spacing w:after="0"/>
              <w:rPr>
                <w:sz w:val="20"/>
                <w:szCs w:val="20"/>
                <w:color w:val="auto"/>
              </w:rPr>
            </w:pPr>
            <w:r>
              <w:rPr>
                <w:rFonts w:ascii="Arial" w:cs="Arial" w:eastAsia="Arial" w:hAnsi="Arial"/>
                <w:sz w:val="14"/>
                <w:szCs w:val="14"/>
                <w:color w:val="58595B"/>
              </w:rPr>
              <w:t>38,919</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81,371</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23,458</w:t>
            </w:r>
          </w:p>
        </w:tc>
        <w:tc>
          <w:tcPr>
            <w:tcW w:w="660" w:type="dxa"/>
            <w:vAlign w:val="bottom"/>
          </w:tcPr>
          <w:p>
            <w:pPr>
              <w:spacing w:after="0"/>
              <w:rPr>
                <w:sz w:val="19"/>
                <w:szCs w:val="19"/>
                <w:color w:val="auto"/>
              </w:rPr>
            </w:pPr>
          </w:p>
        </w:tc>
        <w:tc>
          <w:tcPr>
            <w:tcW w:w="1360" w:type="dxa"/>
            <w:vAlign w:val="bottom"/>
          </w:tcPr>
          <w:p>
            <w:pPr>
              <w:jc w:val="center"/>
              <w:ind w:right="368"/>
              <w:spacing w:after="0"/>
              <w:rPr>
                <w:sz w:val="20"/>
                <w:szCs w:val="20"/>
                <w:color w:val="auto"/>
              </w:rPr>
            </w:pPr>
            <w:r>
              <w:rPr>
                <w:rFonts w:ascii="Arial" w:cs="Arial" w:eastAsia="Arial" w:hAnsi="Arial"/>
                <w:sz w:val="14"/>
                <w:szCs w:val="14"/>
                <w:color w:val="58595B"/>
              </w:rPr>
              <w:t>6,298</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29,756</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74,072</w:t>
            </w:r>
          </w:p>
        </w:tc>
        <w:tc>
          <w:tcPr>
            <w:tcW w:w="660" w:type="dxa"/>
            <w:vAlign w:val="bottom"/>
          </w:tcPr>
          <w:p>
            <w:pPr>
              <w:jc w:val="right"/>
              <w:ind w:right="288"/>
              <w:spacing w:after="0"/>
              <w:rPr>
                <w:sz w:val="20"/>
                <w:szCs w:val="20"/>
                <w:color w:val="auto"/>
              </w:rPr>
            </w:pPr>
            <w:r>
              <w:rPr>
                <w:rFonts w:ascii="Arial" w:cs="Arial" w:eastAsia="Arial" w:hAnsi="Arial"/>
                <w:sz w:val="14"/>
                <w:szCs w:val="14"/>
                <w:color w:val="58595B"/>
              </w:rPr>
              <w:t>(6)</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74,072</w:t>
            </w:r>
          </w:p>
        </w:tc>
        <w:tc>
          <w:tcPr>
            <w:tcW w:w="680" w:type="dxa"/>
            <w:vAlign w:val="bottom"/>
          </w:tcPr>
          <w:p>
            <w:pPr>
              <w:jc w:val="right"/>
              <w:ind w:right="328"/>
              <w:spacing w:after="0"/>
              <w:rPr>
                <w:sz w:val="20"/>
                <w:szCs w:val="20"/>
                <w:color w:val="auto"/>
              </w:rPr>
            </w:pPr>
            <w:r>
              <w:rPr>
                <w:rFonts w:ascii="Arial" w:cs="Arial" w:eastAsia="Arial" w:hAnsi="Arial"/>
                <w:sz w:val="14"/>
                <w:szCs w:val="14"/>
                <w:color w:val="58595B"/>
              </w:rPr>
              <w:t>(6)</w:t>
            </w: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29"/>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54,807</w:t>
            </w:r>
          </w:p>
        </w:tc>
        <w:tc>
          <w:tcPr>
            <w:tcW w:w="660" w:type="dxa"/>
            <w:vAlign w:val="bottom"/>
          </w:tcPr>
          <w:p>
            <w:pPr>
              <w:spacing w:after="0"/>
              <w:rPr>
                <w:sz w:val="19"/>
                <w:szCs w:val="19"/>
                <w:color w:val="auto"/>
              </w:rPr>
            </w:pP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54,807</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23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48,336</w:t>
            </w:r>
          </w:p>
        </w:tc>
        <w:tc>
          <w:tcPr>
            <w:tcW w:w="660" w:type="dxa"/>
            <w:vAlign w:val="bottom"/>
          </w:tcPr>
          <w:p>
            <w:pPr>
              <w:spacing w:after="0"/>
              <w:rPr>
                <w:sz w:val="19"/>
                <w:szCs w:val="19"/>
                <w:color w:val="auto"/>
              </w:rPr>
            </w:pPr>
          </w:p>
        </w:tc>
        <w:tc>
          <w:tcPr>
            <w:tcW w:w="1360" w:type="dxa"/>
            <w:vAlign w:val="bottom"/>
          </w:tcPr>
          <w:p>
            <w:pPr>
              <w:jc w:val="center"/>
              <w:ind w:right="368"/>
              <w:spacing w:after="0"/>
              <w:rPr>
                <w:sz w:val="20"/>
                <w:szCs w:val="20"/>
                <w:color w:val="auto"/>
              </w:rPr>
            </w:pPr>
            <w:r>
              <w:rPr>
                <w:rFonts w:ascii="Arial" w:cs="Arial" w:eastAsia="Arial" w:hAnsi="Arial"/>
                <w:sz w:val="14"/>
                <w:szCs w:val="14"/>
                <w:color w:val="58595B"/>
              </w:rPr>
              <w:t>48,122</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96,458</w:t>
            </w:r>
          </w:p>
        </w:tc>
        <w:tc>
          <w:tcPr>
            <w:tcW w:w="680" w:type="dxa"/>
            <w:vAlign w:val="bottom"/>
          </w:tcPr>
          <w:p>
            <w:pPr>
              <w:spacing w:after="0"/>
              <w:rPr>
                <w:sz w:val="19"/>
                <w:szCs w:val="19"/>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color w:val="58595B"/>
              </w:rPr>
              <w:t>*</w:t>
            </w:r>
          </w:p>
        </w:tc>
      </w:tr>
      <w:tr>
        <w:trPr>
          <w:trHeight w:val="310"/>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2,205,481</w:t>
            </w:r>
          </w:p>
        </w:tc>
        <w:tc>
          <w:tcPr>
            <w:tcW w:w="660" w:type="dxa"/>
            <w:vAlign w:val="bottom"/>
          </w:tcPr>
          <w:p>
            <w:pPr>
              <w:spacing w:after="0"/>
              <w:rPr>
                <w:sz w:val="24"/>
                <w:szCs w:val="24"/>
                <w:color w:val="auto"/>
              </w:rPr>
            </w:pPr>
          </w:p>
        </w:tc>
        <w:tc>
          <w:tcPr>
            <w:tcW w:w="1360" w:type="dxa"/>
            <w:vAlign w:val="bottom"/>
          </w:tcPr>
          <w:p>
            <w:pPr>
              <w:jc w:val="center"/>
              <w:ind w:right="368"/>
              <w:spacing w:after="0"/>
              <w:rPr>
                <w:sz w:val="20"/>
                <w:szCs w:val="20"/>
                <w:color w:val="auto"/>
              </w:rPr>
            </w:pPr>
            <w:r>
              <w:rPr>
                <w:rFonts w:ascii="Arial" w:cs="Arial" w:eastAsia="Arial" w:hAnsi="Arial"/>
                <w:sz w:val="14"/>
                <w:szCs w:val="14"/>
                <w:color w:val="58595B"/>
              </w:rPr>
              <w:t>222,962</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2,428,443</w:t>
            </w:r>
          </w:p>
        </w:tc>
        <w:tc>
          <w:tcPr>
            <w:tcW w:w="680" w:type="dxa"/>
            <w:vAlign w:val="bottom"/>
          </w:tcPr>
          <w:p>
            <w:pPr>
              <w:spacing w:after="0"/>
              <w:rPr>
                <w:sz w:val="24"/>
                <w:szCs w:val="24"/>
                <w:color w:val="auto"/>
              </w:rPr>
            </w:pP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3.10%</w:t>
            </w:r>
          </w:p>
        </w:tc>
      </w:tr>
      <w:tr>
        <w:trPr>
          <w:trHeight w:val="405"/>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8,515,930</w:t>
            </w:r>
          </w:p>
        </w:tc>
        <w:tc>
          <w:tcPr>
            <w:tcW w:w="660" w:type="dxa"/>
            <w:vAlign w:val="bottom"/>
          </w:tcPr>
          <w:p>
            <w:pPr>
              <w:jc w:val="center"/>
              <w:spacing w:after="0"/>
              <w:rPr>
                <w:sz w:val="20"/>
                <w:szCs w:val="20"/>
                <w:color w:val="auto"/>
              </w:rPr>
            </w:pPr>
            <w:r>
              <w:rPr>
                <w:rFonts w:ascii="Arial" w:cs="Arial" w:eastAsia="Arial" w:hAnsi="Arial"/>
                <w:sz w:val="14"/>
                <w:szCs w:val="14"/>
                <w:color w:val="58595B"/>
              </w:rPr>
              <w:t>(7)</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8,515,930</w:t>
            </w:r>
          </w:p>
        </w:tc>
        <w:tc>
          <w:tcPr>
            <w:tcW w:w="680" w:type="dxa"/>
            <w:vAlign w:val="bottom"/>
          </w:tcPr>
          <w:p>
            <w:pPr>
              <w:jc w:val="center"/>
              <w:spacing w:after="0"/>
              <w:rPr>
                <w:sz w:val="20"/>
                <w:szCs w:val="20"/>
                <w:color w:val="auto"/>
              </w:rPr>
            </w:pPr>
            <w:r>
              <w:rPr>
                <w:rFonts w:ascii="Arial" w:cs="Arial" w:eastAsia="Arial" w:hAnsi="Arial"/>
                <w:sz w:val="14"/>
                <w:szCs w:val="14"/>
                <w:color w:val="58595B"/>
              </w:rPr>
              <w:t>(7)</w:t>
            </w: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10.89%</w:t>
            </w:r>
          </w:p>
        </w:tc>
      </w:tr>
      <w:tr>
        <w:trPr>
          <w:trHeight w:val="405"/>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7,012,793</w:t>
            </w:r>
          </w:p>
        </w:tc>
        <w:tc>
          <w:tcPr>
            <w:tcW w:w="660" w:type="dxa"/>
            <w:vAlign w:val="bottom"/>
          </w:tcPr>
          <w:p>
            <w:pPr>
              <w:jc w:val="center"/>
              <w:spacing w:after="0"/>
              <w:rPr>
                <w:sz w:val="20"/>
                <w:szCs w:val="20"/>
                <w:color w:val="auto"/>
              </w:rPr>
            </w:pPr>
            <w:r>
              <w:rPr>
                <w:rFonts w:ascii="Arial" w:cs="Arial" w:eastAsia="Arial" w:hAnsi="Arial"/>
                <w:sz w:val="14"/>
                <w:szCs w:val="14"/>
                <w:color w:val="58595B"/>
              </w:rPr>
              <w:t>(8)</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7,012,793</w:t>
            </w:r>
          </w:p>
        </w:tc>
        <w:tc>
          <w:tcPr>
            <w:tcW w:w="680" w:type="dxa"/>
            <w:vAlign w:val="bottom"/>
          </w:tcPr>
          <w:p>
            <w:pPr>
              <w:jc w:val="center"/>
              <w:spacing w:after="0"/>
              <w:rPr>
                <w:sz w:val="20"/>
                <w:szCs w:val="20"/>
                <w:color w:val="auto"/>
              </w:rPr>
            </w:pPr>
            <w:r>
              <w:rPr>
                <w:rFonts w:ascii="Arial" w:cs="Arial" w:eastAsia="Arial" w:hAnsi="Arial"/>
                <w:sz w:val="14"/>
                <w:szCs w:val="14"/>
                <w:color w:val="58595B"/>
              </w:rPr>
              <w:t>(8)</w:t>
            </w: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8.97%</w:t>
            </w:r>
          </w:p>
        </w:tc>
      </w:tr>
      <w:tr>
        <w:trPr>
          <w:trHeight w:val="405"/>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6,641,845</w:t>
            </w:r>
          </w:p>
        </w:tc>
        <w:tc>
          <w:tcPr>
            <w:tcW w:w="660" w:type="dxa"/>
            <w:vAlign w:val="bottom"/>
          </w:tcPr>
          <w:p>
            <w:pPr>
              <w:jc w:val="center"/>
              <w:spacing w:after="0"/>
              <w:rPr>
                <w:sz w:val="20"/>
                <w:szCs w:val="20"/>
                <w:color w:val="auto"/>
              </w:rPr>
            </w:pPr>
            <w:r>
              <w:rPr>
                <w:rFonts w:ascii="Arial" w:cs="Arial" w:eastAsia="Arial" w:hAnsi="Arial"/>
                <w:sz w:val="14"/>
                <w:szCs w:val="14"/>
                <w:color w:val="58595B"/>
              </w:rPr>
              <w:t>(9)</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6,641,845</w:t>
            </w:r>
          </w:p>
        </w:tc>
        <w:tc>
          <w:tcPr>
            <w:tcW w:w="680" w:type="dxa"/>
            <w:vAlign w:val="bottom"/>
          </w:tcPr>
          <w:p>
            <w:pPr>
              <w:jc w:val="center"/>
              <w:spacing w:after="0"/>
              <w:rPr>
                <w:sz w:val="20"/>
                <w:szCs w:val="20"/>
                <w:color w:val="auto"/>
              </w:rPr>
            </w:pPr>
            <w:r>
              <w:rPr>
                <w:rFonts w:ascii="Arial" w:cs="Arial" w:eastAsia="Arial" w:hAnsi="Arial"/>
                <w:sz w:val="14"/>
                <w:szCs w:val="14"/>
                <w:color w:val="58595B"/>
              </w:rPr>
              <w:t>(9)</w:t>
            </w: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8.49%</w:t>
            </w:r>
          </w:p>
        </w:tc>
      </w:tr>
      <w:tr>
        <w:trPr>
          <w:trHeight w:val="405"/>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4,636,346</w:t>
            </w:r>
          </w:p>
        </w:tc>
        <w:tc>
          <w:tcPr>
            <w:tcW w:w="660" w:type="dxa"/>
            <w:vAlign w:val="bottom"/>
          </w:tcPr>
          <w:p>
            <w:pPr>
              <w:jc w:val="center"/>
              <w:spacing w:after="0"/>
              <w:rPr>
                <w:sz w:val="20"/>
                <w:szCs w:val="20"/>
                <w:color w:val="auto"/>
              </w:rPr>
            </w:pPr>
            <w:r>
              <w:rPr>
                <w:rFonts w:ascii="Arial" w:cs="Arial" w:eastAsia="Arial" w:hAnsi="Arial"/>
                <w:sz w:val="14"/>
                <w:szCs w:val="14"/>
                <w:color w:val="58595B"/>
              </w:rPr>
              <w:t>(10)</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4,636,346</w:t>
            </w:r>
          </w:p>
        </w:tc>
        <w:tc>
          <w:tcPr>
            <w:tcW w:w="680" w:type="dxa"/>
            <w:vAlign w:val="bottom"/>
          </w:tcPr>
          <w:p>
            <w:pPr>
              <w:jc w:val="center"/>
              <w:spacing w:after="0"/>
              <w:rPr>
                <w:sz w:val="20"/>
                <w:szCs w:val="20"/>
                <w:color w:val="auto"/>
              </w:rPr>
            </w:pPr>
            <w:r>
              <w:rPr>
                <w:rFonts w:ascii="Arial" w:cs="Arial" w:eastAsia="Arial" w:hAnsi="Arial"/>
                <w:sz w:val="14"/>
                <w:szCs w:val="14"/>
                <w:color w:val="58595B"/>
              </w:rPr>
              <w:t>(10)</w:t>
            </w: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5.93%</w:t>
            </w:r>
          </w:p>
        </w:tc>
      </w:tr>
      <w:tr>
        <w:trPr>
          <w:trHeight w:val="405"/>
        </w:trPr>
        <w:tc>
          <w:tcPr>
            <w:tcW w:w="1000" w:type="dxa"/>
            <w:vAlign w:val="bottom"/>
          </w:tcPr>
          <w:p>
            <w:pPr>
              <w:jc w:val="center"/>
              <w:ind w:left="48"/>
              <w:spacing w:after="0"/>
              <w:rPr>
                <w:sz w:val="20"/>
                <w:szCs w:val="20"/>
                <w:color w:val="auto"/>
              </w:rPr>
            </w:pPr>
            <w:r>
              <w:rPr>
                <w:rFonts w:ascii="Arial" w:cs="Arial" w:eastAsia="Arial" w:hAnsi="Arial"/>
                <w:sz w:val="14"/>
                <w:szCs w:val="14"/>
                <w:color w:val="58595B"/>
              </w:rPr>
              <w:t>4,297,326</w:t>
            </w:r>
          </w:p>
        </w:tc>
        <w:tc>
          <w:tcPr>
            <w:tcW w:w="660" w:type="dxa"/>
            <w:vAlign w:val="bottom"/>
          </w:tcPr>
          <w:p>
            <w:pPr>
              <w:jc w:val="center"/>
              <w:spacing w:after="0"/>
              <w:rPr>
                <w:sz w:val="20"/>
                <w:szCs w:val="20"/>
                <w:color w:val="auto"/>
              </w:rPr>
            </w:pPr>
            <w:r>
              <w:rPr>
                <w:rFonts w:ascii="Arial" w:cs="Arial" w:eastAsia="Arial" w:hAnsi="Arial"/>
                <w:sz w:val="14"/>
                <w:szCs w:val="14"/>
                <w:color w:val="58595B"/>
                <w:w w:val="96"/>
              </w:rPr>
              <w:t>(11)</w:t>
            </w:r>
          </w:p>
        </w:tc>
        <w:tc>
          <w:tcPr>
            <w:tcW w:w="1360" w:type="dxa"/>
            <w:vAlign w:val="bottom"/>
          </w:tcPr>
          <w:p>
            <w:pPr>
              <w:jc w:val="center"/>
              <w:ind w:right="388"/>
              <w:spacing w:after="0"/>
              <w:rPr>
                <w:sz w:val="20"/>
                <w:szCs w:val="20"/>
                <w:color w:val="auto"/>
              </w:rPr>
            </w:pPr>
            <w:r>
              <w:rPr>
                <w:rFonts w:ascii="Arial" w:cs="Arial" w:eastAsia="Arial" w:hAnsi="Arial"/>
                <w:sz w:val="14"/>
                <w:szCs w:val="14"/>
                <w:color w:val="58595B"/>
                <w:w w:val="99"/>
              </w:rPr>
              <w:t>—</w:t>
            </w:r>
          </w:p>
        </w:tc>
        <w:tc>
          <w:tcPr>
            <w:tcW w:w="1140" w:type="dxa"/>
            <w:vAlign w:val="bottom"/>
          </w:tcPr>
          <w:p>
            <w:pPr>
              <w:jc w:val="center"/>
              <w:ind w:left="108"/>
              <w:spacing w:after="0"/>
              <w:rPr>
                <w:sz w:val="20"/>
                <w:szCs w:val="20"/>
                <w:color w:val="auto"/>
              </w:rPr>
            </w:pPr>
            <w:r>
              <w:rPr>
                <w:rFonts w:ascii="Arial" w:cs="Arial" w:eastAsia="Arial" w:hAnsi="Arial"/>
                <w:sz w:val="14"/>
                <w:szCs w:val="14"/>
                <w:color w:val="58595B"/>
              </w:rPr>
              <w:t>4,297,326</w:t>
            </w:r>
          </w:p>
        </w:tc>
        <w:tc>
          <w:tcPr>
            <w:tcW w:w="680" w:type="dxa"/>
            <w:vAlign w:val="bottom"/>
          </w:tcPr>
          <w:p>
            <w:pPr>
              <w:jc w:val="center"/>
              <w:ind w:right="8"/>
              <w:spacing w:after="0"/>
              <w:rPr>
                <w:sz w:val="20"/>
                <w:szCs w:val="20"/>
                <w:color w:val="auto"/>
              </w:rPr>
            </w:pPr>
            <w:r>
              <w:rPr>
                <w:rFonts w:ascii="Arial" w:cs="Arial" w:eastAsia="Arial" w:hAnsi="Arial"/>
                <w:sz w:val="14"/>
                <w:szCs w:val="14"/>
                <w:color w:val="58595B"/>
                <w:w w:val="96"/>
              </w:rPr>
              <w:t>(11)</w:t>
            </w:r>
          </w:p>
        </w:tc>
        <w:tc>
          <w:tcPr>
            <w:tcW w:w="1320" w:type="dxa"/>
            <w:vAlign w:val="bottom"/>
          </w:tcPr>
          <w:p>
            <w:pPr>
              <w:jc w:val="center"/>
              <w:ind w:right="88"/>
              <w:spacing w:after="0"/>
              <w:rPr>
                <w:sz w:val="20"/>
                <w:szCs w:val="20"/>
                <w:color w:val="auto"/>
              </w:rPr>
            </w:pPr>
            <w:r>
              <w:rPr>
                <w:rFonts w:ascii="Arial" w:cs="Arial" w:eastAsia="Arial" w:hAnsi="Arial"/>
                <w:sz w:val="14"/>
                <w:szCs w:val="14"/>
                <w:color w:val="58595B"/>
              </w:rPr>
              <w:t>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-3509010</wp:posOffset>
            </wp:positionV>
            <wp:extent cx="7132320" cy="145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-3217545</wp:posOffset>
            </wp:positionV>
            <wp:extent cx="7132320" cy="145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-2926080</wp:posOffset>
            </wp:positionV>
            <wp:extent cx="7132320" cy="146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-2634615</wp:posOffset>
            </wp:positionV>
            <wp:extent cx="7132320" cy="145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-2343150</wp:posOffset>
            </wp:positionV>
            <wp:extent cx="7132320" cy="145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-2051685</wp:posOffset>
            </wp:positionV>
            <wp:extent cx="7132320" cy="146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-1760220</wp:posOffset>
            </wp:positionV>
            <wp:extent cx="7132320" cy="1454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-1468755</wp:posOffset>
            </wp:positionV>
            <wp:extent cx="7132320" cy="2571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-954405</wp:posOffset>
            </wp:positionV>
            <wp:extent cx="7132320" cy="2571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-440055</wp:posOffset>
            </wp:positionV>
            <wp:extent cx="7132320" cy="2571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73660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360" w:space="720"/>
            <w:col w:w="6160"/>
          </w:cols>
          <w:pgMar w:left="320" w:top="1249" w:right="339" w:bottom="1440" w:gutter="0" w:footer="0" w:header="0"/>
          <w:type w:val="continuous"/>
        </w:sect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69"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Excludes shares of common stock that may be acquired through stock option exercises, restricted stock units or performance stock units.</w:t>
      </w:r>
    </w:p>
    <w:p>
      <w:pPr>
        <w:spacing w:after="0" w:line="384"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90</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009845"/>
        </w:rPr>
        <w:t>Principal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40" w:hanging="332"/>
        <w:spacing w:after="0" w:line="281"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Shares not outstanding but deemed beneficially owned by virtue of the right of an individual to acquire them within 60 days of February 29, 2024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1" w:lineRule="exact"/>
        <w:rPr>
          <w:rFonts w:ascii="Arial" w:cs="Arial" w:eastAsia="Arial" w:hAnsi="Arial"/>
          <w:sz w:val="14"/>
          <w:szCs w:val="14"/>
          <w:color w:val="auto"/>
        </w:rPr>
      </w:pPr>
    </w:p>
    <w:p>
      <w:pPr>
        <w:ind w:left="340" w:right="440" w:hanging="332"/>
        <w:spacing w:after="0" w:line="301"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Applicable percentage ownership as of February 29, 2024 is based upon 78,219,780 shares of our common stock outstanding. Beneficial ownership is determined in accordance with the rules and regulations of the SEC and includes voting and investment power with respect to shares.</w:t>
      </w:r>
    </w:p>
    <w:p>
      <w:pPr>
        <w:spacing w:after="0" w:line="1" w:lineRule="exact"/>
        <w:rPr>
          <w:rFonts w:ascii="Arial" w:cs="Arial" w:eastAsia="Arial" w:hAnsi="Arial"/>
          <w:sz w:val="14"/>
          <w:szCs w:val="14"/>
          <w:color w:val="auto"/>
        </w:rPr>
      </w:pPr>
    </w:p>
    <w:p>
      <w:pPr>
        <w:ind w:left="340" w:right="60" w:hanging="332"/>
        <w:spacing w:after="0" w:line="301"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Ms. Anderson resigned, effective as of February 2, 2023. Ms. Anderson’s beneficial ownership information is based on information contained in the last Form 4 filed by Ms. Anderson with the SEC prior to her resignation.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152,397 shares held in GRAT D, 400,000 shares held in GRAT E, and 534,629 shares of common stock held in a Trust for which Dr. Essig’s spouse is a trustee.</w:t>
      </w:r>
    </w:p>
    <w:p>
      <w:pPr>
        <w:spacing w:after="0" w:line="55" w:lineRule="exact"/>
        <w:rPr>
          <w:rFonts w:ascii="Arial" w:cs="Arial" w:eastAsia="Arial" w:hAnsi="Arial"/>
          <w:sz w:val="14"/>
          <w:szCs w:val="14"/>
          <w:color w:val="auto"/>
        </w:rPr>
      </w:pPr>
    </w:p>
    <w:p>
      <w:pPr>
        <w:ind w:left="340" w:right="320" w:hanging="332"/>
        <w:spacing w:after="0" w:line="301"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28,761 shares of common stock held by Mr. Murphy’s spouse in a revocable trust of which his spouse is trustee. Mr. Murphy disclaims beneficial ownership of these shares of common stock.</w:t>
      </w:r>
    </w:p>
    <w:p>
      <w:pPr>
        <w:spacing w:after="0" w:line="1" w:lineRule="exact"/>
        <w:rPr>
          <w:rFonts w:ascii="Arial" w:cs="Arial" w:eastAsia="Arial" w:hAnsi="Arial"/>
          <w:sz w:val="14"/>
          <w:szCs w:val="14"/>
          <w:color w:val="auto"/>
        </w:rPr>
      </w:pPr>
    </w:p>
    <w:p>
      <w:pPr>
        <w:ind w:left="340" w:right="360" w:hanging="332"/>
        <w:spacing w:after="0" w:line="269"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Tru St Partnership LP (“Tru St”) may be deemed the beneficial owner of 8,515,930 shares of common stock. Provco Leasing Corporation (“Provco Leasing”) was the corporate general partner of Tru St as of December 31, 2022. Provco, LLC became the general partner of Tru St as of January 1, 2023. Provco Leasing was, as of December 31, 2022, the beneficial owner of 0 shares of common stock. The foregoing information has been included solely in reliance upon, and without independent investigation of, the disclosures contained in the Schedule 13G/A filed by Tru St with the SEC on February 14, 2023.</w:t>
      </w:r>
    </w:p>
    <w:p>
      <w:pPr>
        <w:spacing w:after="0" w:line="20" w:lineRule="exact"/>
        <w:rPr>
          <w:rFonts w:ascii="Arial" w:cs="Arial" w:eastAsia="Arial" w:hAnsi="Arial"/>
          <w:sz w:val="14"/>
          <w:szCs w:val="14"/>
          <w:color w:val="auto"/>
        </w:rPr>
      </w:pPr>
    </w:p>
    <w:p>
      <w:pPr>
        <w:ind w:left="340" w:right="60" w:hanging="332"/>
        <w:spacing w:after="0" w:line="283"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Vanguard Group may be deemed the beneficial owner of 7,012,793 shares of common stock, consisting of shared voting power with respect to 29,460 of these shares and shared dispositive power with respect to 106,905 of these shares. The foregoing information has been included solely in reliance upon, and without independent investigation of, the disclosures contained in the Schedule 13G/A filed by The Vanguard Group with the SEC on February 13, 2024.</w:t>
      </w:r>
    </w:p>
    <w:p>
      <w:pPr>
        <w:spacing w:after="0" w:line="10" w:lineRule="exact"/>
        <w:rPr>
          <w:rFonts w:ascii="Arial" w:cs="Arial" w:eastAsia="Arial" w:hAnsi="Arial"/>
          <w:sz w:val="14"/>
          <w:szCs w:val="14"/>
          <w:color w:val="auto"/>
        </w:rPr>
      </w:pPr>
    </w:p>
    <w:p>
      <w:pPr>
        <w:ind w:left="340" w:right="160" w:hanging="332"/>
        <w:spacing w:after="0" w:line="273" w:lineRule="auto"/>
        <w:tabs>
          <w:tab w:leader="none" w:pos="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BlackRock, Inc. has sole voting power of 6,462,723 shares of the total 6,641,845 shares of common stock of which BlackRock, Inc. may be deemed the beneficial owner. The foregoing information has been included solely in reliance upon, and without independent investigation of, the disclosures contained in the Schedule 13G/A filed by BlackRock, Inc. with the SEC on January 25, 2024.</w:t>
      </w:r>
    </w:p>
    <w:p>
      <w:pPr>
        <w:spacing w:after="0" w:line="17" w:lineRule="exact"/>
        <w:rPr>
          <w:rFonts w:ascii="Arial" w:cs="Arial" w:eastAsia="Arial" w:hAnsi="Arial"/>
          <w:sz w:val="14"/>
          <w:szCs w:val="14"/>
          <w:color w:val="auto"/>
        </w:rPr>
      </w:pPr>
    </w:p>
    <w:p>
      <w:pPr>
        <w:ind w:left="340" w:right="180" w:hanging="332"/>
        <w:spacing w:after="0" w:line="281" w:lineRule="auto"/>
        <w:tabs>
          <w:tab w:leader="none" w:pos="337" w:val="left"/>
        </w:tabs>
        <w:numPr>
          <w:ilvl w:val="0"/>
          <w:numId w:val="69"/>
        </w:numPr>
        <w:rPr>
          <w:rFonts w:ascii="Arial" w:cs="Arial" w:eastAsia="Arial" w:hAnsi="Arial"/>
          <w:sz w:val="14"/>
          <w:szCs w:val="14"/>
          <w:color w:val="auto"/>
        </w:rPr>
      </w:pPr>
      <w:r>
        <w:rPr>
          <w:rFonts w:ascii="Arial" w:cs="Arial" w:eastAsia="Arial" w:hAnsi="Arial"/>
          <w:sz w:val="14"/>
          <w:szCs w:val="14"/>
          <w:color w:val="auto"/>
        </w:rPr>
        <w:t>Morgan Stanley may be deemed the beneficial owner of 4,634,346 shares of common stock, consisting of shared voting power with respect to 4,179,022 of these shares and shared dispositive power with respect to 4,581,899 of these shares. The foregoing information has been included solely in reliance upon, and without independent investigation of, the disclosures contained in the Schedule 13G/A filed by Morgan Stanley with the SEC on February 9, 2024.</w:t>
      </w:r>
    </w:p>
    <w:p>
      <w:pPr>
        <w:spacing w:after="0" w:line="1" w:lineRule="exact"/>
        <w:rPr>
          <w:rFonts w:ascii="Arial" w:cs="Arial" w:eastAsia="Arial" w:hAnsi="Arial"/>
          <w:sz w:val="14"/>
          <w:szCs w:val="14"/>
          <w:color w:val="auto"/>
        </w:rPr>
      </w:pPr>
    </w:p>
    <w:p>
      <w:pPr>
        <w:ind w:left="340" w:right="80" w:hanging="332"/>
        <w:spacing w:after="0" w:line="266"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has sole voting power and sole dispositive power with respect to all of the shares beneficially owned by CRGI. The foregoing information has been included solely in reliance upon, and without independent investigation of, the disclosures contained in the Schedule 13G filed by CRGI with the SEC on February 9, 2024.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91</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36"/>
          <w:szCs w:val="36"/>
          <w:color w:val="009845"/>
        </w:rPr>
        <w:t>DELINQUENT SECTION 16(a) REPORTS</w:t>
      </w:r>
    </w:p>
    <w:p>
      <w:pPr>
        <w:spacing w:after="0" w:line="366" w:lineRule="exact"/>
        <w:rPr>
          <w:sz w:val="20"/>
          <w:szCs w:val="20"/>
          <w:color w:val="auto"/>
        </w:rPr>
      </w:pPr>
    </w:p>
    <w:p>
      <w:pPr>
        <w:jc w:val="both"/>
        <w:ind w:right="280"/>
        <w:spacing w:after="0" w:line="318" w:lineRule="auto"/>
        <w:rPr>
          <w:sz w:val="20"/>
          <w:szCs w:val="20"/>
          <w:color w:val="auto"/>
        </w:rPr>
      </w:pPr>
      <w:r>
        <w:rPr>
          <w:rFonts w:ascii="Arial" w:cs="Arial" w:eastAsia="Arial" w:hAnsi="Arial"/>
          <w:sz w:val="16"/>
          <w:szCs w:val="16"/>
          <w:color w:val="58595B"/>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58595B"/>
        </w:rPr>
        <w:t>Based solely upon a review of SEC filings, all Covered Persons complied with these reporting requirements during 2023.</w:t>
      </w:r>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color w:val="009845"/>
        </w:rPr>
        <w:t>General Information about the Annual Meeting and Voting</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Purpose of the Annual Meeting</w:t>
      </w:r>
    </w:p>
    <w:p>
      <w:pPr>
        <w:spacing w:after="0" w:line="193"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58595B"/>
        </w:rPr>
        <w:t>The Company is making this proxy statement and other Annual Meeting materials available to you because the Board is soliciting your proxy to vote at our Annual Meeting of Stockholders to be held on May 9, 2024 at 9:00 a.m., Eastern Time, at our offices, 1100 Campus Road, Princeton, New Jersey 08540, and at any adjournment(s) or postponement(s) thereof. The mailing address of the principal executive office of the Company is 1100 Campus Road, Princeton, NJ 08540. You are invited to attend the Annual Meeting and are requested to vote on the proposals described in this proxy statement.</w:t>
      </w:r>
    </w:p>
    <w:p>
      <w:pPr>
        <w:spacing w:after="0" w:line="113"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b w:val="1"/>
          <w:bCs w:val="1"/>
          <w:color w:val="58595B"/>
        </w:rPr>
        <w:t>IMPORTANT NOTICE REGARDING THE AVAILABILITY OF PROXY MATERIALS FOR THE STOCKHOLDER MEETING TO BE HELD ON MAY 9, 2024. The proxy statement and 2023 annual report are available on our internet site at http://investor.integralife.com/financials.cfm</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9845"/>
        </w:rPr>
        <w:t>Proposals and Voting Recommendation of Our Board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58595B"/>
        </w:rPr>
        <w:t>The following table summarizes each proposal, the Board's voting recommendation for each proposal and the vote required for each proposal to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9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p>
      <w:pPr>
        <w:spacing w:after="0" w:line="26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w:t>
      </w:r>
    </w:p>
    <w:p>
      <w:pPr>
        <w:spacing w:after="0" w:line="145" w:lineRule="exact"/>
        <w:rPr>
          <w:sz w:val="20"/>
          <w:szCs w:val="20"/>
          <w:color w:val="auto"/>
        </w:rPr>
      </w:pPr>
    </w:p>
    <w:p>
      <w:pPr>
        <w:ind w:left="360" w:hanging="253"/>
        <w:spacing w:after="0" w:line="339" w:lineRule="auto"/>
        <w:tabs>
          <w:tab w:leader="none" w:pos="360" w:val="left"/>
        </w:tabs>
        <w:numPr>
          <w:ilvl w:val="0"/>
          <w:numId w:val="70"/>
        </w:numPr>
        <w:rPr>
          <w:rFonts w:ascii="Arial" w:cs="Arial" w:eastAsia="Arial" w:hAnsi="Arial"/>
          <w:sz w:val="16"/>
          <w:szCs w:val="16"/>
          <w:b w:val="1"/>
          <w:bCs w:val="1"/>
          <w:color w:val="009845"/>
        </w:rPr>
      </w:pPr>
      <w:r>
        <w:rPr>
          <w:rFonts w:ascii="Arial" w:cs="Arial" w:eastAsia="Arial" w:hAnsi="Arial"/>
          <w:sz w:val="16"/>
          <w:szCs w:val="16"/>
          <w:color w:val="58595B"/>
        </w:rPr>
        <w:t>To elect nine directors of the Company to serve until the next annual meeting of stockholders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4375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FFFFFF"/>
        </w:rPr>
        <w:t>Board Recommendation</w:t>
        <w:tab/>
        <w:t>Page</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1220" w:type="dxa"/>
            <w:vAlign w:val="bottom"/>
          </w:tcPr>
          <w:p>
            <w:pPr>
              <w:ind w:left="260"/>
              <w:spacing w:after="0"/>
              <w:rPr>
                <w:sz w:val="20"/>
                <w:szCs w:val="20"/>
                <w:color w:val="auto"/>
              </w:rPr>
            </w:pPr>
            <w:r>
              <w:rPr>
                <w:rFonts w:ascii="Arial" w:cs="Arial" w:eastAsia="Arial" w:hAnsi="Arial"/>
                <w:sz w:val="14"/>
                <w:szCs w:val="14"/>
                <w:b w:val="1"/>
                <w:bCs w:val="1"/>
                <w:color w:val="009845"/>
              </w:rPr>
              <w:t>FOR</w:t>
            </w:r>
          </w:p>
        </w:tc>
        <w:tc>
          <w:tcPr>
            <w:tcW w:w="580" w:type="dxa"/>
            <w:vAlign w:val="bottom"/>
            <w:vMerge w:val="restart"/>
          </w:tcPr>
          <w:p>
            <w:pPr>
              <w:jc w:val="right"/>
              <w:ind w:right="79"/>
              <w:spacing w:after="0"/>
              <w:rPr>
                <w:sz w:val="20"/>
                <w:szCs w:val="20"/>
                <w:color w:val="auto"/>
              </w:rPr>
            </w:pPr>
            <w:r>
              <w:rPr>
                <w:rFonts w:ascii="Arial" w:cs="Arial" w:eastAsia="Arial" w:hAnsi="Arial"/>
                <w:sz w:val="16"/>
                <w:szCs w:val="16"/>
                <w:color w:val="58595B"/>
              </w:rPr>
              <w:t>7</w:t>
            </w:r>
          </w:p>
        </w:tc>
        <w:tc>
          <w:tcPr>
            <w:tcW w:w="2300" w:type="dxa"/>
            <w:vAlign w:val="bottom"/>
          </w:tcPr>
          <w:p>
            <w:pPr>
              <w:jc w:val="center"/>
              <w:ind w:left="59"/>
              <w:spacing w:after="0"/>
              <w:rPr>
                <w:sz w:val="20"/>
                <w:szCs w:val="20"/>
                <w:color w:val="auto"/>
              </w:rPr>
            </w:pPr>
            <w:r>
              <w:rPr>
                <w:rFonts w:ascii="Arial" w:cs="Arial" w:eastAsia="Arial" w:hAnsi="Arial"/>
                <w:sz w:val="16"/>
                <w:szCs w:val="16"/>
                <w:color w:val="58595B"/>
              </w:rPr>
              <w:t>Majority of votes cast for each</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Arial" w:cs="Arial" w:eastAsia="Arial" w:hAnsi="Arial"/>
                <w:sz w:val="14"/>
                <w:szCs w:val="14"/>
                <w:color w:val="58595B"/>
              </w:rPr>
              <w:t>each nominee</w:t>
            </w:r>
          </w:p>
        </w:tc>
        <w:tc>
          <w:tcPr>
            <w:tcW w:w="580" w:type="dxa"/>
            <w:vAlign w:val="bottom"/>
            <w:vMerge w:val="continue"/>
          </w:tcPr>
          <w:p>
            <w:pPr>
              <w:spacing w:after="0"/>
              <w:rPr>
                <w:sz w:val="10"/>
                <w:szCs w:val="10"/>
                <w:color w:val="auto"/>
              </w:rPr>
            </w:pPr>
          </w:p>
        </w:tc>
        <w:tc>
          <w:tcPr>
            <w:tcW w:w="2300" w:type="dxa"/>
            <w:vAlign w:val="bottom"/>
            <w:vMerge w:val="restart"/>
          </w:tcPr>
          <w:p>
            <w:pPr>
              <w:jc w:val="center"/>
              <w:ind w:left="39"/>
              <w:spacing w:after="0"/>
              <w:rPr>
                <w:sz w:val="20"/>
                <w:szCs w:val="20"/>
                <w:color w:val="auto"/>
              </w:rPr>
            </w:pPr>
            <w:r>
              <w:rPr>
                <w:rFonts w:ascii="Arial" w:cs="Arial" w:eastAsia="Arial" w:hAnsi="Arial"/>
                <w:sz w:val="16"/>
                <w:szCs w:val="16"/>
                <w:color w:val="58595B"/>
              </w:rPr>
              <w:t>director</w:t>
            </w:r>
          </w:p>
        </w:tc>
        <w:tc>
          <w:tcPr>
            <w:tcW w:w="0" w:type="dxa"/>
            <w:vAlign w:val="bottom"/>
          </w:tcPr>
          <w:p>
            <w:pPr>
              <w:spacing w:after="0"/>
              <w:rPr>
                <w:sz w:val="1"/>
                <w:szCs w:val="1"/>
                <w:color w:val="auto"/>
              </w:rPr>
            </w:pPr>
          </w:p>
        </w:tc>
      </w:tr>
      <w:tr>
        <w:trPr>
          <w:trHeight w:val="115"/>
        </w:trPr>
        <w:tc>
          <w:tcPr>
            <w:tcW w:w="12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2">
            <w:col w:w="6040" w:space="660"/>
            <w:col w:w="4540"/>
          </w:cols>
          <w:pgMar w:left="320" w:top="1249" w:right="339" w:bottom="1440" w:gutter="0" w:footer="0" w:header="0"/>
          <w:type w:val="continuous"/>
        </w:sectPr>
      </w:pPr>
    </w:p>
    <w:p>
      <w:pPr>
        <w:ind w:left="360" w:right="820" w:hanging="253"/>
        <w:spacing w:after="0" w:line="339" w:lineRule="auto"/>
        <w:tabs>
          <w:tab w:leader="none" w:pos="360" w:val="left"/>
        </w:tabs>
        <w:numPr>
          <w:ilvl w:val="0"/>
          <w:numId w:val="71"/>
        </w:numPr>
        <w:rPr>
          <w:rFonts w:ascii="Arial" w:cs="Arial" w:eastAsia="Arial" w:hAnsi="Arial"/>
          <w:sz w:val="16"/>
          <w:szCs w:val="16"/>
          <w:b w:val="1"/>
          <w:bCs w:val="1"/>
          <w:color w:val="0057B9"/>
        </w:rPr>
      </w:pPr>
      <w:r>
        <w:rPr>
          <w:rFonts w:ascii="Arial" w:cs="Arial" w:eastAsia="Arial" w:hAnsi="Arial"/>
          <w:sz w:val="16"/>
          <w:szCs w:val="16"/>
          <w:color w:val="58595B"/>
        </w:rPr>
        <w:t>To ratify the appointment of PricewaterhouseCoopers LLP as the Company’s independent registered public accounting firm for the fiscal year 2024.</w:t>
      </w:r>
    </w:p>
    <w:p>
      <w:pPr>
        <w:spacing w:after="0" w:line="168" w:lineRule="exact"/>
        <w:rPr>
          <w:rFonts w:ascii="Arial" w:cs="Arial" w:eastAsia="Arial" w:hAnsi="Arial"/>
          <w:sz w:val="16"/>
          <w:szCs w:val="16"/>
          <w:b w:val="1"/>
          <w:bCs w:val="1"/>
          <w:color w:val="0057B9"/>
        </w:rPr>
      </w:pPr>
    </w:p>
    <w:p>
      <w:pPr>
        <w:ind w:left="360" w:right="720" w:hanging="253"/>
        <w:spacing w:after="0" w:line="339" w:lineRule="auto"/>
        <w:tabs>
          <w:tab w:leader="none" w:pos="360" w:val="left"/>
        </w:tabs>
        <w:numPr>
          <w:ilvl w:val="0"/>
          <w:numId w:val="71"/>
        </w:numPr>
        <w:rPr>
          <w:rFonts w:ascii="Arial" w:cs="Arial" w:eastAsia="Arial" w:hAnsi="Arial"/>
          <w:sz w:val="16"/>
          <w:szCs w:val="16"/>
          <w:b w:val="1"/>
          <w:bCs w:val="1"/>
          <w:color w:val="6C4194"/>
        </w:rPr>
      </w:pPr>
      <w:r>
        <w:rPr>
          <w:rFonts w:ascii="Arial" w:cs="Arial" w:eastAsia="Arial" w:hAnsi="Arial"/>
          <w:sz w:val="16"/>
          <w:szCs w:val="16"/>
          <w:color w:val="58595B"/>
        </w:rPr>
        <w:t>To approve, on a non-binding, advisory basis, the compensation of our named executive officers.</w:t>
      </w:r>
    </w:p>
    <w:p>
      <w:pPr>
        <w:spacing w:after="0" w:line="168" w:lineRule="exact"/>
        <w:rPr>
          <w:rFonts w:ascii="Arial" w:cs="Arial" w:eastAsia="Arial" w:hAnsi="Arial"/>
          <w:sz w:val="16"/>
          <w:szCs w:val="16"/>
          <w:b w:val="1"/>
          <w:bCs w:val="1"/>
          <w:color w:val="6C4194"/>
        </w:rPr>
      </w:pPr>
    </w:p>
    <w:p>
      <w:pPr>
        <w:ind w:left="360" w:right="120" w:hanging="253"/>
        <w:spacing w:after="0" w:line="318" w:lineRule="auto"/>
        <w:tabs>
          <w:tab w:leader="none" w:pos="360" w:val="left"/>
        </w:tabs>
        <w:numPr>
          <w:ilvl w:val="0"/>
          <w:numId w:val="71"/>
        </w:numPr>
        <w:rPr>
          <w:rFonts w:ascii="Arial" w:cs="Arial" w:eastAsia="Arial" w:hAnsi="Arial"/>
          <w:sz w:val="16"/>
          <w:szCs w:val="16"/>
          <w:b w:val="1"/>
          <w:bCs w:val="1"/>
          <w:color w:val="DD6F27"/>
        </w:rPr>
      </w:pPr>
      <w:r>
        <w:rPr>
          <w:rFonts w:ascii="Arial" w:cs="Arial" w:eastAsia="Arial" w:hAnsi="Arial"/>
          <w:sz w:val="16"/>
          <w:szCs w:val="16"/>
          <w:color w:val="58595B"/>
        </w:rPr>
        <w:t>To approve an amendment to the Integra LifeSciences Holdings Corporation Amended and Restated Certificate of Incorporation, as amended, to limit the liability of certain officers of the Company as permitted by recent amendments to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7132320" cy="7372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780" w:type="dxa"/>
            <w:vAlign w:val="bottom"/>
            <w:vMerge w:val="restart"/>
          </w:tcPr>
          <w:p>
            <w:pPr>
              <w:jc w:val="right"/>
              <w:ind w:right="59"/>
              <w:spacing w:after="0"/>
              <w:rPr>
                <w:sz w:val="20"/>
                <w:szCs w:val="20"/>
                <w:color w:val="auto"/>
              </w:rPr>
            </w:pPr>
            <w:r>
              <w:rPr>
                <w:rFonts w:ascii="Arial" w:cs="Arial" w:eastAsia="Arial" w:hAnsi="Arial"/>
                <w:sz w:val="16"/>
                <w:szCs w:val="16"/>
                <w:color w:val="58595B"/>
              </w:rPr>
              <w:t>75</w:t>
            </w:r>
          </w:p>
        </w:tc>
        <w:tc>
          <w:tcPr>
            <w:tcW w:w="2280" w:type="dxa"/>
            <w:vAlign w:val="bottom"/>
          </w:tcPr>
          <w:p>
            <w:pPr>
              <w:jc w:val="center"/>
              <w:ind w:left="3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280" w:type="dxa"/>
            <w:vAlign w:val="bottom"/>
            <w:vMerge w:val="restart"/>
          </w:tcPr>
          <w:p>
            <w:pPr>
              <w:jc w:val="center"/>
              <w:ind w:left="3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009845"/>
              </w:rPr>
              <w:t>FOR</w:t>
            </w:r>
          </w:p>
        </w:tc>
        <w:tc>
          <w:tcPr>
            <w:tcW w:w="780" w:type="dxa"/>
            <w:vAlign w:val="bottom"/>
            <w:vMerge w:val="restart"/>
          </w:tcPr>
          <w:p>
            <w:pPr>
              <w:jc w:val="right"/>
              <w:ind w:right="59"/>
              <w:spacing w:after="0"/>
              <w:rPr>
                <w:sz w:val="20"/>
                <w:szCs w:val="20"/>
                <w:color w:val="auto"/>
              </w:rPr>
            </w:pPr>
            <w:r>
              <w:rPr>
                <w:rFonts w:ascii="Arial" w:cs="Arial" w:eastAsia="Arial" w:hAnsi="Arial"/>
                <w:sz w:val="16"/>
                <w:szCs w:val="16"/>
                <w:color w:val="58595B"/>
              </w:rPr>
              <w:t>78</w:t>
            </w:r>
          </w:p>
        </w:tc>
        <w:tc>
          <w:tcPr>
            <w:tcW w:w="2280" w:type="dxa"/>
            <w:vAlign w:val="bottom"/>
          </w:tcPr>
          <w:p>
            <w:pPr>
              <w:jc w:val="center"/>
              <w:ind w:left="39"/>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280" w:type="dxa"/>
            <w:vAlign w:val="bottom"/>
            <w:vMerge w:val="restart"/>
          </w:tcPr>
          <w:p>
            <w:pPr>
              <w:jc w:val="center"/>
              <w:ind w:left="3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6"/>
                <w:szCs w:val="16"/>
                <w:color w:val="58595B"/>
              </w:rPr>
              <w:t>79</w:t>
            </w:r>
          </w:p>
        </w:tc>
        <w:tc>
          <w:tcPr>
            <w:tcW w:w="2280" w:type="dxa"/>
            <w:vAlign w:val="bottom"/>
          </w:tcPr>
          <w:p>
            <w:pPr>
              <w:jc w:val="center"/>
              <w:ind w:left="39"/>
              <w:spacing w:after="0"/>
              <w:rPr>
                <w:sz w:val="20"/>
                <w:szCs w:val="20"/>
                <w:color w:val="auto"/>
              </w:rPr>
            </w:pPr>
            <w:r>
              <w:rPr>
                <w:rFonts w:ascii="Arial" w:cs="Arial" w:eastAsia="Arial" w:hAnsi="Arial"/>
                <w:sz w:val="16"/>
                <w:szCs w:val="16"/>
                <w:color w:val="58595B"/>
              </w:rPr>
              <w:t>Majority of shares outstanding</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4"/>
                <w:szCs w:val="14"/>
                <w:b w:val="1"/>
                <w:bCs w:val="1"/>
                <w:color w:val="009845"/>
              </w:rPr>
              <w:t>FOR</w:t>
            </w:r>
          </w:p>
        </w:tc>
        <w:tc>
          <w:tcPr>
            <w:tcW w:w="780" w:type="dxa"/>
            <w:vAlign w:val="bottom"/>
            <w:vMerge w:val="continue"/>
          </w:tcPr>
          <w:p>
            <w:pPr>
              <w:spacing w:after="0"/>
              <w:rPr>
                <w:sz w:val="19"/>
                <w:szCs w:val="19"/>
                <w:color w:val="auto"/>
              </w:rPr>
            </w:pPr>
          </w:p>
        </w:tc>
        <w:tc>
          <w:tcPr>
            <w:tcW w:w="2280" w:type="dxa"/>
            <w:vAlign w:val="bottom"/>
          </w:tcPr>
          <w:p>
            <w:pPr>
              <w:jc w:val="center"/>
              <w:ind w:left="39"/>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bl>
    <w:p>
      <w:pPr>
        <w:spacing w:after="0" w:line="487" w:lineRule="exact"/>
        <w:rPr>
          <w:sz w:val="20"/>
          <w:szCs w:val="20"/>
          <w:color w:val="auto"/>
        </w:rPr>
      </w:pPr>
    </w:p>
    <w:p>
      <w:pPr>
        <w:sectPr>
          <w:pgSz w:w="11900" w:h="16838" w:orient="portrait"/>
          <w:cols w:equalWidth="0" w:num="2">
            <w:col w:w="6660" w:space="720"/>
            <w:col w:w="3860"/>
          </w:cols>
          <w:pgMar w:left="320" w:top="124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880" w:type="dxa"/>
            <w:vAlign w:val="bottom"/>
          </w:tcPr>
          <w:p>
            <w:pPr>
              <w:ind w:left="100"/>
              <w:spacing w:after="0"/>
              <w:rPr>
                <w:sz w:val="20"/>
                <w:szCs w:val="20"/>
                <w:color w:val="auto"/>
              </w:rPr>
            </w:pPr>
            <w:r>
              <w:rPr>
                <w:rFonts w:ascii="Arial" w:cs="Arial" w:eastAsia="Arial" w:hAnsi="Arial"/>
                <w:sz w:val="16"/>
                <w:szCs w:val="16"/>
                <w:b w:val="1"/>
                <w:bCs w:val="1"/>
                <w:color w:val="009845"/>
              </w:rPr>
              <w:t xml:space="preserve">5. </w:t>
            </w:r>
            <w:r>
              <w:rPr>
                <w:rFonts w:ascii="Arial" w:cs="Arial" w:eastAsia="Arial" w:hAnsi="Arial"/>
                <w:sz w:val="16"/>
                <w:szCs w:val="16"/>
                <w:color w:val="58595B"/>
              </w:rPr>
              <w:t>To approve Amendment No. 1 to the Integra LifeSciences Holdings Corporation Fifth</w:t>
            </w:r>
          </w:p>
        </w:tc>
        <w:tc>
          <w:tcPr>
            <w:tcW w:w="1280" w:type="dxa"/>
            <w:vAlign w:val="bottom"/>
            <w:vMerge w:val="restart"/>
          </w:tcPr>
          <w:p>
            <w:pPr>
              <w:ind w:left="500"/>
              <w:spacing w:after="0"/>
              <w:rPr>
                <w:sz w:val="20"/>
                <w:szCs w:val="20"/>
                <w:color w:val="auto"/>
              </w:rPr>
            </w:pPr>
            <w:r>
              <w:rPr>
                <w:rFonts w:ascii="Arial" w:cs="Arial" w:eastAsia="Arial" w:hAnsi="Arial"/>
                <w:sz w:val="14"/>
                <w:szCs w:val="14"/>
                <w:b w:val="1"/>
                <w:bCs w:val="1"/>
                <w:color w:val="009845"/>
              </w:rPr>
              <w:t>FOR</w:t>
            </w: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color w:val="58595B"/>
              </w:rPr>
              <w:t>81</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58595B"/>
              </w:rPr>
              <w:t>Majority of shares present</w:t>
            </w:r>
          </w:p>
        </w:tc>
        <w:tc>
          <w:tcPr>
            <w:tcW w:w="0" w:type="dxa"/>
            <w:vAlign w:val="bottom"/>
          </w:tcPr>
          <w:p>
            <w:pPr>
              <w:spacing w:after="0"/>
              <w:rPr>
                <w:sz w:val="1"/>
                <w:szCs w:val="1"/>
                <w:color w:val="auto"/>
              </w:rPr>
            </w:pPr>
          </w:p>
        </w:tc>
      </w:tr>
      <w:tr>
        <w:trPr>
          <w:trHeight w:val="73"/>
        </w:trPr>
        <w:tc>
          <w:tcPr>
            <w:tcW w:w="6880" w:type="dxa"/>
            <w:vAlign w:val="bottom"/>
            <w:vMerge w:val="restart"/>
          </w:tcPr>
          <w:p>
            <w:pPr>
              <w:ind w:left="360"/>
              <w:spacing w:after="0"/>
              <w:rPr>
                <w:sz w:val="20"/>
                <w:szCs w:val="20"/>
                <w:color w:val="auto"/>
              </w:rPr>
            </w:pPr>
            <w:r>
              <w:rPr>
                <w:rFonts w:ascii="Arial" w:cs="Arial" w:eastAsia="Arial" w:hAnsi="Arial"/>
                <w:sz w:val="16"/>
                <w:szCs w:val="16"/>
                <w:color w:val="58595B"/>
              </w:rPr>
              <w:t>Amended and Restated 2003 Equity Incentive Plan</w:t>
            </w:r>
          </w:p>
        </w:tc>
        <w:tc>
          <w:tcPr>
            <w:tcW w:w="12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8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58595B"/>
              </w:rPr>
              <w:t>and entitled to vote thereon</w:t>
            </w:r>
          </w:p>
        </w:tc>
        <w:tc>
          <w:tcPr>
            <w:tcW w:w="0" w:type="dxa"/>
            <w:vAlign w:val="bottom"/>
          </w:tcPr>
          <w:p>
            <w:pPr>
              <w:spacing w:after="0"/>
              <w:rPr>
                <w:sz w:val="1"/>
                <w:szCs w:val="1"/>
                <w:color w:val="auto"/>
              </w:rPr>
            </w:pPr>
          </w:p>
        </w:tc>
      </w:tr>
      <w:tr>
        <w:trPr>
          <w:trHeight w:val="81"/>
        </w:trPr>
        <w:tc>
          <w:tcPr>
            <w:tcW w:w="6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6880" w:type="dxa"/>
            <w:vAlign w:val="bottom"/>
            <w:tcBorders>
              <w:bottom w:val="single" w:sz="8" w:color="58595B"/>
            </w:tcBorders>
          </w:tcPr>
          <w:p>
            <w:pPr>
              <w:spacing w:after="0"/>
              <w:rPr>
                <w:sz w:val="11"/>
                <w:szCs w:val="11"/>
                <w:color w:val="auto"/>
              </w:rPr>
            </w:pPr>
          </w:p>
        </w:tc>
        <w:tc>
          <w:tcPr>
            <w:tcW w:w="1280" w:type="dxa"/>
            <w:vAlign w:val="bottom"/>
            <w:tcBorders>
              <w:bottom w:val="single" w:sz="8" w:color="58595B"/>
            </w:tcBorders>
          </w:tcPr>
          <w:p>
            <w:pPr>
              <w:spacing w:after="0"/>
              <w:rPr>
                <w:sz w:val="11"/>
                <w:szCs w:val="11"/>
                <w:color w:val="auto"/>
              </w:rPr>
            </w:pPr>
          </w:p>
        </w:tc>
        <w:tc>
          <w:tcPr>
            <w:tcW w:w="820" w:type="dxa"/>
            <w:vAlign w:val="bottom"/>
            <w:tcBorders>
              <w:bottom w:val="single" w:sz="8" w:color="58595B"/>
            </w:tcBorders>
          </w:tcPr>
          <w:p>
            <w:pPr>
              <w:spacing w:after="0"/>
              <w:rPr>
                <w:sz w:val="11"/>
                <w:szCs w:val="11"/>
                <w:color w:val="auto"/>
              </w:rPr>
            </w:pPr>
          </w:p>
        </w:tc>
        <w:tc>
          <w:tcPr>
            <w:tcW w:w="2260" w:type="dxa"/>
            <w:vAlign w:val="bottom"/>
            <w:tcBorders>
              <w:bottom w:val="single" w:sz="8" w:color="58595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92</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009845"/>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58595B"/>
        </w:rPr>
        <w:t>For purposes of the foregoing table, "majority of shares present and entitled to vote thereon" means the majority of shares present, in person or represented by proxy, at the Annual Meeting and entitled to vote thereon.</w:t>
      </w:r>
    </w:p>
    <w:p>
      <w:pPr>
        <w:spacing w:after="0" w:line="115"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58595B"/>
        </w:rPr>
        <w:t>Other than as set out in this proxy statement, the Board knows of no other matter to be presented at the Annual Meeting. If any matters are presented at the Annual Meeting other than the individuals named on the proxy card will vote on them using their best judgment. Your signed proxy card, or internet or telephone vote, provides this authority. Under our Bylaws, notice of any matter (including director nominations outside of our proxy access process) to be presented by a stockholder for a vote at the Annual Meeting must have been received by February 12, 2024, and must have been accompanied by certain information about the stockholder presenting it.</w:t>
      </w:r>
    </w:p>
    <w:p>
      <w:pPr>
        <w:spacing w:after="0" w:line="13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58595B"/>
        </w:rPr>
        <w:t>The preliminary voting results will be announced at the Annual Meeting. The final voting results will be tallied by the inspector of elections and published in a Current Report on Form 8-K, which we are required to file with the SEC within four business days following the conclusion of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9845"/>
        </w:rPr>
        <w:t>Record Date</w:t>
      </w:r>
    </w:p>
    <w:p>
      <w:pPr>
        <w:spacing w:after="0" w:line="193"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58595B"/>
        </w:rPr>
        <w:t>Our Board has fixed the close of business on March 11, 2024 as the record date (the "Record Date"). Accordingly, only holders of record of our common stock, $0.01 par value per share, as of the close of business on the Record Date will be entitled to notice of, and to vote at, the Annual Meeting or any adjournment(s) or postponement(s) thereof. A stockholder of record is a person or entity who held shares on the record date registered in the stockholder's name on the records of Equiniti Trust Company, LLC, Integra’s stock transfer agent. Persons who held shares on the record date through a broker, bank, or other nominee are referred to as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58595B"/>
        </w:rPr>
        <w:t>As of the Record Date, 78,602,240 shares of our common stock were outstanding.</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color w:val="009845"/>
        </w:rPr>
        <w:t>General Information Regarding Voting and Revocability of Proxies</w:t>
      </w:r>
    </w:p>
    <w:p>
      <w:pPr>
        <w:spacing w:after="0" w:line="207"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58595B"/>
        </w:rPr>
        <w:t>Each share of our common stock entitles the holder of record thereof to one vote. Each stockholder may vote in person or by proxy on all matters that properly come before the Annual Meeting and any adjournment or postponement thereof. The presence, in person or by proxy, of stockholders entitled to vote a majority of the shares of common stock outstanding on the record date will constitute a quorum for purposes of voting at the Annual Meeting.</w:t>
      </w:r>
    </w:p>
    <w:p>
      <w:pPr>
        <w:spacing w:after="0" w:line="13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58595B"/>
        </w:rPr>
        <w:t>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2024 fiscal year (“Proposal 2”). In all other instances, brokers and other shareowners of record who serve as nominees for a beneficial owner may not vote on a proposal without having voting instructions from the beneficial owner. Abstentions and broker “non-votes” are included in the number of shares present or represented for purposes of quorum but are disregarded for purposes of determining whether any of the proposals have been approved.</w:t>
      </w:r>
    </w:p>
    <w:p>
      <w:pPr>
        <w:spacing w:after="0" w:line="142"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58595B"/>
        </w:rPr>
        <w:t>If we fail to obtain a quorum for the Annual Meeting or a sufficient number of votes to approve a proposal, we may adjourn the Annual Meeting for the purpose of obtaining additional proxies or votes or for any other purpose. At any subsequent reconvening of the Annual Meeting, all proxies will be voted in the same manner as they would have been voted at the original Meeting (except for any proxies that have theretofore effectively been revoked or withdrawn). Proxies voting against a proposal set forth herein will not be used to adjourn the Annual Meeting to obtain additional proxies or votes with respect to such proposal.</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93</w:t>
            </w:r>
          </w:p>
        </w:tc>
      </w:tr>
      <w:tr>
        <w:trPr>
          <w:trHeight w:val="231"/>
        </w:trPr>
        <w:tc>
          <w:tcPr>
            <w:tcW w:w="6180" w:type="dxa"/>
            <w:vAlign w:val="bottom"/>
            <w:tcBorders>
              <w:bottom w:val="single" w:sz="8" w:color="9A9A9A"/>
            </w:tcBorders>
          </w:tcPr>
          <w:p>
            <w:pPr>
              <w:spacing w:after="0"/>
              <w:rPr>
                <w:sz w:val="20"/>
                <w:szCs w:val="20"/>
                <w:color w:val="auto"/>
              </w:rPr>
            </w:pPr>
          </w:p>
        </w:tc>
        <w:tc>
          <w:tcPr>
            <w:tcW w:w="50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color w:val="009845"/>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23" w:lineRule="auto"/>
        <w:rPr>
          <w:sz w:val="20"/>
          <w:szCs w:val="20"/>
          <w:color w:val="auto"/>
        </w:rPr>
      </w:pPr>
      <w:r>
        <w:rPr>
          <w:rFonts w:ascii="Arial" w:cs="Arial" w:eastAsia="Arial" w:hAnsi="Arial"/>
          <w:sz w:val="16"/>
          <w:szCs w:val="16"/>
          <w:color w:val="58595B"/>
        </w:rPr>
        <w:t>The Board is soliciting the enclosed proxy for use in connection with the Annual Meeting and any postponement or adjournment thereof. All properly executed proxies received prior to or at the Annual Meeting or any postponement or adjournment thereof and not revoked in the manner described below will be voted in accordance with any instructions indicated on such proxies. For Proposals 1, 2, 3, 4 and 5, you may vote “FOR,” “AGAINST” or “ABSTAIN.” If you sign your proxy card or broker voting instruction card with no further instructions, your shares will be voted in accordance with the recommendations of the Board.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009845"/>
        </w:rPr>
        <w:t>How to Vote in Advance or at the Annual Meeting</w:t>
      </w:r>
    </w:p>
    <w:p>
      <w:pPr>
        <w:spacing w:after="0" w:line="193" w:lineRule="exact"/>
        <w:rPr>
          <w:sz w:val="20"/>
          <w:szCs w:val="20"/>
          <w:color w:val="auto"/>
        </w:rPr>
      </w:pPr>
    </w:p>
    <w:p>
      <w:pPr>
        <w:spacing w:after="0" w:line="356" w:lineRule="auto"/>
        <w:rPr>
          <w:sz w:val="20"/>
          <w:szCs w:val="20"/>
          <w:color w:val="auto"/>
        </w:rPr>
      </w:pPr>
      <w:r>
        <w:rPr>
          <w:rFonts w:ascii="Arial" w:cs="Arial" w:eastAsia="Arial" w:hAnsi="Arial"/>
          <w:sz w:val="16"/>
          <w:szCs w:val="16"/>
          <w:color w:val="58595B"/>
        </w:rPr>
        <w:t>You may vote in person or by proxy. Your execution of a proxy will not in any way affect your right to attend the Annual Meeting and vote in person. If you are a stockholder of record (that is, if you hold shares that are directly registered in your own name), there are four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39370</wp:posOffset>
            </wp:positionV>
            <wp:extent cx="8255" cy="26485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264858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39370</wp:posOffset>
            </wp:positionV>
            <wp:extent cx="8890" cy="26485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264858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39370</wp:posOffset>
            </wp:positionV>
            <wp:extent cx="8890" cy="26485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264858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58595B"/>
        </w:rPr>
        <w:t xml:space="preserve">By Internet </w:t>
      </w:r>
      <w:r>
        <w:rPr>
          <w:sz w:val="1"/>
          <w:szCs w:val="1"/>
          <w:color w:val="auto"/>
        </w:rPr>
        <w:drawing>
          <wp:inline distT="0" distB="0" distL="0" distR="0">
            <wp:extent cx="145415" cy="15430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p>
    <w:p>
      <w:pPr>
        <w:spacing w:after="0" w:line="115" w:lineRule="exact"/>
        <w:rPr>
          <w:sz w:val="20"/>
          <w:szCs w:val="20"/>
          <w:color w:val="auto"/>
        </w:rPr>
      </w:pPr>
    </w:p>
    <w:p>
      <w:pPr>
        <w:ind w:left="20" w:right="120"/>
        <w:spacing w:after="0" w:line="314" w:lineRule="auto"/>
        <w:rPr>
          <w:sz w:val="20"/>
          <w:szCs w:val="20"/>
          <w:color w:val="auto"/>
        </w:rPr>
      </w:pPr>
      <w:r>
        <w:rPr>
          <w:rFonts w:ascii="Arial" w:cs="Arial" w:eastAsia="Arial" w:hAnsi="Arial"/>
          <w:sz w:val="16"/>
          <w:szCs w:val="16"/>
          <w:color w:val="58595B"/>
        </w:rPr>
        <w:t>If you have internet access you may submit your proxy by following the voting instructions on the proxy card. If you vote by Internet, you should not return your proxy card.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You may vote at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www.proxyvote.com, from</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anywhere in the world, 24 hours a</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day, 7 days a week, up until 11:59</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p.m., Eastern Time, on May 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58595B"/>
        </w:rPr>
        <w:t>2024.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Mail </w:t>
      </w:r>
      <w:r>
        <w:rPr>
          <w:sz w:val="1"/>
          <w:szCs w:val="1"/>
          <w:color w:val="auto"/>
        </w:rPr>
        <w:drawing>
          <wp:inline distT="0" distB="0" distL="0" distR="0">
            <wp:extent cx="137160" cy="12001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120015"/>
                    </a:xfrm>
                    <a:prstGeom prst="rect">
                      <a:avLst/>
                    </a:prstGeom>
                    <a:noFill/>
                    <a:ln>
                      <a:noFill/>
                    </a:ln>
                  </pic:spPr>
                </pic:pic>
              </a:graphicData>
            </a:graphic>
          </wp:inline>
        </w:drawing>
      </w:r>
    </w:p>
    <w:p>
      <w:pPr>
        <w:spacing w:after="0" w:line="97" w:lineRule="exact"/>
        <w:rPr>
          <w:sz w:val="20"/>
          <w:szCs w:val="20"/>
          <w:color w:val="auto"/>
        </w:rPr>
      </w:pPr>
    </w:p>
    <w:p>
      <w:pPr>
        <w:spacing w:after="0" w:line="310" w:lineRule="auto"/>
        <w:rPr>
          <w:sz w:val="20"/>
          <w:szCs w:val="20"/>
          <w:color w:val="auto"/>
        </w:rPr>
      </w:pPr>
      <w:r>
        <w:rPr>
          <w:rFonts w:ascii="Arial" w:cs="Arial" w:eastAsia="Arial" w:hAnsi="Arial"/>
          <w:sz w:val="16"/>
          <w:szCs w:val="16"/>
          <w:color w:val="58595B"/>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By Telephone </w:t>
      </w:r>
      <w:r>
        <w:rPr>
          <w:sz w:val="1"/>
          <w:szCs w:val="1"/>
          <w:color w:val="auto"/>
        </w:rPr>
        <w:drawing>
          <wp:inline distT="0" distB="0" distL="0" distR="0">
            <wp:extent cx="154305" cy="15430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6"/>
          <w:szCs w:val="16"/>
          <w:color w:val="58595B"/>
        </w:rPr>
        <w:t>You may vote by proxy via telephone by calling the toll-free number found on the proxy card.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 xml:space="preserve">In Person </w:t>
      </w:r>
      <w:r>
        <w:rPr>
          <w:sz w:val="1"/>
          <w:szCs w:val="1"/>
          <w:color w:val="auto"/>
        </w:rPr>
        <w:drawing>
          <wp:inline distT="0" distB="0" distL="0" distR="0">
            <wp:extent cx="128905" cy="17145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p>
    <w:p>
      <w:pPr>
        <w:spacing w:after="0" w:line="115"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58595B"/>
        </w:rPr>
        <w:t>You may vote in person at the Annual Meeting. We will provide you with a ballot when you arrive. Stockholders who plan to attend the Annual Meeting must present valid photo identification. Stockholders of record will be verified against an official list available at the registration area. We reserve the right to deny admittance to anyone who cannot show valid identification or sufficient proof of share ownership as of the record date.</w:t>
      </w:r>
    </w:p>
    <w:p>
      <w:pPr>
        <w:spacing w:after="0" w:line="200" w:lineRule="exact"/>
        <w:rPr>
          <w:sz w:val="20"/>
          <w:szCs w:val="20"/>
          <w:color w:val="auto"/>
        </w:rPr>
      </w:pPr>
    </w:p>
    <w:p>
      <w:pPr>
        <w:sectPr>
          <w:pgSz w:w="11900" w:h="16838" w:orient="portrait"/>
          <w:cols w:equalWidth="0" w:num="4">
            <w:col w:w="2460" w:space="500"/>
            <w:col w:w="2640" w:space="500"/>
            <w:col w:w="2280" w:space="480"/>
            <w:col w:w="2360"/>
          </w:cols>
          <w:pgMar w:left="320" w:top="121" w:right="359" w:bottom="1440" w:gutter="0" w:footer="0" w:header="0"/>
          <w:type w:val="continuous"/>
        </w:sectPr>
      </w:pPr>
    </w:p>
    <w:p>
      <w:pPr>
        <w:spacing w:after="0" w:line="281"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color w:val="58595B"/>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w:t>
      </w:r>
    </w:p>
    <w:p>
      <w:pPr>
        <w:spacing w:after="0" w:line="110"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58595B"/>
        </w:rPr>
        <w:t>Although most banks, brokers and other holders of record also offer internet and telephone voting, availability and specific procedures will depend on their voting arrangements. Please follow their directions carefully. If you want to vote shares that you hold in street name at the Annual Meeting, you must request a legal proxy from the bank, broker, or other holder of record that holds your shares and present that proxy, along with valid photo identification and sufficient proof of share ownership as of the record date, at the Annual Meeting. We reserve the right to deny admittance to anyone who cannot show valid identification or sufficient proof of share ownership as of the record date.</w:t>
      </w:r>
    </w:p>
    <w:p>
      <w:pPr>
        <w:spacing w:after="0" w:line="118" w:lineRule="exact"/>
        <w:rPr>
          <w:sz w:val="20"/>
          <w:szCs w:val="20"/>
          <w:color w:val="auto"/>
        </w:rPr>
      </w:pPr>
    </w:p>
    <w:p>
      <w:pPr>
        <w:spacing w:after="0" w:line="311" w:lineRule="auto"/>
        <w:rPr>
          <w:sz w:val="20"/>
          <w:szCs w:val="20"/>
          <w:color w:val="auto"/>
        </w:rPr>
      </w:pPr>
      <w:r>
        <w:rPr>
          <w:rFonts w:ascii="Arial" w:cs="Arial" w:eastAsia="Arial" w:hAnsi="Arial"/>
          <w:sz w:val="16"/>
          <w:szCs w:val="16"/>
          <w:color w:val="58595B"/>
        </w:rPr>
        <w:t>You may revoke your proxy by (a) delivering to the Secretary of the Company at or before the Annual Meeting a written notice of revocation bearing a later date than the proxy, (b) duly executing a subsequent proxy relating to the same shares of common stock and delivering it to the Secretary of the Company at or before the Annual Meeting or (c) attending the Annual Meeting and voting in person (although attendance at the Annual Meeting will not in and of itself constitute a revocation of a proxy). Any written notice revoking a proxy should be delivered in a timely manner prior to the Annual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94</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36"/>
          <w:szCs w:val="36"/>
          <w:color w:val="009845"/>
        </w:rPr>
        <w:t>OTHER MATTERS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009845"/>
        </w:rPr>
        <w:t>Expenses of Solicitation</w:t>
      </w:r>
    </w:p>
    <w:p>
      <w:pPr>
        <w:spacing w:after="0" w:line="193"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$10,500 plus reasonable expenses. We will also reimburse banks, brokerage firms and other custodians, nominees and fiduciaries for reasonable expenses incurred by them in sending proxy soliciting materials to beneficial owners of shares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845"/>
        </w:rPr>
        <w:t>Stockholder Proposals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Deadline for Stockholder Proposals to be Considered for Inclusion in the Company’s Proxy Materials Pursuant to Rule 14a-8</w:t>
      </w:r>
    </w:p>
    <w:p>
      <w:pPr>
        <w:spacing w:after="0" w:line="20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58595B"/>
        </w:rPr>
        <w:t>Any stockholder who intends to present a proposal pursuant to Rule 14a-8 under the Exchange Act at Integra’s Annual Meeting of Stockholders to be held in 2025, and who wishes to have a proposal included in Integra’s proxy statement for that meeting, must deliver the proposal to the Corporate Secretary. All proposals must be received by the Corporate Secretary no later than December 5, 2024 and must satisfy the rules and regulations of the SEC as well as the applicable provisions of our Bylaws to be eligible for inclusion in the proxy statement for that meeting.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Requirements for Stockholder Nominations for Director and Stockholder Proposals Outside of Rule 14a-8 to be brought before the Annual Meeting.</w:t>
      </w:r>
    </w:p>
    <w:p>
      <w:pPr>
        <w:spacing w:after="0" w:line="206"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To be eligible for consideration at the Annual Meeting of Stockholders to be held in 2025, any proposal that is a proper subject for consideration which has not been submitted by the deadline for inclusion in the proxy statement (as set forth above) and any nomination for director that is made outside of the proxy access procedures (as described above) must comply with the procedures specified in our Bylaws. These procedures require, among other things, that any such proposal or nomination be received by the Corporate Secretary between close of business on January 9, 2025 and February 7, 2025; provided, however, if the date of the 2025 Annual Meeting of Stockholders is more than thirty (30) days before or more than sixty (60) days after May 9, 2025, notice by the stockholder to be timely must be so delivered, or mailed and received, not later than the ninetieth (90th) day prior to the 2025 Annual Meeting of Stockholders or, if later, the tenth (10th) day following the day on which public disclosure of the date of the 2025 Annual Meeting of Stockholders is first made by us). This advance notice period is intended to allow all stockholders an opportunity to consider all business and nominees expected to be considered at the meeting. Further, to comply with the universal proxy rules, if a stockholder intends to solicit proxies in support of director nominees submitted under these advance notice provisions, then proper written notice that sets forth all information required by Rule 14a-19 under the Exchange Act must be received by the Corporate Secretary at our principal executive offices no later than March 10, 2025, except that, if the date of the 2025 Annual Meeting of Stockholders changes by more than 30 calendar days from the previous year, then notice must be provided by the later of 60 calendar days prior to the date of the 2025 Annual Meeting of Stockholders or the 10th calendar day following the day on which public announcement of the date of the 2025 Annual Meeting of Stockholders is first made by us. The notice requirement under Rule 14a-19 is in addition to the applicable advance notice requirements under our Bylaws.</w:t>
      </w:r>
    </w:p>
    <w:p>
      <w:pPr>
        <w:spacing w:after="0" w:line="140"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58595B"/>
        </w:rPr>
        <w:t>All submissions to, or requests of, the Corporate Secretary should be made to Integra’s principal executive offices at 1100 Campus Road, Princeton, New Jersey 08540.</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060" w:type="dxa"/>
            <w:vAlign w:val="bottom"/>
          </w:tcPr>
          <w:p>
            <w:pPr>
              <w:jc w:val="right"/>
              <w:spacing w:after="0"/>
              <w:rPr>
                <w:sz w:val="20"/>
                <w:szCs w:val="20"/>
                <w:color w:val="auto"/>
              </w:rPr>
            </w:pPr>
            <w:r>
              <w:rPr>
                <w:rFonts w:ascii="Arial" w:cs="Arial" w:eastAsia="Arial" w:hAnsi="Arial"/>
                <w:sz w:val="13"/>
                <w:szCs w:val="13"/>
                <w:b w:val="1"/>
                <w:bCs w:val="1"/>
                <w:color w:val="009845"/>
              </w:rPr>
              <w:t>95</w:t>
            </w:r>
          </w:p>
        </w:tc>
      </w:tr>
      <w:tr>
        <w:trPr>
          <w:trHeight w:val="218"/>
        </w:trPr>
        <w:tc>
          <w:tcPr>
            <w:tcW w:w="618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color w:val="00984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009845"/>
        </w:rPr>
        <w:t>Delivery of Documents to Stockholders Sharing an Address</w:t>
      </w:r>
    </w:p>
    <w:p>
      <w:pPr>
        <w:spacing w:after="0" w:line="193"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58595B"/>
        </w:rPr>
        <w:t>The SEC has adopted rules regarding delivery of proxy statements and annual reports to stockholders sharing the same address. The Company may satisfy these delivery rules by delivering a single proxy statement and annual report to an address shared by two or more of its stockholders who are not participating in electronic proxy material delivery. This delivery method, referred to as “householding,” results in significant cost savings for the Company. In order to take advantage of this opportunity, the company has delivered only one proxy statement and annual report to multiple stockholders who share an address unless Integra has received contrary instructions from one or more of the stockholders. Integra will deliver promptly, upon written or oral request, a separate copy of the proxy statement and annual report to a stockholder at a shared address to which a single copy of the documents was delivered.</w:t>
      </w:r>
    </w:p>
    <w:p>
      <w:pPr>
        <w:spacing w:after="0" w:line="135"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58595B"/>
        </w:rPr>
        <w:t>If you are a registered stockholder residing at an address with other registered stockholders, you will receive only one copy of the proxy statement or annual report unless you indicate otherwise. If you wish to receive a separate copy of the proxy statement or annual report, or if you do not wish to participate in householding and prefer to receive separate copies of these documents in the future, please contact our mailing agent, Broadridge, either by calling toll-free at 1-866-540-7095, or by writing to Broadridge, Householding Department, 51 Mercedes Way, Edgewood, New York 11717. If you are a beneficial holder, you will need to contact your broker, bank or other nominee to request that only a single copy of each document be mailed to all stockholders at the shared address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845"/>
        </w:rPr>
        <w:t>Incorporation by Reference</w:t>
      </w:r>
    </w:p>
    <w:p>
      <w:pPr>
        <w:spacing w:after="0" w:line="19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58595B"/>
        </w:rPr>
        <w:t>To the extent that this proxy statement has been or will be specifically incorporated by reference into any filing made by us under the Securities Act of 1933, as amended, or the Exchange Act, the sections of the proxy statement entitled “Compensation Committee Report” and “Audit and Finance Committee Report” shall not be deemed to be so incorporated, unless specifically provided in any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009845"/>
        </w:rPr>
        <w:t>Availability of Supplemental Documents</w:t>
      </w:r>
    </w:p>
    <w:p>
      <w:pPr>
        <w:spacing w:after="0" w:line="193"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58595B"/>
        </w:rPr>
        <w:t>A copy of the Company’s 2023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and Nominating and Corporate Governance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118" w:lineRule="exact"/>
        <w:rPr>
          <w:sz w:val="20"/>
          <w:szCs w:val="20"/>
          <w:color w:val="auto"/>
        </w:rPr>
      </w:pPr>
    </w:p>
    <w:p>
      <w:pPr>
        <w:ind w:right="100"/>
        <w:spacing w:after="0" w:line="322" w:lineRule="auto"/>
        <w:rPr>
          <w:sz w:val="20"/>
          <w:szCs w:val="20"/>
          <w:color w:val="auto"/>
        </w:rPr>
      </w:pPr>
      <w:r>
        <w:rPr>
          <w:rFonts w:ascii="Arial" w:cs="Arial" w:eastAsia="Arial" w:hAnsi="Arial"/>
          <w:sz w:val="16"/>
          <w:szCs w:val="16"/>
          <w:b w:val="1"/>
          <w:bCs w:val="1"/>
          <w:color w:val="58595B"/>
        </w:rPr>
        <w:t>The Company, upon request, will furnish to record and beneficial holders of its common stock, free of charge, a copy of its Annual Report on Form 10-K (including financial statements and schedules, but without exhibits) for the fiscal year ended December 31, 2023 as filed with the SEC on February 28, 2024.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58595B"/>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/s/ Eric Ian Schwartz</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58595B"/>
        </w:rPr>
        <w:t>Eric Ian Schwartz</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58595B"/>
        </w:rPr>
        <w:t>Executive Vice President, Chief Legal Officer and Secretary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58595B"/>
        </w:rPr>
        <w:t>Princeton, New Jersey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58595B"/>
        </w:rPr>
        <w:t>April 4, 2024</w:t>
      </w:r>
    </w:p>
    <w:p>
      <w:pPr>
        <w:spacing w:after="0" w:line="370" w:lineRule="exact"/>
        <w:rPr>
          <w:sz w:val="20"/>
          <w:szCs w:val="20"/>
          <w:color w:val="auto"/>
        </w:rPr>
      </w:pPr>
    </w:p>
    <w:p>
      <w:pPr>
        <w:ind w:left="20"/>
        <w:spacing w:after="0"/>
        <w:tabs>
          <w:tab w:leader="none" w:pos="9960" w:val="left"/>
        </w:tabs>
        <w:rPr>
          <w:sz w:val="20"/>
          <w:szCs w:val="20"/>
          <w:color w:val="auto"/>
        </w:rPr>
      </w:pPr>
      <w:r>
        <w:rPr>
          <w:rFonts w:ascii="Arial" w:cs="Arial" w:eastAsia="Arial" w:hAnsi="Arial"/>
          <w:sz w:val="12"/>
          <w:szCs w:val="12"/>
          <w:b w:val="1"/>
          <w:bCs w:val="1"/>
          <w:color w:val="009845"/>
        </w:rPr>
        <w:t>96</w:t>
      </w:r>
      <w:r>
        <w:rPr>
          <w:sz w:val="20"/>
          <w:szCs w:val="20"/>
          <w:color w:val="auto"/>
        </w:rPr>
        <w:tab/>
      </w:r>
      <w:r>
        <w:rPr>
          <w:rFonts w:ascii="Arial" w:cs="Arial" w:eastAsia="Arial" w:hAnsi="Arial"/>
          <w:sz w:val="12"/>
          <w:szCs w:val="12"/>
          <w:color w:val="58595B"/>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009845"/>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color w:val="009845"/>
        </w:rPr>
        <w:t>APPENDIX A</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Non-GAAP Financial Measures</w:t>
      </w:r>
    </w:p>
    <w:p>
      <w:pPr>
        <w:spacing w:after="0" w:line="72"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This proxy statement contains financial measures, including organic revenues, organic revenues excluding Boston, and adjusted earnings before interest, taxes, depreciation and amortization ("EBITDA"), each of which are considered “non-GAAP” financial measures under applicable SEC rules and regulations. The presentation of non-GAAP financial measures in this proxy statement are critical for evaluating and understanding both our business performance and our executive compensation plans.</w:t>
      </w:r>
    </w:p>
    <w:p>
      <w:pPr>
        <w:spacing w:after="0" w:line="13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58595B"/>
        </w:rPr>
        <w:t>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 produced products including sales reported prior to the recall and the impact of sales return provisions recorded. Adjusted EBITDA consists of GAAP net income excluding: (i) depreciation and amortization; (ii) other income (expense);</w:t>
      </w:r>
    </w:p>
    <w:p>
      <w:pPr>
        <w:spacing w:after="0" w:line="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6"/>
          <w:szCs w:val="16"/>
          <w:color w:val="58595B"/>
        </w:rPr>
      </w:pPr>
      <w:r>
        <w:rPr>
          <w:rFonts w:ascii="Arial" w:cs="Arial" w:eastAsia="Arial" w:hAnsi="Arial"/>
          <w:sz w:val="16"/>
          <w:szCs w:val="16"/>
          <w:color w:val="58595B"/>
        </w:rPr>
        <w:t>interest income and expense; (iv) income tax expense (benefit); and (v) those operating expenses also excluded from adjusted net income. The measure</w:t>
      </w:r>
    </w:p>
    <w:p>
      <w:pPr>
        <w:spacing w:after="0" w:line="59" w:lineRule="exact"/>
        <w:rPr>
          <w:rFonts w:ascii="Arial" w:cs="Arial" w:eastAsia="Arial" w:hAnsi="Arial"/>
          <w:sz w:val="16"/>
          <w:szCs w:val="16"/>
          <w:color w:val="58595B"/>
        </w:rPr>
      </w:pPr>
    </w:p>
    <w:p>
      <w:pPr>
        <w:ind w:right="480"/>
        <w:spacing w:after="0" w:line="328" w:lineRule="auto"/>
        <w:rPr>
          <w:rFonts w:ascii="Arial" w:cs="Arial" w:eastAsia="Arial" w:hAnsi="Arial"/>
          <w:sz w:val="16"/>
          <w:szCs w:val="16"/>
          <w:color w:val="58595B"/>
        </w:rPr>
      </w:pPr>
      <w:r>
        <w:rPr>
          <w:rFonts w:ascii="Arial" w:cs="Arial" w:eastAsia="Arial" w:hAnsi="Arial"/>
          <w:sz w:val="16"/>
          <w:szCs w:val="16"/>
          <w:color w:val="58595B"/>
        </w:rPr>
        <w:t>of adjusted net income consists of GAAP net income, excluding: (i) structural optimization charges; (ii) divestiture, acquisition and integration-related charges; (iii) EU Medical Device Regulation-related charges; (iv) Boston Recall charges; (v) intangible asset amortization expense; and (vi) income tax impact from adjustments.</w:t>
      </w:r>
    </w:p>
    <w:p>
      <w:pPr>
        <w:spacing w:after="0" w:line="110" w:lineRule="exact"/>
        <w:rPr>
          <w:sz w:val="20"/>
          <w:szCs w:val="20"/>
          <w:color w:val="auto"/>
        </w:rPr>
      </w:pPr>
    </w:p>
    <w:p>
      <w:pPr>
        <w:spacing w:after="0" w:line="309" w:lineRule="auto"/>
        <w:rPr>
          <w:sz w:val="20"/>
          <w:szCs w:val="20"/>
          <w:color w:val="auto"/>
        </w:rPr>
      </w:pPr>
      <w:r>
        <w:rPr>
          <w:rFonts w:ascii="Arial" w:cs="Arial" w:eastAsia="Arial" w:hAnsi="Arial"/>
          <w:sz w:val="16"/>
          <w:szCs w:val="16"/>
          <w:color w:val="58595B"/>
        </w:rPr>
        <w:t>Integra's management believes that non-GAAP financial measures provide information useful to management and investors regarding financial and business trends relating to the Company's financial condition and results of operations. Management uses non-GAAP financial measures in the form of organic revenues, adjusted EBITDA, adjusted net income, adjusted earnings per diluted share,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Non-GAAP financial measures should be considered supplemental to and not a substitute for financial information prepared in accordance with GAAP principles, and investors are cautioned that Integra may calculate non-GAAP financial measures in a way that is different from other companies. Management strongly encourages investors to review the company’s consolidated financial statements and publicly filed reports in their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Revenues to Organic Revenues and Organic Revenues Excluding Boston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60" w:type="dxa"/>
            <w:vAlign w:val="bottom"/>
            <w:shd w:val="clear" w:color="auto" w:fill="009845"/>
          </w:tcPr>
          <w:p>
            <w:pPr>
              <w:spacing w:after="0"/>
              <w:rPr>
                <w:sz w:val="16"/>
                <w:szCs w:val="16"/>
                <w:color w:val="auto"/>
              </w:rPr>
            </w:pPr>
          </w:p>
        </w:tc>
        <w:tc>
          <w:tcPr>
            <w:tcW w:w="220" w:type="dxa"/>
            <w:vAlign w:val="bottom"/>
            <w:shd w:val="clear" w:color="auto" w:fill="009845"/>
          </w:tcPr>
          <w:p>
            <w:pPr>
              <w:spacing w:after="0"/>
              <w:rPr>
                <w:sz w:val="16"/>
                <w:szCs w:val="16"/>
                <w:color w:val="auto"/>
              </w:rPr>
            </w:pPr>
          </w:p>
        </w:tc>
        <w:tc>
          <w:tcPr>
            <w:tcW w:w="2500" w:type="dxa"/>
            <w:vAlign w:val="bottom"/>
            <w:gridSpan w:val="2"/>
            <w:shd w:val="clear" w:color="auto" w:fill="009845"/>
          </w:tcPr>
          <w:p>
            <w:pPr>
              <w:jc w:val="center"/>
              <w:ind w:left="768"/>
              <w:spacing w:after="0"/>
              <w:rPr>
                <w:sz w:val="20"/>
                <w:szCs w:val="20"/>
                <w:color w:val="auto"/>
              </w:rPr>
            </w:pPr>
            <w:r>
              <w:rPr>
                <w:rFonts w:ascii="Arial" w:cs="Arial" w:eastAsia="Arial" w:hAnsi="Arial"/>
                <w:sz w:val="14"/>
                <w:szCs w:val="14"/>
                <w:b w:val="1"/>
                <w:bCs w:val="1"/>
                <w:color w:val="FFFFFF"/>
              </w:rPr>
              <w:t>Twelve Months Ended</w:t>
            </w:r>
          </w:p>
        </w:tc>
        <w:tc>
          <w:tcPr>
            <w:tcW w:w="860" w:type="dxa"/>
            <w:vAlign w:val="bottom"/>
            <w:shd w:val="clear" w:color="auto" w:fill="009845"/>
          </w:tcPr>
          <w:p>
            <w:pPr>
              <w:spacing w:after="0"/>
              <w:rPr>
                <w:sz w:val="16"/>
                <w:szCs w:val="16"/>
                <w:color w:val="auto"/>
              </w:rPr>
            </w:pPr>
          </w:p>
        </w:tc>
      </w:tr>
      <w:tr>
        <w:trPr>
          <w:trHeight w:val="196"/>
        </w:trPr>
        <w:tc>
          <w:tcPr>
            <w:tcW w:w="7660" w:type="dxa"/>
            <w:vAlign w:val="bottom"/>
            <w:shd w:val="clear" w:color="auto" w:fill="009845"/>
          </w:tcPr>
          <w:p>
            <w:pPr>
              <w:spacing w:after="0"/>
              <w:rPr>
                <w:sz w:val="17"/>
                <w:szCs w:val="17"/>
                <w:color w:val="auto"/>
              </w:rPr>
            </w:pPr>
          </w:p>
        </w:tc>
        <w:tc>
          <w:tcPr>
            <w:tcW w:w="220" w:type="dxa"/>
            <w:vAlign w:val="bottom"/>
            <w:shd w:val="clear" w:color="auto" w:fill="009845"/>
          </w:tcPr>
          <w:p>
            <w:pPr>
              <w:spacing w:after="0"/>
              <w:rPr>
                <w:sz w:val="17"/>
                <w:szCs w:val="17"/>
                <w:color w:val="auto"/>
              </w:rPr>
            </w:pPr>
          </w:p>
        </w:tc>
        <w:tc>
          <w:tcPr>
            <w:tcW w:w="1160" w:type="dxa"/>
            <w:vAlign w:val="bottom"/>
            <w:shd w:val="clear" w:color="auto" w:fill="009845"/>
          </w:tcPr>
          <w:p>
            <w:pPr>
              <w:spacing w:after="0"/>
              <w:rPr>
                <w:sz w:val="17"/>
                <w:szCs w:val="17"/>
                <w:color w:val="auto"/>
              </w:rPr>
            </w:pPr>
          </w:p>
        </w:tc>
        <w:tc>
          <w:tcPr>
            <w:tcW w:w="1340" w:type="dxa"/>
            <w:vAlign w:val="bottom"/>
            <w:shd w:val="clear" w:color="auto" w:fill="009845"/>
          </w:tcPr>
          <w:p>
            <w:pPr>
              <w:jc w:val="center"/>
              <w:ind w:right="228"/>
              <w:spacing w:after="0"/>
              <w:rPr>
                <w:sz w:val="20"/>
                <w:szCs w:val="20"/>
                <w:color w:val="auto"/>
              </w:rPr>
            </w:pPr>
            <w:r>
              <w:rPr>
                <w:rFonts w:ascii="Arial" w:cs="Arial" w:eastAsia="Arial" w:hAnsi="Arial"/>
                <w:sz w:val="14"/>
                <w:szCs w:val="14"/>
                <w:b w:val="1"/>
                <w:bCs w:val="1"/>
                <w:color w:val="FFFFFF"/>
              </w:rPr>
              <w:t>December 31,</w:t>
            </w:r>
          </w:p>
        </w:tc>
        <w:tc>
          <w:tcPr>
            <w:tcW w:w="860" w:type="dxa"/>
            <w:vAlign w:val="bottom"/>
            <w:shd w:val="clear" w:color="auto" w:fill="009845"/>
          </w:tcPr>
          <w:p>
            <w:pPr>
              <w:spacing w:after="0"/>
              <w:rPr>
                <w:sz w:val="17"/>
                <w:szCs w:val="17"/>
                <w:color w:val="auto"/>
              </w:rPr>
            </w:pPr>
          </w:p>
        </w:tc>
      </w:tr>
      <w:tr>
        <w:trPr>
          <w:trHeight w:val="243"/>
        </w:trPr>
        <w:tc>
          <w:tcPr>
            <w:tcW w:w="76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thousands)</w:t>
            </w:r>
          </w:p>
        </w:tc>
        <w:tc>
          <w:tcPr>
            <w:tcW w:w="220" w:type="dxa"/>
            <w:vAlign w:val="bottom"/>
            <w:shd w:val="clear" w:color="auto" w:fill="009845"/>
          </w:tcPr>
          <w:p>
            <w:pPr>
              <w:spacing w:after="0"/>
              <w:rPr>
                <w:sz w:val="21"/>
                <w:szCs w:val="21"/>
                <w:color w:val="auto"/>
              </w:rPr>
            </w:pPr>
          </w:p>
        </w:tc>
        <w:tc>
          <w:tcPr>
            <w:tcW w:w="1160" w:type="dxa"/>
            <w:vAlign w:val="bottom"/>
            <w:shd w:val="clear" w:color="auto" w:fill="009845"/>
          </w:tcPr>
          <w:p>
            <w:pPr>
              <w:jc w:val="right"/>
              <w:ind w:right="328"/>
              <w:spacing w:after="0"/>
              <w:rPr>
                <w:sz w:val="20"/>
                <w:szCs w:val="20"/>
                <w:color w:val="auto"/>
              </w:rPr>
            </w:pPr>
            <w:r>
              <w:rPr>
                <w:rFonts w:ascii="Arial" w:cs="Arial" w:eastAsia="Arial" w:hAnsi="Arial"/>
                <w:sz w:val="14"/>
                <w:szCs w:val="14"/>
                <w:b w:val="1"/>
                <w:bCs w:val="1"/>
                <w:color w:val="FFFFFF"/>
              </w:rPr>
              <w:t>2023</w:t>
            </w:r>
          </w:p>
        </w:tc>
        <w:tc>
          <w:tcPr>
            <w:tcW w:w="1340" w:type="dxa"/>
            <w:vAlign w:val="bottom"/>
            <w:shd w:val="clear" w:color="auto" w:fill="009845"/>
          </w:tcPr>
          <w:p>
            <w:pPr>
              <w:jc w:val="right"/>
              <w:ind w:right="508"/>
              <w:spacing w:after="0"/>
              <w:rPr>
                <w:sz w:val="20"/>
                <w:szCs w:val="20"/>
                <w:color w:val="auto"/>
              </w:rPr>
            </w:pPr>
            <w:r>
              <w:rPr>
                <w:rFonts w:ascii="Arial" w:cs="Arial" w:eastAsia="Arial" w:hAnsi="Arial"/>
                <w:sz w:val="14"/>
                <w:szCs w:val="14"/>
                <w:b w:val="1"/>
                <w:bCs w:val="1"/>
                <w:color w:val="FFFFFF"/>
              </w:rPr>
              <w:t>2022</w:t>
            </w:r>
          </w:p>
        </w:tc>
        <w:tc>
          <w:tcPr>
            <w:tcW w:w="860" w:type="dxa"/>
            <w:vAlign w:val="bottom"/>
            <w:shd w:val="clear" w:color="auto" w:fill="009845"/>
          </w:tcPr>
          <w:p>
            <w:pPr>
              <w:jc w:val="right"/>
              <w:ind w:right="168"/>
              <w:spacing w:after="0"/>
              <w:rPr>
                <w:sz w:val="20"/>
                <w:szCs w:val="20"/>
                <w:color w:val="auto"/>
              </w:rPr>
            </w:pPr>
            <w:r>
              <w:rPr>
                <w:rFonts w:ascii="Arial" w:cs="Arial" w:eastAsia="Arial" w:hAnsi="Arial"/>
                <w:sz w:val="14"/>
                <w:szCs w:val="14"/>
                <w:b w:val="1"/>
                <w:bCs w:val="1"/>
                <w:color w:val="FFFFFF"/>
              </w:rPr>
              <w:t>Change</w:t>
            </w:r>
          </w:p>
        </w:tc>
      </w:tr>
      <w:tr>
        <w:trPr>
          <w:trHeight w:val="69"/>
        </w:trPr>
        <w:tc>
          <w:tcPr>
            <w:tcW w:w="7660" w:type="dxa"/>
            <w:vAlign w:val="bottom"/>
            <w:shd w:val="clear" w:color="auto" w:fill="009845"/>
          </w:tcPr>
          <w:p>
            <w:pPr>
              <w:spacing w:after="0"/>
              <w:rPr>
                <w:sz w:val="6"/>
                <w:szCs w:val="6"/>
                <w:color w:val="auto"/>
              </w:rPr>
            </w:pPr>
          </w:p>
        </w:tc>
        <w:tc>
          <w:tcPr>
            <w:tcW w:w="220" w:type="dxa"/>
            <w:vAlign w:val="bottom"/>
            <w:shd w:val="clear" w:color="auto" w:fill="009845"/>
          </w:tcPr>
          <w:p>
            <w:pPr>
              <w:spacing w:after="0"/>
              <w:rPr>
                <w:sz w:val="6"/>
                <w:szCs w:val="6"/>
                <w:color w:val="auto"/>
              </w:rPr>
            </w:pPr>
          </w:p>
        </w:tc>
        <w:tc>
          <w:tcPr>
            <w:tcW w:w="1160" w:type="dxa"/>
            <w:vAlign w:val="bottom"/>
            <w:shd w:val="clear" w:color="auto" w:fill="009845"/>
          </w:tcPr>
          <w:p>
            <w:pPr>
              <w:spacing w:after="0"/>
              <w:rPr>
                <w:sz w:val="6"/>
                <w:szCs w:val="6"/>
                <w:color w:val="auto"/>
              </w:rPr>
            </w:pPr>
          </w:p>
        </w:tc>
        <w:tc>
          <w:tcPr>
            <w:tcW w:w="1340" w:type="dxa"/>
            <w:vAlign w:val="bottom"/>
            <w:shd w:val="clear" w:color="auto" w:fill="009845"/>
          </w:tcPr>
          <w:p>
            <w:pPr>
              <w:spacing w:after="0"/>
              <w:rPr>
                <w:sz w:val="6"/>
                <w:szCs w:val="6"/>
                <w:color w:val="auto"/>
              </w:rPr>
            </w:pPr>
          </w:p>
        </w:tc>
        <w:tc>
          <w:tcPr>
            <w:tcW w:w="860" w:type="dxa"/>
            <w:vAlign w:val="bottom"/>
            <w:shd w:val="clear" w:color="auto" w:fill="009845"/>
          </w:tcPr>
          <w:p>
            <w:pPr>
              <w:spacing w:after="0"/>
              <w:rPr>
                <w:sz w:val="6"/>
                <w:szCs w:val="6"/>
                <w:color w:val="auto"/>
              </w:rPr>
            </w:pPr>
          </w:p>
        </w:tc>
      </w:tr>
      <w:tr>
        <w:trPr>
          <w:trHeight w:val="228"/>
        </w:trPr>
        <w:tc>
          <w:tcPr>
            <w:tcW w:w="7660" w:type="dxa"/>
            <w:vAlign w:val="bottom"/>
          </w:tcPr>
          <w:p>
            <w:pPr>
              <w:ind w:left="100"/>
              <w:spacing w:after="0"/>
              <w:rPr>
                <w:sz w:val="20"/>
                <w:szCs w:val="20"/>
                <w:color w:val="auto"/>
              </w:rPr>
            </w:pPr>
            <w:r>
              <w:rPr>
                <w:rFonts w:ascii="Arial" w:cs="Arial" w:eastAsia="Arial" w:hAnsi="Arial"/>
                <w:sz w:val="14"/>
                <w:szCs w:val="14"/>
                <w:b w:val="1"/>
                <w:bCs w:val="1"/>
                <w:color w:val="58595B"/>
              </w:rPr>
              <w:t>GAAP Total Reported Revenues</w:t>
            </w:r>
          </w:p>
        </w:tc>
        <w:tc>
          <w:tcPr>
            <w:tcW w:w="1380" w:type="dxa"/>
            <w:vAlign w:val="bottom"/>
            <w:gridSpan w:val="2"/>
          </w:tcPr>
          <w:p>
            <w:pPr>
              <w:jc w:val="right"/>
              <w:spacing w:after="0"/>
              <w:rPr>
                <w:sz w:val="20"/>
                <w:szCs w:val="20"/>
                <w:color w:val="auto"/>
              </w:rPr>
            </w:pPr>
            <w:r>
              <w:rPr>
                <w:rFonts w:ascii="Arial" w:cs="Arial" w:eastAsia="Arial" w:hAnsi="Arial"/>
                <w:sz w:val="14"/>
                <w:szCs w:val="14"/>
                <w:color w:val="58595B"/>
              </w:rPr>
              <w:t>1,541,573</w:t>
            </w:r>
          </w:p>
        </w:tc>
        <w:tc>
          <w:tcPr>
            <w:tcW w:w="1340" w:type="dxa"/>
            <w:vAlign w:val="bottom"/>
          </w:tcPr>
          <w:p>
            <w:pPr>
              <w:jc w:val="right"/>
              <w:ind w:right="168"/>
              <w:spacing w:after="0"/>
              <w:rPr>
                <w:sz w:val="20"/>
                <w:szCs w:val="20"/>
                <w:color w:val="auto"/>
              </w:rPr>
            </w:pPr>
            <w:r>
              <w:rPr>
                <w:rFonts w:ascii="Arial" w:cs="Arial" w:eastAsia="Arial" w:hAnsi="Arial"/>
                <w:sz w:val="14"/>
                <w:szCs w:val="14"/>
                <w:color w:val="58595B"/>
              </w:rPr>
              <w:t>1,557,666</w:t>
            </w:r>
          </w:p>
        </w:tc>
        <w:tc>
          <w:tcPr>
            <w:tcW w:w="860" w:type="dxa"/>
            <w:vAlign w:val="bottom"/>
          </w:tcPr>
          <w:p>
            <w:pPr>
              <w:jc w:val="right"/>
              <w:spacing w:after="0"/>
              <w:rPr>
                <w:sz w:val="20"/>
                <w:szCs w:val="20"/>
                <w:color w:val="auto"/>
              </w:rPr>
            </w:pPr>
            <w:r>
              <w:rPr>
                <w:rFonts w:ascii="Arial" w:cs="Arial" w:eastAsia="Arial" w:hAnsi="Arial"/>
                <w:sz w:val="14"/>
                <w:szCs w:val="14"/>
                <w:color w:val="58595B"/>
              </w:rPr>
              <w:t>(1.0)%</w:t>
            </w:r>
          </w:p>
        </w:tc>
      </w:tr>
      <w:tr>
        <w:trPr>
          <w:trHeight w:val="20"/>
        </w:trPr>
        <w:tc>
          <w:tcPr>
            <w:tcW w:w="7660" w:type="dxa"/>
            <w:vAlign w:val="bottom"/>
            <w:tcBorders>
              <w:bottom w:val="single" w:sz="8" w:color="EFEDED"/>
            </w:tcBorders>
          </w:tcPr>
          <w:p>
            <w:pPr>
              <w:spacing w:after="0" w:line="20" w:lineRule="exact"/>
              <w:rPr>
                <w:sz w:val="1"/>
                <w:szCs w:val="1"/>
                <w:color w:val="auto"/>
              </w:rPr>
            </w:pPr>
          </w:p>
        </w:tc>
        <w:tc>
          <w:tcPr>
            <w:tcW w:w="220" w:type="dxa"/>
            <w:vAlign w:val="bottom"/>
            <w:tcBorders>
              <w:bottom w:val="single" w:sz="8" w:color="EFEDED"/>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76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220" w:type="dxa"/>
            <w:vAlign w:val="bottom"/>
            <w:shd w:val="clear" w:color="auto" w:fill="EFEDED"/>
          </w:tcPr>
          <w:p>
            <w:pPr>
              <w:spacing w:after="0"/>
              <w:rPr>
                <w:sz w:val="17"/>
                <w:szCs w:val="17"/>
                <w:color w:val="auto"/>
              </w:rPr>
            </w:pPr>
          </w:p>
        </w:tc>
        <w:tc>
          <w:tcPr>
            <w:tcW w:w="1160" w:type="dxa"/>
            <w:vAlign w:val="bottom"/>
            <w:shd w:val="clear" w:color="auto" w:fill="EFEDED"/>
          </w:tcPr>
          <w:p>
            <w:pPr>
              <w:spacing w:after="0"/>
              <w:rPr>
                <w:sz w:val="17"/>
                <w:szCs w:val="17"/>
                <w:color w:val="auto"/>
              </w:rPr>
            </w:pPr>
          </w:p>
        </w:tc>
        <w:tc>
          <w:tcPr>
            <w:tcW w:w="1340" w:type="dxa"/>
            <w:vAlign w:val="bottom"/>
            <w:shd w:val="clear" w:color="auto" w:fill="EFEDED"/>
          </w:tcPr>
          <w:p>
            <w:pPr>
              <w:spacing w:after="0"/>
              <w:rPr>
                <w:sz w:val="17"/>
                <w:szCs w:val="17"/>
                <w:color w:val="auto"/>
              </w:rPr>
            </w:pPr>
          </w:p>
        </w:tc>
        <w:tc>
          <w:tcPr>
            <w:tcW w:w="860" w:type="dxa"/>
            <w:vAlign w:val="bottom"/>
            <w:shd w:val="clear" w:color="auto" w:fill="EFEDE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-496570</wp:posOffset>
            </wp:positionV>
            <wp:extent cx="21342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58595B"/>
        </w:rPr>
        <w:t>Impact of changes in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4"/>
          <w:szCs w:val="14"/>
          <w:color w:val="58595B"/>
        </w:rPr>
        <w:t>Less contribution of revenues from acquisitions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58595B"/>
        </w:rPr>
        <w:t>Less contribution of revenues from divested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4"/>
          <w:szCs w:val="14"/>
          <w:color w:val="58595B"/>
        </w:rPr>
        <w:t>Less contribution of revenues from discontinued products</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58595B"/>
        </w:rPr>
        <w:t>Subtotal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Total Organic Revenues</w:t>
      </w:r>
      <w:r>
        <w:rPr>
          <w:rFonts w:ascii="Arial" w:cs="Arial" w:eastAsia="Arial" w:hAnsi="Arial"/>
          <w:sz w:val="18"/>
          <w:szCs w:val="18"/>
          <w:color w:val="58595B"/>
          <w:vertAlign w:val="superscript"/>
        </w:rPr>
        <w:t>(1)</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4"/>
          <w:szCs w:val="14"/>
          <w:color w:val="58595B"/>
        </w:rPr>
        <w:t>Boston Recall revenue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4"/>
          <w:szCs w:val="14"/>
          <w:color w:val="58595B"/>
        </w:rPr>
        <w:t>Total Organic Revenues excluding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58595B"/>
              </w:rPr>
              <w:t>6,817</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58595B"/>
              </w:rPr>
              <w:t>—</w:t>
            </w:r>
          </w:p>
        </w:tc>
        <w:tc>
          <w:tcPr>
            <w:tcW w:w="1020" w:type="dxa"/>
            <w:vAlign w:val="bottom"/>
          </w:tcPr>
          <w:p>
            <w:pPr>
              <w:ind w:left="680"/>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58595B"/>
              </w:rPr>
              <w:t>(9,753)</w:t>
            </w:r>
          </w:p>
        </w:tc>
        <w:tc>
          <w:tcPr>
            <w:tcW w:w="28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58595B"/>
              </w:rPr>
              <w:t>—</w:t>
            </w:r>
          </w:p>
        </w:tc>
        <w:tc>
          <w:tcPr>
            <w:tcW w:w="1020" w:type="dxa"/>
            <w:vAlign w:val="bottom"/>
          </w:tcPr>
          <w:p>
            <w:pPr>
              <w:ind w:left="680"/>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58595B"/>
              </w:rPr>
              <w:t>(245)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8595B"/>
              </w:rPr>
              <w:t>(18,063)</w:t>
            </w:r>
          </w:p>
        </w:tc>
        <w:tc>
          <w:tcPr>
            <w:tcW w:w="1020" w:type="dxa"/>
            <w:vAlign w:val="bottom"/>
          </w:tcPr>
          <w:p>
            <w:pPr>
              <w:ind w:left="680"/>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58595B"/>
              </w:rPr>
              <w:t>(6,604)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8595B"/>
              </w:rPr>
              <w:t>(7,876)</w:t>
            </w:r>
          </w:p>
        </w:tc>
        <w:tc>
          <w:tcPr>
            <w:tcW w:w="1020" w:type="dxa"/>
            <w:vAlign w:val="bottom"/>
          </w:tcPr>
          <w:p>
            <w:pPr>
              <w:ind w:left="680"/>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ind w:left="680"/>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02"/>
        </w:trPr>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900" w:type="dxa"/>
            <w:vAlign w:val="bottom"/>
          </w:tcPr>
          <w:p>
            <w:pPr>
              <w:jc w:val="right"/>
              <w:spacing w:after="0"/>
              <w:rPr>
                <w:sz w:val="20"/>
                <w:szCs w:val="20"/>
                <w:color w:val="auto"/>
              </w:rPr>
            </w:pPr>
            <w:r>
              <w:rPr>
                <w:rFonts w:ascii="Arial" w:cs="Arial" w:eastAsia="Arial" w:hAnsi="Arial"/>
                <w:sz w:val="14"/>
                <w:szCs w:val="14"/>
                <w:color w:val="58595B"/>
              </w:rPr>
              <w:t>(9,785)</w:t>
            </w:r>
          </w:p>
        </w:tc>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880" w:type="dxa"/>
            <w:vAlign w:val="bottom"/>
          </w:tcPr>
          <w:p>
            <w:pPr>
              <w:jc w:val="right"/>
              <w:spacing w:after="0"/>
              <w:rPr>
                <w:sz w:val="20"/>
                <w:szCs w:val="20"/>
                <w:color w:val="auto"/>
              </w:rPr>
            </w:pPr>
            <w:r>
              <w:rPr>
                <w:rFonts w:ascii="Arial" w:cs="Arial" w:eastAsia="Arial" w:hAnsi="Arial"/>
                <w:sz w:val="14"/>
                <w:szCs w:val="14"/>
                <w:color w:val="58595B"/>
              </w:rPr>
              <w:t>(25,939)</w:t>
            </w: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900" w:type="dxa"/>
            <w:vAlign w:val="bottom"/>
          </w:tcPr>
          <w:p>
            <w:pPr>
              <w:jc w:val="right"/>
              <w:spacing w:after="0"/>
              <w:rPr>
                <w:sz w:val="20"/>
                <w:szCs w:val="20"/>
                <w:color w:val="auto"/>
              </w:rPr>
            </w:pPr>
            <w:r>
              <w:rPr>
                <w:rFonts w:ascii="Arial" w:cs="Arial" w:eastAsia="Arial" w:hAnsi="Arial"/>
                <w:sz w:val="14"/>
                <w:szCs w:val="14"/>
                <w:color w:val="58595B"/>
              </w:rPr>
              <w:t>1,531,788</w:t>
            </w:r>
          </w:p>
        </w:tc>
        <w:tc>
          <w:tcPr>
            <w:tcW w:w="280" w:type="dxa"/>
            <w:vAlign w:val="bottom"/>
          </w:tcPr>
          <w:p>
            <w:pPr>
              <w:jc w:val="right"/>
              <w:ind w:right="108"/>
              <w:spacing w:after="0"/>
              <w:rPr>
                <w:sz w:val="20"/>
                <w:szCs w:val="20"/>
                <w:color w:val="auto"/>
              </w:rPr>
            </w:pPr>
            <w:r>
              <w:rPr>
                <w:rFonts w:ascii="Arial" w:cs="Arial" w:eastAsia="Arial" w:hAnsi="Arial"/>
                <w:sz w:val="14"/>
                <w:szCs w:val="14"/>
                <w:color w:val="58595B"/>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58595B"/>
              </w:rPr>
              <w:t>1,531,727</w:t>
            </w:r>
          </w:p>
        </w:tc>
        <w:tc>
          <w:tcPr>
            <w:tcW w:w="1020" w:type="dxa"/>
            <w:vAlign w:val="bottom"/>
          </w:tcPr>
          <w:p>
            <w:pPr>
              <w:ind w:left="680"/>
              <w:spacing w:after="0"/>
              <w:rPr>
                <w:sz w:val="20"/>
                <w:szCs w:val="20"/>
                <w:color w:val="auto"/>
              </w:rPr>
            </w:pPr>
            <w:r>
              <w:rPr>
                <w:rFonts w:ascii="Arial" w:cs="Arial" w:eastAsia="Arial" w:hAnsi="Arial"/>
                <w:sz w:val="14"/>
                <w:szCs w:val="14"/>
                <w:color w:val="58595B"/>
              </w:rPr>
              <w:t>— %</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58595B"/>
              </w:rPr>
              <w:t>(2,759)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58595B"/>
              </w:rPr>
              <w:t>(83,077)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58595B"/>
              </w:rPr>
              <w:t>1,529,029</w:t>
            </w:r>
          </w:p>
        </w:tc>
        <w:tc>
          <w:tcPr>
            <w:tcW w:w="28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58595B"/>
              </w:rPr>
              <w:t>1,448,650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7160" w:space="720"/>
            <w:col w:w="3360"/>
          </w:cols>
          <w:pgMar w:left="320" w:top="121" w:right="339" w:bottom="1440" w:gutter="0" w:footer="0" w:header="0"/>
          <w:type w:val="continuous"/>
        </w:sect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Organic revenues have been adjusted to exclude foreign currency (current period), acquisitions and to account for divested and discontinued products.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A-1</w:t>
            </w:r>
          </w:p>
        </w:tc>
      </w:tr>
      <w:tr>
        <w:trPr>
          <w:trHeight w:val="218"/>
        </w:trPr>
        <w:tc>
          <w:tcPr>
            <w:tcW w:w="6140" w:type="dxa"/>
            <w:vAlign w:val="bottom"/>
            <w:tcBorders>
              <w:bottom w:val="single" w:sz="8" w:color="9A9A9A"/>
            </w:tcBorders>
          </w:tcPr>
          <w:p>
            <w:pPr>
              <w:spacing w:after="0"/>
              <w:rPr>
                <w:sz w:val="18"/>
                <w:szCs w:val="18"/>
                <w:color w:val="auto"/>
              </w:rPr>
            </w:pPr>
          </w:p>
        </w:tc>
        <w:tc>
          <w:tcPr>
            <w:tcW w:w="5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3"/>
          <w:szCs w:val="13"/>
          <w:b w:val="1"/>
          <w:bCs w:val="1"/>
          <w:color w:val="009845"/>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60" w:type="dxa"/>
            <w:vAlign w:val="bottom"/>
            <w:shd w:val="clear" w:color="auto" w:fill="009845"/>
          </w:tcPr>
          <w:p>
            <w:pPr>
              <w:spacing w:after="0"/>
              <w:rPr>
                <w:sz w:val="16"/>
                <w:szCs w:val="16"/>
                <w:color w:val="auto"/>
              </w:rPr>
            </w:pPr>
          </w:p>
        </w:tc>
        <w:tc>
          <w:tcPr>
            <w:tcW w:w="2340" w:type="dxa"/>
            <w:vAlign w:val="bottom"/>
            <w:gridSpan w:val="4"/>
            <w:shd w:val="clear" w:color="auto" w:fill="009845"/>
          </w:tcPr>
          <w:p>
            <w:pPr>
              <w:jc w:val="right"/>
              <w:ind w:right="128"/>
              <w:spacing w:after="0"/>
              <w:rPr>
                <w:sz w:val="20"/>
                <w:szCs w:val="20"/>
                <w:color w:val="auto"/>
              </w:rPr>
            </w:pPr>
            <w:r>
              <w:rPr>
                <w:rFonts w:ascii="Arial" w:cs="Arial" w:eastAsia="Arial" w:hAnsi="Arial"/>
                <w:sz w:val="14"/>
                <w:szCs w:val="14"/>
                <w:b w:val="1"/>
                <w:bCs w:val="1"/>
                <w:color w:val="FFFFFF"/>
              </w:rPr>
              <w:t>Twelve Months Ended</w:t>
            </w:r>
          </w:p>
        </w:tc>
        <w:tc>
          <w:tcPr>
            <w:tcW w:w="440" w:type="dxa"/>
            <w:vAlign w:val="bottom"/>
            <w:shd w:val="clear" w:color="auto" w:fill="009845"/>
          </w:tcPr>
          <w:p>
            <w:pPr>
              <w:spacing w:after="0"/>
              <w:rPr>
                <w:sz w:val="16"/>
                <w:szCs w:val="16"/>
                <w:color w:val="auto"/>
              </w:rPr>
            </w:pPr>
          </w:p>
        </w:tc>
      </w:tr>
      <w:tr>
        <w:trPr>
          <w:trHeight w:val="196"/>
        </w:trPr>
        <w:tc>
          <w:tcPr>
            <w:tcW w:w="8460" w:type="dxa"/>
            <w:vAlign w:val="bottom"/>
            <w:shd w:val="clear" w:color="auto" w:fill="009845"/>
          </w:tcPr>
          <w:p>
            <w:pPr>
              <w:spacing w:after="0"/>
              <w:rPr>
                <w:sz w:val="17"/>
                <w:szCs w:val="17"/>
                <w:color w:val="auto"/>
              </w:rPr>
            </w:pPr>
          </w:p>
        </w:tc>
        <w:tc>
          <w:tcPr>
            <w:tcW w:w="820" w:type="dxa"/>
            <w:vAlign w:val="bottom"/>
            <w:shd w:val="clear" w:color="auto" w:fill="009845"/>
          </w:tcPr>
          <w:p>
            <w:pPr>
              <w:spacing w:after="0"/>
              <w:rPr>
                <w:sz w:val="17"/>
                <w:szCs w:val="17"/>
                <w:color w:val="auto"/>
              </w:rPr>
            </w:pPr>
          </w:p>
        </w:tc>
        <w:tc>
          <w:tcPr>
            <w:tcW w:w="1520" w:type="dxa"/>
            <w:vAlign w:val="bottom"/>
            <w:gridSpan w:val="3"/>
            <w:shd w:val="clear" w:color="auto" w:fill="009845"/>
          </w:tcPr>
          <w:p>
            <w:pPr>
              <w:jc w:val="right"/>
              <w:ind w:right="408"/>
              <w:spacing w:after="0"/>
              <w:rPr>
                <w:sz w:val="20"/>
                <w:szCs w:val="20"/>
                <w:color w:val="auto"/>
              </w:rPr>
            </w:pPr>
            <w:r>
              <w:rPr>
                <w:rFonts w:ascii="Arial" w:cs="Arial" w:eastAsia="Arial" w:hAnsi="Arial"/>
                <w:sz w:val="14"/>
                <w:szCs w:val="14"/>
                <w:b w:val="1"/>
                <w:bCs w:val="1"/>
                <w:color w:val="FFFFFF"/>
              </w:rPr>
              <w:t>December 31,</w:t>
            </w:r>
          </w:p>
        </w:tc>
        <w:tc>
          <w:tcPr>
            <w:tcW w:w="440" w:type="dxa"/>
            <w:vAlign w:val="bottom"/>
            <w:shd w:val="clear" w:color="auto" w:fill="009845"/>
          </w:tcPr>
          <w:p>
            <w:pPr>
              <w:spacing w:after="0"/>
              <w:rPr>
                <w:sz w:val="17"/>
                <w:szCs w:val="17"/>
                <w:color w:val="auto"/>
              </w:rPr>
            </w:pPr>
          </w:p>
        </w:tc>
      </w:tr>
      <w:tr>
        <w:trPr>
          <w:trHeight w:val="243"/>
        </w:trPr>
        <w:tc>
          <w:tcPr>
            <w:tcW w:w="846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millions)</w:t>
            </w:r>
          </w:p>
        </w:tc>
        <w:tc>
          <w:tcPr>
            <w:tcW w:w="820" w:type="dxa"/>
            <w:vAlign w:val="bottom"/>
            <w:shd w:val="clear" w:color="auto" w:fill="009845"/>
          </w:tcPr>
          <w:p>
            <w:pPr>
              <w:jc w:val="right"/>
              <w:spacing w:after="0"/>
              <w:rPr>
                <w:sz w:val="20"/>
                <w:szCs w:val="20"/>
                <w:color w:val="auto"/>
              </w:rPr>
            </w:pPr>
            <w:r>
              <w:rPr>
                <w:rFonts w:ascii="Arial" w:cs="Arial" w:eastAsia="Arial" w:hAnsi="Arial"/>
                <w:sz w:val="14"/>
                <w:szCs w:val="14"/>
                <w:b w:val="1"/>
                <w:bCs w:val="1"/>
                <w:color w:val="FFFFFF"/>
              </w:rPr>
              <w:t>2023</w:t>
            </w:r>
          </w:p>
        </w:tc>
        <w:tc>
          <w:tcPr>
            <w:tcW w:w="460" w:type="dxa"/>
            <w:vAlign w:val="bottom"/>
            <w:shd w:val="clear" w:color="auto" w:fill="009845"/>
          </w:tcPr>
          <w:p>
            <w:pPr>
              <w:spacing w:after="0"/>
              <w:rPr>
                <w:sz w:val="21"/>
                <w:szCs w:val="21"/>
                <w:color w:val="auto"/>
              </w:rPr>
            </w:pPr>
          </w:p>
        </w:tc>
        <w:tc>
          <w:tcPr>
            <w:tcW w:w="1060" w:type="dxa"/>
            <w:vAlign w:val="bottom"/>
            <w:gridSpan w:val="2"/>
            <w:shd w:val="clear" w:color="auto" w:fill="009845"/>
          </w:tcPr>
          <w:p>
            <w:pPr>
              <w:jc w:val="right"/>
              <w:spacing w:after="0"/>
              <w:rPr>
                <w:sz w:val="20"/>
                <w:szCs w:val="20"/>
                <w:color w:val="auto"/>
              </w:rPr>
            </w:pPr>
            <w:r>
              <w:rPr>
                <w:rFonts w:ascii="Arial" w:cs="Arial" w:eastAsia="Arial" w:hAnsi="Arial"/>
                <w:sz w:val="14"/>
                <w:szCs w:val="14"/>
                <w:b w:val="1"/>
                <w:bCs w:val="1"/>
                <w:color w:val="FFFFFF"/>
              </w:rPr>
              <w:t>2022</w:t>
            </w:r>
          </w:p>
        </w:tc>
        <w:tc>
          <w:tcPr>
            <w:tcW w:w="440" w:type="dxa"/>
            <w:vAlign w:val="bottom"/>
            <w:shd w:val="clear" w:color="auto" w:fill="009845"/>
          </w:tcPr>
          <w:p>
            <w:pPr>
              <w:spacing w:after="0"/>
              <w:rPr>
                <w:sz w:val="21"/>
                <w:szCs w:val="21"/>
                <w:color w:val="auto"/>
              </w:rPr>
            </w:pPr>
          </w:p>
        </w:tc>
      </w:tr>
      <w:tr>
        <w:trPr>
          <w:trHeight w:val="69"/>
        </w:trPr>
        <w:tc>
          <w:tcPr>
            <w:tcW w:w="8460" w:type="dxa"/>
            <w:vAlign w:val="bottom"/>
            <w:shd w:val="clear" w:color="auto" w:fill="009845"/>
          </w:tcPr>
          <w:p>
            <w:pPr>
              <w:spacing w:after="0"/>
              <w:rPr>
                <w:sz w:val="6"/>
                <w:szCs w:val="6"/>
                <w:color w:val="auto"/>
              </w:rPr>
            </w:pPr>
          </w:p>
        </w:tc>
        <w:tc>
          <w:tcPr>
            <w:tcW w:w="820" w:type="dxa"/>
            <w:vAlign w:val="bottom"/>
            <w:shd w:val="clear" w:color="auto" w:fill="009845"/>
          </w:tcPr>
          <w:p>
            <w:pPr>
              <w:spacing w:after="0"/>
              <w:rPr>
                <w:sz w:val="6"/>
                <w:szCs w:val="6"/>
                <w:color w:val="auto"/>
              </w:rPr>
            </w:pPr>
          </w:p>
        </w:tc>
        <w:tc>
          <w:tcPr>
            <w:tcW w:w="460" w:type="dxa"/>
            <w:vAlign w:val="bottom"/>
            <w:shd w:val="clear" w:color="auto" w:fill="009845"/>
          </w:tcPr>
          <w:p>
            <w:pPr>
              <w:spacing w:after="0"/>
              <w:rPr>
                <w:sz w:val="6"/>
                <w:szCs w:val="6"/>
                <w:color w:val="auto"/>
              </w:rPr>
            </w:pPr>
          </w:p>
        </w:tc>
        <w:tc>
          <w:tcPr>
            <w:tcW w:w="280" w:type="dxa"/>
            <w:vAlign w:val="bottom"/>
            <w:shd w:val="clear" w:color="auto" w:fill="009845"/>
          </w:tcPr>
          <w:p>
            <w:pPr>
              <w:spacing w:after="0"/>
              <w:rPr>
                <w:sz w:val="6"/>
                <w:szCs w:val="6"/>
                <w:color w:val="auto"/>
              </w:rPr>
            </w:pPr>
          </w:p>
        </w:tc>
        <w:tc>
          <w:tcPr>
            <w:tcW w:w="780" w:type="dxa"/>
            <w:vAlign w:val="bottom"/>
            <w:shd w:val="clear" w:color="auto" w:fill="009845"/>
          </w:tcPr>
          <w:p>
            <w:pPr>
              <w:spacing w:after="0"/>
              <w:rPr>
                <w:sz w:val="6"/>
                <w:szCs w:val="6"/>
                <w:color w:val="auto"/>
              </w:rPr>
            </w:pPr>
          </w:p>
        </w:tc>
        <w:tc>
          <w:tcPr>
            <w:tcW w:w="440" w:type="dxa"/>
            <w:vAlign w:val="bottom"/>
            <w:shd w:val="clear" w:color="auto" w:fill="009845"/>
          </w:tcPr>
          <w:p>
            <w:pPr>
              <w:spacing w:after="0"/>
              <w:rPr>
                <w:sz w:val="6"/>
                <w:szCs w:val="6"/>
                <w:color w:val="auto"/>
              </w:rPr>
            </w:pPr>
          </w:p>
        </w:tc>
      </w:tr>
      <w:tr>
        <w:trPr>
          <w:trHeight w:val="222"/>
        </w:trPr>
        <w:tc>
          <w:tcPr>
            <w:tcW w:w="8460" w:type="dxa"/>
            <w:vAlign w:val="bottom"/>
          </w:tcPr>
          <w:p>
            <w:pPr>
              <w:ind w:left="100"/>
              <w:spacing w:after="0"/>
              <w:rPr>
                <w:sz w:val="20"/>
                <w:szCs w:val="20"/>
                <w:color w:val="auto"/>
              </w:rPr>
            </w:pPr>
            <w:r>
              <w:rPr>
                <w:rFonts w:ascii="Arial" w:cs="Arial" w:eastAsia="Arial" w:hAnsi="Arial"/>
                <w:sz w:val="14"/>
                <w:szCs w:val="14"/>
                <w:b w:val="1"/>
                <w:bCs w:val="1"/>
                <w:color w:val="58595B"/>
              </w:rPr>
              <w:t>GAAP net income</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67.7</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180.6</w:t>
            </w:r>
          </w:p>
        </w:tc>
      </w:tr>
      <w:tr>
        <w:trPr>
          <w:trHeight w:val="237"/>
        </w:trPr>
        <w:tc>
          <w:tcPr>
            <w:tcW w:w="8460" w:type="dxa"/>
            <w:vAlign w:val="bottom"/>
            <w:shd w:val="clear" w:color="auto" w:fill="EFEDED"/>
          </w:tcPr>
          <w:p>
            <w:pPr>
              <w:ind w:left="100"/>
              <w:spacing w:after="0"/>
              <w:rPr>
                <w:sz w:val="20"/>
                <w:szCs w:val="20"/>
                <w:color w:val="auto"/>
              </w:rPr>
            </w:pPr>
            <w:r>
              <w:rPr>
                <w:rFonts w:ascii="Arial" w:cs="Arial" w:eastAsia="Arial" w:hAnsi="Arial"/>
                <w:sz w:val="14"/>
                <w:szCs w:val="14"/>
                <w:b w:val="1"/>
                <w:bCs w:val="1"/>
                <w:color w:val="58595B"/>
              </w:rPr>
              <w:t>Non-GAAP adjustments:</w:t>
            </w:r>
          </w:p>
        </w:tc>
        <w:tc>
          <w:tcPr>
            <w:tcW w:w="820" w:type="dxa"/>
            <w:vAlign w:val="bottom"/>
            <w:shd w:val="clear" w:color="auto" w:fill="EFEDED"/>
          </w:tcPr>
          <w:p>
            <w:pPr>
              <w:spacing w:after="0"/>
              <w:rPr>
                <w:sz w:val="20"/>
                <w:szCs w:val="20"/>
                <w:color w:val="auto"/>
              </w:rPr>
            </w:pPr>
          </w:p>
        </w:tc>
        <w:tc>
          <w:tcPr>
            <w:tcW w:w="460" w:type="dxa"/>
            <w:vAlign w:val="bottom"/>
            <w:shd w:val="clear" w:color="auto" w:fill="EFEDED"/>
          </w:tcPr>
          <w:p>
            <w:pPr>
              <w:spacing w:after="0"/>
              <w:rPr>
                <w:sz w:val="20"/>
                <w:szCs w:val="20"/>
                <w:color w:val="auto"/>
              </w:rPr>
            </w:pPr>
          </w:p>
        </w:tc>
        <w:tc>
          <w:tcPr>
            <w:tcW w:w="280" w:type="dxa"/>
            <w:vAlign w:val="bottom"/>
            <w:shd w:val="clear" w:color="auto" w:fill="EFEDED"/>
          </w:tcPr>
          <w:p>
            <w:pPr>
              <w:spacing w:after="0"/>
              <w:rPr>
                <w:sz w:val="20"/>
                <w:szCs w:val="20"/>
                <w:color w:val="auto"/>
              </w:rPr>
            </w:pPr>
          </w:p>
        </w:tc>
        <w:tc>
          <w:tcPr>
            <w:tcW w:w="780" w:type="dxa"/>
            <w:vAlign w:val="bottom"/>
            <w:shd w:val="clear" w:color="auto" w:fill="EFEDED"/>
          </w:tcPr>
          <w:p>
            <w:pPr>
              <w:spacing w:after="0"/>
              <w:rPr>
                <w:sz w:val="20"/>
                <w:szCs w:val="20"/>
                <w:color w:val="auto"/>
              </w:rPr>
            </w:pPr>
          </w:p>
        </w:tc>
        <w:tc>
          <w:tcPr>
            <w:tcW w:w="440" w:type="dxa"/>
            <w:vAlign w:val="bottom"/>
            <w:shd w:val="clear" w:color="auto" w:fill="EFEDED"/>
          </w:tcPr>
          <w:p>
            <w:pPr>
              <w:spacing w:after="0"/>
              <w:rPr>
                <w:sz w:val="20"/>
                <w:szCs w:val="20"/>
                <w:color w:val="auto"/>
              </w:rPr>
            </w:pP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Depreciation and intangible asset amortization expense</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122.6</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118.2</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84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Other (income), net</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(2.9)</w:t>
            </w:r>
          </w:p>
        </w:tc>
        <w:tc>
          <w:tcPr>
            <w:tcW w:w="1060" w:type="dxa"/>
            <w:vAlign w:val="bottom"/>
            <w:tcBorders>
              <w:bottom w:val="single" w:sz="8" w:color="EFEDED"/>
            </w:tcBorders>
            <w:gridSpan w:val="2"/>
            <w:shd w:val="clear" w:color="auto" w:fill="EF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(7.8)</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Interest expense, net</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34.2</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37.7</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84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Income tax expense (benefit)</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13.3</w:t>
            </w:r>
          </w:p>
        </w:tc>
        <w:tc>
          <w:tcPr>
            <w:tcW w:w="1060" w:type="dxa"/>
            <w:vAlign w:val="bottom"/>
            <w:tcBorders>
              <w:bottom w:val="single" w:sz="8" w:color="EFEDED"/>
            </w:tcBorders>
            <w:gridSpan w:val="2"/>
            <w:shd w:val="clear" w:color="auto" w:fill="EF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33.3</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Structural optimization charges</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23.0</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23.0</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84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EU Medical Device Regulation charges</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46.6</w:t>
            </w:r>
          </w:p>
        </w:tc>
        <w:tc>
          <w:tcPr>
            <w:tcW w:w="1060" w:type="dxa"/>
            <w:vAlign w:val="bottom"/>
            <w:tcBorders>
              <w:bottom w:val="single" w:sz="8" w:color="EFEDED"/>
            </w:tcBorders>
            <w:gridSpan w:val="2"/>
            <w:shd w:val="clear" w:color="auto" w:fill="EF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45.1</w:t>
            </w:r>
          </w:p>
        </w:tc>
      </w:tr>
      <w:tr>
        <w:trPr>
          <w:trHeight w:val="208"/>
        </w:trPr>
        <w:tc>
          <w:tcPr>
            <w:tcW w:w="8460" w:type="dxa"/>
            <w:vAlign w:val="bottom"/>
          </w:tcPr>
          <w:p>
            <w:pPr>
              <w:ind w:left="260"/>
              <w:spacing w:after="0"/>
              <w:rPr>
                <w:sz w:val="20"/>
                <w:szCs w:val="20"/>
                <w:color w:val="auto"/>
              </w:rPr>
            </w:pPr>
            <w:r>
              <w:rPr>
                <w:rFonts w:ascii="Arial" w:cs="Arial" w:eastAsia="Arial" w:hAnsi="Arial"/>
                <w:sz w:val="14"/>
                <w:szCs w:val="14"/>
                <w:color w:val="58595B"/>
              </w:rPr>
              <w:t>Boston Recall</w:t>
            </w:r>
          </w:p>
        </w:tc>
        <w:tc>
          <w:tcPr>
            <w:tcW w:w="820" w:type="dxa"/>
            <w:vAlign w:val="bottom"/>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Pr>
          <w:p>
            <w:pPr>
              <w:jc w:val="right"/>
              <w:spacing w:after="0"/>
              <w:rPr>
                <w:sz w:val="20"/>
                <w:szCs w:val="20"/>
                <w:color w:val="auto"/>
              </w:rPr>
            </w:pPr>
            <w:r>
              <w:rPr>
                <w:rFonts w:ascii="Arial" w:cs="Arial" w:eastAsia="Arial" w:hAnsi="Arial"/>
                <w:sz w:val="14"/>
                <w:szCs w:val="14"/>
                <w:color w:val="58595B"/>
              </w:rPr>
              <w:t>40.0</w:t>
            </w:r>
          </w:p>
        </w:tc>
        <w:tc>
          <w:tcPr>
            <w:tcW w:w="1060" w:type="dxa"/>
            <w:vAlign w:val="bottom"/>
            <w:gridSpan w:val="2"/>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Pr>
          <w:p>
            <w:pPr>
              <w:jc w:val="right"/>
              <w:spacing w:after="0"/>
              <w:rPr>
                <w:sz w:val="20"/>
                <w:szCs w:val="20"/>
                <w:color w:val="auto"/>
              </w:rPr>
            </w:pPr>
            <w:r>
              <w:rPr>
                <w:rFonts w:ascii="Arial" w:cs="Arial" w:eastAsia="Arial" w:hAnsi="Arial"/>
                <w:sz w:val="14"/>
                <w:szCs w:val="14"/>
                <w:color w:val="58595B"/>
              </w:rPr>
              <w:t>—</w:t>
            </w:r>
          </w:p>
        </w:tc>
      </w:tr>
      <w:tr>
        <w:trPr>
          <w:trHeight w:val="22"/>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846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Acquisition, divestiture and integration-related charges (1)</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25.2</w:t>
            </w:r>
          </w:p>
        </w:tc>
        <w:tc>
          <w:tcPr>
            <w:tcW w:w="1060" w:type="dxa"/>
            <w:vAlign w:val="bottom"/>
            <w:tcBorders>
              <w:bottom w:val="single" w:sz="8" w:color="EFEDED"/>
            </w:tcBorders>
            <w:gridSpan w:val="2"/>
            <w:shd w:val="clear" w:color="auto" w:fill="EF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(18.8)</w:t>
            </w:r>
          </w:p>
        </w:tc>
      </w:tr>
      <w:tr>
        <w:trPr>
          <w:trHeight w:val="223"/>
        </w:trPr>
        <w:tc>
          <w:tcPr>
            <w:tcW w:w="8460" w:type="dxa"/>
            <w:vAlign w:val="bottom"/>
            <w:tcBorders>
              <w:bottom w:val="single" w:sz="8" w:color="EFEDED"/>
            </w:tcBorders>
          </w:tcPr>
          <w:p>
            <w:pPr>
              <w:ind w:left="100"/>
              <w:spacing w:after="0"/>
              <w:rPr>
                <w:sz w:val="20"/>
                <w:szCs w:val="20"/>
                <w:color w:val="auto"/>
              </w:rPr>
            </w:pPr>
            <w:r>
              <w:rPr>
                <w:rFonts w:ascii="Arial" w:cs="Arial" w:eastAsia="Arial" w:hAnsi="Arial"/>
                <w:sz w:val="14"/>
                <w:szCs w:val="14"/>
                <w:b w:val="1"/>
                <w:bCs w:val="1"/>
                <w:color w:val="58595B"/>
              </w:rPr>
              <w:t>Total of non-GAAP adjustments</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8595B"/>
              </w:rPr>
              <w:t>302.0</w:t>
            </w:r>
          </w:p>
        </w:tc>
        <w:tc>
          <w:tcPr>
            <w:tcW w:w="280" w:type="dxa"/>
            <w:vAlign w:val="bottom"/>
            <w:tcBorders>
              <w:bottom w:val="single" w:sz="8" w:color="EFEDED"/>
            </w:tcBorders>
          </w:tcPr>
          <w:p>
            <w:pPr>
              <w:spacing w:after="0"/>
              <w:rPr>
                <w:sz w:val="19"/>
                <w:szCs w:val="19"/>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8595B"/>
              </w:rPr>
              <w:t>230.7</w:t>
            </w:r>
          </w:p>
        </w:tc>
      </w:tr>
      <w:tr>
        <w:trPr>
          <w:trHeight w:val="209"/>
        </w:trPr>
        <w:tc>
          <w:tcPr>
            <w:tcW w:w="846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EBITDA</w:t>
            </w:r>
          </w:p>
        </w:tc>
        <w:tc>
          <w:tcPr>
            <w:tcW w:w="820" w:type="dxa"/>
            <w:vAlign w:val="bottom"/>
            <w:tcBorders>
              <w:bottom w:val="single" w:sz="8" w:color="EFEDED"/>
            </w:tcBorders>
            <w:shd w:val="clear" w:color="auto" w:fill="EFEDED"/>
          </w:tcPr>
          <w:p>
            <w:pPr>
              <w:jc w:val="right"/>
              <w:ind w:right="648"/>
              <w:spacing w:after="0"/>
              <w:rPr>
                <w:sz w:val="20"/>
                <w:szCs w:val="20"/>
                <w:color w:val="auto"/>
              </w:rPr>
            </w:pPr>
            <w:r>
              <w:rPr>
                <w:rFonts w:ascii="Arial" w:cs="Arial" w:eastAsia="Arial" w:hAnsi="Arial"/>
                <w:sz w:val="14"/>
                <w:szCs w:val="14"/>
                <w:color w:val="58595B"/>
              </w:rPr>
              <w:t>$</w:t>
            </w:r>
          </w:p>
        </w:tc>
        <w:tc>
          <w:tcPr>
            <w:tcW w:w="46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369.7</w:t>
            </w:r>
          </w:p>
        </w:tc>
        <w:tc>
          <w:tcPr>
            <w:tcW w:w="1060" w:type="dxa"/>
            <w:vAlign w:val="bottom"/>
            <w:tcBorders>
              <w:bottom w:val="single" w:sz="8" w:color="EFEDED"/>
            </w:tcBorders>
            <w:gridSpan w:val="2"/>
            <w:shd w:val="clear" w:color="auto" w:fill="EFEDED"/>
          </w:tcPr>
          <w:p>
            <w:pPr>
              <w:jc w:val="right"/>
              <w:ind w:right="608"/>
              <w:spacing w:after="0"/>
              <w:rPr>
                <w:sz w:val="20"/>
                <w:szCs w:val="20"/>
                <w:color w:val="auto"/>
              </w:rPr>
            </w:pPr>
            <w:r>
              <w:rPr>
                <w:rFonts w:ascii="Arial" w:cs="Arial" w:eastAsia="Arial" w:hAnsi="Arial"/>
                <w:sz w:val="14"/>
                <w:szCs w:val="14"/>
                <w:color w:val="58595B"/>
              </w:rPr>
              <w:t>$</w:t>
            </w:r>
          </w:p>
        </w:tc>
        <w:tc>
          <w:tcPr>
            <w:tcW w:w="4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411.3</w:t>
            </w:r>
          </w:p>
        </w:tc>
      </w:tr>
      <w:tr>
        <w:trPr>
          <w:trHeight w:val="20"/>
        </w:trPr>
        <w:tc>
          <w:tcPr>
            <w:tcW w:w="8460" w:type="dxa"/>
            <w:vAlign w:val="bottom"/>
            <w:shd w:val="clear" w:color="auto" w:fill="58595B"/>
          </w:tcPr>
          <w:p>
            <w:pPr>
              <w:spacing w:after="0" w:line="20" w:lineRule="exact"/>
              <w:rPr>
                <w:sz w:val="1"/>
                <w:szCs w:val="1"/>
                <w:color w:val="auto"/>
              </w:rPr>
            </w:pPr>
          </w:p>
        </w:tc>
        <w:tc>
          <w:tcPr>
            <w:tcW w:w="820" w:type="dxa"/>
            <w:vAlign w:val="bottom"/>
            <w:shd w:val="clear" w:color="auto" w:fill="58595B"/>
          </w:tcPr>
          <w:p>
            <w:pPr>
              <w:spacing w:after="0" w:line="20" w:lineRule="exact"/>
              <w:rPr>
                <w:sz w:val="1"/>
                <w:szCs w:val="1"/>
                <w:color w:val="auto"/>
              </w:rPr>
            </w:pPr>
          </w:p>
        </w:tc>
        <w:tc>
          <w:tcPr>
            <w:tcW w:w="460" w:type="dxa"/>
            <w:vAlign w:val="bottom"/>
            <w:shd w:val="clear" w:color="auto" w:fill="58595B"/>
          </w:tcPr>
          <w:p>
            <w:pPr>
              <w:spacing w:after="0" w:line="20" w:lineRule="exact"/>
              <w:rPr>
                <w:sz w:val="1"/>
                <w:szCs w:val="1"/>
                <w:color w:val="auto"/>
              </w:rPr>
            </w:pPr>
          </w:p>
        </w:tc>
        <w:tc>
          <w:tcPr>
            <w:tcW w:w="280" w:type="dxa"/>
            <w:vAlign w:val="bottom"/>
            <w:shd w:val="clear" w:color="auto" w:fill="58595B"/>
          </w:tcPr>
          <w:p>
            <w:pPr>
              <w:spacing w:after="0" w:line="20" w:lineRule="exact"/>
              <w:rPr>
                <w:sz w:val="1"/>
                <w:szCs w:val="1"/>
                <w:color w:val="auto"/>
              </w:rPr>
            </w:pPr>
          </w:p>
        </w:tc>
        <w:tc>
          <w:tcPr>
            <w:tcW w:w="780" w:type="dxa"/>
            <w:vAlign w:val="bottom"/>
            <w:shd w:val="clear" w:color="auto" w:fill="58595B"/>
          </w:tcPr>
          <w:p>
            <w:pPr>
              <w:spacing w:after="0" w:line="20" w:lineRule="exact"/>
              <w:rPr>
                <w:sz w:val="1"/>
                <w:szCs w:val="1"/>
                <w:color w:val="auto"/>
              </w:rPr>
            </w:pPr>
          </w:p>
        </w:tc>
        <w:tc>
          <w:tcPr>
            <w:tcW w:w="440" w:type="dxa"/>
            <w:vAlign w:val="bottom"/>
            <w:shd w:val="clear" w:color="auto" w:fill="58595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-1953895</wp:posOffset>
            </wp:positionV>
            <wp:extent cx="17659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19" w:lineRule="exact"/>
        <w:rPr>
          <w:sz w:val="20"/>
          <w:szCs w:val="20"/>
          <w:color w:val="auto"/>
        </w:rPr>
      </w:pPr>
    </w:p>
    <w:p>
      <w:pPr>
        <w:ind w:left="340" w:right="180" w:hanging="332"/>
        <w:spacing w:after="0" w:line="285" w:lineRule="auto"/>
        <w:tabs>
          <w:tab w:leader="none" w:pos="3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Acquisition, divestiture and integration-related charges are associated with the Codman Neurosurgery, Arkis Biosciences, Rebound Therapeutics, ACell, SIA acquisitions and the divestiture of Extremity Orthopedics and TWC. Also includes banking, legal, consulting, systems, and other expenses.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58595B"/>
        </w:rPr>
        <w:t>Reconciliation of Annual Cash Bonus Program Performance Metrics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9845"/>
        </w:rPr>
        <w:t>Reconciliation of GAAP Total Revenue to Total Reported Revenues for Annual Cash Bonus Purposes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100" w:type="dxa"/>
            <w:vAlign w:val="bottom"/>
            <w:shd w:val="clear" w:color="auto" w:fill="009845"/>
          </w:tcPr>
          <w:p>
            <w:pPr>
              <w:spacing w:after="0"/>
              <w:rPr>
                <w:sz w:val="16"/>
                <w:szCs w:val="16"/>
                <w:color w:val="auto"/>
              </w:rPr>
            </w:pPr>
          </w:p>
        </w:tc>
        <w:tc>
          <w:tcPr>
            <w:tcW w:w="200" w:type="dxa"/>
            <w:vAlign w:val="bottom"/>
            <w:shd w:val="clear" w:color="auto" w:fill="009845"/>
          </w:tcPr>
          <w:p>
            <w:pPr>
              <w:spacing w:after="0"/>
              <w:rPr>
                <w:sz w:val="16"/>
                <w:szCs w:val="16"/>
                <w:color w:val="auto"/>
              </w:rPr>
            </w:pPr>
          </w:p>
        </w:tc>
        <w:tc>
          <w:tcPr>
            <w:tcW w:w="1940" w:type="dxa"/>
            <w:vAlign w:val="bottom"/>
            <w:shd w:val="clear" w:color="auto" w:fill="009845"/>
          </w:tcPr>
          <w:p>
            <w:pPr>
              <w:jc w:val="center"/>
              <w:ind w:right="129"/>
              <w:spacing w:after="0"/>
              <w:rPr>
                <w:sz w:val="20"/>
                <w:szCs w:val="20"/>
                <w:color w:val="auto"/>
              </w:rPr>
            </w:pPr>
            <w:r>
              <w:rPr>
                <w:rFonts w:ascii="Arial" w:cs="Arial" w:eastAsia="Arial" w:hAnsi="Arial"/>
                <w:sz w:val="14"/>
                <w:szCs w:val="14"/>
                <w:b w:val="1"/>
                <w:bCs w:val="1"/>
                <w:color w:val="FFFFFF"/>
              </w:rPr>
              <w:t>Twelve Months Ended</w:t>
            </w:r>
          </w:p>
        </w:tc>
        <w:tc>
          <w:tcPr>
            <w:tcW w:w="0" w:type="dxa"/>
            <w:vAlign w:val="bottom"/>
          </w:tcPr>
          <w:p>
            <w:pPr>
              <w:spacing w:after="0"/>
              <w:rPr>
                <w:sz w:val="1"/>
                <w:szCs w:val="1"/>
                <w:color w:val="auto"/>
              </w:rPr>
            </w:pPr>
          </w:p>
        </w:tc>
      </w:tr>
      <w:tr>
        <w:trPr>
          <w:trHeight w:val="196"/>
        </w:trPr>
        <w:tc>
          <w:tcPr>
            <w:tcW w:w="9100" w:type="dxa"/>
            <w:vAlign w:val="bottom"/>
            <w:shd w:val="clear" w:color="auto" w:fill="009845"/>
          </w:tcPr>
          <w:p>
            <w:pPr>
              <w:spacing w:after="0"/>
              <w:rPr>
                <w:sz w:val="17"/>
                <w:szCs w:val="17"/>
                <w:color w:val="auto"/>
              </w:rPr>
            </w:pPr>
          </w:p>
        </w:tc>
        <w:tc>
          <w:tcPr>
            <w:tcW w:w="200" w:type="dxa"/>
            <w:vAlign w:val="bottom"/>
            <w:shd w:val="clear" w:color="auto" w:fill="009845"/>
          </w:tcPr>
          <w:p>
            <w:pPr>
              <w:spacing w:after="0"/>
              <w:rPr>
                <w:sz w:val="17"/>
                <w:szCs w:val="17"/>
                <w:color w:val="auto"/>
              </w:rPr>
            </w:pPr>
          </w:p>
        </w:tc>
        <w:tc>
          <w:tcPr>
            <w:tcW w:w="1940" w:type="dxa"/>
            <w:vAlign w:val="bottom"/>
            <w:shd w:val="clear" w:color="auto" w:fill="009845"/>
          </w:tcPr>
          <w:p>
            <w:pPr>
              <w:jc w:val="center"/>
              <w:ind w:right="129"/>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30"/>
        </w:trPr>
        <w:tc>
          <w:tcPr>
            <w:tcW w:w="9100" w:type="dxa"/>
            <w:vAlign w:val="bottom"/>
            <w:shd w:val="clear" w:color="auto" w:fill="009845"/>
          </w:tcPr>
          <w:p>
            <w:pPr>
              <w:ind w:left="100"/>
              <w:spacing w:after="0"/>
              <w:rPr>
                <w:sz w:val="20"/>
                <w:szCs w:val="20"/>
                <w:color w:val="auto"/>
              </w:rPr>
            </w:pPr>
            <w:r>
              <w:rPr>
                <w:rFonts w:ascii="Arial" w:cs="Arial" w:eastAsia="Arial" w:hAnsi="Arial"/>
                <w:sz w:val="14"/>
                <w:szCs w:val="14"/>
                <w:b w:val="1"/>
                <w:bCs w:val="1"/>
                <w:color w:val="FFFFFF"/>
              </w:rPr>
              <w:t>(in millions)</w:t>
            </w:r>
          </w:p>
        </w:tc>
        <w:tc>
          <w:tcPr>
            <w:tcW w:w="200" w:type="dxa"/>
            <w:vAlign w:val="bottom"/>
            <w:shd w:val="clear" w:color="auto" w:fill="009845"/>
          </w:tcPr>
          <w:p>
            <w:pPr>
              <w:spacing w:after="0"/>
              <w:rPr>
                <w:sz w:val="19"/>
                <w:szCs w:val="19"/>
                <w:color w:val="auto"/>
              </w:rPr>
            </w:pPr>
          </w:p>
        </w:tc>
        <w:tc>
          <w:tcPr>
            <w:tcW w:w="1940" w:type="dxa"/>
            <w:vAlign w:val="bottom"/>
            <w:shd w:val="clear" w:color="auto" w:fill="009845"/>
          </w:tcPr>
          <w:p>
            <w:pPr>
              <w:jc w:val="center"/>
              <w:ind w:right="149"/>
              <w:spacing w:after="0"/>
              <w:rPr>
                <w:sz w:val="20"/>
                <w:szCs w:val="20"/>
                <w:color w:val="auto"/>
              </w:rPr>
            </w:pPr>
            <w:r>
              <w:rPr>
                <w:rFonts w:ascii="Arial" w:cs="Arial" w:eastAsia="Arial" w:hAnsi="Arial"/>
                <w:sz w:val="14"/>
                <w:szCs w:val="14"/>
                <w:b w:val="1"/>
                <w:bCs w:val="1"/>
                <w:color w:val="FFFFFF"/>
              </w:rPr>
              <w:t>2023</w:t>
            </w:r>
          </w:p>
        </w:tc>
        <w:tc>
          <w:tcPr>
            <w:tcW w:w="0" w:type="dxa"/>
            <w:vAlign w:val="bottom"/>
          </w:tcPr>
          <w:p>
            <w:pPr>
              <w:spacing w:after="0"/>
              <w:rPr>
                <w:sz w:val="1"/>
                <w:szCs w:val="1"/>
                <w:color w:val="auto"/>
              </w:rPr>
            </w:pPr>
          </w:p>
        </w:tc>
      </w:tr>
      <w:tr>
        <w:trPr>
          <w:trHeight w:val="69"/>
        </w:trPr>
        <w:tc>
          <w:tcPr>
            <w:tcW w:w="9100" w:type="dxa"/>
            <w:vAlign w:val="bottom"/>
            <w:shd w:val="clear" w:color="auto" w:fill="009845"/>
          </w:tcPr>
          <w:p>
            <w:pPr>
              <w:spacing w:after="0"/>
              <w:rPr>
                <w:sz w:val="6"/>
                <w:szCs w:val="6"/>
                <w:color w:val="auto"/>
              </w:rPr>
            </w:pPr>
          </w:p>
        </w:tc>
        <w:tc>
          <w:tcPr>
            <w:tcW w:w="200" w:type="dxa"/>
            <w:vAlign w:val="bottom"/>
            <w:shd w:val="clear" w:color="auto" w:fill="009845"/>
          </w:tcPr>
          <w:p>
            <w:pPr>
              <w:spacing w:after="0"/>
              <w:rPr>
                <w:sz w:val="6"/>
                <w:szCs w:val="6"/>
                <w:color w:val="auto"/>
              </w:rPr>
            </w:pPr>
          </w:p>
        </w:tc>
        <w:tc>
          <w:tcPr>
            <w:tcW w:w="1940" w:type="dxa"/>
            <w:vAlign w:val="bottom"/>
            <w:shd w:val="clear" w:color="auto" w:fill="009845"/>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9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Total Reported Revenues</w:t>
            </w:r>
          </w:p>
        </w:tc>
        <w:tc>
          <w:tcPr>
            <w:tcW w:w="200" w:type="dxa"/>
            <w:vAlign w:val="bottom"/>
            <w:tcBorders>
              <w:bottom w:val="single" w:sz="8" w:color="auto"/>
            </w:tcBorders>
            <w:shd w:val="clear" w:color="auto" w:fill="EFEDED"/>
          </w:tcPr>
          <w:p>
            <w:pPr>
              <w:jc w:val="right"/>
              <w:ind w:right="28"/>
              <w:spacing w:after="0"/>
              <w:rPr>
                <w:sz w:val="20"/>
                <w:szCs w:val="20"/>
                <w:color w:val="auto"/>
              </w:rPr>
            </w:pPr>
            <w:r>
              <w:rPr>
                <w:rFonts w:ascii="Arial" w:cs="Arial" w:eastAsia="Arial" w:hAnsi="Arial"/>
                <w:sz w:val="14"/>
                <w:szCs w:val="14"/>
                <w:b w:val="1"/>
                <w:bCs w:val="1"/>
                <w:color w:val="58595B"/>
              </w:rPr>
              <w:t>$</w:t>
            </w:r>
          </w:p>
        </w:tc>
        <w:tc>
          <w:tcPr>
            <w:tcW w:w="19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b w:val="1"/>
                <w:bCs w:val="1"/>
                <w:color w:val="58595B"/>
              </w:rPr>
              <w:t>1,541.6</w:t>
            </w:r>
          </w:p>
        </w:tc>
        <w:tc>
          <w:tcPr>
            <w:tcW w:w="0" w:type="dxa"/>
            <w:vAlign w:val="bottom"/>
          </w:tcPr>
          <w:p>
            <w:pPr>
              <w:spacing w:after="0"/>
              <w:rPr>
                <w:sz w:val="1"/>
                <w:szCs w:val="1"/>
                <w:color w:val="auto"/>
              </w:rPr>
            </w:pPr>
          </w:p>
        </w:tc>
      </w:tr>
      <w:tr>
        <w:trPr>
          <w:trHeight w:val="20"/>
        </w:trPr>
        <w:tc>
          <w:tcPr>
            <w:tcW w:w="9100" w:type="dxa"/>
            <w:vAlign w:val="bottom"/>
            <w:tcBorders>
              <w:top w:val="single" w:sz="8" w:color="EFEDED"/>
              <w:bottom w:val="single" w:sz="8" w:color="EFEDED"/>
            </w:tcBorders>
            <w:vMerge w:val="restart"/>
          </w:tcPr>
          <w:p>
            <w:pPr>
              <w:ind w:left="100"/>
              <w:spacing w:after="0"/>
              <w:rPr>
                <w:sz w:val="20"/>
                <w:szCs w:val="20"/>
                <w:color w:val="auto"/>
              </w:rPr>
            </w:pPr>
            <w:r>
              <w:rPr>
                <w:rFonts w:ascii="Arial" w:cs="Arial" w:eastAsia="Arial" w:hAnsi="Arial"/>
                <w:sz w:val="14"/>
                <w:szCs w:val="14"/>
                <w:b w:val="1"/>
                <w:bCs w:val="1"/>
                <w:color w:val="58595B"/>
              </w:rPr>
              <w:t>Annual Cash Bonus Adjustments</w:t>
            </w:r>
          </w:p>
        </w:tc>
        <w:tc>
          <w:tcPr>
            <w:tcW w:w="200" w:type="dxa"/>
            <w:vAlign w:val="bottom"/>
            <w:tcBorders>
              <w:top w:val="single" w:sz="8" w:color="EFEDED"/>
              <w:bottom w:val="single" w:sz="8" w:color="auto"/>
            </w:tcBorders>
          </w:tcPr>
          <w:p>
            <w:pPr>
              <w:spacing w:after="0" w:line="20" w:lineRule="exact"/>
              <w:rPr>
                <w:sz w:val="1"/>
                <w:szCs w:val="1"/>
                <w:color w:val="auto"/>
              </w:rPr>
            </w:pPr>
          </w:p>
        </w:tc>
        <w:tc>
          <w:tcPr>
            <w:tcW w:w="1940" w:type="dxa"/>
            <w:vAlign w:val="bottom"/>
            <w:tcBorders>
              <w:top w:val="single" w:sz="8" w:color="EF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100" w:type="dxa"/>
            <w:vAlign w:val="bottom"/>
            <w:tcBorders>
              <w:bottom w:val="single" w:sz="8" w:color="EFEDED"/>
            </w:tcBorders>
            <w:shd w:val="clear" w:color="auto" w:fill="EFEDED"/>
          </w:tcPr>
          <w:p>
            <w:pPr>
              <w:ind w:left="260"/>
              <w:spacing w:after="0"/>
              <w:rPr>
                <w:sz w:val="20"/>
                <w:szCs w:val="20"/>
                <w:color w:val="auto"/>
              </w:rPr>
            </w:pPr>
            <w:r>
              <w:rPr>
                <w:rFonts w:ascii="Arial" w:cs="Arial" w:eastAsia="Arial" w:hAnsi="Arial"/>
                <w:sz w:val="14"/>
                <w:szCs w:val="14"/>
                <w:color w:val="58595B"/>
              </w:rPr>
              <w:t>Impact of changes in currency exchange rates (Impact vs. Budget)</w:t>
            </w:r>
          </w:p>
        </w:tc>
        <w:tc>
          <w:tcPr>
            <w:tcW w:w="200" w:type="dxa"/>
            <w:vAlign w:val="bottom"/>
            <w:tcBorders>
              <w:bottom w:val="single" w:sz="8" w:color="EFEDED"/>
            </w:tcBorders>
            <w:shd w:val="clear" w:color="auto" w:fill="EFEDED"/>
          </w:tcPr>
          <w:p>
            <w:pPr>
              <w:spacing w:after="0"/>
              <w:rPr>
                <w:sz w:val="18"/>
                <w:szCs w:val="18"/>
                <w:color w:val="auto"/>
              </w:rPr>
            </w:pPr>
          </w:p>
        </w:tc>
        <w:tc>
          <w:tcPr>
            <w:tcW w:w="1940" w:type="dxa"/>
            <w:vAlign w:val="bottom"/>
            <w:tcBorders>
              <w:bottom w:val="single" w:sz="8" w:color="EFEDED"/>
            </w:tcBorders>
            <w:shd w:val="clear" w:color="auto" w:fill="EFEDED"/>
          </w:tcPr>
          <w:p>
            <w:pPr>
              <w:jc w:val="right"/>
              <w:spacing w:after="0"/>
              <w:rPr>
                <w:sz w:val="20"/>
                <w:szCs w:val="20"/>
                <w:color w:val="auto"/>
              </w:rPr>
            </w:pPr>
            <w:r>
              <w:rPr>
                <w:rFonts w:ascii="Arial" w:cs="Arial" w:eastAsia="Arial" w:hAnsi="Arial"/>
                <w:sz w:val="14"/>
                <w:szCs w:val="14"/>
                <w:color w:val="58595B"/>
              </w:rPr>
              <w:t>1</w:t>
            </w:r>
          </w:p>
        </w:tc>
        <w:tc>
          <w:tcPr>
            <w:tcW w:w="0" w:type="dxa"/>
            <w:vAlign w:val="bottom"/>
          </w:tcPr>
          <w:p>
            <w:pPr>
              <w:spacing w:after="0"/>
              <w:rPr>
                <w:sz w:val="1"/>
                <w:szCs w:val="1"/>
                <w:color w:val="auto"/>
              </w:rPr>
            </w:pPr>
          </w:p>
        </w:tc>
      </w:tr>
      <w:tr>
        <w:trPr>
          <w:trHeight w:val="208"/>
        </w:trPr>
        <w:tc>
          <w:tcPr>
            <w:tcW w:w="9100" w:type="dxa"/>
            <w:vAlign w:val="bottom"/>
          </w:tcPr>
          <w:p>
            <w:pPr>
              <w:ind w:left="260"/>
              <w:spacing w:after="0"/>
              <w:rPr>
                <w:sz w:val="20"/>
                <w:szCs w:val="20"/>
                <w:color w:val="auto"/>
              </w:rPr>
            </w:pPr>
            <w:r>
              <w:rPr>
                <w:rFonts w:ascii="Arial" w:cs="Arial" w:eastAsia="Arial" w:hAnsi="Arial"/>
                <w:sz w:val="14"/>
                <w:szCs w:val="14"/>
                <w:color w:val="58595B"/>
              </w:rPr>
              <w:t>Acquisition and Divestiture impact</w:t>
            </w:r>
            <w:r>
              <w:rPr>
                <w:rFonts w:ascii="Arial" w:cs="Arial" w:eastAsia="Arial" w:hAnsi="Arial"/>
                <w:sz w:val="9"/>
                <w:szCs w:val="9"/>
                <w:color w:val="58595B"/>
              </w:rPr>
              <w:t>1</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58595B"/>
              </w:rPr>
              <w:t>—</w:t>
            </w:r>
          </w:p>
        </w:tc>
        <w:tc>
          <w:tcPr>
            <w:tcW w:w="0" w:type="dxa"/>
            <w:vAlign w:val="bottom"/>
          </w:tcPr>
          <w:p>
            <w:pPr>
              <w:spacing w:after="0"/>
              <w:rPr>
                <w:sz w:val="1"/>
                <w:szCs w:val="1"/>
                <w:color w:val="auto"/>
              </w:rPr>
            </w:pPr>
          </w:p>
        </w:tc>
      </w:tr>
      <w:tr>
        <w:trPr>
          <w:trHeight w:val="22"/>
        </w:trPr>
        <w:tc>
          <w:tcPr>
            <w:tcW w:w="9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100" w:type="dxa"/>
            <w:vAlign w:val="bottom"/>
            <w:tcBorders>
              <w:bottom w:val="single" w:sz="8" w:color="EFEDED"/>
            </w:tcBorders>
            <w:shd w:val="clear" w:color="auto" w:fill="EFEDED"/>
          </w:tcPr>
          <w:p>
            <w:pPr>
              <w:ind w:left="100"/>
              <w:spacing w:after="0"/>
              <w:rPr>
                <w:sz w:val="20"/>
                <w:szCs w:val="20"/>
                <w:color w:val="auto"/>
              </w:rPr>
            </w:pPr>
            <w:r>
              <w:rPr>
                <w:rFonts w:ascii="Arial" w:cs="Arial" w:eastAsia="Arial" w:hAnsi="Arial"/>
                <w:sz w:val="14"/>
                <w:szCs w:val="14"/>
                <w:b w:val="1"/>
                <w:bCs w:val="1"/>
                <w:color w:val="58595B"/>
              </w:rPr>
              <w:t>Adjusted for Annual Cash Bonus Purposes</w:t>
            </w:r>
          </w:p>
        </w:tc>
        <w:tc>
          <w:tcPr>
            <w:tcW w:w="200" w:type="dxa"/>
            <w:vAlign w:val="bottom"/>
            <w:tcBorders>
              <w:bottom w:val="single" w:sz="8" w:color="auto"/>
            </w:tcBorders>
            <w:shd w:val="clear" w:color="auto" w:fill="EFEDED"/>
          </w:tcPr>
          <w:p>
            <w:pPr>
              <w:jc w:val="right"/>
              <w:ind w:right="28"/>
              <w:spacing w:after="0"/>
              <w:rPr>
                <w:sz w:val="20"/>
                <w:szCs w:val="20"/>
                <w:color w:val="auto"/>
              </w:rPr>
            </w:pPr>
            <w:r>
              <w:rPr>
                <w:rFonts w:ascii="Arial" w:cs="Arial" w:eastAsia="Arial" w:hAnsi="Arial"/>
                <w:sz w:val="14"/>
                <w:szCs w:val="14"/>
                <w:b w:val="1"/>
                <w:bCs w:val="1"/>
                <w:color w:val="58595B"/>
              </w:rPr>
              <w:t>$</w:t>
            </w:r>
          </w:p>
        </w:tc>
        <w:tc>
          <w:tcPr>
            <w:tcW w:w="1940" w:type="dxa"/>
            <w:vAlign w:val="bottom"/>
            <w:tcBorders>
              <w:bottom w:val="single" w:sz="8" w:color="auto"/>
            </w:tcBorders>
            <w:shd w:val="clear" w:color="auto" w:fill="EFEDED"/>
          </w:tcPr>
          <w:p>
            <w:pPr>
              <w:jc w:val="right"/>
              <w:spacing w:after="0"/>
              <w:rPr>
                <w:sz w:val="20"/>
                <w:szCs w:val="20"/>
                <w:color w:val="auto"/>
              </w:rPr>
            </w:pPr>
            <w:r>
              <w:rPr>
                <w:rFonts w:ascii="Arial" w:cs="Arial" w:eastAsia="Arial" w:hAnsi="Arial"/>
                <w:sz w:val="14"/>
                <w:szCs w:val="14"/>
                <w:b w:val="1"/>
                <w:bCs w:val="1"/>
                <w:color w:val="58595B"/>
              </w:rPr>
              <w:t>1,542.6</w:t>
            </w:r>
          </w:p>
        </w:tc>
        <w:tc>
          <w:tcPr>
            <w:tcW w:w="0" w:type="dxa"/>
            <w:vAlign w:val="bottom"/>
          </w:tcPr>
          <w:p>
            <w:pPr>
              <w:spacing w:after="0"/>
              <w:rPr>
                <w:sz w:val="1"/>
                <w:szCs w:val="1"/>
                <w:color w:val="auto"/>
              </w:rPr>
            </w:pPr>
          </w:p>
        </w:tc>
      </w:tr>
      <w:tr>
        <w:trPr>
          <w:trHeight w:val="709"/>
        </w:trPr>
        <w:tc>
          <w:tcPr>
            <w:tcW w:w="9100" w:type="dxa"/>
            <w:vAlign w:val="bottom"/>
            <w:tcBorders>
              <w:top w:val="single" w:sz="8" w:color="58595B"/>
            </w:tcBorders>
          </w:tcPr>
          <w:p>
            <w:pPr>
              <w:ind w:left="20"/>
              <w:spacing w:after="0"/>
              <w:rPr>
                <w:sz w:val="20"/>
                <w:szCs w:val="20"/>
                <w:color w:val="auto"/>
              </w:rPr>
            </w:pPr>
            <w:r>
              <w:rPr>
                <w:rFonts w:ascii="Arial" w:cs="Arial" w:eastAsia="Arial" w:hAnsi="Arial"/>
                <w:sz w:val="13"/>
                <w:szCs w:val="13"/>
                <w:b w:val="1"/>
                <w:bCs w:val="1"/>
                <w:color w:val="009845"/>
              </w:rPr>
              <w:t>A-2</w:t>
            </w:r>
          </w:p>
        </w:tc>
        <w:tc>
          <w:tcPr>
            <w:tcW w:w="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58595B"/>
              </w:rPr>
              <w:t>2024 Proxy Statement</w:t>
            </w:r>
          </w:p>
        </w:tc>
        <w:tc>
          <w:tcPr>
            <w:tcW w:w="0" w:type="dxa"/>
            <w:vAlign w:val="bottom"/>
          </w:tcPr>
          <w:p>
            <w:pPr>
              <w:spacing w:after="0"/>
              <w:rPr>
                <w:sz w:val="1"/>
                <w:szCs w:val="1"/>
                <w:color w:val="auto"/>
              </w:rPr>
            </w:pPr>
          </w:p>
        </w:tc>
      </w:tr>
      <w:tr>
        <w:trPr>
          <w:trHeight w:val="231"/>
        </w:trPr>
        <w:tc>
          <w:tcPr>
            <w:tcW w:w="9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9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009845"/>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AMENDED AND RESTATED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CERTIFICATE OF INCORPORATION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INTEGRA LIFESCIENCES HOLDINGS CORPORATION</w:t>
      </w:r>
    </w:p>
    <w:p>
      <w:pPr>
        <w:spacing w:after="0" w:line="200" w:lineRule="exact"/>
        <w:rPr>
          <w:sz w:val="20"/>
          <w:szCs w:val="20"/>
          <w:color w:val="auto"/>
        </w:rPr>
      </w:pPr>
    </w:p>
    <w:p>
      <w:pPr>
        <w:spacing w:after="0" w:line="208" w:lineRule="exact"/>
        <w:rPr>
          <w:sz w:val="20"/>
          <w:szCs w:val="20"/>
          <w:color w:val="auto"/>
        </w:rPr>
      </w:pPr>
    </w:p>
    <w:p>
      <w:pPr>
        <w:ind w:right="200"/>
        <w:spacing w:after="0" w:line="356" w:lineRule="auto"/>
        <w:rPr>
          <w:sz w:val="20"/>
          <w:szCs w:val="20"/>
          <w:color w:val="auto"/>
        </w:rPr>
      </w:pPr>
      <w:r>
        <w:rPr>
          <w:rFonts w:ascii="Arial" w:cs="Arial" w:eastAsia="Arial" w:hAnsi="Arial"/>
          <w:sz w:val="16"/>
          <w:szCs w:val="16"/>
          <w:color w:val="58595B"/>
        </w:rPr>
        <w:t>Integra LifeSciences Holdings Corporation (the “Corporation”), a corporation organized and existing under and by virtue of the General Corporation Law of the State of Delaware, DOES HEREBY CERTIFY:</w:t>
      </w:r>
    </w:p>
    <w:p>
      <w:pPr>
        <w:spacing w:after="0" w:line="89"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6"/>
          <w:szCs w:val="16"/>
          <w:color w:val="58595B"/>
        </w:rPr>
      </w:pPr>
      <w:r>
        <w:rPr>
          <w:rFonts w:ascii="Arial" w:cs="Arial" w:eastAsia="Arial" w:hAnsi="Arial"/>
          <w:sz w:val="16"/>
          <w:szCs w:val="16"/>
          <w:color w:val="58595B"/>
        </w:rPr>
        <w:t>That the Board of Directors of the Corporation, acting in accordance with Sections 141 and 242 of the General Corporation Law of the State of</w:t>
      </w:r>
    </w:p>
    <w:p>
      <w:pPr>
        <w:spacing w:after="0" w:line="59" w:lineRule="exact"/>
        <w:rPr>
          <w:rFonts w:ascii="Arial" w:cs="Arial" w:eastAsia="Arial" w:hAnsi="Arial"/>
          <w:sz w:val="16"/>
          <w:szCs w:val="16"/>
          <w:color w:val="58595B"/>
        </w:rPr>
      </w:pPr>
    </w:p>
    <w:p>
      <w:pPr>
        <w:ind w:left="660" w:right="220"/>
        <w:spacing w:after="0" w:line="339" w:lineRule="auto"/>
        <w:rPr>
          <w:rFonts w:ascii="Arial" w:cs="Arial" w:eastAsia="Arial" w:hAnsi="Arial"/>
          <w:sz w:val="16"/>
          <w:szCs w:val="16"/>
          <w:color w:val="58595B"/>
        </w:rPr>
      </w:pPr>
      <w:r>
        <w:rPr>
          <w:rFonts w:ascii="Arial" w:cs="Arial" w:eastAsia="Arial" w:hAnsi="Arial"/>
          <w:sz w:val="16"/>
          <w:szCs w:val="16"/>
          <w:color w:val="58595B"/>
        </w:rPr>
        <w:t>Delaware adopted a resolution to amend Article SEVENTH of the Company’s Restated Certificate of Incorporation (the “Amendment”) so that, as amended, it shall be read in its entirety as follows:</w:t>
      </w:r>
    </w:p>
    <w:p>
      <w:pPr>
        <w:spacing w:after="0" w:line="101" w:lineRule="exact"/>
        <w:rPr>
          <w:sz w:val="20"/>
          <w:szCs w:val="20"/>
          <w:color w:val="auto"/>
        </w:rPr>
      </w:pPr>
    </w:p>
    <w:p>
      <w:pPr>
        <w:ind w:left="980" w:right="80"/>
        <w:spacing w:after="0" w:line="318" w:lineRule="auto"/>
        <w:rPr>
          <w:sz w:val="20"/>
          <w:szCs w:val="20"/>
          <w:color w:val="auto"/>
        </w:rPr>
      </w:pPr>
      <w:r>
        <w:rPr>
          <w:rFonts w:ascii="Arial" w:cs="Arial" w:eastAsia="Arial" w:hAnsi="Arial"/>
          <w:sz w:val="16"/>
          <w:szCs w:val="16"/>
          <w:color w:val="58595B"/>
        </w:rPr>
        <w:t>“SEVENTH: A director or officer of the Corporation shall have no personal liability to the Corporation or its stockholders for monetary damages for breach of fiduciary duty as a director or officer except to the extent that Section 102(b)(7) (or any successor provision) of the Delaware General Corporation Law, as amended from time to time, expressly provides that the liability of a director or officer may not be eliminated or limited.”</w:t>
      </w:r>
    </w:p>
    <w:p>
      <w:pPr>
        <w:spacing w:after="0" w:line="132" w:lineRule="exact"/>
        <w:rPr>
          <w:sz w:val="20"/>
          <w:szCs w:val="20"/>
          <w:color w:val="auto"/>
        </w:rPr>
      </w:pPr>
    </w:p>
    <w:p>
      <w:pPr>
        <w:ind w:left="660" w:right="320" w:hanging="328"/>
        <w:spacing w:after="0" w:line="339" w:lineRule="auto"/>
        <w:tabs>
          <w:tab w:leader="none" w:pos="660" w:val="left"/>
        </w:tabs>
        <w:numPr>
          <w:ilvl w:val="0"/>
          <w:numId w:val="76"/>
        </w:numPr>
        <w:rPr>
          <w:rFonts w:ascii="Arial" w:cs="Arial" w:eastAsia="Arial" w:hAnsi="Arial"/>
          <w:sz w:val="16"/>
          <w:szCs w:val="16"/>
          <w:color w:val="58595B"/>
        </w:rPr>
      </w:pPr>
      <w:r>
        <w:rPr>
          <w:rFonts w:ascii="Arial" w:cs="Arial" w:eastAsia="Arial" w:hAnsi="Arial"/>
          <w:sz w:val="16"/>
          <w:szCs w:val="16"/>
          <w:color w:val="58595B"/>
        </w:rPr>
        <w:t>That the foregoing amendment to the Certificate of Incorporation has been duly adopted in accordance with the provisions of Section 242 of the General Corporation Law of the State of Delaware.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58595B"/>
        </w:rPr>
        <w:t>IN WITNESS WHEREOF, said Corporation has caused this Certificate of Amendment to be executed by its duly authorized officer this __ day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8595B"/>
        </w:rPr>
        <w:t>_____________,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By:</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Name:</w:t>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58595B"/>
        </w:rPr>
        <w:t>Title: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B-1</w:t>
            </w:r>
          </w:p>
        </w:tc>
      </w:tr>
      <w:tr>
        <w:trPr>
          <w:trHeight w:val="231"/>
        </w:trPr>
        <w:tc>
          <w:tcPr>
            <w:tcW w:w="6140" w:type="dxa"/>
            <w:vAlign w:val="bottom"/>
            <w:tcBorders>
              <w:bottom w:val="single" w:sz="8" w:color="9A9A9A"/>
            </w:tcBorders>
          </w:tcPr>
          <w:p>
            <w:pPr>
              <w:spacing w:after="0"/>
              <w:rPr>
                <w:sz w:val="20"/>
                <w:szCs w:val="20"/>
                <w:color w:val="auto"/>
              </w:rPr>
            </w:pPr>
          </w:p>
        </w:tc>
        <w:tc>
          <w:tcPr>
            <w:tcW w:w="51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009845"/>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AMENDMENT NO. 1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INTEGRA LIFESCIENCES HOLDINGS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95B"/>
        </w:rPr>
        <w:t>FIFTH AMENDED AND RESTATED 2003 EQUITY INCENTIVE PLAN</w:t>
      </w:r>
    </w:p>
    <w:p>
      <w:pPr>
        <w:spacing w:after="0" w:line="246" w:lineRule="exact"/>
        <w:rPr>
          <w:sz w:val="20"/>
          <w:szCs w:val="20"/>
          <w:color w:val="auto"/>
        </w:rPr>
      </w:pPr>
    </w:p>
    <w:p>
      <w:pPr>
        <w:ind w:right="440"/>
        <w:spacing w:after="0" w:line="356" w:lineRule="auto"/>
        <w:rPr>
          <w:sz w:val="20"/>
          <w:szCs w:val="20"/>
          <w:color w:val="auto"/>
        </w:rPr>
      </w:pPr>
      <w:r>
        <w:rPr>
          <w:rFonts w:ascii="Arial" w:cs="Arial" w:eastAsia="Arial" w:hAnsi="Arial"/>
          <w:sz w:val="16"/>
          <w:szCs w:val="16"/>
          <w:color w:val="58595B"/>
        </w:rPr>
        <w:t>THIS AMENDMENT (the “Amendment”) of the Integra LifeSciences Holdings Corporation Fifth Amended and Restated 2003 Equity Incentive Plan (the "Plan") is dated as of March 22, 2024.</w:t>
      </w:r>
    </w:p>
    <w:p>
      <w:pPr>
        <w:spacing w:after="0" w:line="89" w:lineRule="exact"/>
        <w:rPr>
          <w:sz w:val="20"/>
          <w:szCs w:val="20"/>
          <w:color w:val="auto"/>
        </w:rPr>
      </w:pPr>
    </w:p>
    <w:p>
      <w:pPr>
        <w:ind w:right="160"/>
        <w:spacing w:after="0" w:line="328" w:lineRule="auto"/>
        <w:rPr>
          <w:sz w:val="20"/>
          <w:szCs w:val="20"/>
          <w:color w:val="auto"/>
        </w:rPr>
      </w:pPr>
      <w:r>
        <w:rPr>
          <w:rFonts w:ascii="Arial" w:cs="Arial" w:eastAsia="Arial" w:hAnsi="Arial"/>
          <w:sz w:val="16"/>
          <w:szCs w:val="16"/>
          <w:color w:val="58595B"/>
        </w:rPr>
        <w:t>WHEREAS, Integra LifeSciences Holdings Corporation (the “Company”) sponsors and maintains the Integra LifeSciences Holdings Corporation Fifth Amended and Restated 2003 Equity Incentive Plan (the “Plan”), which was previously adopted by the Board of Directors of the Company (the “Board”) and approved by the stockholders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8595B"/>
        </w:rPr>
        <w:t>WHEREAS, pursuant to Section 9(a) of the Plan, the Board of Directors of the Company (the “Board”) has reserved the right to amend the Plan;</w:t>
      </w:r>
    </w:p>
    <w:p>
      <w:pPr>
        <w:spacing w:after="0" w:line="22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58595B"/>
        </w:rPr>
        <w:t>WHEREAS, the Board believes that the number of shares of common stock of the Company remaining available for issuance under the Plan has become insufficient for the Company’s anticipated future needs under the Plan;</w:t>
      </w:r>
    </w:p>
    <w:p>
      <w:pPr>
        <w:spacing w:after="0" w:line="101"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color w:val="58595B"/>
        </w:rPr>
        <w:t>WHEREAS, the Board has determined, following the recommendation of the Compensation Committee (the “Committee”) and the Committee’s independent compensation consultant, that it is in the best interests of the Company and its stockholders to amend the Plan, subject to stockholder approval, to (i) increase the aggregate number of Shares available for Awards under the Plan and (ii) eliminate a provision that permits Shares withheld for taxes with respect to an Award to continue to be available for Awards under the Plan; and</w:t>
      </w:r>
    </w:p>
    <w:p>
      <w:pPr>
        <w:spacing w:after="0" w:line="132"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58595B"/>
        </w:rPr>
        <w:t>WHEREAS, the Board has approved the submission of this Amendment to the Company’s stockholders for approval and if, for any reason, the Company’s stockholders fail to approve this Amendment, the existing Plan shall continue in full force and effect.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58595B"/>
        </w:rPr>
        <w:t>NOW, THEREFORE, the Plan is hereby amended, effective as of the Amendment Effective Date (as defined below), as follows:</w:t>
      </w:r>
    </w:p>
    <w:p>
      <w:pPr>
        <w:spacing w:after="0" w:line="179"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20"/>
          <w:szCs w:val="20"/>
          <w:color w:val="58595B"/>
        </w:rPr>
      </w:pPr>
      <w:r>
        <w:rPr>
          <w:rFonts w:ascii="Arial" w:cs="Arial" w:eastAsia="Arial" w:hAnsi="Arial"/>
          <w:sz w:val="16"/>
          <w:szCs w:val="16"/>
          <w:u w:val="single" w:color="auto"/>
          <w:color w:val="58595B"/>
        </w:rPr>
        <w:t>Shares Subject to the Plan</w:t>
      </w:r>
      <w:r>
        <w:rPr>
          <w:rFonts w:ascii="Arial" w:cs="Arial" w:eastAsia="Arial" w:hAnsi="Arial"/>
          <w:sz w:val="16"/>
          <w:szCs w:val="16"/>
          <w:color w:val="58595B"/>
        </w:rPr>
        <w:t>. Section 5 of the Plan is hereby amended and restated to read in its entirety as follows:</w:t>
      </w:r>
    </w:p>
    <w:p>
      <w:pPr>
        <w:spacing w:after="0" w:line="244" w:lineRule="exact"/>
        <w:rPr>
          <w:rFonts w:ascii="Times New Roman" w:cs="Times New Roman" w:eastAsia="Times New Roman" w:hAnsi="Times New Roman"/>
          <w:sz w:val="20"/>
          <w:szCs w:val="20"/>
          <w:color w:val="58595B"/>
        </w:rPr>
      </w:pPr>
    </w:p>
    <w:p>
      <w:pPr>
        <w:jc w:val="both"/>
        <w:ind w:left="1300" w:right="100" w:hanging="320"/>
        <w:spacing w:after="0" w:line="305" w:lineRule="auto"/>
        <w:tabs>
          <w:tab w:leader="none" w:pos="1313" w:val="left"/>
        </w:tabs>
        <w:numPr>
          <w:ilvl w:val="1"/>
          <w:numId w:val="77"/>
        </w:numPr>
        <w:rPr>
          <w:rFonts w:ascii="Arial" w:cs="Arial" w:eastAsia="Arial" w:hAnsi="Arial"/>
          <w:sz w:val="16"/>
          <w:szCs w:val="16"/>
          <w:color w:val="58595B"/>
        </w:rPr>
      </w:pPr>
      <w:r>
        <w:rPr>
          <w:rFonts w:ascii="Arial" w:cs="Arial" w:eastAsia="Arial" w:hAnsi="Arial"/>
          <w:sz w:val="16"/>
          <w:szCs w:val="16"/>
          <w:i w:val="1"/>
          <w:iCs w:val="1"/>
          <w:color w:val="58595B"/>
        </w:rPr>
        <w:t>Shares Subject to the Plan</w:t>
      </w:r>
      <w:r>
        <w:rPr>
          <w:rFonts w:ascii="Arial" w:cs="Arial" w:eastAsia="Arial" w:hAnsi="Arial"/>
          <w:sz w:val="16"/>
          <w:szCs w:val="16"/>
          <w:color w:val="58595B"/>
        </w:rPr>
        <w:t>. The aggregate number of Shares that may be delivered under the Plan is 18,500,000 (the “Share Limit”). The</w:t>
      </w:r>
      <w:r>
        <w:rPr>
          <w:rFonts w:ascii="Arial" w:cs="Arial" w:eastAsia="Arial" w:hAnsi="Arial"/>
          <w:sz w:val="16"/>
          <w:szCs w:val="16"/>
          <w:i w:val="1"/>
          <w:iCs w:val="1"/>
          <w:color w:val="58595B"/>
        </w:rPr>
        <w:t xml:space="preserve"> </w:t>
      </w:r>
      <w:r>
        <w:rPr>
          <w:rFonts w:ascii="Arial" w:cs="Arial" w:eastAsia="Arial" w:hAnsi="Arial"/>
          <w:sz w:val="16"/>
          <w:szCs w:val="16"/>
          <w:color w:val="58595B"/>
        </w:rPr>
        <w:t>maximum number of Shares which may be granted as ISOs is 18,500,000. Further, no Key Employee shall receive Awards for more than 2,000,000 Shares in the aggregate during any calendar year under the Plan. However, the limits in the preceding sentences shall be</w:t>
      </w:r>
    </w:p>
    <w:p>
      <w:pPr>
        <w:jc w:val="both"/>
        <w:ind w:left="1300" w:right="320"/>
        <w:spacing w:after="0" w:line="305" w:lineRule="auto"/>
        <w:rPr>
          <w:rFonts w:ascii="Arial" w:cs="Arial" w:eastAsia="Arial" w:hAnsi="Arial"/>
          <w:sz w:val="16"/>
          <w:szCs w:val="16"/>
          <w:color w:val="58595B"/>
        </w:rPr>
      </w:pPr>
      <w:r>
        <w:rPr>
          <w:rFonts w:ascii="Arial" w:cs="Arial" w:eastAsia="Arial" w:hAnsi="Arial"/>
          <w:sz w:val="16"/>
          <w:szCs w:val="16"/>
          <w:color w:val="58595B"/>
        </w:rPr>
        <w:t>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 Any Shares still subject to an Option which expires or otherwise terminates for any reason whatsoever</w:t>
      </w:r>
    </w:p>
    <w:p>
      <w:pPr>
        <w:jc w:val="both"/>
        <w:ind w:left="1300" w:right="60"/>
        <w:spacing w:after="0" w:line="328" w:lineRule="auto"/>
        <w:rPr>
          <w:rFonts w:ascii="Arial" w:cs="Arial" w:eastAsia="Arial" w:hAnsi="Arial"/>
          <w:sz w:val="16"/>
          <w:szCs w:val="16"/>
          <w:color w:val="58595B"/>
        </w:rPr>
      </w:pPr>
      <w:r>
        <w:rPr>
          <w:rFonts w:ascii="Arial" w:cs="Arial" w:eastAsia="Arial" w:hAnsi="Arial"/>
          <w:sz w:val="16"/>
          <w:szCs w:val="16"/>
          <w:color w:val="58595B"/>
        </w:rPr>
        <w:t>(including,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w:t>
      </w:r>
    </w:p>
    <w:p>
      <w:pPr>
        <w:spacing w:after="0" w:line="82" w:lineRule="exact"/>
        <w:rPr>
          <w:rFonts w:ascii="Arial" w:cs="Arial" w:eastAsia="Arial" w:hAnsi="Arial"/>
          <w:sz w:val="16"/>
          <w:szCs w:val="16"/>
          <w:color w:val="58595B"/>
        </w:rPr>
      </w:pPr>
    </w:p>
    <w:p>
      <w:pPr>
        <w:ind w:left="340" w:right="20" w:hanging="332"/>
        <w:spacing w:after="0" w:line="286" w:lineRule="auto"/>
        <w:tabs>
          <w:tab w:leader="none" w:pos="376" w:val="left"/>
        </w:tabs>
        <w:numPr>
          <w:ilvl w:val="0"/>
          <w:numId w:val="77"/>
        </w:numPr>
        <w:rPr>
          <w:rFonts w:ascii="Arial" w:cs="Arial" w:eastAsia="Arial" w:hAnsi="Arial"/>
          <w:sz w:val="16"/>
          <w:szCs w:val="16"/>
          <w:color w:val="58595B"/>
        </w:rPr>
      </w:pPr>
      <w:r>
        <w:rPr>
          <w:rFonts w:ascii="Arial" w:cs="Arial" w:eastAsia="Arial" w:hAnsi="Arial"/>
          <w:sz w:val="16"/>
          <w:szCs w:val="16"/>
          <w:u w:val="single" w:color="auto"/>
          <w:color w:val="58595B"/>
        </w:rPr>
        <w:t>Effective Date of Amendment</w:t>
      </w:r>
      <w:r>
        <w:rPr>
          <w:rFonts w:ascii="Arial" w:cs="Arial" w:eastAsia="Arial" w:hAnsi="Arial"/>
          <w:sz w:val="16"/>
          <w:szCs w:val="16"/>
          <w:color w:val="58595B"/>
        </w:rPr>
        <w:t>. This Amendment to the Plan shall become effective upon the date that it is approved by the Company’s stockholders (the “Amendment Effective Date”) in accordance with applicable laws and regulations.</w:t>
      </w:r>
    </w:p>
    <w:p>
      <w:pPr>
        <w:spacing w:after="0" w:line="182" w:lineRule="exact"/>
        <w:rPr>
          <w:rFonts w:ascii="Arial" w:cs="Arial" w:eastAsia="Arial" w:hAnsi="Arial"/>
          <w:sz w:val="16"/>
          <w:szCs w:val="16"/>
          <w:color w:val="58595B"/>
        </w:rPr>
      </w:pPr>
    </w:p>
    <w:p>
      <w:pPr>
        <w:ind w:left="340" w:right="660" w:hanging="332"/>
        <w:spacing w:after="0" w:line="268" w:lineRule="auto"/>
        <w:tabs>
          <w:tab w:leader="none" w:pos="376" w:val="left"/>
        </w:tabs>
        <w:numPr>
          <w:ilvl w:val="0"/>
          <w:numId w:val="77"/>
        </w:numPr>
        <w:rPr>
          <w:rFonts w:ascii="Arial" w:cs="Arial" w:eastAsia="Arial" w:hAnsi="Arial"/>
          <w:sz w:val="16"/>
          <w:szCs w:val="16"/>
          <w:color w:val="58595B"/>
        </w:rPr>
      </w:pPr>
      <w:r>
        <w:rPr>
          <w:rFonts w:ascii="Arial" w:cs="Arial" w:eastAsia="Arial" w:hAnsi="Arial"/>
          <w:sz w:val="16"/>
          <w:szCs w:val="16"/>
          <w:u w:val="single" w:color="auto"/>
          <w:color w:val="58595B"/>
        </w:rPr>
        <w:t>Remaining Provisions</w:t>
      </w:r>
      <w:r>
        <w:rPr>
          <w:rFonts w:ascii="Arial" w:cs="Arial" w:eastAsia="Arial" w:hAnsi="Arial"/>
          <w:sz w:val="16"/>
          <w:szCs w:val="16"/>
          <w:color w:val="58595B"/>
        </w:rPr>
        <w:t>. The remaining provisions of the Plan will continue in full force and effect unless and until further modified or amended in accordance with the terms of the Plan.</w:t>
      </w:r>
    </w:p>
    <w:p>
      <w:pPr>
        <w:spacing w:after="0" w:line="196" w:lineRule="exact"/>
        <w:rPr>
          <w:rFonts w:ascii="Arial" w:cs="Arial" w:eastAsia="Arial" w:hAnsi="Arial"/>
          <w:sz w:val="16"/>
          <w:szCs w:val="16"/>
          <w:color w:val="58595B"/>
        </w:rPr>
      </w:pPr>
    </w:p>
    <w:p>
      <w:pPr>
        <w:ind w:left="340" w:right="100" w:hanging="332"/>
        <w:spacing w:after="0" w:line="286" w:lineRule="auto"/>
        <w:tabs>
          <w:tab w:leader="none" w:pos="331" w:val="left"/>
        </w:tabs>
        <w:numPr>
          <w:ilvl w:val="0"/>
          <w:numId w:val="77"/>
        </w:numPr>
        <w:rPr>
          <w:rFonts w:ascii="Arial" w:cs="Arial" w:eastAsia="Arial" w:hAnsi="Arial"/>
          <w:sz w:val="16"/>
          <w:szCs w:val="16"/>
          <w:color w:val="58595B"/>
        </w:rPr>
      </w:pPr>
      <w:r>
        <w:rPr>
          <w:rFonts w:ascii="Arial" w:cs="Arial" w:eastAsia="Arial" w:hAnsi="Arial"/>
          <w:sz w:val="16"/>
          <w:szCs w:val="16"/>
          <w:u w:val="single" w:color="auto"/>
          <w:color w:val="58595B"/>
        </w:rPr>
        <w:t>Capitalized Terms</w:t>
      </w:r>
      <w:r>
        <w:rPr>
          <w:rFonts w:ascii="Arial" w:cs="Arial" w:eastAsia="Arial" w:hAnsi="Arial"/>
          <w:sz w:val="16"/>
          <w:szCs w:val="16"/>
          <w:color w:val="58595B"/>
        </w:rPr>
        <w:t>. Capitalized terms used in this Amendment that are not specifically defined in this Amendment will have the meanings set forth in the Plan.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58595B"/>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C-1</w:t>
            </w:r>
          </w:p>
        </w:tc>
      </w:tr>
      <w:tr>
        <w:trPr>
          <w:trHeight w:val="218"/>
        </w:trPr>
        <w:tc>
          <w:tcPr>
            <w:tcW w:w="6140" w:type="dxa"/>
            <w:vAlign w:val="bottom"/>
            <w:tcBorders>
              <w:bottom w:val="single" w:sz="8" w:color="9A9A9A"/>
            </w:tcBorders>
          </w:tcPr>
          <w:p>
            <w:pPr>
              <w:spacing w:after="0"/>
              <w:rPr>
                <w:sz w:val="18"/>
                <w:szCs w:val="18"/>
                <w:color w:val="auto"/>
              </w:rPr>
            </w:pPr>
          </w:p>
        </w:tc>
        <w:tc>
          <w:tcPr>
            <w:tcW w:w="5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009845"/>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58595B"/>
        </w:rPr>
        <w:t>IN WITNESS WHEREOF, the undersigned Secretary of the Company certifies that the foregoing Amendment to the Plan was duly adopted by the Board of Directors.</w:t>
      </w:r>
    </w:p>
    <w:p>
      <w:pPr>
        <w:spacing w:after="0" w:line="115"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INTEGRA LIFESCIENCES HOLDINGS CORPORATION</w:t>
      </w: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 xml:space="preserve">By: </w:t>
      </w:r>
      <w:r>
        <w:rPr>
          <w:rFonts w:ascii="Arial" w:cs="Arial" w:eastAsia="Arial" w:hAnsi="Arial"/>
          <w:sz w:val="16"/>
          <w:szCs w:val="16"/>
          <w:u w:val="single" w:color="auto"/>
          <w:color w:val="58595B"/>
        </w:rPr>
        <w:t>/s/ Eric I. Schwartz</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Name: Eric I. Schwartz</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Title: Executive Vice President, Chief Legal Officer</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6"/>
          <w:szCs w:val="16"/>
          <w:color w:val="58595B"/>
        </w:rPr>
        <w:t>and Secretary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ind w:left="20"/>
              <w:spacing w:after="0"/>
              <w:rPr>
                <w:sz w:val="20"/>
                <w:szCs w:val="20"/>
                <w:color w:val="auto"/>
              </w:rPr>
            </w:pPr>
            <w:r>
              <w:rPr>
                <w:rFonts w:ascii="Arial" w:cs="Arial" w:eastAsia="Arial" w:hAnsi="Arial"/>
                <w:sz w:val="13"/>
                <w:szCs w:val="13"/>
                <w:color w:val="58595B"/>
              </w:rPr>
              <w:t>2024 Proxy Statement</w:t>
            </w:r>
          </w:p>
        </w:tc>
        <w:tc>
          <w:tcPr>
            <w:tcW w:w="5100" w:type="dxa"/>
            <w:vAlign w:val="bottom"/>
          </w:tcPr>
          <w:p>
            <w:pPr>
              <w:ind w:left="4880"/>
              <w:spacing w:after="0"/>
              <w:rPr>
                <w:sz w:val="20"/>
                <w:szCs w:val="20"/>
                <w:color w:val="auto"/>
              </w:rPr>
            </w:pPr>
            <w:r>
              <w:rPr>
                <w:rFonts w:ascii="Arial" w:cs="Arial" w:eastAsia="Arial" w:hAnsi="Arial"/>
                <w:sz w:val="13"/>
                <w:szCs w:val="13"/>
                <w:b w:val="1"/>
                <w:bCs w:val="1"/>
                <w:color w:val="009845"/>
                <w:w w:val="95"/>
              </w:rPr>
              <w:t>C-2</w:t>
            </w:r>
          </w:p>
        </w:tc>
      </w:tr>
      <w:tr>
        <w:trPr>
          <w:trHeight w:val="231"/>
        </w:trPr>
        <w:tc>
          <w:tcPr>
            <w:tcW w:w="6140" w:type="dxa"/>
            <w:vAlign w:val="bottom"/>
            <w:tcBorders>
              <w:bottom w:val="single" w:sz="8" w:color="9A9A9A"/>
            </w:tcBorders>
          </w:tcPr>
          <w:p>
            <w:pPr>
              <w:spacing w:after="0"/>
              <w:rPr>
                <w:sz w:val="20"/>
                <w:szCs w:val="20"/>
                <w:color w:val="auto"/>
              </w:rPr>
            </w:pPr>
          </w:p>
        </w:tc>
        <w:tc>
          <w:tcPr>
            <w:tcW w:w="51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9719945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431800</wp:posOffset>
            </wp:positionV>
            <wp:extent cx="6995160" cy="905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o"/>
      <w:numFmt w:val="bullet"/>
      <w:start w:val="1"/>
    </w:lvl>
  </w:abstractNum>
  <w:abstractNum w:abstractNumId="1">
    <w:nsid w:val="51EAD36B"/>
    <w:multiLevelType w:val="hybridMultilevel"/>
    <w:lvl w:ilvl="0">
      <w:lvlJc w:val="left"/>
      <w:lvlText w:val="x"/>
      <w:numFmt w:val="bullet"/>
      <w:start w:val="1"/>
    </w:lvl>
  </w:abstractNum>
  <w:abstractNum w:abstractNumId="2">
    <w:nsid w:val="2D517796"/>
    <w:multiLevelType w:val="hybridMultilevel"/>
    <w:lvl w:ilvl="0">
      <w:lvlJc w:val="left"/>
      <w:lvlText w:val="o"/>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amp;"/>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amp;"/>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3"/>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X"/>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emdash "/>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2"/>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1."/>
      <w:numFmt w:val="decimal"/>
      <w:start w:val="4"/>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decimal"/>
      <w:start w:val="2"/>
    </w:lvl>
  </w:abstractNum>
  <w:abstractNum w:abstractNumId="54">
    <w:nsid w:val="1DBABF00"/>
    <w:multiLevelType w:val="hybridMultilevel"/>
    <w:lvl w:ilvl="0">
      <w:lvlJc w:val="left"/>
      <w:lvlText w:val="%1."/>
      <w:numFmt w:val="decimal"/>
      <w:start w:val="3"/>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1"/>
    </w:lvl>
    <w:lvl w:ilvl="1">
      <w:lvlJc w:val="left"/>
      <w:lvlText w:val="•"/>
      <w:numFmt w:val="bullet"/>
      <w:start w:val="1"/>
    </w:lvl>
  </w:abstractNum>
  <w:abstractNum w:abstractNumId="59">
    <w:nsid w:val="100F8FCA"/>
    <w:multiLevelType w:val="hybridMultilevel"/>
    <w:lvl w:ilvl="0">
      <w:lvlJc w:val="left"/>
      <w:lvlText w:val="%1."/>
      <w:numFmt w:val="decimal"/>
      <w:start w:val="2"/>
    </w:lvl>
  </w:abstractNum>
  <w:abstractNum w:abstractNumId="60">
    <w:nsid w:val="6590700B"/>
    <w:multiLevelType w:val="hybridMultilevel"/>
    <w:lvl w:ilvl="0">
      <w:lvlJc w:val="left"/>
      <w:lvlText w:val="%1."/>
      <w:numFmt w:val="decimal"/>
      <w:start w:val="3"/>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2"/>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2"/>
    </w:lvl>
  </w:abstractNum>
  <w:abstractNum w:abstractNumId="71">
    <w:nsid w:val="540A471C"/>
    <w:multiLevelType w:val="hybridMultilevel"/>
    <w:lvl w:ilvl="0">
      <w:lvlJc w:val="left"/>
      <w:lvlText w:val="(%1)"/>
      <w:numFmt w:val="lowerRoman"/>
      <w:start w:val="3"/>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2"/>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2024-04-04T15:58:38Z</dcterms:created>
  <dcterms:modified xsi:type="dcterms:W3CDTF">2024-04-04T15:58:38Z</dcterms:modified>
</cp:coreProperties>
</file>