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INTEGRA LIFESCIENCES HOLDINGS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6"/>
              </w:rPr>
              <w:t>DELAWARE</w:t>
            </w:r>
          </w:p>
        </w:tc>
        <w:tc>
          <w:tcPr>
            <w:tcW w:w="3220" w:type="dxa"/>
            <w:vAlign w:val="bottom"/>
          </w:tcPr>
          <w:p>
            <w:pPr>
              <w:jc w:val="right"/>
              <w:ind w:right="244"/>
              <w:spacing w:after="0"/>
              <w:rPr>
                <w:sz w:val="20"/>
                <w:szCs w:val="20"/>
                <w:color w:val="auto"/>
              </w:rPr>
            </w:pPr>
            <w:r>
              <w:rPr>
                <w:rFonts w:ascii="Arial" w:cs="Arial" w:eastAsia="Arial" w:hAnsi="Arial"/>
                <w:sz w:val="18"/>
                <w:szCs w:val="18"/>
                <w:b w:val="1"/>
                <w:bCs w:val="1"/>
                <w:color w:val="auto"/>
              </w:rPr>
              <w:t>51-0317849</w:t>
            </w:r>
          </w:p>
        </w:tc>
      </w:tr>
      <w:tr>
        <w:trPr>
          <w:trHeight w:val="149"/>
        </w:trPr>
        <w:tc>
          <w:tcPr>
            <w:tcW w:w="4920" w:type="dxa"/>
            <w:vAlign w:val="bottom"/>
          </w:tcPr>
          <w:p>
            <w:pPr>
              <w:jc w:val="center"/>
              <w:ind w:right="166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220" w:type="dxa"/>
            <w:vAlign w:val="bottom"/>
          </w:tcPr>
          <w:p>
            <w:pPr>
              <w:jc w:val="center"/>
              <w:ind w:left="16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4"/>
        </w:trPr>
        <w:tc>
          <w:tcPr>
            <w:tcW w:w="4920" w:type="dxa"/>
            <w:vAlign w:val="bottom"/>
          </w:tcPr>
          <w:p>
            <w:pPr>
              <w:jc w:val="center"/>
              <w:ind w:right="1682"/>
              <w:spacing w:after="0"/>
              <w:rPr>
                <w:sz w:val="20"/>
                <w:szCs w:val="20"/>
                <w:color w:val="auto"/>
              </w:rPr>
            </w:pPr>
            <w:r>
              <w:rPr>
                <w:rFonts w:ascii="Arial" w:cs="Arial" w:eastAsia="Arial" w:hAnsi="Arial"/>
                <w:sz w:val="14"/>
                <w:szCs w:val="14"/>
                <w:b w:val="1"/>
                <w:bCs w:val="1"/>
                <w:color w:val="auto"/>
                <w:w w:val="98"/>
              </w:rPr>
              <w:t>INCORPORATION OR ORGANIZATION)</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rPr>
              <w:t>IDENTIFICATION NO.)</w:t>
            </w:r>
          </w:p>
        </w:tc>
      </w:tr>
      <w:tr>
        <w:trPr>
          <w:trHeight w:val="4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7"/>
              </w:rPr>
              <w:t>311 ENTERPRISE DRIVE</w:t>
            </w:r>
          </w:p>
        </w:tc>
        <w:tc>
          <w:tcPr>
            <w:tcW w:w="3220" w:type="dxa"/>
            <w:vAlign w:val="bottom"/>
          </w:tcPr>
          <w:p>
            <w:pPr>
              <w:spacing w:after="0"/>
              <w:rPr>
                <w:sz w:val="24"/>
                <w:szCs w:val="24"/>
                <w:color w:val="auto"/>
              </w:rPr>
            </w:pPr>
          </w:p>
        </w:tc>
      </w:tr>
      <w:tr>
        <w:trPr>
          <w:trHeight w:val="231"/>
        </w:trPr>
        <w:tc>
          <w:tcPr>
            <w:tcW w:w="4920" w:type="dxa"/>
            <w:vAlign w:val="bottom"/>
          </w:tcPr>
          <w:p>
            <w:pPr>
              <w:jc w:val="center"/>
              <w:ind w:right="1662"/>
              <w:spacing w:after="0"/>
              <w:rPr>
                <w:sz w:val="20"/>
                <w:szCs w:val="20"/>
                <w:color w:val="auto"/>
              </w:rPr>
            </w:pPr>
            <w:r>
              <w:rPr>
                <w:rFonts w:ascii="Arial" w:cs="Arial" w:eastAsia="Arial" w:hAnsi="Arial"/>
                <w:sz w:val="18"/>
                <w:szCs w:val="18"/>
                <w:b w:val="1"/>
                <w:bCs w:val="1"/>
                <w:color w:val="auto"/>
                <w:w w:val="95"/>
              </w:rPr>
              <w:t>PLAINSBORO, NEW JERSEY</w:t>
            </w:r>
          </w:p>
        </w:tc>
        <w:tc>
          <w:tcPr>
            <w:tcW w:w="3220" w:type="dxa"/>
            <w:vAlign w:val="bottom"/>
          </w:tcPr>
          <w:p>
            <w:pPr>
              <w:jc w:val="right"/>
              <w:ind w:right="444"/>
              <w:spacing w:after="0"/>
              <w:rPr>
                <w:sz w:val="20"/>
                <w:szCs w:val="20"/>
                <w:color w:val="auto"/>
              </w:rPr>
            </w:pPr>
            <w:r>
              <w:rPr>
                <w:rFonts w:ascii="Arial" w:cs="Arial" w:eastAsia="Arial" w:hAnsi="Arial"/>
                <w:sz w:val="18"/>
                <w:szCs w:val="18"/>
                <w:b w:val="1"/>
                <w:bCs w:val="1"/>
                <w:color w:val="auto"/>
              </w:rPr>
              <w:t>08536</w:t>
            </w:r>
          </w:p>
        </w:tc>
      </w:tr>
      <w:tr>
        <w:trPr>
          <w:trHeight w:val="174"/>
        </w:trPr>
        <w:tc>
          <w:tcPr>
            <w:tcW w:w="4920" w:type="dxa"/>
            <w:vAlign w:val="bottom"/>
          </w:tcPr>
          <w:p>
            <w:pPr>
              <w:jc w:val="center"/>
              <w:ind w:right="1662"/>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275-0500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60" w:type="dxa"/>
            <w:vAlign w:val="bottom"/>
          </w:tcPr>
          <w:p>
            <w:pPr>
              <w:ind w:left="1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6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6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60" w:type="dxa"/>
            <w:vAlign w:val="bottom"/>
            <w:gridSpan w:val="2"/>
          </w:tcPr>
          <w:p>
            <w:pPr>
              <w:spacing w:after="0"/>
              <w:rPr>
                <w:sz w:val="20"/>
                <w:szCs w:val="20"/>
                <w:color w:val="auto"/>
              </w:rPr>
            </w:pPr>
            <w:r>
              <w:rPr>
                <w:rFonts w:ascii="Arial" w:cs="Arial" w:eastAsia="Arial" w:hAnsi="Arial"/>
                <w:sz w:val="18"/>
                <w:szCs w:val="18"/>
                <w:color w:val="auto"/>
                <w:w w:val="89"/>
              </w:rPr>
              <w:t>The number of shares of the registrant’s Common Stock, $0.01 par value, outstanding as of April 24, 2012 was 27,015,994.</w:t>
            </w: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59"/>
        </w:trPr>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Number</w:t>
            </w:r>
          </w:p>
        </w:tc>
      </w:tr>
      <w:tr>
        <w:trPr>
          <w:trHeight w:val="264"/>
        </w:trPr>
        <w:tc>
          <w:tcPr>
            <w:tcW w:w="282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060" w:type="dxa"/>
            <w:vAlign w:val="bottom"/>
            <w:gridSpan w:val="8"/>
          </w:tcPr>
          <w:p>
            <w:pPr>
              <w:spacing w:after="0"/>
              <w:rPr>
                <w:sz w:val="22"/>
                <w:szCs w:val="22"/>
                <w:color w:val="auto"/>
              </w:rPr>
            </w:pPr>
          </w:p>
        </w:tc>
        <w:tc>
          <w:tcPr>
            <w:tcW w:w="440" w:type="dxa"/>
            <w:vAlign w:val="bottom"/>
          </w:tcPr>
          <w:p>
            <w:pPr>
              <w:spacing w:after="0"/>
              <w:rPr>
                <w:sz w:val="22"/>
                <w:szCs w:val="22"/>
                <w:color w:val="auto"/>
              </w:rPr>
            </w:pPr>
          </w:p>
        </w:tc>
      </w:tr>
      <w:tr>
        <w:trPr>
          <w:trHeight w:val="304"/>
        </w:trPr>
        <w:tc>
          <w:tcPr>
            <w:tcW w:w="2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86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6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and Comprehensive Income for the three months ended March 31, 2012 and 2011 (Unaudited)</w:t>
              </w:r>
            </w:hyperlink>
          </w:p>
        </w:tc>
        <w:tc>
          <w:tcPr>
            <w:tcW w:w="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0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March 31, 2012 and December 31, 2011 (Unaudited)</w:t>
              </w:r>
            </w:hyperlink>
          </w:p>
        </w:tc>
        <w:tc>
          <w:tcPr>
            <w:tcW w:w="38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3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March 31, 2012 and 2011 (Unaudited)</w:t>
              </w:r>
            </w:hyperlink>
          </w:p>
        </w:tc>
        <w:tc>
          <w:tcPr>
            <w:tcW w:w="25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Condensed Consolidated Financial Statements</w:t>
              </w:r>
            </w:hyperlink>
          </w:p>
        </w:tc>
        <w:tc>
          <w:tcPr>
            <w:tcW w:w="62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2. Management’s Discussion and Analysis of Financial Condition and Results of Operations</w:t>
              </w:r>
            </w:hyperlink>
          </w:p>
        </w:tc>
        <w:tc>
          <w:tcPr>
            <w:tcW w:w="39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48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 Quantitative and Qualitative Disclosures About Market Risk</w:t>
              </w:r>
            </w:hyperlink>
          </w:p>
        </w:tc>
        <w:tc>
          <w:tcPr>
            <w:tcW w:w="606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3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 Controls and Procedures</w:t>
              </w:r>
            </w:hyperlink>
          </w:p>
        </w:tc>
        <w:tc>
          <w:tcPr>
            <w:tcW w:w="858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52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PART II. OTHER INFORMATION</w:t>
              </w:r>
            </w:hyperlink>
          </w:p>
        </w:tc>
        <w:tc>
          <w:tcPr>
            <w:tcW w:w="836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18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1. Legal Proceedings</w:t>
              </w:r>
            </w:hyperlink>
          </w:p>
        </w:tc>
        <w:tc>
          <w:tcPr>
            <w:tcW w:w="90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1A. Risk Factors</w:t>
              </w:r>
            </w:hyperlink>
          </w:p>
        </w:tc>
        <w:tc>
          <w:tcPr>
            <w:tcW w:w="93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2. Unregistered Sales of Equity Securities and Use of Proceeds</w:t>
              </w:r>
            </w:hyperlink>
          </w:p>
        </w:tc>
        <w:tc>
          <w:tcPr>
            <w:tcW w:w="608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2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4. Mine Safety Disclosures</w:t>
              </w:r>
            </w:hyperlink>
          </w:p>
        </w:tc>
        <w:tc>
          <w:tcPr>
            <w:tcW w:w="86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6. Exhibits</w:t>
              </w:r>
            </w:hyperlink>
          </w:p>
        </w:tc>
        <w:tc>
          <w:tcPr>
            <w:tcW w:w="974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88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Borders>
              <w:top w:val="single" w:sz="8" w:color="0000EE"/>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color w:val="auto"/>
                <w:w w:val="90"/>
              </w:rPr>
              <w:t>EX-3.2</w:t>
            </w:r>
          </w:p>
        </w:tc>
        <w:tc>
          <w:tcPr>
            <w:tcW w:w="120" w:type="dxa"/>
            <w:vAlign w:val="bottom"/>
            <w:tcBorders>
              <w:top w:val="single" w:sz="8" w:color="0000EE"/>
            </w:tcBorders>
            <w:gridSpan w:val="2"/>
          </w:tcPr>
          <w:p>
            <w:pPr>
              <w:spacing w:after="0"/>
              <w:rPr>
                <w:sz w:val="24"/>
                <w:szCs w:val="24"/>
                <w:color w:val="auto"/>
              </w:rPr>
            </w:pPr>
          </w:p>
        </w:tc>
        <w:tc>
          <w:tcPr>
            <w:tcW w:w="9800" w:type="dxa"/>
            <w:vAlign w:val="bottom"/>
            <w:gridSpan w:val="16"/>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EX-10.2</w:t>
            </w:r>
          </w:p>
        </w:tc>
        <w:tc>
          <w:tcPr>
            <w:tcW w:w="984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r>
    </w:tbl>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INSTANCE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SCHEMA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CALCULATION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XBRL DEFINITION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LABELS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PRESENTATION LINKBASE DOCUMENT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760" w:type="dxa"/>
            <w:vAlign w:val="bottom"/>
          </w:tcPr>
          <w:p>
            <w:pPr>
              <w:jc w:val="center"/>
              <w:ind w:left="812"/>
              <w:spacing w:after="0"/>
              <w:rPr>
                <w:sz w:val="20"/>
                <w:szCs w:val="20"/>
                <w:color w:val="auto"/>
              </w:rPr>
            </w:pPr>
            <w:r>
              <w:rPr>
                <w:rFonts w:ascii="Arial" w:cs="Arial" w:eastAsia="Arial" w:hAnsi="Arial"/>
                <w:sz w:val="18"/>
                <w:szCs w:val="18"/>
                <w:b w:val="1"/>
                <w:bCs w:val="1"/>
                <w:color w:val="auto"/>
                <w:w w:val="98"/>
              </w:rPr>
              <w:t>INTEGRA LIFESCIENCES HOLDINGS CORPORATION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760" w:type="dxa"/>
            <w:vAlign w:val="bottom"/>
          </w:tcPr>
          <w:p>
            <w:pPr>
              <w:jc w:val="center"/>
              <w:ind w:left="812"/>
              <w:spacing w:after="0"/>
              <w:rPr>
                <w:sz w:val="20"/>
                <w:szCs w:val="20"/>
                <w:color w:val="auto"/>
              </w:rPr>
            </w:pPr>
            <w:r>
              <w:rPr>
                <w:rFonts w:ascii="Arial" w:cs="Arial" w:eastAsia="Arial" w:hAnsi="Arial"/>
                <w:sz w:val="18"/>
                <w:szCs w:val="18"/>
                <w:b w:val="1"/>
                <w:bCs w:val="1"/>
                <w:color w:val="auto"/>
                <w:w w:val="96"/>
              </w:rPr>
              <w:t>CONDENSED CONSOLIDATED STATEMENTS OF OPERATIONS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760" w:type="dxa"/>
            <w:vAlign w:val="bottom"/>
          </w:tcPr>
          <w:p>
            <w:pPr>
              <w:jc w:val="center"/>
              <w:ind w:left="812"/>
              <w:spacing w:after="0"/>
              <w:rPr>
                <w:sz w:val="20"/>
                <w:szCs w:val="20"/>
                <w:color w:val="auto"/>
              </w:rPr>
            </w:pPr>
            <w:r>
              <w:rPr>
                <w:rFonts w:ascii="Arial" w:cs="Arial" w:eastAsia="Arial" w:hAnsi="Arial"/>
                <w:sz w:val="18"/>
                <w:szCs w:val="18"/>
                <w:b w:val="1"/>
                <w:bCs w:val="1"/>
                <w:color w:val="auto"/>
                <w:w w:val="99"/>
              </w:rPr>
              <w:t>AND COMPREHENSIVE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60" w:type="dxa"/>
            <w:vAlign w:val="bottom"/>
          </w:tcPr>
          <w:p>
            <w:pPr>
              <w:jc w:val="center"/>
              <w:ind w:left="81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60" w:type="dxa"/>
            <w:vAlign w:val="bottom"/>
          </w:tcPr>
          <w:p>
            <w:pPr>
              <w:jc w:val="center"/>
              <w:ind w:left="832"/>
              <w:spacing w:after="0"/>
              <w:rPr>
                <w:sz w:val="20"/>
                <w:szCs w:val="20"/>
                <w:color w:val="auto"/>
              </w:rPr>
            </w:pPr>
            <w:r>
              <w:rPr>
                <w:rFonts w:ascii="Arial" w:cs="Arial" w:eastAsia="Arial" w:hAnsi="Arial"/>
                <w:sz w:val="18"/>
                <w:szCs w:val="18"/>
                <w:color w:val="auto"/>
                <w:w w:val="86"/>
              </w:rPr>
              <w:t>(In thousands, except per share amounts)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66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6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196,185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181,041</w:t>
            </w:r>
          </w:p>
        </w:tc>
        <w:tc>
          <w:tcPr>
            <w:tcW w:w="0" w:type="dxa"/>
            <w:vAlign w:val="bottom"/>
          </w:tcPr>
          <w:p>
            <w:pPr>
              <w:spacing w:after="0"/>
              <w:rPr>
                <w:sz w:val="1"/>
                <w:szCs w:val="1"/>
                <w:color w:val="auto"/>
              </w:rPr>
            </w:pPr>
          </w:p>
        </w:tc>
      </w:tr>
      <w:tr>
        <w:trPr>
          <w:trHeight w:val="329"/>
        </w:trPr>
        <w:tc>
          <w:tcPr>
            <w:tcW w:w="96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Intangible asset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1"/>
        </w:trPr>
        <w:tc>
          <w:tcPr>
            <w:tcW w:w="96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80" w:type="dxa"/>
            <w:vAlign w:val="bottom"/>
            <w:gridSpan w:val="2"/>
          </w:tcPr>
          <w:p>
            <w:pPr>
              <w:spacing w:after="0"/>
              <w:rPr>
                <w:sz w:val="20"/>
                <w:szCs w:val="20"/>
                <w:color w:val="auto"/>
              </w:rPr>
            </w:pPr>
            <w:r>
              <w:rPr>
                <w:rFonts w:ascii="Arial" w:cs="Arial" w:eastAsia="Arial" w:hAnsi="Arial"/>
                <w:sz w:val="18"/>
                <w:szCs w:val="18"/>
                <w:color w:val="auto"/>
                <w:w w:val="94"/>
              </w:rPr>
              <w:t>Net income</w:t>
            </w:r>
          </w:p>
        </w:tc>
        <w:tc>
          <w:tcPr>
            <w:tcW w:w="87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95"/>
              </w:rPr>
              <w:t>Basic</w:t>
            </w: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30,185</w:t>
            </w:r>
          </w:p>
        </w:tc>
        <w:tc>
          <w:tcPr>
            <w:tcW w:w="0" w:type="dxa"/>
            <w:vAlign w:val="bottom"/>
          </w:tcPr>
          <w:p>
            <w:pPr>
              <w:spacing w:after="0"/>
              <w:rPr>
                <w:sz w:val="1"/>
                <w:szCs w:val="1"/>
                <w:color w:val="auto"/>
              </w:rPr>
            </w:pPr>
          </w:p>
        </w:tc>
      </w:tr>
      <w:tr>
        <w:trPr>
          <w:trHeight w:val="323"/>
        </w:trPr>
        <w:tc>
          <w:tcPr>
            <w:tcW w:w="9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13,639</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receivable, net of allowances of $6,691 and $6,978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24,571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25,904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136,770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1,158,370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1,148,347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 trade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35,580</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23,194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104,586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101,868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 under senior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Long-term convertible securities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356,103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655,709</w:t>
            </w: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60,000 authorized shares; 35,749 and 35,734 issued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609,849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8,903 and 8,903 shares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(367,121)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Pension liability adjustment, net of tax</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loss on derivatives, net of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267,512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260,819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508,451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1,158,370</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66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329"/>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Cash used in business acquisition</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(53,248)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(63,835)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Repayments under senior credit facility</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Proceeds from exercise of stock options,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6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(12,560)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(42,166)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(24,409)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6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58,642</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ind w:right="90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u w:val="single" w:color="auto"/>
          <w:color w:val="auto"/>
        </w:rPr>
        <w:t>General</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opinion of management, the March 31, 2012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2011 included in the Company’s Annual Report on Form 10-K. The December 31, 2011 condensed consolidated balance sheet was derived from audited financial statements but does not include all disclosures required by accounting principles generally accepted in the United States. Operating results for the three-month period ended March 31, 2012 are not necessarily indicative of the results to be expected for the entire year.</w:t>
      </w:r>
    </w:p>
    <w:p>
      <w:pPr>
        <w:spacing w:after="0" w:line="118"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the fair value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the Company’s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2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ASSET ACQUISITIONS ACQUISITIONS</w:t>
      </w:r>
    </w:p>
    <w:p>
      <w:pPr>
        <w:spacing w:after="0" w:line="1" w:lineRule="exact"/>
        <w:rPr>
          <w:rFonts w:ascii="Arial" w:cs="Arial" w:eastAsia="Arial" w:hAnsi="Arial"/>
          <w:sz w:val="18"/>
          <w:szCs w:val="18"/>
          <w:b w:val="1"/>
          <w:bCs w:val="1"/>
          <w:color w:val="auto"/>
        </w:rPr>
      </w:pPr>
    </w:p>
    <w:p>
      <w:pPr>
        <w:ind w:right="9180"/>
        <w:spacing w:after="0" w:line="387"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i w:val="1"/>
          <w:iCs w:val="1"/>
          <w:u w:val="single" w:color="auto"/>
          <w:color w:val="auto"/>
        </w:rPr>
        <w:t>Ascension Orthopedics, Inc.</w:t>
      </w:r>
    </w:p>
    <w:p>
      <w:pPr>
        <w:spacing w:after="0" w:line="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September 23, 2011, the Company acquired Ascension Orthopedics, Inc. (“Ascension”) for $66.5 million, which includes amounts paid into escrow, subject to working capital adjustments. Ascension, based in Austin, Texas, develops and distributes a range of implants for the shoulder, elbow, wrist, hand, foot and ankle. Management determined the preliminary fair value of net assets acquired during the third quarter of 2011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Preliminary</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Allocation</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(Dollars in thousands)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long term</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Intangible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w w:val="93"/>
              </w:rPr>
              <w:t>Wtd. Avg. Life: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5,750</w:t>
            </w:r>
          </w:p>
        </w:tc>
        <w:tc>
          <w:tcPr>
            <w:tcW w:w="1900" w:type="dxa"/>
            <w:vAlign w:val="bottom"/>
          </w:tcPr>
          <w:p>
            <w:pPr>
              <w:ind w:left="78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Supplier relationship</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4,510</w:t>
            </w:r>
          </w:p>
        </w:tc>
        <w:tc>
          <w:tcPr>
            <w:tcW w:w="1900" w:type="dxa"/>
            <w:vAlign w:val="bottom"/>
          </w:tcPr>
          <w:p>
            <w:pPr>
              <w:ind w:left="7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15,909</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72,317</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66,490</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Management determined the preliminary fair value of net assets acquired during the third quarter of 2011 and has not yet finalized the working capital adjustment. Measurement period adjustments included above reflected a decrease in the total fair value of inventory acquired and a decrease in the value of long term deferred tax assets acquired which was recorded in the fourth quarter of 2011. The measurement period adjustments were made to reflect facts and circumstances existing as of the acquisition date, and did not result from intervening events subsequent to the acquisition date. These adjustments did not have a significant impact on the Company’s previously reported consolidated financial statements and, therefore, the Company has not retrospectively adjusted those financial statements.</w:t>
      </w:r>
    </w:p>
    <w:p>
      <w:pPr>
        <w:spacing w:after="0" w:line="10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SeaSpine, Inc.</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$89.0 million, subject to indemnification holdbacks currently totaling $7.4 million, which are accrued at December 31, 2011 and certain working capital adjustments. The final working capital adjustment was determined in the first quarter of 2012 and reduced the purchase price by $0.3 million. SeaSpine is based in Vista, California and designs, develops and manufactures spinal fixation products and bone substitute products.</w:t>
      </w:r>
    </w:p>
    <w:p>
      <w:pPr>
        <w:sectPr>
          <w:pgSz w:w="11900" w:h="16838" w:orient="portrait"/>
          <w:cols w:equalWidth="0" w:num="1">
            <w:col w:w="11420"/>
          </w:cols>
          <w:pgMar w:left="240" w:top="459" w:right="239" w:bottom="1440" w:gutter="0" w:footer="0" w:header="0"/>
        </w:sectPr>
      </w:pPr>
    </w:p>
    <w:bookmarkStart w:id="7" w:name="page8"/>
    <w:bookmarkEnd w:id="7"/>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Final Purchase Price</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Allocation</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Inventory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14,900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Deferred tax asset — long term</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Wtd. Avg.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Technology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20" w:type="dxa"/>
            <w:vAlign w:val="bottom"/>
          </w:tcPr>
          <w:p>
            <w:pPr>
              <w:jc w:val="right"/>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1,900</w:t>
            </w:r>
          </w:p>
        </w:tc>
        <w:tc>
          <w:tcPr>
            <w:tcW w:w="2020" w:type="dxa"/>
            <w:vAlign w:val="bottom"/>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93,783</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1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88,675</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80" w:type="dxa"/>
            <w:vAlign w:val="bottom"/>
            <w:vMerge w:val="restart"/>
          </w:tcPr>
          <w:p>
            <w:pPr>
              <w:jc w:val="right"/>
              <w:ind w:right="892"/>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7"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finalized the working capital adjustment in the first quarter of 2012. Measurement period adjustments included above reflect a decrease in the total fair value of consideration to be transferred pursuant to the final working capital adjustment. These measurement period adjustments were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SeaSpine’s existing business (that is, the higher rate of return on the assembled net assets versus if the Company had acquired all of the net assets separately), and (iii) intangible assets that do not qualify for separate recognition such as SeaSpine’s assembled workforce. For tax purposes, the Company is treating the acquisition as an asset acquisition; therefore, the goodwill will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Results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months ended March 31, 2011 as if the acquisitions completed by the Company during 2011 had been completed as of January 1, 2010.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 (iii) 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4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620" w:type="dxa"/>
            <w:vAlign w:val="bottom"/>
            <w:gridSpan w:val="4"/>
          </w:tcPr>
          <w:p>
            <w:pPr>
              <w:jc w:val="center"/>
              <w:ind w:left="2459"/>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2011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except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amounts)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Basic</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short-term investments consist entirely of time-deposits held by investment-grade banks. These investments have maturity dates ranging from approximately three months to six months from the original date of purchase.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520" w:type="dxa"/>
            <w:vAlign w:val="bottom"/>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46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$108,433</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106,972</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Work-in process</w:t>
            </w:r>
          </w:p>
        </w:tc>
        <w:tc>
          <w:tcPr>
            <w:tcW w:w="680" w:type="dxa"/>
            <w:vAlign w:val="bottom"/>
          </w:tcPr>
          <w:p>
            <w:pPr>
              <w:jc w:val="right"/>
              <w:spacing w:after="0"/>
              <w:rPr>
                <w:sz w:val="20"/>
                <w:szCs w:val="20"/>
                <w:color w:val="auto"/>
              </w:rPr>
            </w:pPr>
            <w:r>
              <w:rPr>
                <w:rFonts w:ascii="Arial" w:cs="Arial" w:eastAsia="Arial" w:hAnsi="Arial"/>
                <w:sz w:val="18"/>
                <w:szCs w:val="18"/>
                <w:color w:val="auto"/>
              </w:rPr>
              <w:t>36,811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shd w:val="clear" w:color="auto" w:fill="CCEEFF"/>
          </w:tcPr>
          <w:p>
            <w:pPr>
              <w:spacing w:after="0"/>
              <w:rPr>
                <w:sz w:val="18"/>
                <w:szCs w:val="18"/>
                <w:color w:val="auto"/>
              </w:rPr>
            </w:pPr>
          </w:p>
        </w:tc>
      </w:tr>
      <w:tr>
        <w:trPr>
          <w:trHeight w:val="330"/>
        </w:trPr>
        <w:tc>
          <w:tcPr>
            <w:tcW w:w="6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172,469</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171,261</w:t>
            </w:r>
          </w:p>
        </w:tc>
        <w:tc>
          <w:tcPr>
            <w:tcW w:w="100" w:type="dxa"/>
            <w:vAlign w:val="bottom"/>
          </w:tcPr>
          <w:p>
            <w:pPr>
              <w:spacing w:after="0"/>
              <w:rPr>
                <w:sz w:val="24"/>
                <w:szCs w:val="24"/>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revised its operating segments and reporting segments in connection with the change in the Company’s Chief Executive Officer (who serves as the Company’s chief operating decision maker) effective January 3, 2012. As a result, the Company reassigned the goodwill to these new reportable segments based on the relative-fair-value of the Company’s eight underlying reporting units as of January 1, 2012. The Company estimated the fair value of the business units using a discounted cash flow model. The assumptions supporting the estimated future cash flows of the reporting units, including profit margins, long-term forecasts, discount rates and terminal growth rates, reflects the Company’s best estimates. For seven of the eight reporting units, given the significant excess of their estimated fair value over their carrying value, any future goodwill impairment is not likely. However, at January 1, 2012, the estimated fair value of the U.S. Spine business, which is a component of the U.S. Spine and Other reportable segment, exceeded its book value by approximately 15%. This component has $31.7 million of allocated goodwill. In the event that the estimated fair value declines and no longer exceeds the carrying value of this component, an impairment charge may be recorded to reduce the amount of goodwill associated with this component. Refer to footnote 14 for more information on the change in reportable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2012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Spine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Neurosurgery</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Instruments</w:t>
            </w:r>
          </w:p>
        </w:tc>
        <w:tc>
          <w:tcPr>
            <w:tcW w:w="3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4"/>
              </w:rPr>
              <w:t>Extremities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International</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57,270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60,544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$55,693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$292,980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57,270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60,544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00" w:type="dxa"/>
            <w:vAlign w:val="bottom"/>
            <w:gridSpan w:val="2"/>
          </w:tcPr>
          <w:p>
            <w:pPr>
              <w:spacing w:after="0"/>
              <w:rPr>
                <w:sz w:val="20"/>
                <w:szCs w:val="20"/>
                <w:color w:val="auto"/>
              </w:rPr>
            </w:pPr>
            <w:r>
              <w:rPr>
                <w:rFonts w:ascii="Arial" w:cs="Arial" w:eastAsia="Arial" w:hAnsi="Arial"/>
                <w:sz w:val="18"/>
                <w:szCs w:val="18"/>
                <w:color w:val="auto"/>
              </w:rPr>
              <w:t>SeaSpine, Inc. working capital adjustment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60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93,913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57,270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60,544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55,982</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27,523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295,232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The Company has adopted the provisions of Accounting Standards Update (ASU) No. 2011-08, </w:t>
      </w:r>
      <w:r>
        <w:rPr>
          <w:rFonts w:ascii="Arial" w:cs="Arial" w:eastAsia="Arial" w:hAnsi="Arial"/>
          <w:sz w:val="16"/>
          <w:szCs w:val="16"/>
          <w:i w:val="1"/>
          <w:iCs w:val="1"/>
          <w:color w:val="auto"/>
        </w:rPr>
        <w:t>Intangibles — Goodwill and Other: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which allows entities to first assess qualitative factors before performing a quantitative assessment of the fair value of a reporting unit. If it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on the basis of qualitative factors that the fair value of the reporting unit is more-likely-than-not less than the carrying amount, the existing quantitative impairment test is required — otherwise, no further impairment testing is required. If a quantitative assessment is required, the Company utilizes a discounted cash flow analysis that requires certain assumptions and estimates be made regarding market conditions and its future profitability. The Company performs its assessment of the recoverability of goodwill annually during second quarter and it is based upon a comparison of the carrying value of goodwill for each reporting unit with its estimated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8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60" w:type="dxa"/>
            <w:vAlign w:val="bottom"/>
          </w:tcPr>
          <w:p>
            <w:pPr>
              <w:spacing w:after="0"/>
              <w:rPr>
                <w:sz w:val="11"/>
                <w:szCs w:val="11"/>
                <w:color w:val="auto"/>
              </w:rPr>
            </w:pPr>
          </w:p>
        </w:tc>
        <w:tc>
          <w:tcPr>
            <w:tcW w:w="88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60" w:type="dxa"/>
            <w:vAlign w:val="bottom"/>
          </w:tcPr>
          <w:p>
            <w:pPr>
              <w:spacing w:after="0"/>
              <w:rPr>
                <w:sz w:val="14"/>
                <w:szCs w:val="14"/>
                <w:color w:val="auto"/>
              </w:rPr>
            </w:pPr>
          </w:p>
        </w:tc>
        <w:tc>
          <w:tcPr>
            <w:tcW w:w="8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r>
      <w:tr>
        <w:trPr>
          <w:trHeight w:val="142"/>
        </w:trPr>
        <w:tc>
          <w:tcPr>
            <w:tcW w:w="46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11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(33,613)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75,990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jc w:val="center"/>
              <w:ind w:right="119"/>
              <w:spacing w:after="0"/>
              <w:rPr>
                <w:sz w:val="20"/>
                <w:szCs w:val="20"/>
                <w:color w:val="auto"/>
              </w:rPr>
            </w:pPr>
            <w:r>
              <w:rPr>
                <w:rFonts w:ascii="Arial" w:cs="Arial" w:eastAsia="Arial" w:hAnsi="Arial"/>
                <w:sz w:val="18"/>
                <w:szCs w:val="18"/>
                <w:color w:val="auto"/>
                <w:w w:val="86"/>
              </w:rPr>
              <w:t>11 years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147,690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(60,700)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147,230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(57,348)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89,882</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32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(10,897)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Trademarks/brand names</w:t>
            </w:r>
          </w:p>
        </w:tc>
        <w:tc>
          <w:tcPr>
            <w:tcW w:w="880" w:type="dxa"/>
            <w:vAlign w:val="bottom"/>
          </w:tcPr>
          <w:p>
            <w:pPr>
              <w:jc w:val="center"/>
              <w:ind w:right="119"/>
              <w:spacing w:after="0"/>
              <w:rPr>
                <w:sz w:val="20"/>
                <w:szCs w:val="20"/>
                <w:color w:val="auto"/>
              </w:rPr>
            </w:pPr>
            <w:r>
              <w:rPr>
                <w:rFonts w:ascii="Arial" w:cs="Arial" w:eastAsia="Arial" w:hAnsi="Arial"/>
                <w:sz w:val="18"/>
                <w:szCs w:val="18"/>
                <w:color w:val="auto"/>
                <w:w w:val="93"/>
              </w:rPr>
              <w:t>Indefinite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880" w:type="dxa"/>
            <w:vAlign w:val="bottom"/>
            <w:shd w:val="clear" w:color="auto" w:fill="CCEEFF"/>
          </w:tcPr>
          <w:p>
            <w:pPr>
              <w:jc w:val="center"/>
              <w:ind w:right="119"/>
              <w:spacing w:after="0"/>
              <w:rPr>
                <w:sz w:val="20"/>
                <w:szCs w:val="20"/>
                <w:color w:val="auto"/>
              </w:rPr>
            </w:pPr>
            <w:r>
              <w:rPr>
                <w:rFonts w:ascii="Arial" w:cs="Arial" w:eastAsia="Arial" w:hAnsi="Arial"/>
                <w:sz w:val="18"/>
                <w:szCs w:val="18"/>
                <w:color w:val="auto"/>
                <w:w w:val="86"/>
              </w:rPr>
              <w:t>26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All other (1)</w:t>
            </w:r>
          </w:p>
        </w:tc>
        <w:tc>
          <w:tcPr>
            <w:tcW w:w="880" w:type="dxa"/>
            <w:vAlign w:val="bottom"/>
          </w:tcPr>
          <w:p>
            <w:pPr>
              <w:jc w:val="center"/>
              <w:ind w:right="139"/>
              <w:spacing w:after="0"/>
              <w:rPr>
                <w:sz w:val="20"/>
                <w:szCs w:val="20"/>
                <w:color w:val="auto"/>
              </w:rPr>
            </w:pPr>
            <w:r>
              <w:rPr>
                <w:rFonts w:ascii="Arial" w:cs="Arial" w:eastAsia="Arial" w:hAnsi="Arial"/>
                <w:sz w:val="18"/>
                <w:szCs w:val="18"/>
                <w:color w:val="auto"/>
                <w:w w:val="84"/>
              </w:rPr>
              <w:t>6 years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(7,704)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345,170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0"/>
              </w:rPr>
              <w:t>(114,250)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230,920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350,617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(113,495)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237,122</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March 31, 2012 and December 31, 2011, all other included in-process research and development of $1.7 million, which was indefinite lived.</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the first quarter of 2012, the Company recorded impairment charges of $0.1 million in cost of goods sold related to a technology asset whose related products are being discontinued.</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first quarter of 2011, the Company recorded impairment charges of $0.1 million related to a technology asset whose related products are being discontinued, and $0.1 million related to an associated brand name that will no longer be used as a result of our re-branding strategy. These amounts have been recorded in cost of goods sold and amortization expense, respectively.</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quarter-end exchange rates, annual amortization expense is expected to approximate $25.2 million in 2012, $19.0 million in 2013, $18.1 million in 2014, $16.3 million in 2015 and $14.0 million in 2016. Identifiable intangible assets are initially recorded at fair market value at the time of acquisition generally using an income or cost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The Senior Credit Facility is subject to various financial and negative covenants and at March 31, 2012, the Company was in compliance with all such covenants.</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Borrowings under the Senior Credit Facility bear interest, at the Company’s option, at a rate equal to (i) the Eurodollar Rate (as defined in the Senior Credit Facility, which definition has not changed) in effect from time to time plus the applicable rate (ranging from 1.00% to 1.75% under the Second Amendment and from 1.75% to 2.50% under the First Amendment)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also pays an annual commitment fee (ranging from 0.15% to 0.3% under the Second Amendment, and from 0.2% to 0.5% under the First Amendment, based on the Company’s consolidated total leverage ratio) on the daily amount by which the revolving credit facility exceeds the outstanding loans and letters of credit under the credit facility.</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August 10, 2010, the Company also entered into an interest rate swap effective December 31, 2010 with an investment grade bank which converts a portion of the Company’s variable interest payments to fixed interest payments (see Note 5, “Derivative Instruments”).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March 31, 2012 and December 31, 2011, there was $166.9 million and $179.7 million outstanding, respectively, under the Senior Credit Facility at a weighted average interest rate of 2.2% and 2.0%, respectively. At March 31, 2012, there was approximately $433.1 million available for borrowing under the Senior Credit Facility. The fair value of outstanding borrowings under the Senior Credit Facility at March 31, 2012 was approximately $157.5 million which was classified within Level 2 of fair value hierarchy. The Company considers the balance to be long-term in nature based on its current intent and ability to repay the borrowing outside of the next twelve-month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In accordance with the accounting guidance for debt with conversion and other options, the Company accounted for the liability and equity components of the 2016 Notes separately. The portion of the debt proceeds that the Company had classified as equity at the time of the offering, and recognized as a debt discount, was determined based on the fair value of similar debt instruments that do not include a conversion feature and amounted to $43.2 million. The Company is amortizing the debt discount to interest expense using the effective interest method through December 2016. The effective interest rate implicit in the liability component was based on the Company’s estimated non-convertible borrowing rate at the date the 2016 Notes were issued and was 5.6%.</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March 31, 2012, the carrying amount of the liability component of the 2016 Notes was $192.3 million, the remaining unamortized discount was $37.7 million, and the principal amount outstanding was $230.0 million. The fair value of the 2016 Notes at March 31, 2012 was approximately $219.2 million which was classified within Level 2 of fair value hierarchy. At December 31, 2011, the carrying amount of the liability component was $190.6 million, the remaining unamortized discount was $39.4 million, and the principal amount outstanding was $230.0 million.</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2012, none of these conditions existed with respect to the 2016 Notes and as a result, the 2016 Notes are classified as long term.</w:t>
      </w:r>
    </w:p>
    <w:p>
      <w:pPr>
        <w:spacing w:after="0" w:line="12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11, 2007, the Company issued $165.0 million aggregate principal amount under its 2012 Notes. The 2012 Notes bear interest at a rate of 2.375% per annum payable semi-annually in arrears on December 1 and June 1 of each year. In accordance with the accounting guidance for debt with conversion and other options, the Company accounted for the liability and equity components of the Notes separately. The portion of the debt proceeds that the Company had classified as equity at the time of the offering, and recognized as a debt discount, was determined based on the fair value of similar debt instruments that did not include a conversion feature and amounted to $30.6 million. The Company is amortizing the debt discount to interest expense using the effective interest method through June 2012. The effective interest rate implicit in the liability component was based on the Company’s estimated non-convertible borrowing rate at the date the 2012 Notes were issued and was 6.8%.</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March 31, 2012, the carrying amount of the liability component was $163.8 million, the remaining unamortized discount was $1.2 million, and the principal amount outstanding was $165.0 million. At December 31, 2011, the carrying amount of the liability component of the 2012 Notes was $162.0 million, the remaining unamortized discount was $3.0 million, and the principal amount outstanding was $165.0 million. The entire carrying amount of the Notes is classified as long-term in the March 31, 2012 balance sheet as the Company has the intent and ability to settle the obligation with long-term borrowings from its Senior Credit Facility. The fair value of the Notes at March 31, 2012 was approximately $165.7 million which was classified within Level 2 of fair value hierarchy.</w:t>
      </w:r>
    </w:p>
    <w:p>
      <w:pPr>
        <w:spacing w:after="0" w:line="11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2012 Notes are senior, unsecured obligations of the Company, and are convertible into cash and, if applicable, shares of its common stock based on an initial conversion rate, subject to adjustment of 15.3935 shares per $1,000 principal amount of notes for the 2012 Notes (which represents an initial conversion price of approximately $64.96 per share). The Company will satisfy any conversion of the 2012 Notes with cash up to the principal amount of the 2012 Notes pursuant to the net share settlement mechanism set forth in the indenture and, with respect to any excess conversion value, with shares of the Company’s common stock. The 2012</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on or after December 15, 2011; or (4) if specified corporate transactions occur. The issue price of the 2012 Notes was equal to their face amount, which is also the amount holders are entitled to receive at maturity if the 2012 Notes are not converted.</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such notes (the “hedge participants”). The total cost of the call transactions to the Company was approximately $30.4 million and the Company received approximately $12.2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Ended March 31,</w:t>
            </w: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Notes: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$1,739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interest related to the contractual interest coupon</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7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Notes: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$1,789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1,669</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interest related to the contractual interest coupon</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980</w:t>
            </w:r>
          </w:p>
        </w:tc>
        <w:tc>
          <w:tcPr>
            <w:tcW w:w="100" w:type="dxa"/>
            <w:vAlign w:val="bottom"/>
            <w:shd w:val="clear" w:color="auto" w:fill="CCEEFF"/>
          </w:tcPr>
          <w:p>
            <w:pPr>
              <w:spacing w:after="0"/>
              <w:rPr>
                <w:sz w:val="18"/>
                <w:szCs w:val="18"/>
                <w:color w:val="auto"/>
              </w:rPr>
            </w:pPr>
          </w:p>
        </w:tc>
      </w:tr>
      <w:tr>
        <w:trPr>
          <w:trHeight w:val="330"/>
        </w:trPr>
        <w:tc>
          <w:tcPr>
            <w:tcW w:w="7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2,649</w:t>
            </w:r>
          </w:p>
        </w:tc>
        <w:tc>
          <w:tcPr>
            <w:tcW w:w="100" w:type="dxa"/>
            <w:vAlign w:val="bottom"/>
          </w:tcPr>
          <w:p>
            <w:pPr>
              <w:spacing w:after="0"/>
              <w:rPr>
                <w:sz w:val="24"/>
                <w:szCs w:val="24"/>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80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u w:val="single" w:color="auto"/>
          <w:color w:val="auto"/>
        </w:rPr>
        <w:t>Interest Rate Hedging</w:t>
      </w:r>
    </w:p>
    <w:p>
      <w:pPr>
        <w:spacing w:after="0" w:line="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expects that approximately $1.8 million of pre-tax losses recorded as net in AOCI related to the interest rate hedge could be reclassified to earnings within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06"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depend upon the Company’s credit ratings from any credit rating agency.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following table summarizes the fair value, notional amounts presented in U.S. dollars, and presentation in the consolidated balance sheet for derivatives designated as hedging instruments as of March 31, 2012 and December 31, 2011: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400"/>
              <w:spacing w:after="0"/>
              <w:rPr>
                <w:sz w:val="20"/>
                <w:szCs w:val="20"/>
                <w:color w:val="auto"/>
              </w:rPr>
            </w:pPr>
            <w:r>
              <w:rPr>
                <w:rFonts w:ascii="Arial" w:cs="Arial" w:eastAsia="Arial" w:hAnsi="Arial"/>
                <w:sz w:val="14"/>
                <w:szCs w:val="14"/>
                <w:b w:val="1"/>
                <w:bCs w:val="1"/>
                <w:color w:val="auto"/>
                <w:w w:val="86"/>
              </w:rPr>
              <w:t>Fair Value as of</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29"/>
        </w:trPr>
        <w:tc>
          <w:tcPr>
            <w:tcW w:w="62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Location on Balance Sheet (1):</w:t>
            </w: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March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10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2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w w:val="76"/>
              </w:rPr>
              <w:t>2011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82"/>
              <w:spacing w:after="0" w:line="148"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3"/>
                <w:szCs w:val="13"/>
                <w:color w:val="auto"/>
              </w:rPr>
            </w:pPr>
          </w:p>
        </w:tc>
        <w:tc>
          <w:tcPr>
            <w:tcW w:w="62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42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w w:val="97"/>
              </w:rPr>
              <w:t>Foreign currency forward contracts — Prepaid expenses and other current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20" w:type="dxa"/>
            <w:vAlign w:val="bottom"/>
            <w:gridSpan w:val="3"/>
          </w:tcPr>
          <w:p>
            <w:pPr>
              <w:ind w:left="2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2"/>
              <w:spacing w:after="0"/>
              <w:rPr>
                <w:sz w:val="20"/>
                <w:szCs w:val="20"/>
                <w:color w:val="auto"/>
              </w:rPr>
            </w:pPr>
            <w:r>
              <w:rPr>
                <w:rFonts w:ascii="Arial" w:cs="Arial" w:eastAsia="Arial" w:hAnsi="Arial"/>
                <w:sz w:val="18"/>
                <w:szCs w:val="18"/>
                <w:color w:val="auto"/>
                <w:w w:val="93"/>
              </w:rPr>
              <w:t>8,116</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Interest rate swap — Accrued expenses and other current liabilities (2)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1,821</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1,634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Foreign currency forward contracts — Accrued expenses and other current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Interest rate swap — Other liabilities (2)</w:t>
            </w: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2,314</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4,135</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38"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March 31, 2012 and December 31, 2011, the notional amount related to the Company’s sole interest rate swap was $136.9 million and $139.7 million, respectively. In the next twelve months, the Company expects to reduce the notional amount by $13.1 million.</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months ended March 31,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Amount of</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Amount of</w:t>
            </w:r>
          </w:p>
        </w:tc>
        <w:tc>
          <w:tcPr>
            <w:tcW w:w="44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Gain (Loss)</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Gain</w:t>
            </w:r>
          </w:p>
        </w:tc>
        <w:tc>
          <w:tcPr>
            <w:tcW w:w="44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(Loss)</w:t>
            </w:r>
          </w:p>
        </w:tc>
        <w:tc>
          <w:tcPr>
            <w:tcW w:w="44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from AOCI</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Into</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 AOCI-</w:t>
            </w:r>
          </w:p>
        </w:tc>
        <w:tc>
          <w:tcPr>
            <w:tcW w:w="44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Earnings-</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Effective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Effective</w:t>
            </w:r>
          </w:p>
        </w:tc>
        <w:tc>
          <w:tcPr>
            <w:tcW w:w="32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 in Statements of Operations</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Portion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Portion</w:t>
            </w:r>
          </w:p>
        </w:tc>
        <w:tc>
          <w:tcPr>
            <w:tcW w:w="3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441"/>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3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260" w:type="dxa"/>
            <w:vAlign w:val="bottom"/>
          </w:tcPr>
          <w:p>
            <w:pPr>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(449)</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(449)</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(573)</w:t>
            </w:r>
          </w:p>
        </w:tc>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vMerge w:val="restart"/>
          </w:tcPr>
          <w:p>
            <w:pPr>
              <w:jc w:val="right"/>
              <w:ind w:right="132"/>
              <w:spacing w:after="0"/>
              <w:rPr>
                <w:sz w:val="20"/>
                <w:szCs w:val="20"/>
                <w:color w:val="auto"/>
              </w:rPr>
            </w:pPr>
            <w:r>
              <w:rPr>
                <w:rFonts w:ascii="Arial" w:cs="Arial" w:eastAsia="Arial" w:hAnsi="Arial"/>
                <w:sz w:val="18"/>
                <w:szCs w:val="18"/>
                <w:color w:val="auto"/>
                <w:w w:val="99"/>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months ended March 31, 2012 and 2011.</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March 31, 2012 and December 31, 2011, the gross notional amount of derivative foreign currency forward contracts outstanding that were not designated as hedging instruments was $3.4 million and $3.3 million, respectively. The fair value of these forward contracts at March 31, 2012 and December 31, 2011 was less than $0.1 million, respectively, which was recorded in other current assets. The impact on the consolidated statements of operations from derivative instruments not designated as hedges for the three months ended March 31, 2012 was a loss of $0.1 million loss recorded in other income (expense), net. There were no gains or losses related to derivatives not designated as hedging instruments during the three months ended March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March 31, 2012,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or the 1999 Plan.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 over specified periods, generally three years after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2012, there was approximately $2.8 million of total unrecognized compensation costs related to unvested stock options. These costs are expected to be recognized over the next 2.8 years. There were no stock options exercised during the three months ended March 31, 2012. The Company received net proceeds of $1.7 million from stock option exercises for the three months ended March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As of March 31, 2012, there were approximately $10.2 million of total unrecognized compensation costs related to unvested awards. The Company expects to recognize these costs over a weighted-average period of approximately 2.2 years.</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 As of March 31, 2012, there remained $29.1 million available for share repurchases under this latest authorization. The following table sets forth the Company’s treasury stock activity:</w:t>
      </w:r>
    </w:p>
    <w:p>
      <w:pPr>
        <w:spacing w:after="0" w:line="179"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Three Months Ended March 31</w:t>
      </w:r>
    </w:p>
    <w:p>
      <w:pPr>
        <w:spacing w:after="0" w:line="1" w:lineRule="exact"/>
        <w:rPr>
          <w:sz w:val="20"/>
          <w:szCs w:val="20"/>
          <w:color w:val="auto"/>
        </w:rPr>
      </w:pPr>
    </w:p>
    <w:p>
      <w:pPr>
        <w:ind w:left="8480"/>
        <w:spacing w:after="0"/>
        <w:tabs>
          <w:tab w:leader="none" w:pos="100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-7620</wp:posOffset>
            </wp:positionV>
            <wp:extent cx="1792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8880"/>
        <w:spacing w:after="0" w:line="224" w:lineRule="auto"/>
        <w:rPr>
          <w:sz w:val="20"/>
          <w:szCs w:val="20"/>
          <w:color w:val="auto"/>
        </w:rPr>
      </w:pPr>
      <w:r>
        <w:rPr>
          <w:rFonts w:ascii="Arial" w:cs="Arial" w:eastAsia="Arial" w:hAnsi="Arial"/>
          <w:sz w:val="14"/>
          <w:szCs w:val="14"/>
          <w:b w:val="1"/>
          <w:bCs w:val="1"/>
          <w:color w:val="auto"/>
        </w:rPr>
        <w:t># of</w:t>
      </w:r>
    </w:p>
    <w:p>
      <w:pPr>
        <w:ind w:left="8800" w:hanging="608"/>
        <w:spacing w:after="0"/>
        <w:tabs>
          <w:tab w:leader="none" w:pos="8800" w:val="left"/>
        </w:tabs>
        <w:numPr>
          <w:ilvl w:val="0"/>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Shares</w:t>
      </w:r>
    </w:p>
    <w:p>
      <w:pPr>
        <w:spacing w:after="0" w:line="33" w:lineRule="exact"/>
        <w:rPr>
          <w:rFonts w:ascii="Arial" w:cs="Arial" w:eastAsia="Arial" w:hAnsi="Arial"/>
          <w:sz w:val="11"/>
          <w:szCs w:val="11"/>
          <w:b w:val="1"/>
          <w:bCs w:val="1"/>
          <w:color w:val="auto"/>
        </w:rPr>
      </w:pPr>
    </w:p>
    <w:p>
      <w:pPr>
        <w:ind w:left="8200"/>
        <w:spacing w:after="0"/>
        <w:rPr>
          <w:rFonts w:ascii="Arial" w:cs="Arial" w:eastAsia="Arial" w:hAnsi="Arial"/>
          <w:sz w:val="11"/>
          <w:szCs w:val="11"/>
          <w:b w:val="1"/>
          <w:bCs w:val="1"/>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-109855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61"/>
        <w:spacing w:after="0" w:line="224" w:lineRule="auto"/>
        <w:rPr>
          <w:sz w:val="20"/>
          <w:szCs w:val="20"/>
          <w:color w:val="auto"/>
        </w:rPr>
      </w:pPr>
      <w:r>
        <w:rPr>
          <w:rFonts w:ascii="Arial" w:cs="Arial" w:eastAsia="Arial" w:hAnsi="Arial"/>
          <w:sz w:val="14"/>
          <w:szCs w:val="14"/>
          <w:b w:val="1"/>
          <w:bCs w:val="1"/>
          <w:color w:val="auto"/>
        </w:rPr>
        <w:t># of</w:t>
      </w:r>
    </w:p>
    <w:p>
      <w:pPr>
        <w:ind w:left="681" w:hanging="681"/>
        <w:spacing w:after="0"/>
        <w:tabs>
          <w:tab w:leader="none" w:pos="681"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Shares</w:t>
      </w:r>
    </w:p>
    <w:p>
      <w:pPr>
        <w:spacing w:after="0" w:line="33" w:lineRule="exact"/>
        <w:rPr>
          <w:rFonts w:ascii="Arial" w:cs="Arial" w:eastAsia="Arial" w:hAnsi="Arial"/>
          <w:sz w:val="11"/>
          <w:szCs w:val="11"/>
          <w:b w:val="1"/>
          <w:bCs w:val="1"/>
          <w:color w:val="auto"/>
        </w:rPr>
      </w:pPr>
    </w:p>
    <w:p>
      <w:pPr>
        <w:ind w:left="1"/>
        <w:spacing w:after="0"/>
        <w:rPr>
          <w:rFonts w:ascii="Arial" w:cs="Arial" w:eastAsia="Arial" w:hAnsi="Arial"/>
          <w:sz w:val="11"/>
          <w:szCs w:val="11"/>
          <w:b w:val="1"/>
          <w:bCs w:val="1"/>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-109855</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9180" w:space="619"/>
            <w:col w:w="1621"/>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7180" w:type="dxa"/>
            <w:vAlign w:val="bottom"/>
          </w:tcPr>
          <w:p>
            <w:pPr>
              <w:spacing w:after="0"/>
              <w:rPr>
                <w:sz w:val="20"/>
                <w:szCs w:val="20"/>
                <w:color w:val="auto"/>
              </w:rPr>
            </w:pPr>
            <w:r>
              <w:rPr>
                <w:rFonts w:ascii="Arial" w:cs="Arial" w:eastAsia="Arial" w:hAnsi="Arial"/>
                <w:sz w:val="18"/>
                <w:szCs w:val="18"/>
                <w:color w:val="auto"/>
                <w:w w:val="92"/>
              </w:rPr>
              <w:t>Shares repurchased in the open market in connection with the Board approved buyback program</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authorized on October 29, 2010</w:t>
            </w:r>
          </w:p>
        </w:tc>
        <w:tc>
          <w:tcPr>
            <w:tcW w:w="980" w:type="dxa"/>
            <w:vAlign w:val="bottom"/>
          </w:tcPr>
          <w:p>
            <w:pPr>
              <w:ind w:left="40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2"/>
              <w:spacing w:after="0"/>
              <w:rPr>
                <w:sz w:val="20"/>
                <w:szCs w:val="20"/>
                <w:color w:val="auto"/>
              </w:rPr>
            </w:pPr>
            <w:r>
              <w:rPr>
                <w:rFonts w:ascii="Arial" w:cs="Arial" w:eastAsia="Arial" w:hAnsi="Arial"/>
                <w:sz w:val="18"/>
                <w:szCs w:val="18"/>
                <w:u w:val="single" w:color="auto"/>
                <w:color w:val="auto"/>
              </w:rPr>
              <w:t>$4,320</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-272415</wp:posOffset>
            </wp:positionV>
            <wp:extent cx="666369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3003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9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we recorded during the quarter ended March 31, 2011. The Company recorded the entire curtailment gain as an offset to the unrecognized net actuarial loss in accumulated other comprehensive income; therefore, this gain had no impact on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left="10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lef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cost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(144)</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 made $0.2 million of contributions to its defined benefit pension plans during the three months ended March 31, 2012 and March 31, 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07"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Three Months</w:t>
      </w:r>
    </w:p>
    <w:p>
      <w:pPr>
        <w:jc w:val="center"/>
        <w:ind w:left="6980"/>
        <w:spacing w:after="0" w:line="223" w:lineRule="auto"/>
        <w:rPr>
          <w:sz w:val="20"/>
          <w:szCs w:val="20"/>
          <w:color w:val="auto"/>
        </w:rPr>
      </w:pPr>
      <w:r>
        <w:rPr>
          <w:rFonts w:ascii="Arial" w:cs="Arial" w:eastAsia="Arial" w:hAnsi="Arial"/>
          <w:sz w:val="14"/>
          <w:szCs w:val="14"/>
          <w:b w:val="1"/>
          <w:bCs w:val="1"/>
          <w:color w:val="auto"/>
        </w:rPr>
        <w:t>Ended</w:t>
      </w:r>
    </w:p>
    <w:p>
      <w:pPr>
        <w:jc w:val="center"/>
        <w:ind w:left="6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-7620</wp:posOffset>
            </wp:positionV>
            <wp:extent cx="814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ind w:left="8620"/>
        <w:spacing w:after="0"/>
        <w:tabs>
          <w:tab w:leader="none" w:pos="9520" w:val="left"/>
        </w:tabs>
        <w:rPr>
          <w:sz w:val="20"/>
          <w:szCs w:val="20"/>
          <w:color w:val="auto"/>
        </w:rPr>
      </w:pPr>
      <w:r>
        <w:rPr>
          <w:rFonts w:ascii="Arial" w:cs="Arial" w:eastAsia="Arial" w:hAnsi="Arial"/>
          <w:sz w:val="14"/>
          <w:szCs w:val="14"/>
          <w:b w:val="1"/>
          <w:bCs w:val="1"/>
          <w:u w:val="single" w:color="auto"/>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-6985</wp:posOffset>
            </wp:positionV>
            <wp:extent cx="231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7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3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bl>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effective income tax rate for the three months ended March 31, 2012 and 2011 was 30.2% and 22.6%, respectively. Income tax expense for the three months ended March 31, 2012 included a $0.6 million accrual for tax contingencies related to uncertain tax positions in connection with ongoing U.S. Federal tax audits.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The Company considers these factors and others, including its history of generating taxable earnings, in assessing its ability to realize deferred tax assets on a quarterly basis.</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the Company believes that its reserves reflect the most probable outcome of known tax contingencies. Settlement of any particular issue would usually require the use of cash. Favorable resolution would be recognized as a reduction to the Company’s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 expects its effective income tax rate for the full year to be approximately 20.5% as a result of a number of uncertain tax positions expected to reverse in the third quarter of 2012. This estimate could be revised in future quarters as additional information is presented to the Company.</w:t>
      </w:r>
    </w:p>
    <w:p>
      <w:pPr>
        <w:sectPr>
          <w:pgSz w:w="11900" w:h="16838" w:orient="portrait"/>
          <w:cols w:equalWidth="0" w:num="1">
            <w:col w:w="11420"/>
          </w:cols>
          <w:pgMar w:left="240" w:top="459" w:right="23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 net of tax</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Pension liability adjustments, net of tax</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13,639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Certain of the Company’s unvested restricted share units contain rights to receive nonforfeitable dividends, and thus, are participating securities requiring the two-class method of computing EPS. The participating securities had an insignificant impact (impacts the rounding by less than $0.01 per share) on basic and diluted net income per share for the three months ended March 31, 2012 and 2011; therefore, we do not present the full calculation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28,345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28,345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28,488</w:t>
            </w: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March 31, 2012 and 2011, the Company had 1.7 million and 1.5 million of outstanding stock options, respectively. The Company also has warrants outstanding relating to its 2016 Convertible Senior Notes and 2012 Notes at March 31, 2012 and 2011. Stock options and warrants are included in the diluted earnings per share calculation using the treasury stock method, unless the effect of including the stock options would be anti-dilutive. For the three months ended March 31, 2012 and 2011, 1.5 million and 0.2 million anti-dilutive stock options, respectively, were excluded from the diluted earnings per share calculation. As the strike price of the warrants exceeds the Company’s average stock price for the period, the warrants are anti-dilutive and we excluded the entire number of warrants, the amount of which is based on the Company’s average stock price, from the diluted earnings per share calculation.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Starting in the first quarter of 2012, due to changes in how the Company internally manages and reports the results of its businesses to its chief operating decision maker, the Company is disclosing five reportable segments and eight operating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products and lighting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(ii) the U.S. Orthobiologics business, which focuses on bone graft substitutes, and other related medical devices that are used to enhance the repair and regeneration of bone in various types of orthopedic surgical procedures, and (iii) the Private Label business, which sells the Company’s regenerative medicine and other products to strategic partners. The International segment sells similar products to those discussed above, but are managed through the following geographies: (i) Europe, Middle East and Africa, and (ii) Central/South America, Asia-Pacific and Canada. The Corporate and other category includes (i) various legal, finance, executive, and human resource functions, (ii) brand management, (iii) share based compensation costs, and (iv) costs related to procurement, manufacturing operations and logistics for the Company’s entire organization. Accordingly, the segment information for the prior years has been restated in accordance with authoritative guidance on segment reporting.</w:t>
      </w:r>
    </w:p>
    <w:p>
      <w:pPr>
        <w:spacing w:after="0" w:line="126"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operating results of the various reportable segments as presented are not comparable to one another because (i) certain operating segments are more dependent than others on Corporate for unallocated general and administrative and/or operational manufacturing functions, and (ii) the Company does not allocate certain manufacturing costs and general and administrative costs to the operating segment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three months ended March 31, 2012 and 2011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Segment Net Sales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U.S. Neurosurgery</w:t>
            </w:r>
          </w:p>
        </w:tc>
        <w:tc>
          <w:tcPr>
            <w:tcW w:w="3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40,183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Instruments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U.S. Extremities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Spine and Other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196,185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Segment Profit</w:t>
            </w: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080" w:type="dxa"/>
            <w:vAlign w:val="bottom"/>
            <w:gridSpan w:val="2"/>
            <w:vMerge w:val="continue"/>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Neurosurgery</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U.S. Instruments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Extremities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U.S. Spine and Other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6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68,863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Corporate and other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(46,676)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(39,391)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00" w:type="dxa"/>
            <w:vAlign w:val="bottom"/>
            <w:vMerge w:val="restart"/>
          </w:tcPr>
          <w:p>
            <w:pPr>
              <w:jc w:val="right"/>
              <w:ind w:right="227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402"/>
              <w:spacing w:after="0" w:line="14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Neurosurgery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66,057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65,187</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43,602</w:t>
            </w:r>
          </w:p>
        </w:tc>
        <w:tc>
          <w:tcPr>
            <w:tcW w:w="100" w:type="dxa"/>
            <w:vAlign w:val="bottom"/>
            <w:shd w:val="clear" w:color="auto" w:fill="CCEEFF"/>
          </w:tcPr>
          <w:p>
            <w:pPr>
              <w:spacing w:after="0"/>
              <w:rPr>
                <w:sz w:val="18"/>
                <w:szCs w:val="18"/>
                <w:color w:val="auto"/>
              </w:rPr>
            </w:pPr>
          </w:p>
        </w:tc>
      </w:tr>
      <w:tr>
        <w:trPr>
          <w:trHeight w:val="330"/>
        </w:trPr>
        <w:tc>
          <w:tcPr>
            <w:tcW w:w="6800" w:type="dxa"/>
            <w:vAlign w:val="bottom"/>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196,185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181,041</w:t>
            </w:r>
          </w:p>
        </w:tc>
        <w:tc>
          <w:tcPr>
            <w:tcW w:w="100" w:type="dxa"/>
            <w:vAlign w:val="bottom"/>
          </w:tcPr>
          <w:p>
            <w:pPr>
              <w:spacing w:after="0"/>
              <w:rPr>
                <w:sz w:val="24"/>
                <w:szCs w:val="24"/>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above that are generated from non-U.S. customers and therefore included in Europe and the Rest of World revenues below. Total revenue by major geographic area consisted of the following: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800" w:type="dxa"/>
            <w:vAlign w:val="bottom"/>
          </w:tcPr>
          <w:p>
            <w:pPr>
              <w:spacing w:after="0"/>
              <w:rPr>
                <w:sz w:val="12"/>
                <w:szCs w:val="12"/>
                <w:color w:val="auto"/>
              </w:rPr>
            </w:pPr>
          </w:p>
        </w:tc>
        <w:tc>
          <w:tcPr>
            <w:tcW w:w="1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6800" w:type="dxa"/>
            <w:vAlign w:val="bottom"/>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$148,674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tcPr>
          <w:p>
            <w:pPr>
              <w:jc w:val="right"/>
              <w:spacing w:after="0"/>
              <w:rPr>
                <w:sz w:val="20"/>
                <w:szCs w:val="20"/>
                <w:color w:val="auto"/>
              </w:rPr>
            </w:pPr>
            <w:r>
              <w:rPr>
                <w:rFonts w:ascii="Arial" w:cs="Arial" w:eastAsia="Arial" w:hAnsi="Arial"/>
                <w:sz w:val="18"/>
                <w:szCs w:val="18"/>
                <w:color w:val="auto"/>
              </w:rPr>
              <w:t>23,668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25,087</w:t>
            </w:r>
          </w:p>
        </w:tc>
        <w:tc>
          <w:tcPr>
            <w:tcW w:w="100" w:type="dxa"/>
            <w:vAlign w:val="bottom"/>
          </w:tcPr>
          <w:p>
            <w:pPr>
              <w:spacing w:after="0"/>
              <w:rPr>
                <w:sz w:val="18"/>
                <w:szCs w:val="18"/>
                <w:color w:val="auto"/>
              </w:rPr>
            </w:pPr>
          </w:p>
        </w:tc>
      </w:tr>
      <w:tr>
        <w:trPr>
          <w:trHeight w:val="22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shd w:val="clear" w:color="auto" w:fill="CCEEFF"/>
          </w:tcPr>
          <w:p>
            <w:pPr>
              <w:spacing w:after="0"/>
              <w:rPr>
                <w:sz w:val="19"/>
                <w:szCs w:val="19"/>
                <w:color w:val="auto"/>
              </w:rPr>
            </w:pPr>
          </w:p>
        </w:tc>
      </w:tr>
      <w:tr>
        <w:trPr>
          <w:trHeight w:val="331"/>
        </w:trPr>
        <w:tc>
          <w:tcPr>
            <w:tcW w:w="6800" w:type="dxa"/>
            <w:vAlign w:val="bottom"/>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196,185</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181,041</w:t>
            </w:r>
          </w:p>
        </w:tc>
        <w:tc>
          <w:tcPr>
            <w:tcW w:w="100" w:type="dxa"/>
            <w:vAlign w:val="bottom"/>
          </w:tcPr>
          <w:p>
            <w:pPr>
              <w:spacing w:after="0"/>
              <w:rPr>
                <w:sz w:val="24"/>
                <w:szCs w:val="24"/>
                <w:color w:val="auto"/>
              </w:rPr>
            </w:pPr>
          </w:p>
        </w:tc>
      </w:tr>
      <w:tr>
        <w:trPr>
          <w:trHeight w:val="20"/>
        </w:trPr>
        <w:tc>
          <w:tcPr>
            <w:tcW w:w="6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11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Company has settled, or has pending against it, various lawsuits, claims and proceedings. 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2011 included in our Annual Report on Form 10-K.</w:t>
      </w:r>
    </w:p>
    <w:p>
      <w:pPr>
        <w:spacing w:after="0" w:line="14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2011. We undertake no obligation to publicly update or revise any forward-looking statements, whether as a result of new information, future events or otherwise.</w:t>
      </w:r>
    </w:p>
    <w:p>
      <w:pPr>
        <w:spacing w:after="0" w:line="10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We manage our business through a combination of product groups and geography, and accordingly, we report our financial results under five reportable segments</w:t>
      </w:r>
    </w:p>
    <w:p>
      <w:pPr>
        <w:spacing w:after="0" w:line="5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 U.S. Instruments, U.S. Neurosurgery, U.S. Extremities, U.S. Spine and Other (which consists of our U.S. Spine, U.S. Orthobiologics and Private Label businesses) and International.</w:t>
      </w:r>
    </w:p>
    <w:p>
      <w:pPr>
        <w:spacing w:after="0" w:line="1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present revenues in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the United Kingdom and Mexico. We also source most of our handheld surgical instruments and specialty metal implants through specialized third-party vendors.</w:t>
      </w:r>
    </w:p>
    <w:p>
      <w:pPr>
        <w:spacing w:after="0" w:line="132"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In the United States, we have several sales channels. Orthopedics products are sold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specialty distributors.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objective is to become a diversified global medical device company that helps patients by limiting uncertainty for medical professionals, and to be a high quality investment for shareholders. We will achieve these goals by delivering on our Brand Promises to our customers worldwide and by becoming a top player in all markets in which we compete. Our strategy includes the following key elements: geographic expansion, margin expansion, leveraging platform synergies, disciplined focus and execution, global quality assurance and acquiring or in-licensing products that fit existing sales channels.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90" w:lineRule="exact"/>
        <w:rPr>
          <w:sz w:val="20"/>
          <w:szCs w:val="20"/>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Regenerative Medicine Platform. </w:t>
      </w:r>
      <w:r>
        <w:rPr>
          <w:rFonts w:ascii="Arial" w:cs="Arial" w:eastAsia="Arial" w:hAnsi="Arial"/>
          <w:sz w:val="18"/>
          <w:szCs w:val="18"/>
          <w:color w:val="auto"/>
        </w:rPr>
        <w:t>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Diversification and Platform Synergies. </w:t>
      </w:r>
      <w:r>
        <w:rPr>
          <w:rFonts w:ascii="Arial" w:cs="Arial" w:eastAsia="Arial" w:hAnsi="Arial"/>
          <w:sz w:val="16"/>
          <w:szCs w:val="16"/>
          <w:color w:val="auto"/>
        </w:rPr>
        <w:t>Each of our three selling platforms contributes a different strength to our core business. Orthopedics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us to grow our top line and increase marginal gross profit. Neurosurgery provides stable growth as a market with few elective procedures. Instruments has a strong capacity to generate cash flows. We have unique synergies among these platforms, such as our regenerative medicine technology, instrument sourcing capabilities, and Group Purchasing Organization (“GPO”) contract management.</w:t>
      </w:r>
    </w:p>
    <w:p>
      <w:pPr>
        <w:spacing w:after="0" w:line="31"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Unique Sales Footprint. </w:t>
      </w:r>
      <w:r>
        <w:rPr>
          <w:rFonts w:ascii="Arial" w:cs="Arial" w:eastAsia="Arial" w:hAnsi="Arial"/>
          <w:sz w:val="18"/>
          <w:szCs w:val="18"/>
          <w:color w:val="auto"/>
        </w:rPr>
        <w:t>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 leading products among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double our size over the years, and is key to our ability to grow into a multi-billion dollar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did not complete any acquisitions during the first quarters of 2012 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for the three months ended March 31, 2012 was $6.7 million, or $0.23 per diluted share as compared with net income of $11.5 million or $0.38 per diluted share for the three months ended March 31, 2011.</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net income for the three months ended March 31, 2012 over the same period last year resulted primarily from an increase in (i) cost of goods sold in connection with cost associated with remediation and related unplanned idle time and underutilization at our Plainsboro, New Jersey manufacturing facility and the amortization of inventory at acquisition value, (ii) incremental interest costs from the issuance of our 2016 Notes in June 2011, and (iii) selling, general and administrative costs in connection with the implementation of our global enterprise resource planning system and certain employee terminations, as well as the addition of SeaSpine and Ascension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Plainsboro, New Jersey manufacturing facility remediation costs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7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ERP implementation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Facility optimization charges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Certain employee termination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Discontinued product lines charges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Impairment charges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European entity restructuring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Convertible debt non-cash interest</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3,528</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w w:val="88"/>
              </w:rPr>
              <w:t>The items reported above are reflected in the condensed consolidated statements of operations as follows:</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1"/>
              </w:rPr>
              <w:t>Three Months Ended 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12,647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period-to-period,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in 2011, and as other aspects of the project reach the application development stage, we will capitalize those expenditures as well.</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established by management,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61"/>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86,152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Neurosurgery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66,057</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43,976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9"/>
        </w:trPr>
        <w:tc>
          <w:tcPr>
            <w:tcW w:w="4640" w:type="dxa"/>
            <w:vAlign w:val="bottom"/>
          </w:tcPr>
          <w:p>
            <w:pPr>
              <w:spacing w:after="0"/>
              <w:rPr>
                <w:sz w:val="20"/>
                <w:szCs w:val="20"/>
                <w:color w:val="auto"/>
              </w:rPr>
            </w:pPr>
            <w:r>
              <w:rPr>
                <w:rFonts w:ascii="Arial" w:cs="Arial" w:eastAsia="Arial" w:hAnsi="Arial"/>
                <w:sz w:val="18"/>
                <w:szCs w:val="18"/>
                <w:color w:val="auto"/>
              </w:rPr>
              <w:t>Total revenue</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196,185</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181,041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74,675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121,510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116,120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61.9%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r>
      <w:tr>
        <w:trPr>
          <w:trHeight w:val="338"/>
        </w:trPr>
        <w:tc>
          <w:tcPr>
            <w:tcW w:w="4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61"/>
        </w:trPr>
        <w:tc>
          <w:tcPr>
            <w:tcW w:w="4640" w:type="dxa"/>
            <w:vAlign w:val="bottom"/>
          </w:tcPr>
          <w:p>
            <w:pPr>
              <w:spacing w:after="0"/>
              <w:rPr>
                <w:sz w:val="20"/>
                <w:szCs w:val="20"/>
                <w:color w:val="auto"/>
              </w:rPr>
            </w:pPr>
            <w:r>
              <w:rPr>
                <w:rFonts w:ascii="Arial" w:cs="Arial" w:eastAsia="Arial" w:hAnsi="Arial"/>
                <w:sz w:val="14"/>
                <w:szCs w:val="14"/>
                <w:b w:val="1"/>
                <w:bCs w:val="1"/>
                <w:color w:val="auto"/>
              </w:rPr>
              <w:t>Segment Net Sales: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Neurosurgery</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40,183</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 Instruments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37,994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37,553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Extremities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 Spine and Other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44,810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37,325</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46,727</w:t>
            </w: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Total revenues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196,185</w:t>
            </w:r>
          </w:p>
        </w:tc>
        <w:tc>
          <w:tcPr>
            <w:tcW w:w="6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181,041</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760"/>
        <w:spacing w:after="0" w:line="347" w:lineRule="auto"/>
        <w:rPr>
          <w:sz w:val="20"/>
          <w:szCs w:val="20"/>
          <w:color w:val="auto"/>
        </w:rPr>
      </w:pPr>
      <w:r>
        <w:rPr>
          <w:rFonts w:ascii="Arial" w:cs="Arial" w:eastAsia="Arial" w:hAnsi="Arial"/>
          <w:sz w:val="18"/>
          <w:szCs w:val="18"/>
          <w:b w:val="1"/>
          <w:bCs w:val="1"/>
          <w:color w:val="auto"/>
        </w:rPr>
        <w:t>THREE MONTHS ENDED MARCH 31, 2012 AS COMPARED TO THREE MONTHS ENDED MARCH 31, 2011 Plainsboro, New Jersey Regenerative Medicine Facility Update</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Revenues and gross margin in the quarter were affected by remediation activities in our regenerative medicine facility in Plainsboro, New Jersey.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does not restrict our ability to manufacture or ship products, nor does it require the recall of any product. Since the conclusion of the inspection, we have undertaken significant efforts to remediate the observations that the FDA has made and continue to do so, including both capital investment for new equipment and leasehold improvements and incremental spending to improve or revise quality systems. We expensed approximately $1.6 million in the first quarter on such initiatives, and anticipate spending another $2.4 million, which includes unplanned idle time and underutilization at the plant, over the remainder of the year. We expect to make capital investments in additional leasehold improvements designed to address the FDA’s observations totaling $2.5 million to $3.0 million over the remainder of the year.</w:t>
      </w:r>
    </w:p>
    <w:p>
      <w:pPr>
        <w:spacing w:after="0" w:line="12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the first quarter, revenues were affected by shortages of products manufactured in the Plainsboro facility, particularly dermal and wound care products manufactured in our clean room dedicated for such purposes, which resumed production in mid-February after extensive construction and validation. We made substantial progress relieving backorders in such products by the end of March, and anticipate that such backorders will resolve in the second quarter. Expenses incurred in remediation activities also adversely affected gross margin percentage in the first quarter. We do not expect remediation activities in the plant to materially affect backorder levels, but we will suspend production of certain products for limited periods of time and there can be no assurance that we will not incur product shortages that affect revenues in the second quarter.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2012, total revenues increased by $15.1 million, or 8%, to $196.2 million from $181.1 million for the same period during 2011. Domestic revenues increased by $15.4 million to $148.7 million, or 76% of total revenues, for the three months ended March 31, 2012 from $133.3 million, or 74% of total revenues, for the three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ended March 31, 2011. International revenues were essentially unchanged compared to the prior year at $47.5 million. Foreign exchange fluctuations, primarily due to a decline in the Euro versus the U.S. dollar, accounted for a $0.6 million decrease in first quarter of 2012 revenues as compared to the same period last year.</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U.S. Neurosurgery revenues were $40.2, an increase of 5% from the prior year. Continued demand for our market-leading duraplasty products, as well as strength in our critical care and stereotaxy product lines, drove most of the increase.</w:t>
      </w:r>
    </w:p>
    <w:p>
      <w:pPr>
        <w:spacing w:after="0" w:line="132"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U.S. Instruments revenues were $38.0 million, up 1% from the prior year. We have seen modest growth of instruments sales to acute-care facilities and sales of our LED surgical headlamps, which were launched in late 2011, are contributing to the growth. We are still seeing a negative impact from ordering patterns that were interrupted when distributors began purchasing fewer instruments in late 2011 in an effort to reduce their inventories to more desirable levels. We believe that our distributors have largely achieved their lower inventory targets and we expect normal buying patterns to return during the second quarter.</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U.S. Extremities revenues were $26.6, an increase of 25% from the prior year. The impact of our Ascension acquisition in the third quarter of 2011 drove most of this increase in revenue as our direct sales force began selling the full line of Ascension’s portfolio of products, moving us away from the legacy distributor network. Significant increases were also noted in dermal and wound care sales, as we began to clear the backorders caused by shortages of our regenerative medicine products that resulted from remediation work in our Plainsboro, New Jersey facility.</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U.S. Spine and Other revenues, which include our spine hardware, orthobiologics and private label products, were $44.8 million, up 20% from the prior year. The increase is primarily because of the addition of SeaSpine’s revenue. While the cross-pollination of the two spine hardware lines is progressing well, the spine hardware market is evolving and remains challenging, both in price and volume. We had another quarter of double-digit growth for orthobiologics. Our EVO3 and Mozaik products continue to see high demand, both from newly added distributors and our core existing distributors. This increase was offset in part by a decrease in our private-label product revenue and royalty revenues.</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International segment revenues were $46.6 million which was flat compared to the prior year. The shortages of our regenerative medicine products discussed above were also experienced outside of the United States. That said, we saw increases in the Asia-Pacific and Latin America markets across all product categories. In Europe, we saw decreases in neurosurgery capital spending and extremities purchases; however, these declines were partially offset by our spine and orthobiologics sales which have increased off a relatively small base.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5% to $121.5 million for the three-month period ended March 31, 2012. Gross margin as a percentage of total revenue decreased to</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61.9% for the first quarter 2012 from 64.1% for the same period last year. The decrease in gross margin percentage was primarily because of ongoing remediation efforts in our Plainsboro, New Jersey manufacturing facility as discussed above. Also, we discontinued our radiosurgery and radiotherapy product lines and wrote-off the related technology intangible assets and inventory resulting in $1.0 million of incremental costs during the quarter as we continue to optimize our portfolio. Finally, we incurred additional costs related to the amortization of the fair value inventory step-up on the acquired SeaSpine and Ascension inventories from 2011.</w:t>
      </w:r>
    </w:p>
    <w:p>
      <w:pPr>
        <w:spacing w:after="0" w:line="145"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2012, we expect our consolidated gross margin percentage to be flat to up slightly compared to 2011. We expect to complete the remediation work at our Plainsboro, New Jersey regenerative medicine manufacturing facility and accordingly, expect to return to normal levels of production during 2012. However, higher costs resulting from the amortization of the Ascension and SeaSpine inventory to cost of goods sold at acquisition value, costs related to the expansion of our regenerative medicine activities, and continued downward pressure on our private-label sales volumes will negatively effect our consolidated gross margin.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7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r>
      <w:tr>
        <w:trPr>
          <w:trHeight w:val="161"/>
        </w:trPr>
        <w:tc>
          <w:tcPr>
            <w:tcW w:w="59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gridSpan w:val="2"/>
          </w:tcPr>
          <w:p>
            <w:pPr>
              <w:jc w:val="right"/>
              <w:ind w:right="872"/>
              <w:spacing w:after="0"/>
              <w:rPr>
                <w:sz w:val="20"/>
                <w:szCs w:val="20"/>
                <w:color w:val="auto"/>
              </w:rPr>
            </w:pPr>
            <w:r>
              <w:rPr>
                <w:rFonts w:ascii="Arial" w:cs="Arial" w:eastAsia="Arial" w:hAnsi="Arial"/>
                <w:sz w:val="18"/>
                <w:szCs w:val="18"/>
                <w:color w:val="auto"/>
              </w:rPr>
              <w:t>44.6 %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44.2 %</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8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2.4 %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15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Research and development expenses in the first quarter of 2012 remained flat, compared to the same period last year. We target 2012 spending on research and development to be between 6% and 7% of total revenues. Product development efforts for our spine, and extremity reconstruction product lines, were offset by lower spending in neurosurgery and instrument product development activities partially offset the higher expenses.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expenses in the first quarter of 2012 increased by $7.3 million to $87.4 million, compared to $80.1 million in the same period last year. Selling and marketing expenses increased by $6.0 million primarily due to a higher proportion of sales to distributors during the quarter, which inherently have a higher cost than the direct selling model. General and administrative costs increased $1.3 million primarily due to charges related to the implementation of our global enterprise resource planning system. We expect that selling, general and administrative spending for 2012, excluding all special charges to be 41% to 41.5% of revenues.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Amortization expense in the first quarter of 2012 was $4.7 million compared to $3.0 million in the same period last year. The increase is primarily due to amortization of the significant intangible assets added as part of our SeaSpine and Ascension acquisitions that occurred during the second and third quarters of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61"/>
        </w:trPr>
        <w:tc>
          <w:tcPr>
            <w:tcW w:w="3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378</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2"/>
              <w:spacing w:after="0"/>
              <w:rPr>
                <w:sz w:val="20"/>
                <w:szCs w:val="20"/>
                <w:color w:val="auto"/>
              </w:rPr>
            </w:pPr>
            <w:r>
              <w:rPr>
                <w:rFonts w:ascii="Arial" w:cs="Arial" w:eastAsia="Arial" w:hAnsi="Arial"/>
                <w:sz w:val="18"/>
                <w:szCs w:val="18"/>
                <w:color w:val="auto"/>
              </w:rPr>
              <w:t>(7,929)</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 the three months ended March 31, 2012 increased primarily as a result of interest on our 2016 Notes that we entered into in June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 of our interest rate swap which had the effect of increasing interest expense by $0.4 million for the three months ended March 31, 2012. Our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three-month periods ended March 31, 2012 and 2011 includes non-cash interest related to the accounting for convertible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and $1.7 million, respectively. The increase in interest income came primarily from short-term investments in time deposits held outside the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expense of $0.3 million in 2012 and other expense of $0.6 million in 2011 is primarily attributable to foreign exchange gains and losses on intercompany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4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40" w:type="dxa"/>
            <w:vAlign w:val="bottom"/>
          </w:tcPr>
          <w:p>
            <w:pPr>
              <w:spacing w:after="0"/>
              <w:rPr>
                <w:sz w:val="14"/>
                <w:szCs w:val="14"/>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9,593</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expense</w:t>
            </w:r>
          </w:p>
        </w:tc>
        <w:tc>
          <w:tcPr>
            <w:tcW w:w="2820" w:type="dxa"/>
            <w:vAlign w:val="bottom"/>
            <w:gridSpan w:val="2"/>
          </w:tcPr>
          <w:p>
            <w:pPr>
              <w:jc w:val="right"/>
              <w:ind w:right="92"/>
              <w:spacing w:after="0"/>
              <w:rPr>
                <w:sz w:val="20"/>
                <w:szCs w:val="20"/>
                <w:color w:val="auto"/>
              </w:rPr>
            </w:pPr>
            <w:r>
              <w:rPr>
                <w:rFonts w:ascii="Arial" w:cs="Arial" w:eastAsia="Arial" w:hAnsi="Arial"/>
                <w:sz w:val="18"/>
                <w:szCs w:val="18"/>
                <w:color w:val="auto"/>
              </w:rPr>
              <w:t>2,900</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85"/>
              </w:rPr>
              <w:t>30.2 %</w:t>
            </w: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Our effective income tax rate for the three months ended March 31, 2012 and 2011 was 30.2% and 22.6%, respectively. Income tax expense for the three months ended March 31, 2012 included a $0.6 million accrual for tax contingencies related to uncertain tax positions, in connection with ongoing U.S. Federal tax audits.</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its ability to realize deferred tax assets on a quarterly basis.</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rate in the year of resolution. The tax reserves are presented in the balance sheet within other liabilities, except for amounts relating to items we expect to pay in the coming year which are classified as current income taxes payable.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expect our effective income tax rate for the full year to be approximately 20.5% as a result of a number of uncertain tax positions that we expect to reverse in the third quarter of 2012. This estimate could be revised in future quarters as additional information is presented to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managed by the various U.S. segments noted above that are made to non-U.S. customers and are therefore included in Europe or Rest of world revenues below – these revenues are not significant. Total revenue by major geographic area consisted of the following: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61"/>
        </w:trPr>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148,674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133,300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23,668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25,087</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196,185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181,041</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our discussion of international revenues under the Item 2 section titled Results of Operations – “Revenues and Gross Margins.”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had cash and cash equivalents totaling approximately $58.6 million and $100.8 million at March 31, 2012 and December 31, 2011, respectively. We had short-term investments totaling $53.8 million at March 31, 2012 all of which were held by our non-U.S. subsidiaries. There were no short-term investments at December 31, 2011. At March 31, 2012, our non-U.S. subsidiaries held approximately $44.5 million of cash and cash equivalents that are available for use by all of our operations outside the United States. If these funds or the short-term investments held outside the United States were repatriated to the United States or used for United States operations, certain amounts could be subject to United States tax for the incremental amount in excess of the foreign tax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(63,835)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(12,560)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(42,166)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vMerge w:val="restart"/>
          </w:tcPr>
          <w:p>
            <w:pPr>
              <w:jc w:val="right"/>
              <w:ind w:right="1632"/>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2012, we anticipate that our principal uses of cash will include the repayment of our convertible 2012 Notes of $165 million, of which approximately $134 million will be classified as a financing use of cash for the repayment of the debt component, and approximately $31 million will be classified as an operating use of cash for the repayment of accreted interest. We plan to spend between $65 million and $75 million on capital expenditures primarily for the expansion of regenerative medicine manufacturing capacity, our enterprise resource planning system implementation, and additions to our instrument sets used in sales of orthopedic products.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our executive chairman holds approximately 1.67 million deferred stock units (“SUs”) accumulated over the past eight years that will be distributed to him in the form of shares of our common stock within approximately six months after the date he ceases to be an employee of the Company and takes the role of the non-executive chairman. The Company would be required to use cash to pay withheld federal and state taxes in connection with the release of such SUs, and most of the payments would be classified as an operating use of cash. Accordingly, if our executive chairman ceases to be an employee before June 30, 2012, the SUs will be distributed and taxes will be withheld in the fourth quarter of 2012. The Company will retain shares equal in value to the required withholding taxes, which may exceed 44% of the then aggregate fair market value of the SUs. The Company will be able to deduct the total amount of such deferred compensation from its federal and state corporation taxes, but will not receive the cash benefits of such deductions in the same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$32.3 million and $21.3 million for the three months ended March 31, 2012 and 2011, respectively.</w:t>
      </w:r>
    </w:p>
    <w:p>
      <w:pPr>
        <w:spacing w:after="0" w:line="17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Operating cash flows increased largely due to improved working capital management, especially the collection of accounts receivable in the quarter. Net income for the three months ended March 31, 2012 plus non-cash items included in those earnings amounted to approximately $24.9 million. Changes in working capital provided $7.2 million of net cash flows. Among the changes in working capital, accounts receivable contributed $4.8 million, prepaid expenses and other current assets contributed another $1.6 million, and liabilities contributed another $1.6 million while inventories used $0.9 million.</w:t>
      </w:r>
    </w:p>
    <w:p>
      <w:pPr>
        <w:spacing w:after="0" w:line="11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Net income for the three months ended March 31, 2011 plus non-cash items included in those earnings amounted to approximately $25.6 million. Changes in working capital used $4.2 million of net cash flows. Among the changes in working capital, accounts receivable contributed $1.1 million and prepaid expenses and other current assets contributed another $2.9 million, while inventories used $4.8 million, and liabilities used another $3.4 million of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2012 we paid $10.4 million in cash for capital expenditures, most of which was directed to the expansion of our regenerative medicine production capacity and global enterprise system implementation and $0.2 million for a working capital adjustment related to the SeaSpine acquisition. We also invested $53.2 million in short-term time deposit accounts, which are held outside of the United States. We paid $5.9 million in cash for capital expenditures during the quarter ended March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principal uses of cash for financing activities were repayments of $12.8 million and $41.9 million under our senior credit facility in the quarters ended March 31, 2012 and 2011, respectively. In addition, we repurchased treasury stock of $4.3 million in the first quarter of 2011 with none in the first quarter of 2012. These amounts were partially offset by net proceeds from the employee stock purchase plan and the tax impact of stock-based compensation for a total of $0.3 million in the first quarter of 2012 and proceeds from stock option exercises and the tax impact of stock-based compensation of $1.7 million in the first quarter of 2011. There were no stock option exercises in the first quarter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March 31, 2012 and December 31, 2011, working capital was $355.2 million and $350.4 million, respectively. The increase in working capital is primarily related to additional cash flows from operations generated during the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The Senior Credit Facility is subject to various financial and negative covenants and at March 31, 2012, the Company was in compliance with all such covenants.</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plan to utilize the Senior Credit Facility for working capital, capital expenditures, share repurchases, acquisitions, debt repayments and other general corporate purposes. At March 31, 2012 and December 31, 2011, there was $166.9 million and $179.7 million outstanding, respectively, under the revolving credit component of the Senior Credit Facility at a weighted average interest rate of 2.2% and 2.0%, respectively. The Company considers the balance to be long-term in nature based on its current intent and ability to repay the borrowing outside of the next twelve-month period. At March 31, 2012, there was approximately $433.1 million available for borrowing under the Senior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pay interest each June 1 and December 1 on our $165.0 million senior convertible notes due June 2012 (“2012 Notes”) at an annual rate of 2.375%, and each June 15 and December 15 on our $230.0 million senior convertible notes due December 2016 (“2016 Notes”) at an annual interest rate of 1.625% (collectively, “the Notes”). The 2012 Notes and 2016 Notes are senior, unsecured obligations of Integra, and are convertible into cash and, if applicable, shares of our common stock based on an initial conversion rate, subject to adjustment, of 15.3935 shares and 17.4092 shares, respectively, per $1,000 principal amount of notes (which represents an initial conversion price of approximately $64.96 per share and $57.44 per share, respectively). We expect to satisfy any conversion of the Notes with cash up to the principal amount pursuant to the net share settlement mechanism set forth in the respective indenture and, with respect to any excess conversion value, with shares of our common stock. The 2012 Notes and 2016 Notes are convertible only in the following circumstances: (1) if the closing sale price of our common stock exceeds 130% and 150%, respectively, of the conversion price during a period as defined in the applicable indenture; (2) if the average trading price per $1,000 principal amount of the Notes is less than or equal to 97% or 98%, respectively, of the average conversion value of the Notes during a period as defined in the applicable indenture; (3) at any time on or after December 15, 2011, or June 15, 2016, respectively; or (4) if specified corporate transactions occur. The issue price of the Notes was equal to their face amounts, which is also the amount holders are entitled to receive at maturity if the Notes are not converted. None of these conditions existed with respect to the Notes; therefore the 2016 Notes are classified as long-term. The 2012 Notes are classified as long-term based on the Company’s intent and ability to settle the obligation with long-term borrowings from its Senior Credit Facility.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under the terms of the applicable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The cost of the call transactions to us was approximately $30.4 million for the 2012 Notes and $42.9 million for the 2016 Notes. We received approximately $12.2 million and $28.5 million of proceeds from the warrant transactions for the 2012 Notes and 2016 Notes, respectively. The call transactions involved our purchasing call options from the hedge participants, and the warrant transactions involved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call options to the hedge participants with a higher strike price than the purchased call options. The initial strike price of the call transactions is approximately $64.96 for the 2012 Notes and $57.44 for the 2016 Notes, subject to anti-dilution adjustments substantially similar to those in the Notes. The initial strike price of the warrant transactions is approximately $90.95 for the 2012 Notes and $70.05 for the 2016 Notes, in each case subject to customary anti-dilution adjustments.</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may from time to time seek to retire or purchase a portion of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October 29, 2010, our Board of Directors authorized us to repurchase shares of our common stock for an aggregate purchase price not to exceed $75.0 million through December 31, 2012. Shares may be purchased either in the open market or in privately negotiated transactions. We repurchased no shares under this program during the first three months of 2012 and $29.1 million remains available under the authorization.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and potential acquisition-related earn-out payments in the near term based on our current plans. See “Amended and Restated Senior Credit Agreement” for a description of the material terms and classification of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2011 have not materially changed.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our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then recognize them in other income or expense when the hedged item affects net earnings.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the periods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Cash, Cash Equivalents and Short-Term Investments. </w:t>
      </w:r>
      <w:r>
        <w:rPr>
          <w:rFonts w:ascii="Arial" w:cs="Arial" w:eastAsia="Arial" w:hAnsi="Arial"/>
          <w:sz w:val="18"/>
          <w:szCs w:val="18"/>
          <w:color w:val="auto"/>
        </w:rPr>
        <w:t>We are exposed to the risk of interest rate fluctuations on the interest income earned on our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A hypothetical 100 basis point movement in interest rates applicable to our cash and cash equivalents and short-term investments outstanding at March 31, 2012 would increase interest income by approximately $1.1 million on an annual basis. We are subject to foreign currency exchange risk with respect to cash balances maintained in foreign currencies.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Our interest rate risk relates primarily to U.S. dollar LIBOR-indexed borrowings. We have used an interest rate derivative instrument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$136.9 million outstanding as of March 31, 2012. We recognized $0.4 million of additional interest expense related to this derivative during the first quarter of 2012. The fair value of our interest rate derivative instrument was a net liability of $4.1 million at March 31, 2012.</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Based on our outstanding borrowings at March 31, 2012, a one-percentage point change in interest rates would have impacted interest expense on the unhedged portion of our debt by $0.3 million on an annualized basis.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2012. Based upon this evaluation, our principal executive officer and principal financial officer concluded that our disclosure controls and procedures were effective as of March 31, 2012 to provide such reasonable assurance.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March 31, 2012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included in our Annual Report on Form 10-K for the fiscal year ended December 31, 2011 have not materially changed.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October 2010, our Board of Directors adopted a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under this program during the quarter ended March 31,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99"/>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420" w:type="dxa"/>
            <w:vAlign w:val="bottom"/>
          </w:tcPr>
          <w:p>
            <w:pPr>
              <w:ind w:left="580"/>
              <w:spacing w:after="0"/>
              <w:rPr>
                <w:sz w:val="20"/>
                <w:szCs w:val="20"/>
                <w:color w:val="auto"/>
              </w:rPr>
            </w:pPr>
            <w:r>
              <w:rPr>
                <w:rFonts w:ascii="Arial" w:cs="Arial" w:eastAsia="Arial" w:hAnsi="Arial"/>
                <w:sz w:val="18"/>
                <w:szCs w:val="18"/>
                <w:color w:val="auto"/>
                <w:w w:val="90"/>
              </w:rPr>
              <w:t>Amended and Restated Bylaws of Integra LifeSciences Holdings Corporation, effective as of May 17, 2012 (Incorporated by reference to</w:t>
            </w:r>
          </w:p>
        </w:tc>
      </w:tr>
      <w:tr>
        <w:trPr>
          <w:trHeight w:val="222"/>
        </w:trPr>
        <w:tc>
          <w:tcPr>
            <w:tcW w:w="920" w:type="dxa"/>
            <w:vAlign w:val="bottom"/>
          </w:tcPr>
          <w:p>
            <w:pPr>
              <w:spacing w:after="0"/>
              <w:rPr>
                <w:sz w:val="19"/>
                <w:szCs w:val="19"/>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Exhibit 3.2 to the Company’s Current Report on Form 8-K filed on April 13, 2012)</w:t>
            </w:r>
          </w:p>
        </w:tc>
      </w:tr>
      <w:tr>
        <w:trPr>
          <w:trHeight w:val="318"/>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420" w:type="dxa"/>
            <w:vAlign w:val="bottom"/>
          </w:tcPr>
          <w:p>
            <w:pPr>
              <w:ind w:left="580"/>
              <w:spacing w:after="0"/>
              <w:rPr>
                <w:sz w:val="20"/>
                <w:szCs w:val="20"/>
                <w:color w:val="auto"/>
              </w:rPr>
            </w:pPr>
            <w:r>
              <w:rPr>
                <w:rFonts w:ascii="Arial" w:cs="Arial" w:eastAsia="Arial" w:hAnsi="Arial"/>
                <w:sz w:val="18"/>
                <w:szCs w:val="18"/>
                <w:color w:val="auto"/>
                <w:w w:val="90"/>
              </w:rPr>
              <w:t>Compensation of Non-Employee Directors of Integra LifeSciences Holdings Corporation (Incorporated by reference to Exhibit 10.1 to the</w:t>
            </w:r>
          </w:p>
        </w:tc>
      </w:tr>
      <w:tr>
        <w:trPr>
          <w:trHeight w:val="222"/>
        </w:trPr>
        <w:tc>
          <w:tcPr>
            <w:tcW w:w="920" w:type="dxa"/>
            <w:vAlign w:val="bottom"/>
          </w:tcPr>
          <w:p>
            <w:pPr>
              <w:spacing w:after="0"/>
              <w:rPr>
                <w:sz w:val="19"/>
                <w:szCs w:val="19"/>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318"/>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420" w:type="dxa"/>
            <w:vAlign w:val="bottom"/>
          </w:tcPr>
          <w:p>
            <w:pPr>
              <w:ind w:left="580"/>
              <w:spacing w:after="0"/>
              <w:rPr>
                <w:sz w:val="20"/>
                <w:szCs w:val="20"/>
                <w:color w:val="auto"/>
              </w:rPr>
            </w:pPr>
            <w:r>
              <w:rPr>
                <w:rFonts w:ascii="Arial" w:cs="Arial" w:eastAsia="Arial" w:hAnsi="Arial"/>
                <w:sz w:val="18"/>
                <w:szCs w:val="18"/>
                <w:color w:val="auto"/>
                <w:w w:val="89"/>
              </w:rPr>
              <w:t>Termination of Amendment to Lease Contract, dated as of April 2, 2012, between Integra CI, Inc. and Puerto Rico Industrial Development</w:t>
            </w:r>
          </w:p>
        </w:tc>
      </w:tr>
      <w:tr>
        <w:trPr>
          <w:trHeight w:val="222"/>
        </w:trPr>
        <w:tc>
          <w:tcPr>
            <w:tcW w:w="920" w:type="dxa"/>
            <w:vAlign w:val="bottom"/>
          </w:tcPr>
          <w:p>
            <w:pPr>
              <w:spacing w:after="0"/>
              <w:rPr>
                <w:sz w:val="19"/>
                <w:szCs w:val="19"/>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Company</w:t>
            </w:r>
          </w:p>
        </w:tc>
      </w:tr>
      <w:tr>
        <w:trPr>
          <w:trHeight w:val="318"/>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420" w:type="dxa"/>
            <w:vAlign w:val="bottom"/>
          </w:tcPr>
          <w:p>
            <w:pPr>
              <w:ind w:left="580"/>
              <w:spacing w:after="0"/>
              <w:rPr>
                <w:sz w:val="20"/>
                <w:szCs w:val="20"/>
                <w:color w:val="auto"/>
              </w:rPr>
            </w:pPr>
            <w:r>
              <w:rPr>
                <w:rFonts w:ascii="Arial" w:cs="Arial" w:eastAsia="Arial" w:hAnsi="Arial"/>
                <w:sz w:val="18"/>
                <w:szCs w:val="18"/>
                <w:color w:val="auto"/>
                <w:w w:val="91"/>
              </w:rPr>
              <w:t>Letter dated February 22, 2012 from John B. Henneman, III to Integra LifeSciences Holdings Corporation (Incorporated by reference to</w:t>
            </w:r>
          </w:p>
        </w:tc>
      </w:tr>
      <w:tr>
        <w:trPr>
          <w:trHeight w:val="222"/>
        </w:trPr>
        <w:tc>
          <w:tcPr>
            <w:tcW w:w="920" w:type="dxa"/>
            <w:vAlign w:val="bottom"/>
          </w:tcPr>
          <w:p>
            <w:pPr>
              <w:spacing w:after="0"/>
              <w:rPr>
                <w:sz w:val="19"/>
                <w:szCs w:val="19"/>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Exhibit 10.1 to the Company’s Current Report on Form 8-K filed on February 22, 2012)</w:t>
            </w:r>
          </w:p>
        </w:tc>
      </w:tr>
      <w:tr>
        <w:trPr>
          <w:trHeight w:val="318"/>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420" w:type="dxa"/>
            <w:vAlign w:val="bottom"/>
          </w:tcPr>
          <w:p>
            <w:pPr>
              <w:ind w:left="580"/>
              <w:spacing w:after="0"/>
              <w:rPr>
                <w:sz w:val="20"/>
                <w:szCs w:val="20"/>
                <w:color w:val="auto"/>
              </w:rPr>
            </w:pPr>
            <w:r>
              <w:rPr>
                <w:rFonts w:ascii="Arial" w:cs="Arial" w:eastAsia="Arial" w:hAnsi="Arial"/>
                <w:sz w:val="18"/>
                <w:szCs w:val="18"/>
                <w:color w:val="auto"/>
                <w:w w:val="87"/>
              </w:rPr>
              <w:t>Severance Agreement between Judith O’Grady and the Company dated as of January 3, 2012 (Incorporated by reference to Exhibit 10.16(c)</w:t>
            </w:r>
          </w:p>
        </w:tc>
      </w:tr>
      <w:tr>
        <w:trPr>
          <w:trHeight w:val="222"/>
        </w:trPr>
        <w:tc>
          <w:tcPr>
            <w:tcW w:w="920" w:type="dxa"/>
            <w:vAlign w:val="bottom"/>
          </w:tcPr>
          <w:p>
            <w:pPr>
              <w:spacing w:after="0"/>
              <w:rPr>
                <w:sz w:val="19"/>
                <w:szCs w:val="19"/>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324"/>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0420" w:type="dxa"/>
            <w:vAlign w:val="bottom"/>
          </w:tcPr>
          <w:p>
            <w:pPr>
              <w:ind w:left="5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420" w:type="dxa"/>
            <w:vAlign w:val="bottom"/>
          </w:tcPr>
          <w:p>
            <w:pPr>
              <w:ind w:left="5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420" w:type="dxa"/>
            <w:vAlign w:val="bottom"/>
          </w:tcPr>
          <w:p>
            <w:pPr>
              <w:ind w:left="5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92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10420" w:type="dxa"/>
            <w:vAlign w:val="bottom"/>
          </w:tcPr>
          <w:p>
            <w:pPr>
              <w:ind w:left="5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102" w:lineRule="exact"/>
        <w:rPr>
          <w:sz w:val="20"/>
          <w:szCs w:val="20"/>
          <w:color w:val="auto"/>
        </w:rPr>
      </w:pPr>
    </w:p>
    <w:p>
      <w:pPr>
        <w:ind w:left="240" w:hanging="122"/>
        <w:spacing w:after="0"/>
        <w:tabs>
          <w:tab w:leader="none" w:pos="2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17"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+101.SCH</w:t>
      </w:r>
      <w:r>
        <w:rPr>
          <w:rFonts w:ascii="Arial" w:cs="Arial" w:eastAsia="Arial" w:hAnsi="Arial"/>
          <w:sz w:val="16"/>
          <w:szCs w:val="16"/>
          <w:color w:val="auto"/>
        </w:rPr>
        <w:t>XBRL Taxonomy Extension Schema Document</w:t>
      </w:r>
    </w:p>
    <w:p>
      <w:pPr>
        <w:spacing w:after="0" w:line="117"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+101.CAL</w:t>
      </w:r>
      <w:r>
        <w:rPr>
          <w:rFonts w:ascii="Arial" w:cs="Arial" w:eastAsia="Arial" w:hAnsi="Arial"/>
          <w:sz w:val="16"/>
          <w:szCs w:val="16"/>
          <w:color w:val="auto"/>
        </w:rPr>
        <w:t>XBRL Taxonomy Extension Calculation Linkbase Document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+101.DEF</w:t>
      </w:r>
      <w:r>
        <w:rPr>
          <w:rFonts w:ascii="Arial" w:cs="Arial" w:eastAsia="Arial" w:hAnsi="Arial"/>
          <w:sz w:val="16"/>
          <w:szCs w:val="16"/>
          <w:color w:val="auto"/>
        </w:rPr>
        <w:t>XBRL Definition Linkbase Document</w:t>
      </w:r>
    </w:p>
    <w:p>
      <w:pPr>
        <w:spacing w:after="0" w:line="117" w:lineRule="exact"/>
        <w:rPr>
          <w:sz w:val="20"/>
          <w:szCs w:val="20"/>
          <w:color w:val="auto"/>
        </w:rPr>
      </w:pPr>
    </w:p>
    <w:p>
      <w:pPr>
        <w:ind w:left="220" w:hanging="137"/>
        <w:spacing w:after="0"/>
        <w:tabs>
          <w:tab w:leader="none" w:pos="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Labels Linkbase Document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+101.PRE</w:t>
      </w:r>
      <w:r>
        <w:rPr>
          <w:rFonts w:ascii="Arial" w:cs="Arial" w:eastAsia="Arial" w:hAnsi="Arial"/>
          <w:sz w:val="16"/>
          <w:szCs w:val="16"/>
          <w:color w:val="auto"/>
        </w:rPr>
        <w:t>XBRL Taxonomy Extension Presentation Linkbase Document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right="120" w:hanging="452"/>
        <w:spacing w:after="0" w:line="32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financial information of Integra LifeSciences Holdings Corporation Quarterly Report on Form 10-Q for the quarter ended March 31, 2012 filed on April 26,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CORPORATION</w:t>
      </w:r>
    </w:p>
    <w:p>
      <w:pPr>
        <w:spacing w:after="0" w:line="23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240" w:top="459" w:right="7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w w:val="88"/>
              </w:rPr>
              <w:t>Exhibits</w:t>
            </w:r>
          </w:p>
        </w:tc>
        <w:tc>
          <w:tcPr>
            <w:tcW w:w="10200" w:type="dxa"/>
            <w:vAlign w:val="bottom"/>
          </w:tcPr>
          <w:p>
            <w:pPr>
              <w:spacing w:after="0"/>
              <w:rPr>
                <w:sz w:val="19"/>
                <w:szCs w:val="19"/>
                <w:color w:val="auto"/>
              </w:rPr>
            </w:pPr>
          </w:p>
        </w:tc>
      </w:tr>
      <w:tr>
        <w:trPr>
          <w:trHeight w:val="399"/>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10200" w:type="dxa"/>
            <w:vAlign w:val="bottom"/>
          </w:tcPr>
          <w:p>
            <w:pPr>
              <w:ind w:left="360"/>
              <w:spacing w:after="0"/>
              <w:rPr>
                <w:sz w:val="20"/>
                <w:szCs w:val="20"/>
                <w:color w:val="auto"/>
              </w:rPr>
            </w:pPr>
            <w:r>
              <w:rPr>
                <w:rFonts w:ascii="Arial" w:cs="Arial" w:eastAsia="Arial" w:hAnsi="Arial"/>
                <w:sz w:val="18"/>
                <w:szCs w:val="18"/>
                <w:color w:val="auto"/>
                <w:w w:val="90"/>
              </w:rPr>
              <w:t>Amended and Restated Bylaws of Integra LifeSciences Holdings Corporation, effective as of May 17, 2012 (Incorporated by reference to</w:t>
            </w:r>
          </w:p>
        </w:tc>
      </w:tr>
      <w:tr>
        <w:trPr>
          <w:trHeight w:val="222"/>
        </w:trPr>
        <w:tc>
          <w:tcPr>
            <w:tcW w:w="114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Exhibit 3.2 to the Company’s Current Report on Form 8-K filed on April 13, 2012)</w:t>
            </w:r>
          </w:p>
        </w:tc>
      </w:tr>
      <w:tr>
        <w:trPr>
          <w:trHeight w:val="318"/>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10200" w:type="dxa"/>
            <w:vAlign w:val="bottom"/>
          </w:tcPr>
          <w:p>
            <w:pPr>
              <w:ind w:left="360"/>
              <w:spacing w:after="0"/>
              <w:rPr>
                <w:sz w:val="20"/>
                <w:szCs w:val="20"/>
                <w:color w:val="auto"/>
              </w:rPr>
            </w:pPr>
            <w:r>
              <w:rPr>
                <w:rFonts w:ascii="Arial" w:cs="Arial" w:eastAsia="Arial" w:hAnsi="Arial"/>
                <w:sz w:val="18"/>
                <w:szCs w:val="18"/>
                <w:color w:val="auto"/>
                <w:w w:val="90"/>
              </w:rPr>
              <w:t>Compensation of Non-Employee Directors of Integra LifeSciences Holdings Corporation (Incorporated by reference to Exhibit 10.1 to the</w:t>
            </w:r>
          </w:p>
        </w:tc>
      </w:tr>
      <w:tr>
        <w:trPr>
          <w:trHeight w:val="222"/>
        </w:trPr>
        <w:tc>
          <w:tcPr>
            <w:tcW w:w="114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318"/>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10200" w:type="dxa"/>
            <w:vAlign w:val="bottom"/>
          </w:tcPr>
          <w:p>
            <w:pPr>
              <w:ind w:left="360"/>
              <w:spacing w:after="0"/>
              <w:rPr>
                <w:sz w:val="20"/>
                <w:szCs w:val="20"/>
                <w:color w:val="auto"/>
              </w:rPr>
            </w:pPr>
            <w:r>
              <w:rPr>
                <w:rFonts w:ascii="Arial" w:cs="Arial" w:eastAsia="Arial" w:hAnsi="Arial"/>
                <w:sz w:val="18"/>
                <w:szCs w:val="18"/>
                <w:color w:val="auto"/>
                <w:w w:val="89"/>
              </w:rPr>
              <w:t>Termination of Amendment to Lease Contract, dated as of April 2, 2012, between Integra CI, Inc. and Puerto Rico Industrial Development</w:t>
            </w:r>
          </w:p>
        </w:tc>
      </w:tr>
      <w:tr>
        <w:trPr>
          <w:trHeight w:val="222"/>
        </w:trPr>
        <w:tc>
          <w:tcPr>
            <w:tcW w:w="114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318"/>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10.3</w:t>
            </w:r>
          </w:p>
        </w:tc>
        <w:tc>
          <w:tcPr>
            <w:tcW w:w="10200" w:type="dxa"/>
            <w:vAlign w:val="bottom"/>
          </w:tcPr>
          <w:p>
            <w:pPr>
              <w:ind w:left="360"/>
              <w:spacing w:after="0"/>
              <w:rPr>
                <w:sz w:val="20"/>
                <w:szCs w:val="20"/>
                <w:color w:val="auto"/>
              </w:rPr>
            </w:pPr>
            <w:r>
              <w:rPr>
                <w:rFonts w:ascii="Arial" w:cs="Arial" w:eastAsia="Arial" w:hAnsi="Arial"/>
                <w:sz w:val="18"/>
                <w:szCs w:val="18"/>
                <w:color w:val="auto"/>
                <w:w w:val="91"/>
              </w:rPr>
              <w:t>Letter dated February 22, 2012 from John B. Henneman, III to Integra LifeSciences Holdings Corporation (Incorporated by reference to</w:t>
            </w:r>
          </w:p>
        </w:tc>
      </w:tr>
      <w:tr>
        <w:trPr>
          <w:trHeight w:val="222"/>
        </w:trPr>
        <w:tc>
          <w:tcPr>
            <w:tcW w:w="114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Exhibit 10.1 to the Company’s Current Report on Form 8-K filed on February 22, 2012)</w:t>
            </w:r>
          </w:p>
        </w:tc>
      </w:tr>
      <w:tr>
        <w:trPr>
          <w:trHeight w:val="318"/>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10.4</w:t>
            </w:r>
          </w:p>
        </w:tc>
        <w:tc>
          <w:tcPr>
            <w:tcW w:w="10200" w:type="dxa"/>
            <w:vAlign w:val="bottom"/>
          </w:tcPr>
          <w:p>
            <w:pPr>
              <w:ind w:left="360"/>
              <w:spacing w:after="0"/>
              <w:rPr>
                <w:sz w:val="20"/>
                <w:szCs w:val="20"/>
                <w:color w:val="auto"/>
              </w:rPr>
            </w:pPr>
            <w:r>
              <w:rPr>
                <w:rFonts w:ascii="Arial" w:cs="Arial" w:eastAsia="Arial" w:hAnsi="Arial"/>
                <w:sz w:val="18"/>
                <w:szCs w:val="18"/>
                <w:color w:val="auto"/>
                <w:w w:val="87"/>
              </w:rPr>
              <w:t>Severance Agreement between Judith O’Grady and the Company dated as of January 3, 2012 (Incorporated by reference to Exhibit 10.16(c)</w:t>
            </w:r>
          </w:p>
        </w:tc>
      </w:tr>
      <w:tr>
        <w:trPr>
          <w:trHeight w:val="222"/>
        </w:trPr>
        <w:tc>
          <w:tcPr>
            <w:tcW w:w="114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324"/>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*32.1</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140" w:type="dxa"/>
            <w:vAlign w:val="bottom"/>
          </w:tcPr>
          <w:p>
            <w:pPr>
              <w:jc w:val="right"/>
              <w:ind w:right="252"/>
              <w:spacing w:after="0"/>
              <w:rPr>
                <w:sz w:val="20"/>
                <w:szCs w:val="20"/>
                <w:color w:val="auto"/>
              </w:rPr>
            </w:pPr>
            <w:r>
              <w:rPr>
                <w:rFonts w:ascii="Arial" w:cs="Arial" w:eastAsia="Arial" w:hAnsi="Arial"/>
                <w:sz w:val="18"/>
                <w:szCs w:val="18"/>
                <w:color w:val="auto"/>
              </w:rPr>
              <w:t>*32.2</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102" w:lineRule="exact"/>
        <w:rPr>
          <w:sz w:val="20"/>
          <w:szCs w:val="20"/>
          <w:color w:val="auto"/>
        </w:rPr>
      </w:pPr>
    </w:p>
    <w:p>
      <w:pPr>
        <w:ind w:left="240" w:hanging="122"/>
        <w:spacing w:after="0"/>
        <w:tabs>
          <w:tab w:leader="none" w:pos="240" w:val="left"/>
        </w:tabs>
        <w:numPr>
          <w:ilvl w:val="3"/>
          <w:numId w:val="16"/>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17"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+101.SCH</w:t>
      </w:r>
      <w:r>
        <w:rPr>
          <w:rFonts w:ascii="Arial" w:cs="Arial" w:eastAsia="Arial" w:hAnsi="Arial"/>
          <w:sz w:val="16"/>
          <w:szCs w:val="16"/>
          <w:color w:val="auto"/>
        </w:rPr>
        <w:t>XBRL Taxonomy Extension Schema Document</w:t>
      </w:r>
    </w:p>
    <w:p>
      <w:pPr>
        <w:spacing w:after="0" w:line="117"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+101.CAL</w:t>
      </w:r>
      <w:r>
        <w:rPr>
          <w:rFonts w:ascii="Arial" w:cs="Arial" w:eastAsia="Arial" w:hAnsi="Arial"/>
          <w:sz w:val="16"/>
          <w:szCs w:val="16"/>
          <w:color w:val="auto"/>
        </w:rPr>
        <w:t>XBRL Taxonomy Extension Calculation Linkbase Document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+101.DEF</w:t>
      </w:r>
      <w:r>
        <w:rPr>
          <w:rFonts w:ascii="Arial" w:cs="Arial" w:eastAsia="Arial" w:hAnsi="Arial"/>
          <w:sz w:val="16"/>
          <w:szCs w:val="16"/>
          <w:color w:val="auto"/>
        </w:rPr>
        <w:t>XBRL Definition Linkbase Document</w:t>
      </w:r>
    </w:p>
    <w:p>
      <w:pPr>
        <w:spacing w:after="0" w:line="117" w:lineRule="exact"/>
        <w:rPr>
          <w:sz w:val="20"/>
          <w:szCs w:val="20"/>
          <w:color w:val="auto"/>
        </w:rPr>
      </w:pPr>
    </w:p>
    <w:p>
      <w:pPr>
        <w:ind w:left="220" w:hanging="137"/>
        <w:spacing w:after="0"/>
        <w:tabs>
          <w:tab w:leader="none" w:pos="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Labels Linkbase Document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+101.PRE</w:t>
      </w:r>
      <w:r>
        <w:rPr>
          <w:rFonts w:ascii="Arial" w:cs="Arial" w:eastAsia="Arial" w:hAnsi="Arial"/>
          <w:sz w:val="16"/>
          <w:szCs w:val="16"/>
          <w:color w:val="auto"/>
        </w:rPr>
        <w:t>XBRL Taxonomy Extension Presentation Linkbase Document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right="120" w:hanging="452"/>
        <w:spacing w:after="0" w:line="32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financial information of Integra LifeSciences Holdings Corporation Quarterly Report on Form 10-Q for the quarter ended March 31, 2012 filed on April 26, 2012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TERMINATION OF AMENDMENT TO LEASE CONTRACT</w:t>
      </w:r>
    </w:p>
    <w:p>
      <w:pPr>
        <w:spacing w:after="0" w:line="177" w:lineRule="exact"/>
        <w:rPr>
          <w:sz w:val="20"/>
          <w:szCs w:val="20"/>
          <w:color w:val="auto"/>
        </w:rPr>
      </w:pPr>
    </w:p>
    <w:p>
      <w:pPr>
        <w:ind w:right="500" w:firstLine="420"/>
        <w:spacing w:after="0" w:line="306" w:lineRule="auto"/>
        <w:rPr>
          <w:sz w:val="20"/>
          <w:szCs w:val="20"/>
          <w:color w:val="auto"/>
        </w:rPr>
      </w:pPr>
      <w:r>
        <w:rPr>
          <w:rFonts w:ascii="Arial" w:cs="Arial" w:eastAsia="Arial" w:hAnsi="Arial"/>
          <w:sz w:val="16"/>
          <w:szCs w:val="16"/>
          <w:color w:val="auto"/>
        </w:rPr>
        <w:t>This Termination of Amendment to Lease Contract (“Termination Contract”) is made as of February 28, 2012, between The Puerto Rico Industrial Development Company, a public corporation organized and existing by virtue of Act No. 188 of May 11, 1942, as amended, (the “Landlord”), and Integra CI, Inc., formerly known as Integra Neurosciences P.R., Inc., a Cayman Islands company (the “Tenant”).</w:t>
      </w:r>
    </w:p>
    <w:p>
      <w:pPr>
        <w:spacing w:after="0" w:line="101" w:lineRule="exact"/>
        <w:rPr>
          <w:sz w:val="20"/>
          <w:szCs w:val="20"/>
          <w:color w:val="auto"/>
        </w:rPr>
      </w:pPr>
    </w:p>
    <w:p>
      <w:pPr>
        <w:ind w:right="80" w:firstLine="420"/>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Landlord and Tenant are parties to a certain Lease Agreement dated April 11, 2003 which was amended on October 24, 2005,</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by a Lease Contract dated April 1, 2005 (registered by the Landlord on September 15, 2006), and amended by an Amendment to Lease Contract dated as of November 2, 2011 (the “Amendment.”) Pursuant to the provisions of the Amendment, the Landlord leased to the Tenant, and the Tenant rented from the Landlord, the Additional Premises, identified as Project No. S-1212-0-77-00.</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to terminate the Amendment executed for the Additional Premises.</w:t>
      </w:r>
    </w:p>
    <w:p>
      <w:pPr>
        <w:spacing w:after="0" w:line="96" w:lineRule="exact"/>
        <w:rPr>
          <w:sz w:val="20"/>
          <w:szCs w:val="20"/>
          <w:color w:val="auto"/>
        </w:rPr>
      </w:pPr>
    </w:p>
    <w:p>
      <w:pPr>
        <w:ind w:left="1460" w:hanging="441"/>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Amendment is hereby terminated effective as of the date of this Termination Contract.</w:t>
      </w:r>
    </w:p>
    <w:p>
      <w:pPr>
        <w:spacing w:after="0" w:line="90" w:lineRule="exact"/>
        <w:rPr>
          <w:rFonts w:ascii="Arial" w:cs="Arial" w:eastAsia="Arial" w:hAnsi="Arial"/>
          <w:sz w:val="18"/>
          <w:szCs w:val="18"/>
          <w:color w:val="auto"/>
        </w:rPr>
      </w:pPr>
    </w:p>
    <w:p>
      <w:pPr>
        <w:ind w:left="1460" w:right="540" w:hanging="441"/>
        <w:spacing w:after="0" w:line="268"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Landlord and Tenant agree that any notice requirements and any fees or penalties for termination of the Lease are hereby waived.</w:t>
      </w:r>
    </w:p>
    <w:p>
      <w:pPr>
        <w:spacing w:after="0" w:line="50" w:lineRule="exact"/>
        <w:rPr>
          <w:rFonts w:ascii="Arial" w:cs="Arial" w:eastAsia="Arial" w:hAnsi="Arial"/>
          <w:sz w:val="18"/>
          <w:szCs w:val="18"/>
          <w:color w:val="auto"/>
        </w:rPr>
      </w:pPr>
    </w:p>
    <w:p>
      <w:pPr>
        <w:ind w:left="1460" w:right="20" w:hanging="441"/>
        <w:spacing w:after="0" w:line="259"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Landlord acknowledges that Tenant requested the Amendment Termination; nevertheless, Landlord hereby releases Tenant from any further responsibility, obligation or liability under the Amendment, considering that Tenant did not receive the leased premises.</w:t>
      </w:r>
    </w:p>
    <w:p>
      <w:pPr>
        <w:spacing w:after="0" w:line="59" w:lineRule="exact"/>
        <w:rPr>
          <w:rFonts w:ascii="Arial" w:cs="Arial" w:eastAsia="Arial" w:hAnsi="Arial"/>
          <w:sz w:val="18"/>
          <w:szCs w:val="18"/>
          <w:color w:val="auto"/>
        </w:rPr>
      </w:pPr>
    </w:p>
    <w:p>
      <w:pPr>
        <w:ind w:left="1460" w:hanging="441"/>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Landlord has not inspected the premises.</w:t>
      </w:r>
    </w:p>
    <w:p>
      <w:pPr>
        <w:sectPr>
          <w:pgSz w:w="11900" w:h="16838" w:orient="portrait"/>
          <w:cols w:equalWidth="0" w:num="1">
            <w:col w:w="10500"/>
          </w:cols>
          <w:pgMar w:left="1160" w:top="125" w:right="239" w:bottom="1440" w:gutter="0" w:footer="0" w:header="0"/>
        </w:sectPr>
      </w:pPr>
    </w:p>
    <w:bookmarkStart w:id="35" w:name="page36"/>
    <w:bookmarkEnd w:id="35"/>
    <w:p>
      <w:pPr>
        <w:ind w:left="2380" w:hanging="441"/>
        <w:spacing w:after="0" w:line="259" w:lineRule="auto"/>
        <w:tabs>
          <w:tab w:leader="none" w:pos="2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agrees to return the $46,109.92 ($15.235.45 Cash Receipt No. 170974- January 28, 2010 and $30,874.47 Cash Receipt No. 174805- November 16, 2011) representing the security deposit balance of this Termination of Amendment to Lease Contract.</w:t>
      </w:r>
    </w:p>
    <w:p>
      <w:pPr>
        <w:spacing w:after="0" w:line="59" w:lineRule="exact"/>
        <w:rPr>
          <w:rFonts w:ascii="Arial" w:cs="Arial" w:eastAsia="Arial" w:hAnsi="Arial"/>
          <w:sz w:val="18"/>
          <w:szCs w:val="18"/>
          <w:color w:val="auto"/>
        </w:rPr>
      </w:pPr>
    </w:p>
    <w:p>
      <w:pPr>
        <w:ind w:left="2380" w:right="140" w:hanging="441"/>
        <w:spacing w:after="0" w:line="268" w:lineRule="auto"/>
        <w:tabs>
          <w:tab w:leader="none" w:pos="2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provided in this Termination of Amendment to Lease Contract, terms used herein shall have the meanings ascribed to such terms in the Amendment.</w:t>
      </w:r>
    </w:p>
    <w:p>
      <w:pPr>
        <w:spacing w:after="0" w:line="132"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IN WITNESS WHEREOF, Landlord and Tenant have executed, or caused to be executed, this Termination of Lease Agreement as of the day and year first above written.</w:t>
      </w:r>
    </w:p>
    <w:p>
      <w:pPr>
        <w:sectPr>
          <w:pgSz w:w="11900" w:h="16838" w:orient="portrait"/>
          <w:cols w:equalWidth="0" w:num="1">
            <w:col w:w="11420"/>
          </w:cols>
          <w:pgMar w:left="240" w:top="2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PUERTO RICO INDUSTRIAL DEVELOPMENT COMPANY,</w:t>
      </w:r>
    </w:p>
    <w:p>
      <w:pPr>
        <w:spacing w:after="0" w:line="2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Armando Bustillo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3035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Armando Bustillo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3035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3035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3/26/12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3035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CI, INC.,</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3035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30359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25400</wp:posOffset>
            </wp:positionV>
            <wp:extent cx="3035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4/2/12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10795</wp:posOffset>
            </wp:positionV>
            <wp:extent cx="3035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2">
            <w:col w:w="5340" w:space="720"/>
            <w:col w:w="5360"/>
          </w:cols>
          <w:pgMar w:left="240" w:top="280"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Executive Vice President, Finance and Administration, and Chief Financial</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Peter J. Arduini, President and Chief Executive Officer and Director of Integra LifeSciences Holdings Corporation (the “Company”), hereby certify that, to my knowledge:</w:t>
      </w:r>
    </w:p>
    <w:p>
      <w:pPr>
        <w:spacing w:after="0" w:line="51" w:lineRule="exact"/>
        <w:rPr>
          <w:sz w:val="20"/>
          <w:szCs w:val="20"/>
          <w:color w:val="auto"/>
        </w:rPr>
      </w:pPr>
    </w:p>
    <w:p>
      <w:pPr>
        <w:ind w:left="460" w:right="7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2012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51" w:lineRule="exact"/>
        <w:rPr>
          <w:sz w:val="20"/>
          <w:szCs w:val="20"/>
          <w:color w:val="auto"/>
        </w:rPr>
      </w:pPr>
    </w:p>
    <w:p>
      <w:pPr>
        <w:ind w:left="460" w:right="7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2012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Executive Vice President, Finance and Administration, and Chief Financial</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7"/>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emdash "/>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2019-12-09T11:21:42Z</dcterms:created>
  <dcterms:modified xsi:type="dcterms:W3CDTF">2019-12-09T11:21:42Z</dcterms:modified>
</cp:coreProperties>
</file>