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18" w:lineRule="exact"/>
        <w:rPr>
          <w:sz w:val="24"/>
          <w:szCs w:val="24"/>
          <w:color w:val="auto"/>
        </w:rPr>
      </w:pPr>
    </w:p>
    <w:p>
      <w:pPr>
        <w:ind w:left="720" w:hanging="469"/>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6" w:lineRule="exact"/>
        <w:rPr>
          <w:sz w:val="24"/>
          <w:szCs w:val="24"/>
          <w:color w:val="auto"/>
        </w:rPr>
      </w:pPr>
    </w:p>
    <w:p>
      <w:pPr>
        <w:ind w:left="720" w:hanging="469"/>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244"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040" w:type="dxa"/>
            <w:vAlign w:val="bottom"/>
          </w:tcPr>
          <w:p>
            <w:pPr>
              <w:jc w:val="center"/>
              <w:ind w:right="1579"/>
              <w:spacing w:after="0"/>
              <w:rPr>
                <w:sz w:val="20"/>
                <w:szCs w:val="20"/>
                <w:color w:val="auto"/>
              </w:rPr>
            </w:pPr>
            <w:r>
              <w:rPr>
                <w:rFonts w:ascii="Arial" w:cs="Arial" w:eastAsia="Arial" w:hAnsi="Arial"/>
                <w:sz w:val="18"/>
                <w:szCs w:val="18"/>
                <w:b w:val="1"/>
                <w:bCs w:val="1"/>
                <w:color w:val="auto"/>
                <w:w w:val="93"/>
              </w:rPr>
              <w:t>Delaware</w:t>
            </w:r>
          </w:p>
        </w:tc>
        <w:tc>
          <w:tcPr>
            <w:tcW w:w="320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80"/>
        </w:trPr>
        <w:tc>
          <w:tcPr>
            <w:tcW w:w="5040" w:type="dxa"/>
            <w:vAlign w:val="bottom"/>
          </w:tcPr>
          <w:p>
            <w:pPr>
              <w:jc w:val="center"/>
              <w:ind w:right="1579"/>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58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40" w:type="dxa"/>
            <w:vAlign w:val="bottom"/>
          </w:tcPr>
          <w:p>
            <w:pPr>
              <w:jc w:val="center"/>
              <w:ind w:right="1579"/>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5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79"/>
        </w:trPr>
        <w:tc>
          <w:tcPr>
            <w:tcW w:w="504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1100 Campus Road</w:t>
            </w:r>
          </w:p>
        </w:tc>
        <w:tc>
          <w:tcPr>
            <w:tcW w:w="320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70"/>
        </w:trPr>
        <w:tc>
          <w:tcPr>
            <w:tcW w:w="5040" w:type="dxa"/>
            <w:vAlign w:val="bottom"/>
          </w:tcPr>
          <w:p>
            <w:pPr>
              <w:ind w:left="860"/>
              <w:spacing w:after="0"/>
              <w:rPr>
                <w:sz w:val="20"/>
                <w:szCs w:val="20"/>
                <w:color w:val="auto"/>
              </w:rPr>
            </w:pPr>
            <w:r>
              <w:rPr>
                <w:rFonts w:ascii="Arial" w:cs="Arial" w:eastAsia="Arial" w:hAnsi="Arial"/>
                <w:sz w:val="18"/>
                <w:szCs w:val="18"/>
                <w:b w:val="1"/>
                <w:bCs w:val="1"/>
                <w:color w:val="auto"/>
              </w:rPr>
              <w:t>Princeton , New Jersey</w:t>
            </w:r>
          </w:p>
        </w:tc>
        <w:tc>
          <w:tcPr>
            <w:tcW w:w="3200" w:type="dxa"/>
            <w:vAlign w:val="bottom"/>
            <w:vMerge w:val="restart"/>
          </w:tcPr>
          <w:p>
            <w:pPr>
              <w:jc w:val="center"/>
              <w:ind w:left="158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5040" w:type="dxa"/>
            <w:vAlign w:val="bottom"/>
            <w:vMerge w:val="restart"/>
          </w:tcPr>
          <w:p>
            <w:pPr>
              <w:jc w:val="center"/>
              <w:ind w:right="1579"/>
              <w:spacing w:after="0"/>
              <w:rPr>
                <w:sz w:val="20"/>
                <w:szCs w:val="20"/>
                <w:color w:val="auto"/>
              </w:rPr>
            </w:pPr>
            <w:r>
              <w:rPr>
                <w:rFonts w:ascii="Arial" w:cs="Arial" w:eastAsia="Arial" w:hAnsi="Arial"/>
                <w:sz w:val="14"/>
                <w:szCs w:val="14"/>
                <w:b w:val="1"/>
                <w:bCs w:val="1"/>
                <w:color w:val="auto"/>
              </w:rPr>
              <w:t>(ADDRESS OF PRINCIPAL EXECUTIVE OFFICES)</w:t>
            </w: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4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9" w:right="339" w:bottom="1440" w:gutter="0" w:footer="0" w:header="0"/>
        </w:sectPr>
      </w:pPr>
    </w:p>
    <w:p>
      <w:pPr>
        <w:spacing w:after="0" w:line="275"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7" w:lineRule="exact"/>
        <w:rPr>
          <w:sz w:val="24"/>
          <w:szCs w:val="24"/>
          <w:color w:val="auto"/>
        </w:rPr>
      </w:pPr>
    </w:p>
    <w:p>
      <w:pPr>
        <w:sectPr>
          <w:pgSz w:w="11900" w:h="16838" w:orient="portrait"/>
          <w:cols w:equalWidth="0" w:num="3">
            <w:col w:w="3260" w:space="720"/>
            <w:col w:w="1720" w:space="720"/>
            <w:col w:w="4820"/>
          </w:cols>
          <w:pgMar w:left="320" w:top="269" w:right="3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3820" w:space="720"/>
            <w:col w:w="2340" w:space="720"/>
            <w:col w:w="3640"/>
          </w:cols>
          <w:pgMar w:left="320" w:top="269" w:right="339" w:bottom="1440" w:gutter="0" w:footer="0" w:header="0"/>
          <w:type w:val="continuous"/>
        </w:sectPr>
      </w:pPr>
    </w:p>
    <w:p>
      <w:pPr>
        <w:spacing w:after="0" w:line="6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jc w:val="both"/>
        <w:ind w:right="2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9"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4" w:lineRule="exact"/>
        <w:rPr>
          <w:sz w:val="20"/>
          <w:szCs w:val="20"/>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August 6, 2020 was 84,270,975.</w:t>
      </w:r>
    </w:p>
    <w:p>
      <w:pPr>
        <w:sectPr>
          <w:pgSz w:w="11900" w:h="16838" w:orient="portrait"/>
          <w:cols w:equalWidth="0" w:num="1">
            <w:col w:w="11240"/>
          </w:cols>
          <w:pgMar w:left="320" w:top="47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INTEGRA LIFESCIENCES HOLDINGS CORPORATION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9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INDEX</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7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33"/>
        </w:trPr>
        <w:tc>
          <w:tcPr>
            <w:tcW w:w="9980" w:type="dxa"/>
            <w:vAlign w:val="bottom"/>
            <w:gridSpan w:val="4"/>
            <w:vMerge w:val="restart"/>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 FINANCIAL INFORMATION</w:t>
              </w:r>
            </w:hyperlink>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98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980" w:type="dxa"/>
            <w:vAlign w:val="bottom"/>
            <w:gridSpan w:val="4"/>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c>
          <w:tcPr>
            <w:tcW w:w="0" w:type="dxa"/>
            <w:vAlign w:val="bottom"/>
          </w:tcPr>
          <w:p>
            <w:pPr>
              <w:spacing w:after="0"/>
              <w:rPr>
                <w:sz w:val="1"/>
                <w:szCs w:val="1"/>
                <w:color w:val="auto"/>
              </w:rPr>
            </w:pPr>
          </w:p>
        </w:tc>
      </w:tr>
      <w:tr>
        <w:trPr>
          <w:trHeight w:val="343"/>
        </w:trPr>
        <w:tc>
          <w:tcPr>
            <w:tcW w:w="9980" w:type="dxa"/>
            <w:vAlign w:val="bottom"/>
            <w:gridSpan w:val="4"/>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Condensed Consolidated Statements of Operations and Comprehensive Income/Loss for the three and six months ended June 30, 2020 and 2019</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36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(Unaudited)</w:t>
              </w:r>
            </w:hyperlink>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780" w:type="dxa"/>
            <w:vAlign w:val="bottom"/>
            <w:tcBorders>
              <w:top w:val="single" w:sz="8" w:color="0000EE"/>
            </w:tcBorders>
          </w:tcPr>
          <w:p>
            <w:pPr>
              <w:spacing w:after="0"/>
              <w:rPr>
                <w:sz w:val="24"/>
                <w:szCs w:val="24"/>
                <w:color w:val="auto"/>
              </w:rPr>
            </w:pPr>
          </w:p>
        </w:tc>
        <w:tc>
          <w:tcPr>
            <w:tcW w:w="5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c>
          <w:tcPr>
            <w:tcW w:w="0" w:type="dxa"/>
            <w:vAlign w:val="bottom"/>
          </w:tcPr>
          <w:p>
            <w:pPr>
              <w:spacing w:after="0"/>
              <w:rPr>
                <w:sz w:val="1"/>
                <w:szCs w:val="1"/>
                <w:color w:val="auto"/>
              </w:rPr>
            </w:pPr>
          </w:p>
        </w:tc>
      </w:tr>
      <w:tr>
        <w:trPr>
          <w:trHeight w:val="343"/>
        </w:trPr>
        <w:tc>
          <w:tcPr>
            <w:tcW w:w="9980" w:type="dxa"/>
            <w:vAlign w:val="bottom"/>
            <w:gridSpan w:val="4"/>
          </w:tcPr>
          <w:p>
            <w:pPr>
              <w:spacing w:after="0"/>
              <w:rPr>
                <w:sz w:val="20"/>
                <w:szCs w:val="20"/>
                <w:color w:val="auto"/>
              </w:rPr>
            </w:pPr>
            <w:r>
              <w:rPr>
                <w:rFonts w:ascii="Arial" w:cs="Arial" w:eastAsia="Arial" w:hAnsi="Arial"/>
                <w:sz w:val="16"/>
                <w:szCs w:val="16"/>
                <w:color w:val="0000EE"/>
              </w:rPr>
              <w:t>Condensed Consolidated Balance Sheets as of June 30, 2020 and December 31, 2019 (Unaudited)</w:t>
            </w:r>
          </w:p>
        </w:tc>
        <w:tc>
          <w:tcPr>
            <w:tcW w:w="122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c>
          <w:tcPr>
            <w:tcW w:w="0" w:type="dxa"/>
            <w:vAlign w:val="bottom"/>
          </w:tcPr>
          <w:p>
            <w:pPr>
              <w:spacing w:after="0"/>
              <w:rPr>
                <w:sz w:val="1"/>
                <w:szCs w:val="1"/>
                <w:color w:val="auto"/>
              </w:rPr>
            </w:pPr>
          </w:p>
        </w:tc>
      </w:tr>
      <w:tr>
        <w:trPr>
          <w:trHeight w:val="20"/>
        </w:trPr>
        <w:tc>
          <w:tcPr>
            <w:tcW w:w="6340" w:type="dxa"/>
            <w:vAlign w:val="bottom"/>
            <w:gridSpan w:val="2"/>
            <w:shd w:val="clear" w:color="auto" w:fill="0000EE"/>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980" w:type="dxa"/>
            <w:vAlign w:val="bottom"/>
            <w:gridSpan w:val="4"/>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for the six months ended June 30, 2020 and 2019 (Unaudited)</w:t>
              </w:r>
            </w:hyperlink>
          </w:p>
        </w:tc>
        <w:tc>
          <w:tcPr>
            <w:tcW w:w="1220" w:type="dxa"/>
            <w:vAlign w:val="bottom"/>
            <w:vMerge w:val="restart"/>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EE"/>
                <w:w w:val="96"/>
              </w:rPr>
            </w:pPr>
            <w:hyperlink w:anchor="page7">
              <w:r>
                <w:rPr>
                  <w:rFonts w:ascii="Arial" w:cs="Arial" w:eastAsia="Arial" w:hAnsi="Arial"/>
                  <w:sz w:val="16"/>
                  <w:szCs w:val="16"/>
                  <w:u w:val="single" w:color="auto"/>
                  <w:color w:val="0000EE"/>
                  <w:w w:val="96"/>
                </w:rPr>
                <w:t>Condensed Consolidated Statements of Changes in Shareholder's Equity for the three and six months ended June 30, 2020 and 2019 (Unaudited)</w:t>
              </w:r>
            </w:hyperlink>
          </w:p>
        </w:tc>
        <w:tc>
          <w:tcPr>
            <w:tcW w:w="1220" w:type="dxa"/>
            <w:vAlign w:val="bottom"/>
            <w:vMerge w:val="restart"/>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Unaudited Condensed Consolidated Financial Statements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8</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2. Management’s Discussion and Analysis of Financial Condition and Results of Operations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30</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Item 3. Quantitative and Qualitative Disclosures About Market Risk</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43</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Item 4. Controls and Procedures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43</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PART II. OTHER INFORMATION</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980" w:type="dxa"/>
            <w:vAlign w:val="bottom"/>
            <w:gridSpan w:val="4"/>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1. Legal Proceedings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1A. Risk Factors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2. Unregistered Sales of Equity Securities and Use of Proceeds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Item 4. Mine Safety Disclosures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5. Other Information</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tc>
        <w:tc>
          <w:tcPr>
            <w:tcW w:w="0" w:type="dxa"/>
            <w:vAlign w:val="bottom"/>
          </w:tcPr>
          <w:p>
            <w:pPr>
              <w:spacing w:after="0"/>
              <w:rPr>
                <w:sz w:val="1"/>
                <w:szCs w:val="1"/>
                <w:color w:val="auto"/>
              </w:rPr>
            </w:pPr>
          </w:p>
        </w:tc>
      </w:tr>
      <w:tr>
        <w:trPr>
          <w:trHeight w:val="432"/>
        </w:trPr>
        <w:tc>
          <w:tcPr>
            <w:tcW w:w="9980" w:type="dxa"/>
            <w:vAlign w:val="bottom"/>
            <w:gridSpan w:val="4"/>
          </w:tcPr>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6. Exhibits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45</w:t>
              </w:r>
            </w:hyperlink>
          </w:p>
        </w:tc>
        <w:tc>
          <w:tcPr>
            <w:tcW w:w="0" w:type="dxa"/>
            <w:vAlign w:val="bottom"/>
          </w:tcPr>
          <w:p>
            <w:pPr>
              <w:spacing w:after="0"/>
              <w:rPr>
                <w:sz w:val="1"/>
                <w:szCs w:val="1"/>
                <w:color w:val="auto"/>
              </w:rPr>
            </w:pPr>
          </w:p>
        </w:tc>
      </w:tr>
      <w:tr>
        <w:trPr>
          <w:trHeight w:val="378"/>
        </w:trPr>
        <w:tc>
          <w:tcPr>
            <w:tcW w:w="9980" w:type="dxa"/>
            <w:vAlign w:val="bottom"/>
            <w:gridSpan w:val="4"/>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SIGNATURES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91"/>
        </w:trPr>
        <w:tc>
          <w:tcPr>
            <w:tcW w:w="9980" w:type="dxa"/>
            <w:vAlign w:val="bottom"/>
            <w:gridSpan w:val="4"/>
          </w:tcPr>
          <w:p>
            <w:pPr>
              <w:ind w:left="340"/>
              <w:spacing w:after="0"/>
              <w:rPr>
                <w:rFonts w:ascii="Arial" w:cs="Arial" w:eastAsia="Arial" w:hAnsi="Arial"/>
                <w:sz w:val="16"/>
                <w:szCs w:val="16"/>
                <w:u w:val="single" w:color="auto"/>
                <w:color w:val="0000FF"/>
              </w:rPr>
            </w:pPr>
            <w:hyperlink r:id="rId8">
              <w:r>
                <w:rPr>
                  <w:rFonts w:ascii="Arial" w:cs="Arial" w:eastAsia="Arial" w:hAnsi="Arial"/>
                  <w:sz w:val="16"/>
                  <w:szCs w:val="16"/>
                  <w:u w:val="single" w:color="auto"/>
                  <w:color w:val="0000FF"/>
                </w:rPr>
                <w:t>Exhibit 4.1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80" w:type="dxa"/>
            <w:vAlign w:val="bottom"/>
            <w:gridSpan w:val="4"/>
          </w:tcPr>
          <w:p>
            <w:pPr>
              <w:ind w:left="34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Exhibit 10.1</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8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Exhibit 10.2</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Exhibit 31.1</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Exhibit 31.2</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Exhibit 32.1</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Exhibit 32.2</w:t>
        </w:r>
      </w:hyperlink>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AND COMPREHENSIVE INCOME / (LOSS)</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16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w w:val="96"/>
              </w:rPr>
              <w:t>Three Months Ended June 30,</w:t>
            </w: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3"/>
        </w:trPr>
        <w:tc>
          <w:tcPr>
            <w:tcW w:w="60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258,665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8"/>
              </w:rPr>
              <w:t>383,645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612,989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743,335</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8"/>
              </w:rPr>
              <w:t>143,671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238,954</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272,583</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17,633</w:t>
            </w: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35,742</w:t>
            </w: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35,954</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116,108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8"/>
              </w:rPr>
              <w:t>165,378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282,060</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340,247</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11,004</w:t>
            </w: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15,050</w:t>
            </w: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16,284</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244,585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8"/>
              </w:rPr>
              <w:t>337,686</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571,806</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665,068</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45,959</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41,183</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78,267</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2,710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4,851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(13,384)</w:t>
            </w:r>
          </w:p>
        </w:tc>
        <w:tc>
          <w:tcPr>
            <w:tcW w:w="3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(33,434)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(26,533)</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1,098</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4,334</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36,383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13,093</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61,206</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6,647</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29,736</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8,811</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62,492</w:t>
            </w:r>
          </w:p>
        </w:tc>
      </w:tr>
      <w:tr>
        <w:trPr>
          <w:trHeight w:val="311"/>
        </w:trPr>
        <w:tc>
          <w:tcPr>
            <w:tcW w:w="6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r>
      <w:tr>
        <w:trPr>
          <w:trHeight w:val="324"/>
        </w:trPr>
        <w:tc>
          <w:tcPr>
            <w:tcW w:w="6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r>
      <w:tr>
        <w:trPr>
          <w:trHeight w:val="324"/>
        </w:trPr>
        <w:tc>
          <w:tcPr>
            <w:tcW w:w="6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5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85,577</w:t>
            </w: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84,955</w:t>
            </w: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85,460</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86,257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85,548</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86,407</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(See Note 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17,714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(17,912)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39,235</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320" w:top="125" w:right="11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198,911</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$6,815 and $4,303</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179,143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275,296</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316,054</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67,342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67,907</w:t>
            </w:r>
          </w:p>
        </w:tc>
      </w:tr>
      <w:tr>
        <w:trPr>
          <w:trHeight w:val="3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966,222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858,168</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334,334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337,404</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 -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94,530</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998,686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1,031,591</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954,280</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7,529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12,623</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14,644</w:t>
            </w:r>
          </w:p>
        </w:tc>
      </w:tr>
      <w:tr>
        <w:trPr>
          <w:trHeight w:val="28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3,391,759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3,303,240</w:t>
            </w:r>
          </w:p>
        </w:tc>
      </w:tr>
      <w:tr>
        <w:trPr>
          <w:trHeight w:val="23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Current portion of borrowings under senior credit facility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Current portion of lease liability - operating leases</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12,253</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113,090</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4,717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4,772</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79,385</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73,374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76,809</w:t>
            </w:r>
          </w:p>
        </w:tc>
      </w:tr>
      <w:tr>
        <w:trPr>
          <w:trHeight w:val="3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212,415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331,309</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1,007,317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1,198,561</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securitization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104,500</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Long-term convertible securities</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465,006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liability -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97,504</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21,260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36,553</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118,077</w:t>
            </w:r>
          </w:p>
        </w:tc>
      </w:tr>
      <w:tr>
        <w:trPr>
          <w:trHeight w:val="217"/>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2,042,663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1,886,504</w:t>
            </w:r>
          </w:p>
        </w:tc>
      </w:tr>
      <w:tr>
        <w:trPr>
          <w:trHeight w:val="3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8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7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Common stock; $0.01 par value; 240,000 authorized shares; 89,189 and 88,735 issued at June 30, 2020 and</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December 31, 2019,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w:t>
            </w: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1,279,370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1,213,620</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3"/>
              </w:rPr>
              <w:t>Treasury stock, at cost; 4,915 shares and 2,865 shares at June 30, 2020 and December 31, 2019,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(119,943)</w:t>
            </w: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(76,402)</w:t>
            </w:r>
          </w:p>
        </w:tc>
      </w:tr>
      <w:tr>
        <w:trPr>
          <w:trHeight w:val="3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407,184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398,574</w:t>
            </w:r>
          </w:p>
        </w:tc>
      </w:tr>
      <w:tr>
        <w:trPr>
          <w:trHeight w:val="217"/>
        </w:trPr>
        <w:tc>
          <w:tcPr>
            <w:tcW w:w="774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1,349,096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1,416,736</w:t>
            </w:r>
          </w:p>
        </w:tc>
      </w:tr>
      <w:tr>
        <w:trPr>
          <w:trHeight w:val="3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3,391,759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3,303,240</w:t>
            </w: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8,811</w:t>
            </w:r>
          </w:p>
        </w:tc>
        <w:tc>
          <w:tcPr>
            <w:tcW w:w="10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62,492</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58,826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53,985</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impairment charges</w:t>
            </w:r>
          </w:p>
        </w:tc>
        <w:tc>
          <w:tcPr>
            <w:tcW w:w="4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5,764</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Deferred income tax benefit</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(9,077)</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Share-based compensation</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8,922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9,859</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Amortization of debt issuance costs and expenses associated with debt refinancing</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lease expense</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Accretion of bond issuance discount</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6,780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Change in fair value of contingent consideration and others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95,293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(30,356)</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(47,041)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(21,558)</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2,191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(14,806)</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non-current assets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480"/>
              <w:spacing w:after="0"/>
              <w:rPr>
                <w:sz w:val="20"/>
                <w:szCs w:val="20"/>
                <w:color w:val="auto"/>
              </w:rPr>
            </w:pPr>
            <w:r>
              <w:rPr>
                <w:rFonts w:ascii="Arial" w:cs="Arial" w:eastAsia="Arial" w:hAnsi="Arial"/>
                <w:sz w:val="14"/>
                <w:szCs w:val="14"/>
                <w:color w:val="auto"/>
              </w:rPr>
              <w:t>Accounts payable, accrued expenses and other current liabilities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(88,671)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16,410</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liabilities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(3,411)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53,931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78,008</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(23,736)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(33,750)</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7740" w:type="dxa"/>
            <w:vAlign w:val="bottom"/>
          </w:tcPr>
          <w:p>
            <w:pPr>
              <w:ind w:left="20"/>
              <w:spacing w:after="0"/>
              <w:rPr>
                <w:sz w:val="20"/>
                <w:szCs w:val="20"/>
                <w:color w:val="auto"/>
              </w:rPr>
            </w:pPr>
            <w:r>
              <w:rPr>
                <w:rFonts w:ascii="Arial" w:cs="Arial" w:eastAsia="Arial" w:hAnsi="Arial"/>
                <w:sz w:val="14"/>
                <w:szCs w:val="14"/>
                <w:color w:val="auto"/>
              </w:rPr>
              <w:t>Acquired in-process research and development milestone</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note receivable</w:t>
            </w:r>
          </w:p>
        </w:tc>
        <w:tc>
          <w:tcPr>
            <w:tcW w:w="4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3,302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(25,434)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(33,220)</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borrowings of long-term indebtedness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127,700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101,200</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Payments on debt</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(388,500)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(105,000)</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option hedge on convertible notes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(104,248)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convertible notes issuance</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stock purchase warrants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44,563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(20,264)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exercised stock options</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3,598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taxes paid in net equity settlement</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(6,212)</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133,452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(7,799)</w:t>
            </w:r>
          </w:p>
        </w:tc>
        <w:tc>
          <w:tcPr>
            <w:tcW w:w="0" w:type="dxa"/>
            <w:vAlign w:val="bottom"/>
          </w:tcPr>
          <w:p>
            <w:pPr>
              <w:spacing w:after="0"/>
              <w:rPr>
                <w:sz w:val="1"/>
                <w:szCs w:val="1"/>
                <w:color w:val="auto"/>
              </w:rPr>
            </w:pPr>
          </w:p>
        </w:tc>
      </w:tr>
      <w:tr>
        <w:trPr>
          <w:trHeight w:val="74"/>
        </w:trPr>
        <w:tc>
          <w:tcPr>
            <w:tcW w:w="7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4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162,070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37,246</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198,911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138,838</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360,981</w:t>
            </w:r>
          </w:p>
        </w:tc>
        <w:tc>
          <w:tcPr>
            <w:tcW w:w="10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176,084</w:t>
            </w:r>
          </w:p>
        </w:tc>
        <w:tc>
          <w:tcPr>
            <w:tcW w:w="0" w:type="dxa"/>
            <w:vAlign w:val="bottom"/>
          </w:tcPr>
          <w:p>
            <w:pPr>
              <w:spacing w:after="0"/>
              <w:rPr>
                <w:sz w:val="1"/>
                <w:szCs w:val="1"/>
                <w:color w:val="auto"/>
              </w:rPr>
            </w:pPr>
          </w:p>
        </w:tc>
      </w:tr>
      <w:tr>
        <w:trPr>
          <w:trHeight w:val="65"/>
        </w:trPr>
        <w:tc>
          <w:tcPr>
            <w:tcW w:w="774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620" w:right="148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78" w:lineRule="exact"/>
        <w:rPr>
          <w:sz w:val="20"/>
          <w:szCs w:val="20"/>
          <w:color w:val="auto"/>
        </w:rPr>
      </w:pPr>
    </w:p>
    <w:p>
      <w:pPr>
        <w:ind w:left="6420"/>
        <w:spacing w:after="0"/>
        <w:rPr>
          <w:sz w:val="20"/>
          <w:szCs w:val="20"/>
          <w:color w:val="auto"/>
        </w:rPr>
      </w:pPr>
      <w:r>
        <w:rPr>
          <w:rFonts w:ascii="Arial" w:cs="Arial" w:eastAsia="Arial" w:hAnsi="Arial"/>
          <w:sz w:val="13"/>
          <w:szCs w:val="13"/>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45085</wp:posOffset>
            </wp:positionV>
            <wp:extent cx="4937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74" w:lineRule="exact"/>
        <w:rPr>
          <w:sz w:val="20"/>
          <w:szCs w:val="20"/>
          <w:color w:val="auto"/>
        </w:rPr>
      </w:pPr>
    </w:p>
    <w:tbl>
      <w:tblPr>
        <w:tblLayout w:type="fixed"/>
        <w:tblInd w:w="3400" w:type="dxa"/>
        <w:tblCellMar>
          <w:top w:w="0" w:type="dxa"/>
          <w:left w:w="0" w:type="dxa"/>
          <w:bottom w:w="0" w:type="dxa"/>
          <w:right w:w="0" w:type="dxa"/>
        </w:tblCellMar>
      </w:tblPr>
      <w:tr>
        <w:trPr>
          <w:trHeight w:val="174"/>
        </w:trPr>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6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Treasury Stock</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Additional Paid-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rPr>
              <w:t>Retained</w:t>
            </w:r>
          </w:p>
        </w:tc>
        <w:tc>
          <w:tcPr>
            <w:tcW w:w="9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106"/>
        </w:trPr>
        <w:tc>
          <w:tcPr>
            <w:tcW w:w="7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Amount</w:t>
            </w:r>
          </w:p>
        </w:tc>
        <w:tc>
          <w:tcPr>
            <w:tcW w:w="7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92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Amount</w:t>
            </w: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In Capital</w:t>
            </w: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Comprehensive Loss</w:t>
            </w:r>
          </w:p>
        </w:tc>
        <w:tc>
          <w:tcPr>
            <w:tcW w:w="8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Earnings</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35560</wp:posOffset>
            </wp:positionV>
            <wp:extent cx="4937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8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Balance, January 1, 2020</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comprehensive loss, net of tax</w:t>
      </w:r>
    </w:p>
    <w:p>
      <w:pPr>
        <w:spacing w:after="0" w:line="82" w:lineRule="exact"/>
        <w:rPr>
          <w:sz w:val="20"/>
          <w:szCs w:val="20"/>
          <w:color w:val="auto"/>
        </w:rPr>
      </w:pPr>
    </w:p>
    <w:p>
      <w:pPr>
        <w:ind w:left="100" w:right="10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10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Share-based compensation</w:t>
      </w:r>
    </w:p>
    <w:p>
      <w:pPr>
        <w:spacing w:after="0" w:line="82" w:lineRule="exact"/>
        <w:rPr>
          <w:sz w:val="20"/>
          <w:szCs w:val="20"/>
          <w:color w:val="auto"/>
        </w:rPr>
      </w:pPr>
    </w:p>
    <w:p>
      <w:pPr>
        <w:ind w:left="100" w:right="380"/>
        <w:spacing w:after="0" w:line="253" w:lineRule="auto"/>
        <w:rPr>
          <w:sz w:val="20"/>
          <w:szCs w:val="20"/>
          <w:color w:val="auto"/>
        </w:rPr>
      </w:pPr>
      <w:r>
        <w:rPr>
          <w:rFonts w:ascii="Arial" w:cs="Arial" w:eastAsia="Arial" w:hAnsi="Arial"/>
          <w:sz w:val="14"/>
          <w:szCs w:val="14"/>
          <w:color w:val="auto"/>
        </w:rPr>
        <w:t>Share repurchase and equity component of the convertible note issuance, net</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Accelerated shares repurchased</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Adoption of Update No. 2016-13</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Balance, March 31, 2020</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comprehensive income, net of tax</w:t>
      </w:r>
    </w:p>
    <w:p>
      <w:pPr>
        <w:spacing w:after="0" w:line="82" w:lineRule="exact"/>
        <w:rPr>
          <w:sz w:val="20"/>
          <w:szCs w:val="20"/>
          <w:color w:val="auto"/>
        </w:rPr>
      </w:pPr>
    </w:p>
    <w:p>
      <w:pPr>
        <w:ind w:left="10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100" w:right="1240"/>
        <w:spacing w:after="0" w:line="508" w:lineRule="auto"/>
        <w:rPr>
          <w:sz w:val="20"/>
          <w:szCs w:val="20"/>
          <w:color w:val="auto"/>
        </w:rPr>
      </w:pPr>
      <w:r>
        <w:rPr>
          <w:rFonts w:ascii="Arial" w:cs="Arial" w:eastAsia="Arial" w:hAnsi="Arial"/>
          <w:sz w:val="12"/>
          <w:szCs w:val="12"/>
          <w:color w:val="auto"/>
        </w:rPr>
        <w:t>Share-based compensation Accelerated shares repurchased Balance, June 30, 2020</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88,735</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(2,865)</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(119,943)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1,213,620</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(76,401)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398,573</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1,416,736</w:t>
            </w: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9,180</w:t>
            </w: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(28,187)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(28,187)</w:t>
            </w:r>
          </w:p>
        </w:tc>
      </w:tr>
      <w:tr>
        <w:trPr>
          <w:trHeight w:val="31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694</w:t>
            </w:r>
          </w:p>
        </w:tc>
      </w:tr>
      <w:tr>
        <w:trPr>
          <w:trHeight w:val="351"/>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(2,739)</w:t>
            </w:r>
          </w:p>
        </w:tc>
      </w:tr>
      <w:tr>
        <w:trPr>
          <w:trHeight w:val="31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3,781</w:t>
            </w:r>
          </w:p>
        </w:tc>
      </w:tr>
      <w:tr>
        <w:trPr>
          <w:trHeight w:val="31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(7,632)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42,538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34,906</w:t>
            </w:r>
          </w:p>
        </w:tc>
      </w:tr>
      <w:tr>
        <w:trPr>
          <w:trHeight w:val="31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(75,407)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(92,368)</w:t>
            </w: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53"/>
        </w:trPr>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89,105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(202,506)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1,240,455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(104,588)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407,553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1,341,803</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57"/>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1,464</w:t>
            </w:r>
          </w:p>
        </w:tc>
      </w:tr>
      <w:tr>
        <w:trPr>
          <w:trHeight w:val="311"/>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1,250</w:t>
            </w:r>
          </w:p>
        </w:tc>
      </w:tr>
      <w:tr>
        <w:trPr>
          <w:trHeight w:val="31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4,948</w:t>
            </w: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(32,685)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32,685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3"/>
        </w:trPr>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89,189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(235,226)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1,279,370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(103,124)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407,184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1,349,096</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-2794000</wp:posOffset>
            </wp:positionV>
            <wp:extent cx="705485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-2451100</wp:posOffset>
            </wp:positionV>
            <wp:extent cx="705485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054850" cy="22288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-2005330</wp:posOffset>
            </wp:positionV>
            <wp:extent cx="70548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-1610995</wp:posOffset>
            </wp:positionV>
            <wp:extent cx="7054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-1268095</wp:posOffset>
            </wp:positionV>
            <wp:extent cx="70548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-925195</wp:posOffset>
            </wp:positionV>
            <wp:extent cx="7054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-530860</wp:posOffset>
            </wp:positionV>
            <wp:extent cx="7054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-187960</wp:posOffset>
            </wp:positionV>
            <wp:extent cx="7054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3140" w:space="260"/>
            <w:col w:w="7840"/>
          </w:cols>
          <w:pgMar w:left="320" w:top="125" w:right="339" w:bottom="1440" w:gutter="0" w:footer="0" w:header="0"/>
          <w:type w:val="continuous"/>
        </w:sectPr>
      </w:pPr>
    </w:p>
    <w:p>
      <w:pPr>
        <w:spacing w:after="0" w:line="99" w:lineRule="exact"/>
        <w:rPr>
          <w:sz w:val="20"/>
          <w:szCs w:val="20"/>
          <w:color w:val="auto"/>
        </w:rPr>
      </w:pPr>
    </w:p>
    <w:p>
      <w:pPr>
        <w:ind w:left="6340"/>
        <w:spacing w:after="0"/>
        <w:rPr>
          <w:sz w:val="20"/>
          <w:szCs w:val="20"/>
          <w:color w:val="auto"/>
        </w:rPr>
      </w:pPr>
      <w:r>
        <w:rPr>
          <w:rFonts w:ascii="Arial" w:cs="Arial" w:eastAsia="Arial" w:hAnsi="Arial"/>
          <w:sz w:val="13"/>
          <w:szCs w:val="13"/>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45085</wp:posOffset>
            </wp:positionV>
            <wp:extent cx="5134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74" w:lineRule="exact"/>
        <w:rPr>
          <w:sz w:val="20"/>
          <w:szCs w:val="20"/>
          <w:color w:val="auto"/>
        </w:rPr>
      </w:pPr>
    </w:p>
    <w:tbl>
      <w:tblPr>
        <w:tblLayout w:type="fixed"/>
        <w:tblInd w:w="3160" w:type="dxa"/>
        <w:tblCellMar>
          <w:top w:w="0" w:type="dxa"/>
          <w:left w:w="0" w:type="dxa"/>
          <w:bottom w:w="0" w:type="dxa"/>
          <w:right w:w="0" w:type="dxa"/>
        </w:tblCellMar>
      </w:tblPr>
      <w:tr>
        <w:trPr>
          <w:trHeight w:val="174"/>
        </w:trPr>
        <w:tc>
          <w:tcPr>
            <w:tcW w:w="170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76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rPr>
              <w:t>Treasury Stock</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 Paid-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900" w:type="dxa"/>
            <w:vAlign w:val="bottom"/>
          </w:tcPr>
          <w:p>
            <w:pPr>
              <w:ind w:left="160"/>
              <w:spacing w:after="0"/>
              <w:rPr>
                <w:sz w:val="20"/>
                <w:szCs w:val="20"/>
                <w:color w:val="auto"/>
              </w:rPr>
            </w:pPr>
            <w:r>
              <w:rPr>
                <w:rFonts w:ascii="Arial" w:cs="Arial" w:eastAsia="Arial" w:hAnsi="Arial"/>
                <w:sz w:val="13"/>
                <w:szCs w:val="13"/>
                <w:b w:val="1"/>
                <w:bCs w:val="1"/>
                <w:color w:val="auto"/>
              </w:rPr>
              <w:t>Retained</w:t>
            </w:r>
          </w:p>
        </w:tc>
        <w:tc>
          <w:tcPr>
            <w:tcW w:w="9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05"/>
        </w:trPr>
        <w:tc>
          <w:tcPr>
            <w:tcW w:w="7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Amount</w:t>
            </w:r>
          </w:p>
        </w:tc>
        <w:tc>
          <w:tcPr>
            <w:tcW w:w="82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9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Amount</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In Capital</w:t>
            </w: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9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Earnings</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35560</wp:posOffset>
            </wp:positionV>
            <wp:extent cx="5134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86" w:lineRule="exact"/>
        <w:rPr>
          <w:sz w:val="20"/>
          <w:szCs w:val="20"/>
          <w:color w:val="auto"/>
        </w:rPr>
      </w:pPr>
    </w:p>
    <w:p>
      <w:pPr>
        <w:ind w:left="682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240"/>
          </w:cols>
          <w:pgMar w:left="320" w:top="125" w:right="339" w:bottom="1440" w:gutter="0" w:footer="0" w:header="0"/>
          <w:type w:val="continuous"/>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January 1, 2019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8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88,044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880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(2,881)</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  (120,615)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1,192,601</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(45,443)</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  348,373</w:t>
            </w:r>
          </w:p>
        </w:tc>
        <w:tc>
          <w:tcPr>
            <w:tcW w:w="1080" w:type="dxa"/>
            <w:vAlign w:val="bottom"/>
          </w:tcPr>
          <w:p>
            <w:pPr>
              <w:jc w:val="right"/>
              <w:spacing w:after="0"/>
              <w:rPr>
                <w:sz w:val="20"/>
                <w:szCs w:val="20"/>
                <w:color w:val="auto"/>
              </w:rPr>
            </w:pPr>
            <w:r>
              <w:rPr>
                <w:rFonts w:ascii="Arial" w:cs="Arial" w:eastAsia="Arial" w:hAnsi="Arial"/>
                <w:sz w:val="14"/>
                <w:szCs w:val="14"/>
                <w:color w:val="auto"/>
              </w:rPr>
              <w:t>$   1,375,796</w:t>
            </w:r>
          </w:p>
        </w:tc>
      </w:tr>
      <w:tr>
        <w:trPr>
          <w:trHeight w:val="27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32,756</w:t>
            </w:r>
          </w:p>
        </w:tc>
        <w:tc>
          <w:tcPr>
            <w:tcW w:w="1080" w:type="dxa"/>
            <w:vAlign w:val="bottom"/>
          </w:tcPr>
          <w:p>
            <w:pPr>
              <w:jc w:val="right"/>
              <w:spacing w:after="0"/>
              <w:rPr>
                <w:sz w:val="20"/>
                <w:szCs w:val="20"/>
                <w:color w:val="auto"/>
              </w:rPr>
            </w:pPr>
            <w:r>
              <w:rPr>
                <w:rFonts w:ascii="Arial" w:cs="Arial" w:eastAsia="Arial" w:hAnsi="Arial"/>
                <w:sz w:val="14"/>
                <w:szCs w:val="14"/>
                <w:color w:val="auto"/>
              </w:rPr>
              <w:t>32,756</w:t>
            </w:r>
          </w:p>
        </w:tc>
      </w:tr>
      <w:tr>
        <w:trPr>
          <w:trHeight w:val="270"/>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(11,236)</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(11,236)</w:t>
            </w:r>
          </w:p>
        </w:tc>
      </w:tr>
      <w:tr>
        <w:trPr>
          <w:trHeight w:val="311"/>
        </w:trPr>
        <w:tc>
          <w:tcPr>
            <w:tcW w:w="54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24"/>
                <w:szCs w:val="2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4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-506095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-163195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980" w:space="340"/>
            <w:col w:w="7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3160" w:type="dxa"/>
            <w:vAlign w:val="bottom"/>
          </w:tcPr>
          <w:p>
            <w:pPr>
              <w:ind w:left="40"/>
              <w:spacing w:after="0"/>
              <w:rPr>
                <w:sz w:val="20"/>
                <w:szCs w:val="20"/>
                <w:color w:val="auto"/>
              </w:rPr>
            </w:pPr>
            <w:r>
              <w:rPr>
                <w:rFonts w:ascii="Arial" w:cs="Arial" w:eastAsia="Arial" w:hAnsi="Arial"/>
                <w:sz w:val="14"/>
                <w:szCs w:val="14"/>
                <w:color w:val="auto"/>
                <w:w w:val="93"/>
              </w:rPr>
              <w:t>Issuance of common stock for vesting of share based</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243</w:t>
            </w:r>
          </w:p>
        </w:tc>
        <w:tc>
          <w:tcPr>
            <w:tcW w:w="440" w:type="dxa"/>
            <w:vAlign w:val="bottom"/>
          </w:tcPr>
          <w:p>
            <w:pPr>
              <w:spacing w:after="0"/>
              <w:rPr>
                <w:sz w:val="13"/>
                <w:szCs w:val="13"/>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2</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12</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506</w:t>
            </w:r>
          </w:p>
        </w:tc>
        <w:tc>
          <w:tcPr>
            <w:tcW w:w="2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(5,629)</w:t>
            </w:r>
          </w:p>
        </w:tc>
        <w:tc>
          <w:tcPr>
            <w:tcW w:w="44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101"/>
        </w:trPr>
        <w:tc>
          <w:tcPr>
            <w:tcW w:w="3160" w:type="dxa"/>
            <w:vAlign w:val="bottom"/>
            <w:vMerge w:val="restart"/>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1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4,119</w:t>
            </w:r>
          </w:p>
        </w:tc>
        <w:tc>
          <w:tcPr>
            <w:tcW w:w="4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4,119</w:t>
            </w:r>
          </w:p>
        </w:tc>
        <w:tc>
          <w:tcPr>
            <w:tcW w:w="0" w:type="dxa"/>
            <w:vAlign w:val="bottom"/>
          </w:tcPr>
          <w:p>
            <w:pPr>
              <w:spacing w:after="0"/>
              <w:rPr>
                <w:sz w:val="1"/>
                <w:szCs w:val="1"/>
                <w:color w:val="auto"/>
              </w:rPr>
            </w:pPr>
          </w:p>
        </w:tc>
      </w:tr>
      <w:tr>
        <w:trPr>
          <w:trHeight w:val="298"/>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March 31, 2019</w:t>
            </w: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88,304</w:t>
            </w:r>
          </w:p>
        </w:tc>
        <w:tc>
          <w:tcPr>
            <w:tcW w:w="4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882</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(2,869)</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(120,109)</w:t>
            </w:r>
          </w:p>
        </w:tc>
        <w:tc>
          <w:tcPr>
            <w:tcW w:w="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1,191,807</w:t>
            </w:r>
          </w:p>
        </w:tc>
        <w:tc>
          <w:tcPr>
            <w:tcW w:w="44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(56,679)</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  381,129</w:t>
            </w:r>
          </w:p>
        </w:tc>
        <w:tc>
          <w:tcPr>
            <w:tcW w:w="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1,397,030</w:t>
            </w:r>
          </w:p>
        </w:tc>
        <w:tc>
          <w:tcPr>
            <w:tcW w:w="0" w:type="dxa"/>
            <w:vAlign w:val="bottom"/>
          </w:tcPr>
          <w:p>
            <w:pPr>
              <w:spacing w:after="0"/>
              <w:rPr>
                <w:sz w:val="1"/>
                <w:szCs w:val="1"/>
                <w:color w:val="auto"/>
              </w:rPr>
            </w:pPr>
          </w:p>
        </w:tc>
      </w:tr>
      <w:tr>
        <w:trPr>
          <w:trHeight w:val="204"/>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29,736</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c>
          <w:tcPr>
            <w:tcW w:w="0" w:type="dxa"/>
            <w:vAlign w:val="bottom"/>
          </w:tcPr>
          <w:p>
            <w:pPr>
              <w:spacing w:after="0"/>
              <w:rPr>
                <w:sz w:val="1"/>
                <w:szCs w:val="1"/>
                <w:color w:val="auto"/>
              </w:rPr>
            </w:pPr>
          </w:p>
        </w:tc>
      </w:tr>
      <w:tr>
        <w:trPr>
          <w:trHeight w:val="52"/>
        </w:trPr>
        <w:tc>
          <w:tcPr>
            <w:tcW w:w="3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8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June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(12,021)</w:t>
            </w:r>
          </w:p>
        </w:tc>
        <w:tc>
          <w:tcPr>
            <w:tcW w:w="1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(12,021)</w:t>
            </w:r>
          </w:p>
        </w:tc>
      </w:tr>
      <w:tr>
        <w:trPr>
          <w:trHeight w:val="310"/>
        </w:trPr>
        <w:tc>
          <w:tcPr>
            <w:tcW w:w="6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408</w:t>
            </w:r>
          </w:p>
        </w:tc>
      </w:tr>
      <w:tr>
        <w:trPr>
          <w:trHeight w:val="310"/>
        </w:trPr>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5,798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5,798</w:t>
            </w:r>
          </w:p>
        </w:tc>
      </w:tr>
      <w:tr>
        <w:trPr>
          <w:trHeight w:val="52"/>
        </w:trPr>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88,351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(2,869)</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(120,107)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1,198,010</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(68,700)</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  410,865</w:t>
            </w: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1,420,951</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-590550</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-196215</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80"/>
            <w:col w:w="8080"/>
          </w:cols>
          <w:pgMar w:left="320" w:top="125"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80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June 30, 2020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2019 included in the Company’s Annual Report on Form 10-K. The December 31, 2019 consolidated balance sheet was derived from audited financial statements, but does not include all disclosures required by accounting principles generally accepted in the United States. Operating results for the three and six month period ended June 30, 2020 are not necessarily indicative of the results to be expected for the entire year.</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The novel coronavirus (“COVID-19”) pandemic and the resulting adverse impacts to global economic conditions, as well as our operations, may impact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and Uncertainties</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Company is subject to risks and uncertainties as a result of the COVID-19 pandemic. The extent of the impact of the COVID-19 pandemic on the Company's business is highly uncertain and difficult to predict, as the responses to the pandemic and information is rapidly evolving. From late March, the Company's customers diverted resources to treat COVID-19 patients and deferred or canceled elective or non-emergent surgical procedures, all of which impacted hospitals' abilities to meet their obligations, including to the Company. During the second quarter of 2020, procedural volumes relevant to the Company’s products began to steadily increase and, in some geographic areas, began to approach normalized levels. However, on-going uncertainty persists about the continuing sustainability of those procedural volumes as virus outbreaks, especially in certain regions in the United States, constrain healthcare networks. Furthermore, capital markets and economies worldwide have also been negatively impacted by the COVID-19 pandemic, and it is likely that it could cause a local and/or global economic recession. Such economic disruption has had an adverse effect on the Company's business as customers curtailed and reduced capital and overall spending. Policymakers around the globe have responded with fiscal policy actions to support the healthcare industry and the economy as a whole. The magnitude and overall effectiveness of these actions remains uncertain.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with certainty. The Company's future results of operations and liquidity could be adversely impacted by delays in payments of outstanding receivable amounts beyond normal payment terms, supply chain disruptions and uncertain demand, and the impact of any initiatives or programs that the Company may undertake to address financial and operations challenges faced by its customers. The Company has already implemented contingency plans in first half of 2020 in order to address the operational impact of the COVID-19 pandemic and the continuity of operations. Even after the COVID-19 pandemic and government responses thereto have subsided, residual economic and other effects may have an impact on the demand for post-pandemic surgery levels that are difficult to predict. If the downturn is more severe and prolonged than currently expected, the Company may need to take further steps to reduce costs.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ASU is intended to improve financial reporting by requiring timelier recording of credit losses on loans and other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is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w:t>
      </w:r>
    </w:p>
    <w:p>
      <w:pPr>
        <w:spacing w:after="0" w:line="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current COVID-19 pandemic, or other customer-specific factors. Although the Company has historically not experienced significant credit losses, it is possible that there could be an adverse impact as hospital's cash flows are impacted by their response to the COVID-19 pandemic.</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The new guidance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adoption is not expected to have a material impact on on the Company's consolidated financial statements and related disclosures.</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relating to a customer's accounting for implementation, set-up, and other upfront costs incurred in a cloud computing arrangement that is hosted by a vendor (e.g.,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xml:space="preserve">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Adoption of the standard requires certain changes to be made prospectively, with some changes to be made retrospectively. The Company is currently assessing the impact of this standard on the financial condition and results of operations.</w:t>
      </w: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is effective immediately and may be applied prospectively to contract modifications made and hedging relationships entered into or evaluated on or before December 31, 2022. The Company is currently assessing the impact that this ASU will have on its consolidated financial statements and related disclosures.</w:t>
      </w:r>
    </w:p>
    <w:p>
      <w:pPr>
        <w:spacing w:after="0" w:line="191" w:lineRule="exact"/>
        <w:rPr>
          <w:sz w:val="20"/>
          <w:szCs w:val="20"/>
          <w:color w:val="auto"/>
        </w:rPr>
      </w:pPr>
    </w:p>
    <w:p>
      <w:pPr>
        <w:jc w:val="both"/>
        <w:ind w:right="420"/>
        <w:spacing w:after="0" w:line="279"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 xml:space="preserve">Debt- Debt with Conversion and Other Options (Subtopic 470-20) and Derivatives and Hedging-Contracts in Entity's Own Equity (Subtopic 815-40)-Accounting For Convertible Instruments and Contracts in an Entity's Own Equity </w:t>
      </w:r>
      <w:r>
        <w:rPr>
          <w:rFonts w:ascii="Arial" w:cs="Arial" w:eastAsia="Arial" w:hAnsi="Arial"/>
          <w:sz w:val="18"/>
          <w:szCs w:val="18"/>
          <w:color w:val="auto"/>
        </w:rPr>
        <w:t>.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The Company is currently assessing the impact of this standard on its consolidated financial statements and related disclosures.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 external ventricular drainage (EVD) catheter with Endexo® technology, a permanent additive designed to reduce the potential for catheter obstruction due to thrombus formation.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Arkis Acquisition has been accounted for using the acquisition method of accounting. This method requires that assets acquired and liabilities assumed in a business combination to be recognized at their fair values as of the acquisition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Final Valuation as of</w:t>
            </w:r>
          </w:p>
        </w:tc>
        <w:tc>
          <w:tcPr>
            <w:tcW w:w="100" w:type="dxa"/>
            <w:vAlign w:val="bottom"/>
          </w:tcPr>
          <w:p>
            <w:pPr>
              <w:spacing w:after="0"/>
              <w:rPr>
                <w:sz w:val="14"/>
                <w:szCs w:val="14"/>
                <w:color w:val="auto"/>
              </w:rPr>
            </w:pPr>
          </w:p>
        </w:tc>
        <w:tc>
          <w:tcPr>
            <w:tcW w:w="1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158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92"/>
              </w:rPr>
              <w:t>June 30, 2020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580" w:type="dxa"/>
            <w:vAlign w:val="bottom"/>
            <w:tcBorders>
              <w:bottom w:val="single" w:sz="8" w:color="CCEEFF"/>
            </w:tcBorders>
            <w:shd w:val="clear" w:color="auto" w:fill="CCEEFF"/>
          </w:tcPr>
          <w:p>
            <w:pPr>
              <w:jc w:val="right"/>
              <w:ind w:right="138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5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5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CerebroFlo developed technology</w:t>
            </w:r>
          </w:p>
        </w:tc>
        <w:tc>
          <w:tcPr>
            <w:tcW w:w="15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20,100</w:t>
            </w:r>
          </w:p>
        </w:tc>
        <w:tc>
          <w:tcPr>
            <w:tcW w:w="10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Enabling technology license</w:t>
            </w:r>
          </w:p>
        </w:tc>
        <w:tc>
          <w:tcPr>
            <w:tcW w:w="1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27,153</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52,228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5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13,100</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5,603</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580" w:type="dxa"/>
            <w:vAlign w:val="bottom"/>
            <w:tcBorders>
              <w:top w:val="single" w:sz="8" w:color="auto"/>
              <w:bottom w:val="single" w:sz="8" w:color="auto"/>
            </w:tcBorders>
          </w:tcPr>
          <w:p>
            <w:pPr>
              <w:jc w:val="right"/>
              <w:ind w:right="1381"/>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30,599</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 measure the risk inherent in each future cash flow stream, the assessment of each asset’s life cycle, and competitive trends impacting the asset and each cash flow stream.</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ectPr>
          <w:pgSz w:w="11900" w:h="16838" w:orient="portrait"/>
          <w:cols w:equalWidth="0" w:num="1">
            <w:col w:w="11240"/>
          </w:cols>
          <w:pgMar w:left="320" w:top="121" w:right="339" w:bottom="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the Company's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 Adverse changes in assumptions utilized in the contingent consideration fair value estimates could result in an increase in the contingent consideration obligation and a corresponding charge to operating results.</w:t>
      </w:r>
    </w:p>
    <w:p>
      <w:pPr>
        <w:spacing w:after="0" w:line="5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June 30, 2020 was $13.5 million. This amount is included in other liabilities at June 30, 2020 in the consolidated balance sheets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in-process research and development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in-process research and development expense in the consolidated statements of operations during the year ended December 31, 2019. The obligation was included in accrued expenses and other current liabilities at December 31, 2019 in the consolidated balance sheets. The milestone was paid during the first quarter of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During the quarter ended March 31, 2019, the total upfront payment of $1.7 million was expensed as a component of research and development expense and the future milestone and option payments will be recorded if the corresponding events become probable.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for services.</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 sales, the Company retains control until the product has been used or implanted, at which time revenue is recognized.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thirty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six months ended June 30, 2020: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2020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8,680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r>
      <w:tr>
        <w:trPr>
          <w:trHeight w:val="243"/>
        </w:trPr>
        <w:tc>
          <w:tcPr>
            <w:tcW w:w="40" w:type="dxa"/>
            <w:vAlign w:val="bottom"/>
          </w:tcPr>
          <w:p>
            <w:pPr>
              <w:spacing w:after="0"/>
              <w:rPr>
                <w:sz w:val="21"/>
                <w:szCs w:val="21"/>
                <w:color w:val="auto"/>
              </w:rPr>
            </w:pPr>
          </w:p>
        </w:tc>
        <w:tc>
          <w:tcPr>
            <w:tcW w:w="906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7,402</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June 30, 2020</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7,402</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Contract Liability</w:t>
            </w:r>
          </w:p>
        </w:tc>
        <w:tc>
          <w:tcPr>
            <w:tcW w:w="7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2020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11,946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43"/>
        </w:trPr>
        <w:tc>
          <w:tcPr>
            <w:tcW w:w="40" w:type="dxa"/>
            <w:vAlign w:val="bottom"/>
          </w:tcPr>
          <w:p>
            <w:pPr>
              <w:spacing w:after="0"/>
              <w:rPr>
                <w:sz w:val="21"/>
                <w:szCs w:val="21"/>
                <w:color w:val="auto"/>
              </w:rPr>
            </w:pPr>
          </w:p>
        </w:tc>
        <w:tc>
          <w:tcPr>
            <w:tcW w:w="9060" w:type="dxa"/>
            <w:vAlign w:val="bottom"/>
            <w:gridSpan w:val="2"/>
          </w:tcPr>
          <w:p>
            <w:pPr>
              <w:ind w:left="460"/>
              <w:spacing w:after="0"/>
              <w:rPr>
                <w:sz w:val="20"/>
                <w:szCs w:val="20"/>
                <w:color w:val="auto"/>
              </w:rPr>
            </w:pPr>
            <w:r>
              <w:rPr>
                <w:rFonts w:ascii="Arial" w:cs="Arial" w:eastAsia="Arial" w:hAnsi="Arial"/>
                <w:sz w:val="18"/>
                <w:szCs w:val="18"/>
                <w:color w:val="auto"/>
              </w:rPr>
              <w:t>Transfers from long-term to short-term</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57"/>
        </w:trPr>
        <w:tc>
          <w:tcPr>
            <w:tcW w:w="40" w:type="dxa"/>
            <w:vAlign w:val="bottom"/>
          </w:tcPr>
          <w:p>
            <w:pPr>
              <w:spacing w:after="0"/>
              <w:rPr>
                <w:sz w:val="22"/>
                <w:szCs w:val="22"/>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liability, June 30, 2020</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11,280</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the short-term portion of the contract liability of $4.7 million and the long-term portion of $6.6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Company is expected to recognize approximately 42% of unsatisfied (or partially unsatisfied) performance obligations as revenue through 2020, with the remaining balance to be recognized in 2021 and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six months ended June 30, 2020 and 2019 (amounts in thousands):</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24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Three Months</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80" w:type="dxa"/>
            <w:vAlign w:val="bottom"/>
          </w:tcPr>
          <w:p>
            <w:pPr>
              <w:spacing w:after="0"/>
              <w:rPr>
                <w:sz w:val="12"/>
                <w:szCs w:val="12"/>
                <w:color w:val="auto"/>
              </w:rPr>
            </w:pPr>
          </w:p>
        </w:tc>
        <w:tc>
          <w:tcPr>
            <w:tcW w:w="12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4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June 30, 2020</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324"/>
        </w:trPr>
        <w:tc>
          <w:tcPr>
            <w:tcW w:w="4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141,430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192,929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326,373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372,448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56,329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111,378</w:t>
            </w:r>
          </w:p>
        </w:tc>
        <w:tc>
          <w:tcPr>
            <w:tcW w:w="0" w:type="dxa"/>
            <w:vAlign w:val="bottom"/>
          </w:tcPr>
          <w:p>
            <w:pPr>
              <w:spacing w:after="0"/>
              <w:rPr>
                <w:sz w:val="1"/>
                <w:szCs w:val="1"/>
                <w:color w:val="auto"/>
              </w:rPr>
            </w:pPr>
          </w:p>
        </w:tc>
      </w:tr>
      <w:tr>
        <w:trPr>
          <w:trHeight w:val="236"/>
        </w:trPr>
        <w:tc>
          <w:tcPr>
            <w:tcW w:w="476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169,778</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249,258</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401,218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483,826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Wound Reconstruction and Care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56,291</w:t>
            </w:r>
          </w:p>
        </w:tc>
        <w:tc>
          <w:tcPr>
            <w:tcW w:w="1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82,282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128,558</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157,245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21,762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44,447</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21,434</w:t>
            </w:r>
          </w:p>
        </w:tc>
        <w:tc>
          <w:tcPr>
            <w:tcW w:w="1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30,343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50,579</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57,817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88,887</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134,387</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211,771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259,509</w:t>
            </w:r>
          </w:p>
        </w:tc>
        <w:tc>
          <w:tcPr>
            <w:tcW w:w="0" w:type="dxa"/>
            <w:vAlign w:val="bottom"/>
          </w:tcPr>
          <w:p>
            <w:pPr>
              <w:spacing w:after="0"/>
              <w:rPr>
                <w:sz w:val="1"/>
                <w:szCs w:val="1"/>
                <w:color w:val="auto"/>
              </w:rPr>
            </w:pPr>
          </w:p>
        </w:tc>
      </w:tr>
      <w:tr>
        <w:trPr>
          <w:trHeight w:val="257"/>
        </w:trPr>
        <w:tc>
          <w:tcPr>
            <w:tcW w:w="476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383,645</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612,989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743,335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Prior period amounts were reclassified between categories within the Codman Specialty Surgical segment to conform to the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2019</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gridSpan w:val="4"/>
          </w:tcPr>
          <w:p>
            <w:pPr>
              <w:jc w:val="right"/>
              <w:ind w:right="13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230,864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201,870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52,805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48,333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65,851</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358,756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316,054</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six-month period ended June 30,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Codman Specialty</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Surgical</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Tissue Technologies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300,780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954,280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June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654,820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301,387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956,207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2"/>
              </w:rPr>
              <w:t>June 30, 2020</w:t>
            </w: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70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7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7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Life</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9"/>
              </w:rPr>
              <w:t>19 years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885,015</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(237,580)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647,435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jc w:val="center"/>
              <w:ind w:right="155"/>
              <w:spacing w:after="0"/>
              <w:rPr>
                <w:sz w:val="20"/>
                <w:szCs w:val="20"/>
                <w:color w:val="auto"/>
              </w:rPr>
            </w:pPr>
            <w:r>
              <w:rPr>
                <w:rFonts w:ascii="Arial" w:cs="Arial" w:eastAsia="Arial" w:hAnsi="Arial"/>
                <w:sz w:val="18"/>
                <w:szCs w:val="18"/>
                <w:color w:val="auto"/>
                <w:w w:val="89"/>
              </w:rPr>
              <w:t>12 years</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222,249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(131,273)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9"/>
              </w:rPr>
              <w:t>28 years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103,794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73,517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Codman tradename</w:t>
            </w:r>
          </w:p>
        </w:tc>
        <w:tc>
          <w:tcPr>
            <w:tcW w:w="1700" w:type="dxa"/>
            <w:vAlign w:val="bottom"/>
          </w:tcPr>
          <w:p>
            <w:pPr>
              <w:jc w:val="center"/>
              <w:ind w:right="155"/>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164,787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164,787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7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9"/>
              </w:rPr>
              <w:t>27 years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1700" w:type="dxa"/>
            <w:vAlign w:val="bottom"/>
            <w:tcBorders>
              <w:bottom w:val="single" w:sz="8" w:color="CCEEFF"/>
            </w:tcBorders>
          </w:tcPr>
          <w:p>
            <w:pPr>
              <w:jc w:val="center"/>
              <w:ind w:right="155"/>
              <w:spacing w:after="0"/>
              <w:rPr>
                <w:sz w:val="20"/>
                <w:szCs w:val="20"/>
                <w:color w:val="auto"/>
              </w:rPr>
            </w:pPr>
            <w:r>
              <w:rPr>
                <w:rFonts w:ascii="Arial" w:cs="Arial" w:eastAsia="Arial" w:hAnsi="Arial"/>
                <w:sz w:val="18"/>
                <w:szCs w:val="18"/>
                <w:color w:val="auto"/>
                <w:w w:val="84"/>
              </w:rPr>
              <w:t>4 years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10,879</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w:t>
            </w:r>
          </w:p>
        </w:tc>
        <w:tc>
          <w:tcPr>
            <w:tcW w:w="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1,421,445</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(422,759)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998,686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58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5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5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58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880,623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(213,702)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666,921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jc w:val="center"/>
              <w:ind w:right="136"/>
              <w:spacing w:after="0"/>
              <w:rPr>
                <w:sz w:val="20"/>
                <w:szCs w:val="20"/>
                <w:color w:val="auto"/>
              </w:rPr>
            </w:pPr>
            <w:r>
              <w:rPr>
                <w:rFonts w:ascii="Arial" w:cs="Arial" w:eastAsia="Arial" w:hAnsi="Arial"/>
                <w:sz w:val="18"/>
                <w:szCs w:val="18"/>
                <w:color w:val="auto"/>
                <w:w w:val="86"/>
              </w:rPr>
              <w:t>12 years</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222,575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(119,393)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103,182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58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103,873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Codman tradename</w:t>
            </w:r>
          </w:p>
        </w:tc>
        <w:tc>
          <w:tcPr>
            <w:tcW w:w="1580" w:type="dxa"/>
            <w:vAlign w:val="bottom"/>
          </w:tcPr>
          <w:p>
            <w:pPr>
              <w:jc w:val="center"/>
              <w:ind w:right="156"/>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163,126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163,126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58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70"/>
        </w:trPr>
        <w:tc>
          <w:tcPr>
            <w:tcW w:w="4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580" w:type="dxa"/>
            <w:vAlign w:val="bottom"/>
            <w:tcBorders>
              <w:bottom w:val="single" w:sz="8" w:color="CCEEFF"/>
            </w:tcBorders>
          </w:tcPr>
          <w:p>
            <w:pPr>
              <w:jc w:val="center"/>
              <w:ind w:right="136"/>
              <w:spacing w:after="0"/>
              <w:rPr>
                <w:sz w:val="20"/>
                <w:szCs w:val="20"/>
                <w:color w:val="auto"/>
              </w:rPr>
            </w:pPr>
            <w:r>
              <w:rPr>
                <w:rFonts w:ascii="Arial" w:cs="Arial" w:eastAsia="Arial" w:hAnsi="Arial"/>
                <w:sz w:val="18"/>
                <w:szCs w:val="18"/>
                <w:color w:val="auto"/>
                <w:w w:val="88"/>
              </w:rPr>
              <w:t>4 years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10,869</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68"/>
        </w:trPr>
        <w:tc>
          <w:tcPr>
            <w:tcW w:w="48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1,415,787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(384,196)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1,031,591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(1) At June 30, 2020 and December 31, 2019, all other included IPR&amp;D of $1.0 million, which was indefinite-lived.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$36.4 million for the remainder of 2020, $64.5 million in 2021, $61.0 million in 2022, $60.1 million in 2023, $59.2 million in 2024, $59.2 million in 2025 and $492.7 million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Amended and Restated Senior Credit Agreement</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February 2020 Amendment, the Company’s maximum consolidated total leverage ratio in the financial covenants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44"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0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Leverage Ratio</w:t>
            </w:r>
          </w:p>
        </w:tc>
        <w:tc>
          <w:tcPr>
            <w:tcW w:w="0" w:type="dxa"/>
            <w:vAlign w:val="bottom"/>
          </w:tcPr>
          <w:p>
            <w:pPr>
              <w:spacing w:after="0"/>
              <w:rPr>
                <w:sz w:val="1"/>
                <w:szCs w:val="1"/>
                <w:color w:val="auto"/>
              </w:rPr>
            </w:pPr>
          </w:p>
        </w:tc>
      </w:tr>
      <w:tr>
        <w:trPr>
          <w:trHeight w:val="364"/>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First fiscal quarter ending after the Closing Date through June 30, 2022</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2022 through June 30, 2023</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2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(b) consolidated EBITDA as defined by the February 2020 amendment, for the period of four consecutive fiscal quarters ending on such date).</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14, 2020, the Company entered into an amendment (the "July 2020 Amendment") to the February 2020 Amendment of the Senior Credit Facility to increase financial flexibility in light of the unprecedented impact and uncertainty of the COVID-19 pandemic on the global economy. The July 2020 amendment does not increase the Company’s total indebtedness. The July 2020 Amendment (i) temporarily increases the Company’s maximum consolidated total leverage ratio from 5.0 to 5.5 for the four financial quarters beginning July 1, 2020 and ending June 30, 2021, and (ii) temporarily establishes the applicable rate of 2.25% in the event that the Company has a consolidated total leverage ratio in the range of 5.0 to 5.5 between July 1, 2020 and June 30, 2021, while the applicable rates remain unchanged when the Company’s consolidated total leverage ratio is less than 5.0.</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Senior Credit Facility is collateralized by substantially all of the assets of the Company’s U.S. subsidiaries, excluding intangible assets. The Senior Credit Facility is subject to various financial and negative covenants and at June 30, 2020,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2020 and December 31, 2019, there was $150.0 million and $375.0 million outstanding, respectively, under the revolving credit component of the Senior Credit Facility at weighted average interest rates of 1.6% and 3.2%, respectively. At June 30, 2020 and December 31, 2019, there was $877.5 million outstanding, respectively, under the Term Loan component of the Senior Credit Facility at a weighted average interest rate of 1.6% and 3.2%, respectively. At June 30, 2020, $11.3 million of the Term Loan component of the Senior Credit Facility is classified as current on the consolidated balance sheet as the first mandatory repayment is due June 30,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revolving credit and Term Loan components at June 30, 2020 were $139.3 million and $820.0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June 30, 2020 and December 31, 2019 totaled $0.8 million. There were no amounts drawn as of June 30,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5820" w:type="dxa"/>
            <w:vAlign w:val="bottom"/>
            <w:gridSpan w:val="3"/>
          </w:tcPr>
          <w:p>
            <w:pPr>
              <w:jc w:val="right"/>
              <w:ind w:right="4020"/>
              <w:spacing w:after="0"/>
              <w:rPr>
                <w:sz w:val="20"/>
                <w:szCs w:val="20"/>
                <w:color w:val="auto"/>
              </w:rPr>
            </w:pPr>
            <w:r>
              <w:rPr>
                <w:rFonts w:ascii="Arial" w:cs="Arial" w:eastAsia="Arial" w:hAnsi="Arial"/>
                <w:sz w:val="14"/>
                <w:szCs w:val="14"/>
                <w:b w:val="1"/>
                <w:bCs w:val="1"/>
                <w:color w:val="auto"/>
                <w:w w:val="92"/>
              </w:rPr>
              <w:t>Quarter Ended June 30, 2020</w:t>
            </w:r>
          </w:p>
        </w:tc>
        <w:tc>
          <w:tcPr>
            <w:tcW w:w="19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3"/>
              </w:rPr>
              <w:t>Principal Repayment</w:t>
            </w:r>
          </w:p>
        </w:tc>
      </w:tr>
      <w:tr>
        <w:trPr>
          <w:trHeight w:val="284"/>
        </w:trPr>
        <w:tc>
          <w:tcPr>
            <w:tcW w:w="340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24"/>
                <w:szCs w:val="24"/>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5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2021</w:t>
            </w:r>
          </w:p>
        </w:tc>
        <w:tc>
          <w:tcPr>
            <w:tcW w:w="1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color w:val="auto"/>
              </w:rPr>
              <w:t>33,750</w:t>
            </w:r>
          </w:p>
        </w:tc>
      </w:tr>
      <w:tr>
        <w:trPr>
          <w:trHeight w:val="27"/>
        </w:trPr>
        <w:tc>
          <w:tcPr>
            <w:tcW w:w="3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2023</w:t>
            </w:r>
          </w:p>
        </w:tc>
        <w:tc>
          <w:tcPr>
            <w:tcW w:w="1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color w:val="auto"/>
              </w:rPr>
              <w:t>61,875</w:t>
            </w:r>
          </w:p>
        </w:tc>
      </w:tr>
      <w:tr>
        <w:trPr>
          <w:trHeight w:val="27"/>
        </w:trPr>
        <w:tc>
          <w:tcPr>
            <w:tcW w:w="3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67,500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2025</w:t>
            </w:r>
          </w:p>
        </w:tc>
        <w:tc>
          <w:tcPr>
            <w:tcW w:w="1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color w:val="auto"/>
              </w:rPr>
              <w:t>669,375</w:t>
            </w:r>
          </w:p>
        </w:tc>
      </w:tr>
      <w:tr>
        <w:trPr>
          <w:trHeight w:val="27"/>
        </w:trPr>
        <w:tc>
          <w:tcPr>
            <w:tcW w:w="34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8"/>
        </w:trPr>
        <w:tc>
          <w:tcPr>
            <w:tcW w:w="340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877,500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The portion of debt proceeds that was classified as equity at the time of the offering was $104.5 million, and that amount is being amortized to interest expense using the effective interest method through August 2025. The effective interest rate implicit in the liability component is 4.2%. In connection with this offering, the Company capitalized $13.2 million of financing fees. At June 30, 2020, the carrying amount of the liability component was $477.2 million, the remaining unamortized discount was $97.8 million, and the principal amount outstanding was $575.0 million. The fair value of the 2025 Notes at June 30, 2020 was $522.7 million.</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w:t>
      </w: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June 30, 2020, none of these conditions existed with respect to the 2025 Notes and as a result the 2025 Notes are classified as long term.</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During the six months ended June 30, 2020, the Company recognized cash interest related to the contractual interest coupon of $1.2 million and amortization of the discount on the liability component of $6.8 million for a total interest charge of $8.0 million on the 2025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2020, the Company was in compliance with the covenants and none of the termination events had occurred. At June 30, 2020 and December 31, 2019, the Company had $68.7 million and $104.5 million, respectively, of outstanding borrowings under its Securitization Facility at a weighted average interest rate of 1.7% and 2.8%,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outstanding borrowing of the Securitization Facility at June 30, 2020 was $68.5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June 30, 2020 and December 31, 2019 (dollar amounts in thousands):</w:t>
      </w:r>
    </w:p>
    <w:p>
      <w:pPr>
        <w:spacing w:after="0" w:line="36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74"/>
        </w:trPr>
        <w:tc>
          <w:tcPr>
            <w:tcW w:w="1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5"/>
              </w:rPr>
              <w:t>June 30, 2020</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June 30, 2020</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Fixed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80" w:type="dxa"/>
            <w:vAlign w:val="bottom"/>
          </w:tcPr>
          <w:p>
            <w:pPr>
              <w:ind w:left="20"/>
              <w:spacing w:after="0"/>
              <w:rPr>
                <w:sz w:val="20"/>
                <w:szCs w:val="20"/>
                <w:color w:val="auto"/>
              </w:rPr>
            </w:pPr>
            <w:r>
              <w:rPr>
                <w:rFonts w:ascii="Arial" w:cs="Arial" w:eastAsia="Arial" w:hAnsi="Arial"/>
                <w:sz w:val="13"/>
                <w:szCs w:val="13"/>
                <w:b w:val="1"/>
                <w:bCs w:val="1"/>
                <w:color w:val="auto"/>
              </w:rPr>
              <w:t>Hedged Item</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Notional Amount</w:t>
            </w:r>
          </w:p>
        </w:tc>
        <w:tc>
          <w:tcPr>
            <w:tcW w:w="10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Designation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Effective Date</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Termination Date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180" w:type="dxa"/>
            <w:vAlign w:val="bottom"/>
          </w:tcPr>
          <w:p>
            <w:pPr>
              <w:spacing w:after="0"/>
              <w:rPr>
                <w:sz w:val="15"/>
                <w:szCs w:val="15"/>
                <w:color w:val="auto"/>
              </w:rPr>
            </w:pPr>
          </w:p>
        </w:tc>
        <w:tc>
          <w:tcPr>
            <w:tcW w:w="1760" w:type="dxa"/>
            <w:vAlign w:val="bottom"/>
            <w:gridSpan w:val="4"/>
          </w:tcPr>
          <w:p>
            <w:pPr>
              <w:jc w:val="center"/>
              <w:ind w:right="77"/>
              <w:spacing w:after="0"/>
              <w:rPr>
                <w:sz w:val="20"/>
                <w:szCs w:val="20"/>
                <w:color w:val="auto"/>
              </w:rPr>
            </w:pPr>
            <w:r>
              <w:rPr>
                <w:rFonts w:ascii="Arial" w:cs="Arial" w:eastAsia="Arial" w:hAnsi="Arial"/>
                <w:sz w:val="13"/>
                <w:szCs w:val="13"/>
                <w:b w:val="1"/>
                <w:bCs w:val="1"/>
                <w:color w:val="auto"/>
                <w:w w:val="89"/>
              </w:rPr>
              <w:t>Estimated Fair Value</w:t>
            </w:r>
          </w:p>
        </w:tc>
        <w:tc>
          <w:tcPr>
            <w:tcW w:w="0" w:type="dxa"/>
            <w:vAlign w:val="bottom"/>
          </w:tcPr>
          <w:p>
            <w:pPr>
              <w:spacing w:after="0"/>
              <w:rPr>
                <w:sz w:val="1"/>
                <w:szCs w:val="1"/>
                <w:color w:val="auto"/>
              </w:rPr>
            </w:pPr>
          </w:p>
        </w:tc>
      </w:tr>
      <w:tr>
        <w:trPr>
          <w:trHeight w:val="264"/>
        </w:trPr>
        <w:tc>
          <w:tcPr>
            <w:tcW w:w="14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7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9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4"/>
          </w:tcPr>
          <w:p>
            <w:pPr>
              <w:jc w:val="center"/>
              <w:ind w:right="77"/>
              <w:spacing w:after="0"/>
              <w:rPr>
                <w:sz w:val="20"/>
                <w:szCs w:val="20"/>
                <w:color w:val="auto"/>
              </w:rPr>
            </w:pPr>
            <w:r>
              <w:rPr>
                <w:rFonts w:ascii="Arial" w:cs="Arial" w:eastAsia="Arial" w:hAnsi="Arial"/>
                <w:sz w:val="13"/>
                <w:szCs w:val="13"/>
                <w:b w:val="1"/>
                <w:bCs w:val="1"/>
                <w:color w:val="auto"/>
                <w:w w:val="88"/>
              </w:rPr>
              <w:t>Asset (Liability)</w:t>
            </w:r>
          </w:p>
        </w:tc>
        <w:tc>
          <w:tcPr>
            <w:tcW w:w="0" w:type="dxa"/>
            <w:vAlign w:val="bottom"/>
          </w:tcPr>
          <w:p>
            <w:pPr>
              <w:spacing w:after="0"/>
              <w:rPr>
                <w:sz w:val="1"/>
                <w:szCs w:val="1"/>
                <w:color w:val="auto"/>
              </w:rPr>
            </w:pPr>
          </w:p>
        </w:tc>
      </w:tr>
      <w:tr>
        <w:trPr>
          <w:trHeight w:val="270"/>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3-month USD LIBOR Loan</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February 6,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2017</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62"/>
        </w:trPr>
        <w:tc>
          <w:tcPr>
            <w:tcW w:w="1480" w:type="dxa"/>
            <w:vAlign w:val="bottom"/>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February 6, 2017</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2017</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2020</w:t>
            </w:r>
          </w:p>
        </w:tc>
        <w:tc>
          <w:tcPr>
            <w:tcW w:w="660" w:type="dxa"/>
            <w:vAlign w:val="bottom"/>
          </w:tcPr>
          <w:p>
            <w:pPr>
              <w:jc w:val="right"/>
              <w:spacing w:after="0"/>
              <w:rPr>
                <w:sz w:val="20"/>
                <w:szCs w:val="20"/>
                <w:color w:val="auto"/>
              </w:rPr>
            </w:pPr>
            <w:r>
              <w:rPr>
                <w:rFonts w:ascii="Arial" w:cs="Arial" w:eastAsia="Arial" w:hAnsi="Arial"/>
                <w:sz w:val="13"/>
                <w:szCs w:val="13"/>
                <w:color w:val="auto"/>
              </w:rPr>
              <w:t>1.652%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8"/>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March 27,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December 31, 2017</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262"/>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150,000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150,000</w:t>
            </w:r>
          </w:p>
        </w:tc>
        <w:tc>
          <w:tcPr>
            <w:tcW w:w="10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January 1, 2018</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December 31, 2022</w:t>
            </w:r>
          </w:p>
        </w:tc>
        <w:tc>
          <w:tcPr>
            <w:tcW w:w="66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278"/>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150,000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January 1, 2018</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December 31, 2022</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262"/>
        </w:trPr>
        <w:tc>
          <w:tcPr>
            <w:tcW w:w="1480" w:type="dxa"/>
            <w:vAlign w:val="bottom"/>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July 1, 2019</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2024</w:t>
            </w:r>
          </w:p>
        </w:tc>
        <w:tc>
          <w:tcPr>
            <w:tcW w:w="660" w:type="dxa"/>
            <w:vAlign w:val="bottom"/>
          </w:tcPr>
          <w:p>
            <w:pPr>
              <w:jc w:val="right"/>
              <w:spacing w:after="0"/>
              <w:rPr>
                <w:sz w:val="20"/>
                <w:szCs w:val="20"/>
                <w:color w:val="auto"/>
              </w:rPr>
            </w:pPr>
            <w:r>
              <w:rPr>
                <w:rFonts w:ascii="Arial" w:cs="Arial" w:eastAsia="Arial" w:hAnsi="Arial"/>
                <w:sz w:val="13"/>
                <w:szCs w:val="13"/>
                <w:color w:val="auto"/>
              </w:rPr>
              <w:t>2.423%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(3,517)</w:t>
            </w:r>
          </w:p>
        </w:tc>
        <w:tc>
          <w:tcPr>
            <w:tcW w:w="0" w:type="dxa"/>
            <w:vAlign w:val="bottom"/>
          </w:tcPr>
          <w:p>
            <w:pPr>
              <w:spacing w:after="0"/>
              <w:rPr>
                <w:sz w:val="1"/>
                <w:szCs w:val="1"/>
                <w:color w:val="auto"/>
              </w:rPr>
            </w:pPr>
          </w:p>
        </w:tc>
      </w:tr>
      <w:tr>
        <w:trPr>
          <w:trHeight w:val="278"/>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July 1, 2019</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2024</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262"/>
        </w:trPr>
        <w:tc>
          <w:tcPr>
            <w:tcW w:w="1480" w:type="dxa"/>
            <w:vAlign w:val="bottom"/>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200,000</w:t>
            </w:r>
          </w:p>
        </w:tc>
        <w:tc>
          <w:tcPr>
            <w:tcW w:w="10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13, 2017</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January 1, 2018</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December 31, 2024</w:t>
            </w:r>
          </w:p>
        </w:tc>
        <w:tc>
          <w:tcPr>
            <w:tcW w:w="660" w:type="dxa"/>
            <w:vAlign w:val="bottom"/>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(17,286)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(6,595)</w:t>
            </w:r>
          </w:p>
        </w:tc>
        <w:tc>
          <w:tcPr>
            <w:tcW w:w="0" w:type="dxa"/>
            <w:vAlign w:val="bottom"/>
          </w:tcPr>
          <w:p>
            <w:pPr>
              <w:spacing w:after="0"/>
              <w:rPr>
                <w:sz w:val="1"/>
                <w:szCs w:val="1"/>
                <w:color w:val="auto"/>
              </w:rPr>
            </w:pPr>
          </w:p>
        </w:tc>
      </w:tr>
      <w:tr>
        <w:trPr>
          <w:trHeight w:val="258"/>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75,000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October 10, 2018</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July 1, 2020</w:t>
            </w:r>
          </w:p>
        </w:tc>
        <w:tc>
          <w:tcPr>
            <w:tcW w:w="1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(5,750)</w:t>
            </w:r>
          </w:p>
        </w:tc>
        <w:tc>
          <w:tcPr>
            <w:tcW w:w="0" w:type="dxa"/>
            <w:vAlign w:val="bottom"/>
          </w:tcPr>
          <w:p>
            <w:pPr>
              <w:spacing w:after="0"/>
              <w:rPr>
                <w:sz w:val="1"/>
                <w:szCs w:val="1"/>
                <w:color w:val="auto"/>
              </w:rPr>
            </w:pPr>
          </w:p>
        </w:tc>
      </w:tr>
      <w:tr>
        <w:trPr>
          <w:trHeight w:val="214"/>
        </w:trPr>
        <w:tc>
          <w:tcPr>
            <w:tcW w:w="1480" w:type="dxa"/>
            <w:vAlign w:val="bottom"/>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75,000</w:t>
            </w: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October 10, 2018</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July 1, 2020</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June 30, 2025</w:t>
            </w:r>
          </w:p>
        </w:tc>
        <w:tc>
          <w:tcPr>
            <w:tcW w:w="660" w:type="dxa"/>
            <w:vAlign w:val="bottom"/>
          </w:tcPr>
          <w:p>
            <w:pPr>
              <w:jc w:val="right"/>
              <w:spacing w:after="0"/>
              <w:rPr>
                <w:sz w:val="20"/>
                <w:szCs w:val="20"/>
                <w:color w:val="auto"/>
              </w:rPr>
            </w:pPr>
            <w:r>
              <w:rPr>
                <w:rFonts w:ascii="Arial" w:cs="Arial" w:eastAsia="Arial" w:hAnsi="Arial"/>
                <w:sz w:val="13"/>
                <w:szCs w:val="13"/>
                <w:color w:val="auto"/>
              </w:rPr>
              <w:t>3.199%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(5,747)</w:t>
            </w:r>
          </w:p>
        </w:tc>
        <w:tc>
          <w:tcPr>
            <w:tcW w:w="0" w:type="dxa"/>
            <w:vAlign w:val="bottom"/>
          </w:tcPr>
          <w:p>
            <w:pPr>
              <w:spacing w:after="0"/>
              <w:rPr>
                <w:sz w:val="1"/>
                <w:szCs w:val="1"/>
                <w:color w:val="auto"/>
              </w:rPr>
            </w:pPr>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75,000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October 10, 2018</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July 1, 2020</w:t>
            </w:r>
          </w:p>
        </w:tc>
        <w:tc>
          <w:tcPr>
            <w:tcW w:w="1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June 30, 2025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(5,807)</w:t>
            </w:r>
          </w:p>
        </w:tc>
        <w:tc>
          <w:tcPr>
            <w:tcW w:w="0" w:type="dxa"/>
            <w:vAlign w:val="bottom"/>
          </w:tcPr>
          <w:p>
            <w:pPr>
              <w:spacing w:after="0"/>
              <w:rPr>
                <w:sz w:val="1"/>
                <w:szCs w:val="1"/>
                <w:color w:val="auto"/>
              </w:rPr>
            </w:pPr>
          </w:p>
        </w:tc>
      </w:tr>
      <w:tr>
        <w:trPr>
          <w:trHeight w:val="214"/>
        </w:trPr>
        <w:tc>
          <w:tcPr>
            <w:tcW w:w="1480" w:type="dxa"/>
            <w:vAlign w:val="bottom"/>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18, 2018</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December 30, 2022</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December 31, 2027</w:t>
            </w:r>
          </w:p>
        </w:tc>
        <w:tc>
          <w:tcPr>
            <w:tcW w:w="660" w:type="dxa"/>
            <w:vAlign w:val="bottom"/>
          </w:tcPr>
          <w:p>
            <w:pPr>
              <w:jc w:val="right"/>
              <w:spacing w:after="0"/>
              <w:rPr>
                <w:sz w:val="20"/>
                <w:szCs w:val="20"/>
                <w:color w:val="auto"/>
              </w:rPr>
            </w:pPr>
            <w:r>
              <w:rPr>
                <w:rFonts w:ascii="Arial" w:cs="Arial" w:eastAsia="Arial" w:hAnsi="Arial"/>
                <w:sz w:val="13"/>
                <w:szCs w:val="13"/>
                <w:color w:val="auto"/>
              </w:rPr>
              <w:t>2.885%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3"/>
              </w:rPr>
              <w:t>1-month USD LIBOR Loan</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100,000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100,000</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December 18, 2018</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December 30, 2022</w:t>
            </w:r>
          </w:p>
        </w:tc>
        <w:tc>
          <w:tcPr>
            <w:tcW w:w="1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December 31, 2027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(4,691)</w:t>
            </w:r>
          </w:p>
        </w:tc>
        <w:tc>
          <w:tcPr>
            <w:tcW w:w="0" w:type="dxa"/>
            <w:vAlign w:val="bottom"/>
          </w:tcPr>
          <w:p>
            <w:pPr>
              <w:spacing w:after="0"/>
              <w:rPr>
                <w:sz w:val="1"/>
                <w:szCs w:val="1"/>
                <w:color w:val="auto"/>
              </w:rPr>
            </w:pPr>
          </w:p>
        </w:tc>
      </w:tr>
      <w:tr>
        <w:trPr>
          <w:trHeight w:val="128"/>
        </w:trPr>
        <w:tc>
          <w:tcPr>
            <w:tcW w:w="1480" w:type="dxa"/>
            <w:vAlign w:val="bottom"/>
          </w:tcPr>
          <w:p>
            <w:pPr>
              <w:ind w:left="20"/>
              <w:spacing w:after="0" w:line="128" w:lineRule="exact"/>
              <w:rPr>
                <w:sz w:val="20"/>
                <w:szCs w:val="20"/>
                <w:color w:val="auto"/>
              </w:rPr>
            </w:pPr>
            <w:r>
              <w:rPr>
                <w:rFonts w:ascii="Arial" w:cs="Arial" w:eastAsia="Arial" w:hAnsi="Arial"/>
                <w:sz w:val="13"/>
                <w:szCs w:val="13"/>
                <w:color w:val="auto"/>
              </w:rPr>
              <w:t>Total interest rate</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5" w:lineRule="exact"/>
              <w:rPr>
                <w:sz w:val="20"/>
                <w:szCs w:val="20"/>
                <w:color w:val="auto"/>
              </w:rPr>
            </w:pPr>
            <w:r>
              <w:rPr>
                <w:rFonts w:ascii="Arial" w:cs="Arial" w:eastAsia="Arial" w:hAnsi="Arial"/>
                <w:sz w:val="13"/>
                <w:szCs w:val="13"/>
                <w:color w:val="auto"/>
                <w:w w:val="87"/>
              </w:rPr>
              <w:t>derivatives designated as</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1,175,000</w:t>
            </w:r>
          </w:p>
        </w:tc>
        <w:tc>
          <w:tcPr>
            <w:tcW w:w="12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1,325,000</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(102,127)</w:t>
            </w:r>
          </w:p>
        </w:tc>
        <w:tc>
          <w:tcPr>
            <w:tcW w:w="100" w:type="dxa"/>
            <w:vAlign w:val="bottom"/>
          </w:tcPr>
          <w:p>
            <w:pPr>
              <w:spacing w:after="0"/>
              <w:rPr>
                <w:sz w:val="11"/>
                <w:szCs w:val="11"/>
                <w:color w:val="auto"/>
              </w:rPr>
            </w:pPr>
          </w:p>
        </w:tc>
        <w:tc>
          <w:tcPr>
            <w:tcW w:w="120" w:type="dxa"/>
            <w:vAlign w:val="bottom"/>
          </w:tcPr>
          <w:p>
            <w:pPr>
              <w:jc w:val="center"/>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(45,145)</w:t>
            </w:r>
          </w:p>
        </w:tc>
        <w:tc>
          <w:tcPr>
            <w:tcW w:w="0" w:type="dxa"/>
            <w:vAlign w:val="bottom"/>
          </w:tcPr>
          <w:p>
            <w:pPr>
              <w:spacing w:after="0"/>
              <w:rPr>
                <w:sz w:val="1"/>
                <w:szCs w:val="1"/>
                <w:color w:val="auto"/>
              </w:rPr>
            </w:pPr>
          </w:p>
        </w:tc>
      </w:tr>
      <w:tr>
        <w:trPr>
          <w:trHeight w:val="161"/>
        </w:trPr>
        <w:tc>
          <w:tcPr>
            <w:tcW w:w="1480" w:type="dxa"/>
            <w:vAlign w:val="bottom"/>
          </w:tcPr>
          <w:p>
            <w:pPr>
              <w:ind w:left="180"/>
              <w:spacing w:after="0"/>
              <w:rPr>
                <w:sz w:val="20"/>
                <w:szCs w:val="20"/>
                <w:color w:val="auto"/>
              </w:rPr>
            </w:pPr>
            <w:r>
              <w:rPr>
                <w:rFonts w:ascii="Arial" w:cs="Arial" w:eastAsia="Arial" w:hAnsi="Arial"/>
                <w:sz w:val="13"/>
                <w:szCs w:val="13"/>
                <w:color w:val="auto"/>
              </w:rPr>
              <w:t>cash flow hedge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until the hedged item affects earnings. Once the related hedged item affects earnings, the Company reclassifies amounts recorded in AOCL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an acquisition. The objective of these cross-currency swaps is to reduce volatility of earnings and cash flows associated with changes in the foreign currency exchange rate. Under the terms of these contracts, which have been designated as cash flow hedges, the Company will make</w:t>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payments in Swiss Francs and receive interest in U.S. dollars. Upon the maturity of these contracts, the Company will pay the principal amount of the loans in Swiss Francs and receive U.S. dollars from the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June 30, 2020 and December 31, 2019 (dollar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Effective Date</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980" w:type="dxa"/>
            <w:vAlign w:val="bottom"/>
            <w:gridSpan w:val="2"/>
          </w:tcPr>
          <w:p>
            <w:pPr>
              <w:jc w:val="right"/>
              <w:ind w:right="410"/>
              <w:spacing w:after="0" w:line="153" w:lineRule="exact"/>
              <w:rPr>
                <w:sz w:val="20"/>
                <w:szCs w:val="20"/>
                <w:color w:val="auto"/>
              </w:rPr>
            </w:pPr>
            <w:r>
              <w:rPr>
                <w:rFonts w:ascii="Arial" w:cs="Arial" w:eastAsia="Arial" w:hAnsi="Arial"/>
                <w:sz w:val="14"/>
                <w:szCs w:val="14"/>
                <w:b w:val="1"/>
                <w:bCs w:val="1"/>
                <w:color w:val="auto"/>
              </w:rPr>
              <w:t>Aggregate Notional</w:t>
            </w:r>
          </w:p>
        </w:tc>
        <w:tc>
          <w:tcPr>
            <w:tcW w:w="220" w:type="dxa"/>
            <w:vAlign w:val="bottom"/>
          </w:tcPr>
          <w:p>
            <w:pPr>
              <w:spacing w:after="0"/>
              <w:rPr>
                <w:sz w:val="13"/>
                <w:szCs w:val="13"/>
                <w:color w:val="auto"/>
              </w:rPr>
            </w:pPr>
          </w:p>
        </w:tc>
        <w:tc>
          <w:tcPr>
            <w:tcW w:w="3020" w:type="dxa"/>
            <w:vAlign w:val="bottom"/>
            <w:gridSpan w:val="4"/>
          </w:tcPr>
          <w:p>
            <w:pPr>
              <w:jc w:val="right"/>
              <w:ind w:right="1194"/>
              <w:spacing w:after="0" w:line="15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980" w:type="dxa"/>
            <w:vAlign w:val="bottom"/>
            <w:gridSpan w:val="2"/>
          </w:tcPr>
          <w:p>
            <w:pPr>
              <w:jc w:val="right"/>
              <w:ind w:right="75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3020" w:type="dxa"/>
            <w:vAlign w:val="bottom"/>
            <w:gridSpan w:val="4"/>
          </w:tcPr>
          <w:p>
            <w:pPr>
              <w:jc w:val="right"/>
              <w:ind w:right="1034"/>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32,355</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33,333</w:t>
            </w:r>
          </w:p>
        </w:tc>
        <w:tc>
          <w:tcPr>
            <w:tcW w:w="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48,533</w:t>
            </w:r>
          </w:p>
        </w:tc>
        <w:tc>
          <w:tcPr>
            <w:tcW w:w="22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145,598</w:t>
            </w:r>
          </w:p>
        </w:tc>
        <w:tc>
          <w:tcPr>
            <w:tcW w:w="22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08"/>
        </w:trPr>
        <w:tc>
          <w:tcPr>
            <w:tcW w:w="2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cross- currency swaps are carried on the consolidated balance sheet at fair value, and changes in the fair values are recorded as unrealized gains or losses in AOCL. For the three and six months ended June 30, 2020, the Company recorded losses of $3.4 million and $5.1 million, respectively, in other income, net related to change in fair value related to the foreign currency rate translation to offset the gains recognized on the intercompany loans. For the three and six months ended June 30, 2019, the Company recorded losses of $5.1 million and $1.8 million, respectively, in other income, net related to change in fair value related to the foreign currency rate translation to offset the gains recognized on the intercompany loans.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the Company recorded a loss of $2.3 million and a gain of $3.6 million in AOCL, respectively, related to change in fair value of the cross-currency swaps. For the three and six months ended June 30, 2019, the Company recorded a loss of $1.7 million and a gain for $5.8 million in AOCL, respectively, related to change in fair value of the cross-currency swaps.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2020, the Company recorded gains of $1.5 million and $3.0 million, respectively, in other income, net included in the consolidated statements of operations related to the interest rate differential of the cross-currency swaps. For the three and six months ended June 30, 2019, the Company recorded gains of $1.7 million and $3.7 million, respectively, in other income, net included in the consolidated statements of operations related to the interest rate differential of the cross-currency swaps.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AOCL as of June 30, 2020 within the next twelve months is $5.0 million. As of June 30, 2020, the Company does not expect any gains or losses will be reclassified into earnings as a result of the discontinuance of these cash flow hedges because the original forecasted transaction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June 30, 2020 and December 31, 2019, respectively (dollar amounts in thousands):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Effective Date</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Fixed Rate</w:t>
            </w:r>
          </w:p>
        </w:tc>
        <w:tc>
          <w:tcPr>
            <w:tcW w:w="1540" w:type="dxa"/>
            <w:vAlign w:val="bottom"/>
            <w:gridSpan w:val="2"/>
          </w:tcPr>
          <w:p>
            <w:pPr>
              <w:jc w:val="right"/>
              <w:ind w:right="130"/>
              <w:spacing w:after="0" w:line="153" w:lineRule="exact"/>
              <w:rPr>
                <w:sz w:val="20"/>
                <w:szCs w:val="20"/>
                <w:color w:val="auto"/>
              </w:rPr>
            </w:pPr>
            <w:r>
              <w:rPr>
                <w:rFonts w:ascii="Arial" w:cs="Arial" w:eastAsia="Arial" w:hAnsi="Arial"/>
                <w:sz w:val="14"/>
                <w:szCs w:val="14"/>
                <w:b w:val="1"/>
                <w:bCs w:val="1"/>
                <w:color w:val="auto"/>
              </w:rPr>
              <w:t>Aggregate Notional</w:t>
            </w:r>
          </w:p>
        </w:tc>
        <w:tc>
          <w:tcPr>
            <w:tcW w:w="220" w:type="dxa"/>
            <w:vAlign w:val="bottom"/>
          </w:tcPr>
          <w:p>
            <w:pPr>
              <w:spacing w:after="0"/>
              <w:rPr>
                <w:sz w:val="13"/>
                <w:szCs w:val="13"/>
                <w:color w:val="auto"/>
              </w:rPr>
            </w:pPr>
          </w:p>
        </w:tc>
        <w:tc>
          <w:tcPr>
            <w:tcW w:w="3100" w:type="dxa"/>
            <w:vAlign w:val="bottom"/>
            <w:gridSpan w:val="4"/>
          </w:tcPr>
          <w:p>
            <w:pPr>
              <w:jc w:val="right"/>
              <w:ind w:right="1233"/>
              <w:spacing w:after="0" w:line="15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5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3100" w:type="dxa"/>
            <w:vAlign w:val="bottom"/>
            <w:gridSpan w:val="4"/>
          </w:tcPr>
          <w:p>
            <w:pPr>
              <w:jc w:val="right"/>
              <w:ind w:right="1073"/>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EUR</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44,859</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3,037</w:t>
            </w:r>
          </w:p>
        </w:tc>
        <w:tc>
          <w:tcPr>
            <w:tcW w:w="200" w:type="dxa"/>
            <w:vAlign w:val="bottom"/>
            <w:shd w:val="clear" w:color="auto" w:fill="CCEEFF"/>
          </w:tcPr>
          <w:p>
            <w:pPr>
              <w:spacing w:after="0"/>
              <w:rPr>
                <w:sz w:val="23"/>
                <w:szCs w:val="2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08"/>
        </w:trPr>
        <w:tc>
          <w:tcPr>
            <w:tcW w:w="2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3.01%</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52,000</w:t>
            </w:r>
          </w:p>
        </w:tc>
        <w:tc>
          <w:tcPr>
            <w:tcW w:w="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EUR</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51,760</w:t>
            </w:r>
          </w:p>
        </w:tc>
        <w:tc>
          <w:tcPr>
            <w:tcW w:w="22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5,234</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108"/>
        </w:trPr>
        <w:tc>
          <w:tcPr>
            <w:tcW w:w="2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2.57%</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EUR</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38,820</w:t>
            </w:r>
          </w:p>
        </w:tc>
        <w:tc>
          <w:tcPr>
            <w:tcW w:w="22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4,416</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108"/>
        </w:trPr>
        <w:tc>
          <w:tcPr>
            <w:tcW w:w="2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2.19%</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GBP</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GBP</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22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16,614</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08"/>
        </w:trPr>
        <w:tc>
          <w:tcPr>
            <w:tcW w:w="2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167,500</w:t>
            </w:r>
          </w:p>
        </w:tc>
        <w:tc>
          <w:tcPr>
            <w:tcW w:w="22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165,172</w:t>
            </w:r>
          </w:p>
        </w:tc>
        <w:tc>
          <w:tcPr>
            <w:tcW w:w="22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08"/>
        </w:trPr>
        <w:tc>
          <w:tcPr>
            <w:tcW w:w="2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GBP</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GBP</w:t>
            </w: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22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20,640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cross-currency swaps were carried on the consolidated balance sheet at fair value and changes in the fair values were recorded as unrealized gains or losses in AOCL. For the three and six months ended June 30, 2020, the Company recorded loss of $2.5 million and a gain of $16.4 million in AOCL related to the change in fair value of the cross-currency swaps. For the three and six months ended June 30, 2019, the Company recorded a loss of $0.8 million and a gain of $9.4 million in AOCL related to the change in fair value of the cross-currency swaps.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and six months ended June 30, 2020, the Company recorded gains of $2.2 million and $4.4 million in interest income included in the consolidated statements of operations related to the interest rate differential of the cross-currency swaps. For the three and six months ended June 30, 2019, the Company recorded gains of $2.4 million and $4.7 million, respectively, in interest income included in the consolidation statements of operations related to the interest rate differential of the cross-currency swaps.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estimated gain that is expected to be reclassified to interest income from AOCL as of June 30, 2020 within the next twelve months is $8.2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December 31,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3"/>
          </w:tcPr>
          <w:p>
            <w:pPr>
              <w:jc w:val="right"/>
              <w:ind w:right="1151"/>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76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42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22"/>
                <w:szCs w:val="22"/>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gridSpan w:val="3"/>
          </w:tcPr>
          <w:p>
            <w:pPr>
              <w:jc w:val="right"/>
              <w:ind w:right="119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5,030</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5,032</w:t>
            </w: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8,195</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7,952</w:t>
            </w: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23,256</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3,465</w:t>
            </w:r>
          </w:p>
        </w:tc>
      </w:tr>
      <w:tr>
        <w:trPr>
          <w:trHeight w:val="237"/>
        </w:trPr>
        <w:tc>
          <w:tcPr>
            <w:tcW w:w="77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36,481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16,461</w:t>
            </w:r>
          </w:p>
        </w:tc>
      </w:tr>
      <w:tr>
        <w:trPr>
          <w:trHeight w:val="67"/>
        </w:trPr>
        <w:tc>
          <w:tcPr>
            <w:tcW w:w="2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8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78"/>
        </w:trPr>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760" w:type="dxa"/>
            <w:vAlign w:val="bottom"/>
            <w:gridSpan w:val="5"/>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6,635</w:t>
            </w: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79,426</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38,522</w:t>
            </w: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4,299</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5,440</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10,811</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2,772</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117,927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53,470</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left="5540" w:hanging="5532"/>
        <w:spacing w:after="0" w:line="685" w:lineRule="auto"/>
        <w:tabs>
          <w:tab w:leader="none" w:pos="33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Company classifies derivative assets and liabilities as non-current based on the cash flows expected to be incurred within the following 12 months. 21</w:t>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six months ended June 30,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Balance in AOCL</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Balance in AOCL</w:t>
            </w:r>
          </w:p>
        </w:tc>
        <w:tc>
          <w:tcPr>
            <w:tcW w:w="12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AOCL into</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AOCL</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End of Quarter</w:t>
            </w: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ind w:left="50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2020</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(102,127)</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5,843</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Investment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26,946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22,224</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53"/>
        </w:trPr>
        <w:tc>
          <w:tcPr>
            <w:tcW w:w="16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(74,060)</w:t>
            </w:r>
          </w:p>
        </w:tc>
        <w:tc>
          <w:tcPr>
            <w:tcW w:w="1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8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(16,678)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(25,163)</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(43,161)</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190"/>
        </w:trPr>
        <w:tc>
          <w:tcPr>
            <w:tcW w:w="2880" w:type="dxa"/>
            <w:vAlign w:val="bottom"/>
            <w:gridSpan w:val="4"/>
          </w:tcPr>
          <w:p>
            <w:pPr>
              <w:ind w:left="40"/>
              <w:spacing w:after="0"/>
              <w:rPr>
                <w:sz w:val="20"/>
                <w:szCs w:val="20"/>
                <w:color w:val="auto"/>
              </w:rPr>
            </w:pPr>
            <w:r>
              <w:rPr>
                <w:rFonts w:ascii="Arial" w:cs="Arial" w:eastAsia="Arial" w:hAnsi="Arial"/>
                <w:sz w:val="14"/>
                <w:szCs w:val="14"/>
                <w:color w:val="auto"/>
              </w:rPr>
              <w:t>Net Investment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Cross-currency swap</w:t>
            </w:r>
          </w:p>
        </w:tc>
        <w:tc>
          <w:tcPr>
            <w:tcW w:w="1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4,054</w:t>
            </w:r>
          </w:p>
        </w:tc>
        <w:tc>
          <w:tcPr>
            <w:tcW w:w="120" w:type="dxa"/>
            <w:vAlign w:val="bottom"/>
            <w:shd w:val="clear" w:color="auto" w:fill="CCEEFF"/>
          </w:tcPr>
          <w:p>
            <w:pPr>
              <w:spacing w:after="0"/>
              <w:rPr>
                <w:sz w:val="16"/>
                <w:szCs w:val="16"/>
                <w:color w:val="auto"/>
              </w:rPr>
            </w:pPr>
          </w:p>
        </w:tc>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74"/>
        </w:trPr>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(13,312)</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(27,679)</w:t>
            </w:r>
          </w:p>
        </w:tc>
        <w:tc>
          <w:tcPr>
            <w:tcW w:w="1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(41,391)</w:t>
            </w: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Balance in AOCL</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Balance in AOCL</w:t>
            </w:r>
          </w:p>
        </w:tc>
        <w:tc>
          <w:tcPr>
            <w:tcW w:w="12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AOCL into</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AOCL</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End of Quarter</w:t>
            </w: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ind w:left="50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88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 2020</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(45,146)</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(61,637)</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(4,656)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(102,127)</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5,843</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Net Investment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 w:type="dxa"/>
            <w:vAlign w:val="bottom"/>
            <w:shd w:val="clear" w:color="auto" w:fill="CCEEFF"/>
          </w:tcPr>
          <w:p>
            <w:pPr>
              <w:spacing w:after="0"/>
              <w:rPr>
                <w:sz w:val="22"/>
                <w:szCs w:val="22"/>
                <w:color w:val="auto"/>
              </w:rPr>
            </w:pP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16,357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4,362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22,224</w:t>
            </w:r>
          </w:p>
        </w:tc>
        <w:tc>
          <w:tcPr>
            <w:tcW w:w="120" w:type="dxa"/>
            <w:vAlign w:val="bottom"/>
            <w:shd w:val="clear" w:color="auto" w:fill="CCEEFF"/>
          </w:tcPr>
          <w:p>
            <w:pPr>
              <w:spacing w:after="0"/>
              <w:rPr>
                <w:sz w:val="22"/>
                <w:szCs w:val="22"/>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(34,740)</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(41,695)</w:t>
            </w:r>
          </w:p>
        </w:tc>
        <w:tc>
          <w:tcPr>
            <w:tcW w:w="1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(74,060)</w:t>
            </w: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5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880" w:type="dxa"/>
            <w:vAlign w:val="bottom"/>
            <w:gridSpan w:val="4"/>
            <w:vMerge w:val="continue"/>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(43,161)</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52"/>
        </w:trPr>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Investment Hedges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gridSpan w:val="4"/>
          </w:tcPr>
          <w:p>
            <w:pPr>
              <w:ind w:left="4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9,422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4,736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4,054</w:t>
            </w:r>
          </w:p>
        </w:tc>
        <w:tc>
          <w:tcPr>
            <w:tcW w:w="120" w:type="dxa"/>
            <w:vAlign w:val="bottom"/>
          </w:tcPr>
          <w:p>
            <w:pPr>
              <w:spacing w:after="0"/>
              <w:rPr>
                <w:sz w:val="16"/>
                <w:szCs w:val="16"/>
                <w:color w:val="auto"/>
              </w:rPr>
            </w:pPr>
          </w:p>
        </w:tc>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73"/>
        </w:trPr>
        <w:tc>
          <w:tcPr>
            <w:tcW w:w="160" w:type="dxa"/>
            <w:vAlign w:val="bottom"/>
            <w:tcBorders>
              <w:bottom w:val="single" w:sz="8" w:color="CCEEFF"/>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13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56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9,314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(41,391)</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date of grant for directors and generally expire eight years from the grant 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2020, there were approximately $6.9 million of total unrecognized compensation costs related to unvested stock options. These costs are expected to be recognized over a weighted-average period of approximately three years. There were 348,587 stock options granted during the six months ended June 30, 2020. For the six months ended June 30, 2020, the weighted average grant date fair value for stock options was $13.03 per option.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based on revenue goals of the Company. The Company expenses the fair value of restricted stock awards on a straight-line basis over the requisite service period. As of June 30, 2020, there was approximately $32.9 million of total unrecognized compensation costs related to these unvested awards. The Company expects to recognize these costs over a weighted-average period of approximately two years. The Company granted 312,323 restricted stock awards and 180,875 performance stock awards during the six months ended June 30, 2020. For the six months ended June 30, 2020, the weighted average grant date fair value for restricted stock awards and performance stock units was $44.04 and $43.39 per award,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periodic benefit costs for the Company’s defined benefit pension plans for the three and six months ended June 30, 2020 were $1.0 million and $1.9 million, respectively. The components of the net periodic benefit costs other than the service cost component of $0.9 million and $1.9 million for the three and six months ended June 30, 2020, respectively, are included in other income (expense), net in the consolidated statements of operations.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periodic benefit costs for the Company’s defined benefit pension plans for the three and six months ended June 30, 2019 was $0.5 million and $1.0 million, respectively. The components of the net periodic benefit costs other than the service cost component of $0.7 million and $1.3 million for the three and six months ended June 30, 2019, respectively, are included in other income (expense), net in the consolidated statements of operations.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$31.9 million and $30.8 million as of June 30, 2020 and December 31, 2019, respectively. The net plan assets of the pension plans are invested in common trusts as of June 30, 2020 and December 31, 2019.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9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May 2019, the Company adopted the Integra LifeSciences Deferred Compensation Plan (the “Plan”). Under the Plan, certain employees of the Company may defer the payment and taxation of up to 75% of their base salary and up to 100% of bonus amounts and other eligible cash compensation.</w:t>
      </w:r>
    </w:p>
    <w:p>
      <w:pPr>
        <w:spacing w:after="0" w:line="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of 2020, employees participating in the Plan began to defer their compensation. 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 The fair value of these assets at June 30, 2020 was $1.5 million. Offsetting liabilities relating to the deferred compensation plan are included in Other liabilities.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June 30, 2020.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operating lease expense for the six months ended June 30, 2020 and June 30, 2019, was $9.7 million and $9.0 million respectively, which includes $0.1 million, in related party operating lease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June 30,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220345</wp:posOffset>
            </wp:positionV>
            <wp:extent cx="1397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r>
      <w:tr>
        <w:trPr>
          <w:trHeight w:val="152"/>
        </w:trPr>
        <w:tc>
          <w:tcPr>
            <w:tcW w:w="904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0"/>
              </w:rPr>
              <w:t>(In thousands, except lease term</w:t>
            </w:r>
          </w:p>
        </w:tc>
      </w:tr>
      <w:tr>
        <w:trPr>
          <w:trHeight w:val="198"/>
        </w:trPr>
        <w:tc>
          <w:tcPr>
            <w:tcW w:w="9040" w:type="dxa"/>
            <w:vAlign w:val="bottom"/>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and discount rate)</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200" w:type="dxa"/>
            <w:vAlign w:val="bottom"/>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324"/>
        </w:trPr>
        <w:tc>
          <w:tcPr>
            <w:tcW w:w="904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Leased facilities</w:t>
            </w:r>
          </w:p>
        </w:tc>
        <w:tc>
          <w:tcPr>
            <w:tcW w:w="2200" w:type="dxa"/>
            <w:vAlign w:val="bottom"/>
          </w:tcPr>
          <w:p>
            <w:pPr>
              <w:jc w:val="right"/>
              <w:ind w:right="98"/>
              <w:spacing w:after="0"/>
              <w:rPr>
                <w:sz w:val="20"/>
                <w:szCs w:val="20"/>
                <w:color w:val="auto"/>
              </w:rPr>
            </w:pPr>
            <w:r>
              <w:rPr>
                <w:rFonts w:ascii="Arial" w:cs="Arial" w:eastAsia="Arial" w:hAnsi="Arial"/>
                <w:sz w:val="18"/>
                <w:szCs w:val="18"/>
                <w:color w:val="auto"/>
              </w:rPr>
              <w:t>12.3</w:t>
            </w: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vehicles</w:t>
            </w:r>
          </w:p>
        </w:tc>
        <w:tc>
          <w:tcPr>
            <w:tcW w:w="2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1.3</w:t>
            </w:r>
          </w:p>
        </w:tc>
      </w:tr>
      <w:tr>
        <w:trPr>
          <w:trHeight w:val="324"/>
        </w:trPr>
        <w:tc>
          <w:tcPr>
            <w:tcW w:w="90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Leased facilities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9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Leased vehicles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0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for the six months ended June 30, 2020 and six months ended June 30,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245110</wp:posOffset>
            </wp:positionV>
            <wp:extent cx="23056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ectPr>
          <w:pgSz w:w="11900" w:h="16838" w:orient="portrait"/>
          <w:cols w:equalWidth="0" w:num="1">
            <w:col w:w="11240"/>
          </w:cols>
          <w:pgMar w:left="320" w:top="121" w:right="339" w:bottom="777" w:gutter="0" w:footer="0" w:header="0"/>
        </w:sectPr>
      </w:pPr>
    </w:p>
    <w:p>
      <w:pPr>
        <w:spacing w:after="0" w:line="200" w:lineRule="exact"/>
        <w:rPr>
          <w:sz w:val="20"/>
          <w:szCs w:val="20"/>
          <w:color w:val="auto"/>
        </w:rPr>
      </w:pPr>
    </w:p>
    <w:p>
      <w:pPr>
        <w:spacing w:after="0" w:line="258" w:lineRule="exact"/>
        <w:rPr>
          <w:sz w:val="20"/>
          <w:szCs w:val="20"/>
          <w:color w:val="auto"/>
        </w:rPr>
      </w:pPr>
    </w:p>
    <w:p>
      <w:pPr>
        <w:ind w:left="7400"/>
        <w:spacing w:after="0"/>
        <w:rPr>
          <w:sz w:val="20"/>
          <w:szCs w:val="20"/>
          <w:color w:val="auto"/>
        </w:rPr>
      </w:pPr>
      <w:r>
        <w:rPr>
          <w:rFonts w:ascii="Arial" w:cs="Arial" w:eastAsia="Arial" w:hAnsi="Arial"/>
          <w:sz w:val="13"/>
          <w:szCs w:val="13"/>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31115</wp:posOffset>
            </wp:positionV>
            <wp:extent cx="63779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101" w:lineRule="exact"/>
        <w:rPr>
          <w:sz w:val="20"/>
          <w:szCs w:val="20"/>
          <w:color w:val="auto"/>
        </w:rPr>
      </w:pPr>
    </w:p>
    <w:p>
      <w:pPr>
        <w:ind w:left="738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31115</wp:posOffset>
            </wp:positionV>
            <wp:extent cx="1028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2019</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38100</wp:posOffset>
            </wp:positionV>
            <wp:extent cx="1028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8680" w:space="720"/>
            <w:col w:w="1840"/>
          </w:cols>
          <w:pgMar w:left="320" w:top="121" w:right="339" w:bottom="777" w:gutter="0" w:footer="0" w:header="0"/>
          <w:type w:val="continuous"/>
        </w:sectPr>
      </w:pPr>
    </w:p>
    <w:p>
      <w:pPr>
        <w:ind w:left="6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63779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43" w:lineRule="exact"/>
        <w:rPr>
          <w:sz w:val="20"/>
          <w:szCs w:val="20"/>
          <w:color w:val="auto"/>
        </w:rPr>
      </w:pPr>
    </w:p>
    <w:p>
      <w:pPr>
        <w:ind w:left="880"/>
        <w:spacing w:after="0"/>
        <w:tabs>
          <w:tab w:leader="none" w:pos="7020" w:val="left"/>
          <w:tab w:leader="none" w:pos="8120" w:val="left"/>
          <w:tab w:leader="none" w:pos="9040" w:val="left"/>
          <w:tab w:leader="none" w:pos="1012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237490</wp:posOffset>
            </wp:positionV>
            <wp:extent cx="63779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3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ROU assets obtained in exchange for lease liabilities:</w:t>
      </w:r>
    </w:p>
    <w:p>
      <w:pPr>
        <w:spacing w:after="0" w:line="63" w:lineRule="exact"/>
        <w:rPr>
          <w:sz w:val="20"/>
          <w:szCs w:val="20"/>
          <w:color w:val="auto"/>
        </w:rPr>
      </w:pPr>
    </w:p>
    <w:p>
      <w:pPr>
        <w:ind w:left="880"/>
        <w:spacing w:after="0"/>
        <w:tabs>
          <w:tab w:leader="none" w:pos="7020" w:val="left"/>
          <w:tab w:leader="none" w:pos="8120" w:val="left"/>
          <w:tab w:leader="none" w:pos="9040" w:val="left"/>
          <w:tab w:leader="none" w:pos="1004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37,646</w:t>
      </w:r>
    </w:p>
    <w:p>
      <w:pPr>
        <w:sectPr>
          <w:pgSz w:w="11900" w:h="16838" w:orient="portrait"/>
          <w:cols w:equalWidth="0" w:num="1">
            <w:col w:w="11240"/>
          </w:cols>
          <w:pgMar w:left="320" w:top="121" w:right="339" w:bottom="7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1" w:right="339" w:bottom="777"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June 30, 2020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8,052</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14,083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14,379</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15,067</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12,031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12,327</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91,725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93,153</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151,799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154,559</w:t>
            </w: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42,575</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111,984</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13,153</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98,831</w:t>
            </w:r>
          </w:p>
        </w:tc>
      </w:tr>
      <w:tr>
        <w:trPr>
          <w:trHeight w:val="27"/>
        </w:trPr>
        <w:tc>
          <w:tcPr>
            <w:tcW w:w="6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and December 31, 2019, there were 4.9 million and 2.9 million shares of treasury stock outstanding with a cost of $235.2 million and $119.9 million, at a weighted average cost per share of $47.86 and $41.87, respectively.</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December 11, 2018, the board of directors of the Company (the “Board”) authorized the Company to repurchase up to $225.0 million of the Company’s common stock. The program allows the Company to repurchase its shares opportunistically from time to time. The repurchase authorization expires in December 2020.</w:t>
      </w:r>
    </w:p>
    <w:p>
      <w:pPr>
        <w:spacing w:after="0" w:line="184"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During the six months ended June 30, 2020, the Company repurchased 1.9 million shares of Integra’s common stock as part of our existing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$125.0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 June 30,</w:t>
            </w: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27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18.3%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effective income tax rates for the three months ended June 30, 2020 and 2019 were 122.4% and 18.3%, respectively. For the three months ended June 30, 2020, the primary driver of the higher tax rate is lower income for the quarter in relation to the updated full year income projection, as impacted by the COVID-19 pandemic.</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effective income tax rates for the six months ended June 30, 2020 and 2019 were 32.7% and (2.1)%, respectively. For the six months ended June 30, 2020, the primary drivers of the higher tax rate were lower book income in lower-taxed jurisdictions and a $3.4 million valuation allowance on certain foreign deferred tax assets as the Company determined that it is no longer more likely than not that these foreign deferred tax assets would be realized due to the adverse impact of the COVID-19 pandemic in certain jurisdictions. For the six months ended June 30, 2019, the primary driver of the lower tax rate was a tax benefit of $10.8 million ($0.13 per share) related to a federal tax holiday in Switzerland, which was finalized during the quarter ended March 30, 2019. The Company received a Switzerland federal tax benefit of $12.0 million CHF, which can be used over a seven-year period, ending in 2024.</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2020,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June 30, 2020. The Company does not anticipate the need to repatriate earnings from foreign subsidiaries as a result of the impact of the COVID-19 pandemic.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certain income tax provisions for corporations and individuals, among other provisions. The Company does not expect the CARES Act to have a significant impact on the tax provision for income. The Company continues to monitor the issuance of new legislation, regulations, or case law that may impact federal, state, and international tax positions.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3"/>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31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8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91"/>
              </w:rPr>
              <w:t>(In thousands, except per share</w:t>
            </w:r>
          </w:p>
        </w:tc>
        <w:tc>
          <w:tcPr>
            <w:tcW w:w="120" w:type="dxa"/>
            <w:vAlign w:val="bottom"/>
          </w:tcPr>
          <w:p>
            <w:pPr>
              <w:spacing w:after="0"/>
              <w:rPr>
                <w:sz w:val="24"/>
                <w:szCs w:val="24"/>
                <w:color w:val="auto"/>
              </w:rPr>
            </w:pPr>
          </w:p>
        </w:tc>
        <w:tc>
          <w:tcPr>
            <w:tcW w:w="20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1"/>
              </w:rPr>
              <w:t>(In thousands, except per share</w:t>
            </w:r>
          </w:p>
        </w:tc>
      </w:t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88"/>
              </w:rPr>
              <w:t>amounts)</w:t>
            </w:r>
          </w:p>
        </w:tc>
        <w:tc>
          <w:tcPr>
            <w:tcW w:w="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1"/>
              </w:rPr>
              <w:t>amounts)</w:t>
            </w:r>
          </w:p>
        </w:tc>
        <w:tc>
          <w:tcPr>
            <w:tcW w:w="720" w:type="dxa"/>
            <w:vAlign w:val="bottom"/>
            <w:tcBorders>
              <w:bottom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52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Basic net income (loss) per share: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2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29,736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8,811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62,492</w:t>
            </w: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84,706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85,577</w:t>
            </w:r>
          </w:p>
        </w:tc>
        <w:tc>
          <w:tcPr>
            <w:tcW w:w="1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84,955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85,460</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r>
      <w:tr>
        <w:trPr>
          <w:trHeight w:val="33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Diluted net income (loss) per share:</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29,736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8,811</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62,492</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84,706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85,577</w:t>
            </w:r>
          </w:p>
        </w:tc>
        <w:tc>
          <w:tcPr>
            <w:tcW w:w="1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84,955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85,460</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Weighted average common shares for diluted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86,257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85,548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86,407</w:t>
            </w:r>
          </w:p>
        </w:tc>
      </w:tr>
      <w:tr>
        <w:trPr>
          <w:trHeight w:val="243"/>
        </w:trPr>
        <w:tc>
          <w:tcPr>
            <w:tcW w:w="40" w:type="dxa"/>
            <w:vAlign w:val="bottom"/>
          </w:tcPr>
          <w:p>
            <w:pPr>
              <w:spacing w:after="0"/>
              <w:rPr>
                <w:sz w:val="21"/>
                <w:szCs w:val="21"/>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Diluted net income (loss)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0.34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0.72</w:t>
            </w:r>
          </w:p>
        </w:tc>
      </w:tr>
    </w:tbl>
    <w:p>
      <w:pPr>
        <w:spacing w:after="0" w:line="200" w:lineRule="exact"/>
        <w:rPr>
          <w:sz w:val="20"/>
          <w:szCs w:val="20"/>
          <w:color w:val="auto"/>
        </w:rPr>
      </w:pPr>
    </w:p>
    <w:p>
      <w:pPr>
        <w:spacing w:after="0" w:line="3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of approximately 0.5 million and 0.1 million shares at June 30, 2020, and 2019, respectively that are issuable through exercise of dilutive securities were not included in the computation of diluted net income (loss) per share because their effect would have been anti-dilutive.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2"/>
              </w:rPr>
              <w:t>Three Months Ended June 30,</w:t>
            </w: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3"/>
        </w:trPr>
        <w:tc>
          <w:tcPr>
            <w:tcW w:w="5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58"/>
        </w:trPr>
        <w:tc>
          <w:tcPr>
            <w:tcW w:w="5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198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(In thousands)</w:t>
            </w:r>
          </w:p>
        </w:tc>
      </w:tr>
      <w:tr>
        <w:trPr>
          <w:trHeight w:val="255"/>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29,736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8,811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62,492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7,700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3,620</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Change in unrealized loss on derivatives, net of tax</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(19,703)</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(30,136)</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(23,937)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Comprehensive income (loss),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17,714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39,235</w:t>
            </w:r>
          </w:p>
        </w:tc>
      </w:tr>
      <w:tr>
        <w:trPr>
          <w:trHeight w:val="27"/>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2019 and June 30, 2020 are presented in the table below, net of tax: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Gains and Losses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Defined Benefit</w:t>
            </w:r>
          </w:p>
        </w:tc>
        <w:tc>
          <w:tcPr>
            <w:tcW w:w="3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Currency Items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(76,401)</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(28,544)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2020, the Company reclassified a loss of $1.6 million from accumulated other comprehensive loss to other income (expense), net and $0.2 million from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211" w:lineRule="exact"/>
        <w:rPr>
          <w:sz w:val="20"/>
          <w:szCs w:val="20"/>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18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six months ended June 30, 2020 and 2019 are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8"/>
              </w:rPr>
              <w:t>Three Months Ended June 30,</w:t>
            </w: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3"/>
        </w:trPr>
        <w:tc>
          <w:tcPr>
            <w:tcW w:w="5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64"/>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169,778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249,258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401,218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483,826</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134,387</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211,771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259,509</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258,665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383,645</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612,989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743,335</w:t>
            </w:r>
          </w:p>
        </w:tc>
      </w:tr>
      <w:tr>
        <w:trPr>
          <w:trHeight w:val="67"/>
        </w:trPr>
        <w:tc>
          <w:tcPr>
            <w:tcW w:w="51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0"/>
        </w:trPr>
        <w:tc>
          <w:tcPr>
            <w:tcW w:w="5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65,256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99,241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152,491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190,622</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41,787</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59,958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82,282</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93,944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141,028</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212,449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272,904</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(11,004)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(16,284)</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(84,065)</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(178,353)</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45,959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41,183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78,267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7"/>
              </w:rPr>
              <w:t>Three Months Ended June 30,</w:t>
            </w: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2019</w:t>
            </w:r>
          </w:p>
        </w:tc>
      </w:tr>
      <w:tr>
        <w:trPr>
          <w:trHeight w:val="263"/>
        </w:trPr>
        <w:tc>
          <w:tcPr>
            <w:tcW w:w="4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2"/>
                <w:szCs w:val="22"/>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273,390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428,702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530,116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50,871</w:t>
            </w:r>
          </w:p>
        </w:tc>
        <w:tc>
          <w:tcPr>
            <w:tcW w:w="36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99,511</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37,031</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73,461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72,731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2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11,288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22,353</w:t>
            </w:r>
          </w:p>
        </w:tc>
        <w:tc>
          <w:tcPr>
            <w:tcW w:w="36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32,904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40,977</w:t>
            </w: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8"/>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258,665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383,645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612,989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743,335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six-month period ended June 30, 2020 and June 30, 2019 to reflect the change in estimates, additions, payments, transfers and the time value of money during the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six months ended June 30, 2020 and June 30, 2019 is as follows (in thousands):</w:t>
      </w:r>
    </w:p>
    <w:p>
      <w:pPr>
        <w:sectPr>
          <w:pgSz w:w="11900" w:h="16838" w:orient="portrait"/>
          <w:cols w:equalWidth="0" w:num="1">
            <w:col w:w="11240"/>
          </w:cols>
          <w:pgMar w:left="320" w:top="121" w:right="3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Contingent Consideration Liability</w:t>
            </w:r>
          </w:p>
        </w:tc>
        <w:tc>
          <w:tcPr>
            <w:tcW w:w="220" w:type="dxa"/>
            <w:vAlign w:val="bottom"/>
          </w:tcPr>
          <w:p>
            <w:pPr>
              <w:spacing w:after="0"/>
              <w:rPr>
                <w:sz w:val="14"/>
                <w:szCs w:val="14"/>
                <w:color w:val="auto"/>
              </w:rPr>
            </w:pPr>
          </w:p>
        </w:tc>
        <w:tc>
          <w:tcPr>
            <w:tcW w:w="202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Contingent Consideration</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2020</w:t>
            </w:r>
          </w:p>
        </w:tc>
        <w:tc>
          <w:tcPr>
            <w:tcW w:w="560" w:type="dxa"/>
            <w:vAlign w:val="bottom"/>
          </w:tcPr>
          <w:p>
            <w:pPr>
              <w:spacing w:after="0"/>
              <w:rPr>
                <w:sz w:val="12"/>
                <w:szCs w:val="12"/>
                <w:color w:val="auto"/>
              </w:rPr>
            </w:pPr>
          </w:p>
        </w:tc>
        <w:tc>
          <w:tcPr>
            <w:tcW w:w="2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Related to Acquisition of Arkis (See</w:t>
            </w:r>
          </w:p>
        </w:tc>
        <w:tc>
          <w:tcPr>
            <w:tcW w:w="2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2"/>
              </w:rPr>
              <w:t>Note 2)</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8"/>
              </w:rPr>
              <w:t>Derma Sciences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b w:val="1"/>
                <w:bCs w:val="1"/>
                <w:color w:val="auto"/>
                <w:w w:val="95"/>
              </w:rPr>
              <w:t>Long-term</w:t>
            </w:r>
          </w:p>
        </w:tc>
        <w:tc>
          <w:tcPr>
            <w:tcW w:w="60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center"/>
              <w:ind w:right="158"/>
              <w:spacing w:after="0"/>
              <w:rPr>
                <w:sz w:val="20"/>
                <w:szCs w:val="20"/>
                <w:color w:val="auto"/>
              </w:rPr>
            </w:pPr>
            <w:r>
              <w:rPr>
                <w:rFonts w:ascii="Arial" w:cs="Arial" w:eastAsia="Arial" w:hAnsi="Arial"/>
                <w:sz w:val="14"/>
                <w:szCs w:val="14"/>
                <w:b w:val="1"/>
                <w:bCs w:val="1"/>
                <w:color w:val="auto"/>
                <w:w w:val="95"/>
              </w:rPr>
              <w:t>Long-term</w:t>
            </w: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2020</w:t>
            </w:r>
          </w:p>
        </w:tc>
        <w:tc>
          <w:tcPr>
            <w:tcW w:w="2440" w:type="dxa"/>
            <w:vAlign w:val="bottom"/>
            <w:gridSpan w:val="2"/>
          </w:tcPr>
          <w:p>
            <w:pPr>
              <w:jc w:val="right"/>
              <w:ind w:right="168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14,210</w:t>
            </w:r>
          </w:p>
        </w:tc>
        <w:tc>
          <w:tcPr>
            <w:tcW w:w="2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8"/>
              <w:spacing w:after="0"/>
              <w:rPr>
                <w:sz w:val="20"/>
                <w:szCs w:val="20"/>
                <w:color w:val="auto"/>
              </w:rPr>
            </w:pPr>
            <w:r>
              <w:rPr>
                <w:rFonts w:ascii="Arial" w:cs="Arial" w:eastAsia="Arial" w:hAnsi="Arial"/>
                <w:sz w:val="18"/>
                <w:szCs w:val="18"/>
                <w:color w:val="auto"/>
              </w:rPr>
              <w:t>230</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5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Loss from change in fair value of contingent consideration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3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9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2020</w:t>
            </w:r>
          </w:p>
        </w:tc>
        <w:tc>
          <w:tcPr>
            <w:tcW w:w="2440" w:type="dxa"/>
            <w:vAlign w:val="bottom"/>
            <w:gridSpan w:val="2"/>
            <w:shd w:val="clear" w:color="auto" w:fill="CCEEFF"/>
          </w:tcPr>
          <w:p>
            <w:pPr>
              <w:jc w:val="right"/>
              <w:ind w:right="16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13,502</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230</w:t>
            </w: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560" w:type="dxa"/>
            <w:vAlign w:val="bottom"/>
          </w:tcPr>
          <w:p>
            <w:pPr>
              <w:spacing w:after="0"/>
              <w:rPr>
                <w:sz w:val="24"/>
                <w:szCs w:val="24"/>
                <w:color w:val="auto"/>
              </w:rPr>
            </w:pPr>
          </w:p>
        </w:tc>
        <w:tc>
          <w:tcPr>
            <w:tcW w:w="18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Contingent Consideration</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Liability Related to Acquisition of Derma Sciences</w:t>
            </w: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880" w:type="dxa"/>
            <w:vAlign w:val="bottom"/>
            <w:tcBorders>
              <w:top w:val="single" w:sz="8" w:color="auto"/>
              <w:bottom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b w:val="1"/>
                <w:bCs w:val="1"/>
                <w:color w:val="auto"/>
                <w:w w:val="95"/>
              </w:rPr>
              <w:t>Long-term</w:t>
            </w: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2019</w:t>
            </w:r>
          </w:p>
        </w:tc>
        <w:tc>
          <w:tcPr>
            <w:tcW w:w="560" w:type="dxa"/>
            <w:vAlign w:val="bottom"/>
          </w:tcPr>
          <w:p>
            <w:pPr>
              <w:jc w:val="right"/>
              <w:ind w:right="354"/>
              <w:spacing w:after="0"/>
              <w:rPr>
                <w:sz w:val="20"/>
                <w:szCs w:val="20"/>
                <w:color w:val="auto"/>
              </w:rPr>
            </w:pPr>
            <w:r>
              <w:rPr>
                <w:rFonts w:ascii="Arial" w:cs="Arial" w:eastAsia="Arial" w:hAnsi="Arial"/>
                <w:sz w:val="18"/>
                <w:szCs w:val="18"/>
                <w:color w:val="auto"/>
                <w:w w:val="99"/>
              </w:rPr>
              <w:t>$</w:t>
            </w:r>
          </w:p>
        </w:tc>
        <w:tc>
          <w:tcPr>
            <w:tcW w:w="18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5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Loss from change in fair value of contingent</w:t>
            </w: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consideration liabilities</w:t>
            </w: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June 30, 2020 and June 30, 2019 was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2019 included in our Annual Report on Form 10-K.</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obtain accurate procedure volume in the midst of the COVID-19 pandemic; the risk that the COVID-19 pandemic could lead to further material delays and cancellations of, or reduced demand for, procedures; curtailed or delayed capital spending by the Company's customers; disruption to the Company's supply chain; closures of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2019, and under the heading "Risk Factors" in this report. We undertake no obligation to publicly update or revise any forward-looking statements, whether as a result of new information, future events or otherwise.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Integra, headquartered in Princeton, New Jersey, is a world leader in medical technologies.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repair of nerves and tendons. The Company has expanded its base regenerative technology business to include surgical instruments, neurosurgical products, advanced wound care, collagen matrix products for hernia and plastic &amp; reconstructive surgery, and orthopedic hardware, through a combination of several global acquisitions and internally developed products to further meet the needs of its customers and impact patient care.</w:t>
      </w:r>
    </w:p>
    <w:p>
      <w:pPr>
        <w:spacing w:after="0" w:line="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manufacture and sell our products in two reportable global business segments: Codman Specialty Surgical and Orthopedics and Tissue Technologies. Our Codman Specialty Surgical products comprise of specialty surgical implants and instrumentation for a broad range of specialties. This segment includes products and solutions for dural access and repair,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surgical reconstruction, and small bone fixation and joint replacement hardware products for both upper extremities and lower extremities. This business also includes private label sales of a broad set of our regenerative and wound care medical technologies.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key manufacturing and research facilities located in California, Massachusetts, New Jersey, Ohio, Tennessee, Texas, Canada, France, Germany, Ireland, Puerto Rico and Switzerland. We also source most of our handheld surgical instruments, specialty metal and pyrocarbon implants, and dural sealant products through specialized third-party vendors.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89"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4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Strategic Acquisitions. </w:t>
      </w:r>
      <w:r>
        <w:rPr>
          <w:rFonts w:ascii="Arial" w:cs="Arial" w:eastAsia="Arial" w:hAnsi="Arial"/>
          <w:sz w:val="16"/>
          <w:szCs w:val="16"/>
          <w:color w:val="auto"/>
        </w:rPr>
        <w:t>An important part of the Company's strategy is pursuing strategic transactions and licensing agreements that increase relevant scale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clinical areas in which Integra competes. We successfully completed the Codman Neurosurgery integration, the most significant acquisition in the Company's history, as we exited 45 transition service agreements, across 90 countries. This acquisition expanded the Company's portfolio of neurosurgery products and established us as the world leader in neurosurgery. It has also enabled us to expand our international footprint and customer reach, thereby providing access to our entire product portfolio globally. In 2020, we continue to invest in our two most recent acquisitions Arkis Biosciences, Inc. and Rebound Therapeutics Corporation, both of which are developing innovative technologies for neurosurgery.</w:t>
      </w:r>
    </w:p>
    <w:p>
      <w:pPr>
        <w:spacing w:after="0" w:line="8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Portfolio Optimization and New Product Introductions. </w:t>
      </w:r>
      <w:r>
        <w:rPr>
          <w:rFonts w:ascii="Arial" w:cs="Arial" w:eastAsia="Arial" w:hAnsi="Arial"/>
          <w:sz w:val="16"/>
          <w:szCs w:val="16"/>
          <w:color w:val="auto"/>
        </w:rPr>
        <w:t>We are investing in innovative product development to drive a multi-generational pipeline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key product franchises. Our product development efforts span across our key global franchises focused on potential for significant returns on investment. In February 2020, we launched the AmnioExcel® Plus Placental Allograft Membrane, the next generation wound care offering to support soft tissue repair. Further in 2020, we continue to reap the benefits of many of our 10 new products launches from 2019. In addition to new product development, we are funding studies to gather clinical evidence to support launches, ensure market access and improve reimbursement for existing products. We continue to identify ways of optimizing our portfolio including identifying low-growth, low-margin products and product franchises for discontinuation.</w:t>
      </w:r>
    </w:p>
    <w:p>
      <w:pPr>
        <w:spacing w:after="0" w:line="8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 is a</w:t>
      </w:r>
      <w:r>
        <w:rPr>
          <w:rFonts w:ascii="Arial" w:cs="Arial" w:eastAsia="Arial" w:hAnsi="Arial"/>
          <w:sz w:val="18"/>
          <w:szCs w:val="18"/>
          <w:i w:val="1"/>
          <w:iCs w:val="1"/>
          <w:color w:val="auto"/>
        </w:rPr>
        <w:t xml:space="preserve"> </w:t>
      </w:r>
      <w:r>
        <w:rPr>
          <w:rFonts w:ascii="Arial" w:cs="Arial" w:eastAsia="Arial" w:hAnsi="Arial"/>
          <w:sz w:val="18"/>
          <w:szCs w:val="18"/>
          <w:color w:val="auto"/>
        </w:rPr>
        <w:t>core 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will deliver our current portfolio as well as position us for expansion. In addition,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build upon our leadership brands across our product franchises to enable us to engage customers through enterprise-wide contracts.</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We aspire to be ranked as a best-in-class provider and are committed to strengthen our relationships with all customers. We strive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deliver outstanding customer service and continue to invest in technologies, systems and processes to improve the way our customers do business with us. Additionally, we expect to build on the success of our professional education programs to drive continued customer familiarity with our growing portfolio of medical technologies globally.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continue to invest in collecting clinical evidence to support the Company's existing products and new product launches, and to ensure that we obtain market access for broader and more cost-effective solutions.</w:t>
      </w:r>
    </w:p>
    <w:p>
      <w:pPr>
        <w:spacing w:after="0" w:line="8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Within our Codman Specialty Surgical segment, the Company received FDA clearance in July 2020 to treat malignant and benign tumors, but not limited to meningiomas and gliomas, for its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Ultrasonic Surgical Aspirator System, the first and only ultrasonic tissue ablation system with this specific indication. The FDA clearance is based on a wealth of peer-reviewed clinical publications and 40 years of surgical cases involving resection of brain and spinal tumors. Additionally, the Company continues to reap the benefits of our product launches from the prior year from the Codman Specialty Surgical segment, including our new electrosurgery generator and irrigator system, an innovative customer-centric toolkit for our Certas™ Plus Programmable Valve along with additional shunt configurations. In Japan, we are experiencing strong growth as a result of the successful launch of DuraGen® in the prior year, which is the first and only collagen xenograft approved for use as a dural substitute in the country. We are focused on the development of core clinical applications in our electromechanical technologies portfolio. Also, we updated our CUSA Clarity platform to incorporate a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Within our Orthopedic and Tissue Technologies segment, we launched AmnioExcel® Plus Placental Allograft Membrane, a human placental tissue product for treatment of wounds during February 2020. We also continued to benefit from the 2019 U.S. product launches the Panta® II TTC Arthrodesis Nail System. The Panta II system is our new fusion nail used in ankle fixation. We also launched a small post baseplate in our reverse shoulder system that accommodates smaller patients. In addition, we initiated the limited market release of enhancements to our Salto Talaris® Total Ankle System. We continue to work on advanced shoulder products and are developing a pyrocarbon shoulder hemiarthroplasty product to add to our orthopedic reconstruction portfolio.</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May 2020, the Company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looks for ways to efficiently and effectively repair and close wounds during these challenging times, IBWM helps address the efficiency needed in operating rooms by reducing both the operating time and costs to hospitals and patients.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focus during this global crisis remains unchanged. The Company continues to support patients, provide customers with life-saving products, and protect the health and safety of its employees. The rapid and evolving spread of the virus has resulted in an unprecedented challenge to the global healthcare industry, as medical resources were reallocated to fight COVID-19. During the first half of 2020, the Company was able to sustain ongoing operations by implementing contingency plans such as enabling its manufacturing and distribution sites around the world to continue operating at levels required to meet demand and to provide for the safety of its employees. During April of 2020, the Company implemented cost-savings measures, which include the following:</w:t>
      </w:r>
    </w:p>
    <w:p>
      <w:pPr>
        <w:spacing w:after="0" w:line="1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executive management compensation through July 2020 and director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cash compensation for all other employees through reduced commissions, reduction in hours through July 2020 and/or furloughs</w:t>
      </w:r>
    </w:p>
    <w:p>
      <w:pPr>
        <w:spacing w:after="0" w:line="20"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freeze, elimination of overtime, reduction in certain employee benefit costs, cessation of third-party services and temporary contractor relationships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reduction in capital expenditures and discretionary spending including travel, events and marketing programs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remains confident that the underlying markets in which it competes remain attractive over the long term. These comprehensive spending cuts were necessary to protect our financial strength in the face of near-term challenges. Despite those challenges, the Company remains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our talented and committed global workforce. Throughout this period, we continued to prioritize and invest in critical R&amp;D and clinical programs. The Company is also increasing inventory to ensure adequate safety stock of select products as surgical procedures continue to recover from levels experienced in the second quarter. As many surgical procedures in which our products are employed cannot be deferred for more than 90 days, this should contribute to the continued recovery of the Company's business. The Company cannot predict with certainty the extent to which the COVID-19 pandemic will impact procedures in the third quarter and beyond.</w:t>
      </w:r>
    </w:p>
    <w:p>
      <w:pPr>
        <w:spacing w:after="0" w:line="10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travel and access to our customers or temporary closures of our facilities or the facilities of our suppliers and their contract manufacturers, could further significantly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additional risk factors as it relates to the COVID-19 pandemic can be found in Item 1A.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June 22, 2015, the FDA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“HCT/PFinal Guidance”). This Guidance document supersedes the November, 2017 guidance.</w:t>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revised final guidance extends the discretionary enforcement action to May 31, 2021. The Company does not believe the uses for its amniotic membrane tissue-based products fall into the high-risk category.</w:t>
      </w:r>
    </w:p>
    <w:p>
      <w:pPr>
        <w:spacing w:after="0" w:line="10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June 30, 2020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membrane based products for the six months ended June 30, 2020 were less than 1.0% of consolidated revenues.</w:t>
      </w:r>
    </w:p>
    <w:p>
      <w:pPr>
        <w:spacing w:after="0" w:line="24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March 7, 2019, TEI Biosciences, Inc. a subsidiary of the Company received a Warning Letter (the “Warning Letter”), dated March 6, 2019, from the United States Food and Drug Administration.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has provided detailed responses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will not be granted until the violations have been corrected. Additionally, premarket approval applications for Class III devices to which the Quality System regulation violations are reasonably related will not be approved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until the violations have been corrected. The TEI Boston facility manufactures extracellular bovine matrix (EBM) products. The Company does not expect to incur material incremental expense for remediation activities. The Company submitted its initial response to the FDA Warning Letter on March 28, 2019 and provides regular progress reports to the FDA. We cannot, however, give any assurances that the FDA will be satisfied with our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Revenues of products manufactured in the TEI Boston facility for the six months ended June 30, 2020 were approximately 4.4% of consolidated revenues.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for the three months ended June 30, 2020 was $(0.4) million, or ($0.00) per diluted share, as compared to $29.7 million or $0.34 per diluted share for the three months ended June 30,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six months ended June 30, 2020 was $8.8 million, or $0.10 per diluted share, as compared to $62.5 million or $0.72 per diluted share for the six months ended June 30,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income (loss) for the three and six months ended June 30, 2020 was impacted by the COVID-19 pandemic which resulted in lower revenues relative to the level of operating expenses. Further, the Company also had an increase in interest expense due to the issuance of the Convertible Senior Notes and valuation allowance on certain deferred tax assets as a result of the impact of the COVID-19 pandemic and lower book income in lower-taxed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2020, total revenues were $613.0 million, representing a decline of 17.5% from prior year revenues.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First quarter revenues declined 1.5% which reflects the impact of the COVID-19 pandemic that started mid-March 2020 following two and a half months of revenue trends at the higher end of the Company’s expectations. As a result of the speed and severity of the spread of COVID-19, the Company saw rapid and significant decline in surgical and medical intervention procedures as healthcare providers reallocated resources to address the increasing demands caused by the COVID-19 pandemic. By reacting swiftly in February and working with customers and distributors, we were largely able to mitigate the first quarter impact of the social and economic shutdowns that took place globally.</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Second quarter finished with sales of $258.7 million, representing a decline of 32.6% from the prior year period. We saw a steady improvement in the rate of sales decline over the three-month period. In April 2020, revenues were down 45% as compared to the same period in the prior year 2019, as healthcare providers around the world moved rapidly to reallocate resources in order to manage the pandemic. Revenues improved sequentially in both May 2020 and June 2020, as compared to the April low, as surgical procedure restrictions began to ease. We exited the quarter in June with a sales decline of 13% compared to the average daily sales rate of the second quarter of 2019.</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revenue decline, the Company believes that our underlying end-markets, especially neurosurgery and regenerative medicine, are not experiencing fundamental changes to the associated disease conditions. In many cases these conditions can only be deferred for a short period of time, after which an adverse clinical outcome can occur.</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Codman Specialty Surgical ("CSS") segment, revenue declined 31.9% in the second quarter of 2020 as compared to the prior year. Both the Neurosurgery and Instruments businesses showed monthly sequential improvement throughout the quarter. In June 2020, CSS revenues declined 13% as compared to the average daily sales rate of the second quarter of 2019. The improvement in the rate of sales decline in June as compared to the full quarter was led by products used in our Neurosurgery business including dural access and repair, advanced energy consumables, CSF management, and neuromonitoring. Sales of Instruments and capital, while still showing monthly sequential improvement, lagged in this June recovery as sales of these products were more closely tied to hospital and operating budgets rather than directly correlated to procedure recovery.</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Orthopedics and Tissue Technologies ("OTT") segment, revenue declined 33.9% in the second quarter of 2020 as compared to the prior year. Sales in Wound Reconstruction and Orthopedics businesses showed monthly sequential improvement throughout the quarter. In June 2020, revenue declined 13% as compared to the average daily sales rate of the second quarter of 2019. The improvement in the rate of sales decline in June as compared to the full quarter was led by products in our Orthopedics business as well as products used in nerve repair and products to treat chronic wounds.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Across both segments, the Company continues to expect quarterly sequential revenue improvement in the second half of 2020 as compared to the second quarter of 2020. For the third quarter of 2020, revenues are expected to remain below prior year levels due to the COVID-19 pandemic and the associated reduction of non-emergent surgical procedures. Additionally, the Company does not expect all markets and product lines to improve at the same rate based on the level of recurrence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COVID-19 and its associated impact on the pace of procedure recovery and economic normalization. As an example, the recovery of our Instruments business and advanced energy capital products may be slower to recover compared to other products in our portfolio as the demand of these products are more closely tied to the overall financial health of healthcare institutional customers and will likely lag procedure recovery.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9"/>
              </w:rPr>
              <w:t>Three Months Ended June 30,</w:t>
            </w: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63"/>
        </w:trPr>
        <w:tc>
          <w:tcPr>
            <w:tcW w:w="5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r>
      <w:tr>
        <w:trPr>
          <w:trHeight w:val="25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6,542</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12,822</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12,708</w:t>
            </w:r>
          </w:p>
        </w:tc>
        <w:tc>
          <w:tcPr>
            <w:tcW w:w="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32,285</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3,018</w:t>
            </w:r>
          </w:p>
        </w:tc>
        <w:tc>
          <w:tcPr>
            <w:tcW w:w="42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4,471</w:t>
            </w:r>
          </w:p>
        </w:tc>
        <w:tc>
          <w:tcPr>
            <w:tcW w:w="5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7,816</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 medical device regulation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3,071</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Litigation charges</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1,051</w:t>
            </w:r>
          </w:p>
        </w:tc>
        <w:tc>
          <w:tcPr>
            <w:tcW w:w="42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2,300</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2,321</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4,487</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3,721</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5,764</w:t>
            </w:r>
          </w:p>
        </w:tc>
        <w:tc>
          <w:tcPr>
            <w:tcW w:w="42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5,764</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COVID-19 pandemic related charges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3,836</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Expenses related to debt refinancing</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2,740</w:t>
            </w:r>
          </w:p>
        </w:tc>
        <w:tc>
          <w:tcPr>
            <w:tcW w:w="5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4,250</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6,780</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56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13,339</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25,090</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38,093</w:t>
            </w:r>
          </w:p>
        </w:tc>
        <w:tc>
          <w:tcPr>
            <w:tcW w:w="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53,109</w:t>
            </w: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Charges relate to business interruptions and cost associated from the COVID-19 pandemic which impacted the Company's operations globally, partially offset by Coronavirus government relief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Three Months Ended June 30,</w:t>
            </w: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3"/>
        </w:trPr>
        <w:tc>
          <w:tcPr>
            <w:tcW w:w="56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2019</w:t>
            </w:r>
          </w:p>
        </w:tc>
      </w:tr>
      <w:tr>
        <w:trPr>
          <w:trHeight w:val="263"/>
        </w:trPr>
        <w:tc>
          <w:tcPr>
            <w:tcW w:w="5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2"/>
                <w:szCs w:val="22"/>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15,607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13,394</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34,453</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5,764</w:t>
            </w:r>
          </w:p>
        </w:tc>
        <w:tc>
          <w:tcPr>
            <w:tcW w:w="34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5,764</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9,519</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6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13,339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25,090</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38,093</w:t>
            </w:r>
          </w:p>
        </w:tc>
        <w:tc>
          <w:tcPr>
            <w:tcW w:w="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53,108</w:t>
            </w:r>
          </w:p>
        </w:tc>
      </w:tr>
      <w:tr>
        <w:trPr>
          <w:trHeight w:val="27"/>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June 30,</w:t>
            </w: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80" w:type="dxa"/>
            <w:vAlign w:val="bottom"/>
          </w:tcPr>
          <w:p>
            <w:pPr>
              <w:spacing w:after="0"/>
              <w:rPr>
                <w:sz w:val="21"/>
                <w:szCs w:val="21"/>
                <w:color w:val="auto"/>
              </w:rPr>
            </w:pPr>
          </w:p>
        </w:tc>
        <w:tc>
          <w:tcPr>
            <w:tcW w:w="24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1"/>
                <w:szCs w:val="21"/>
                <w:color w:val="auto"/>
              </w:rPr>
            </w:pPr>
          </w:p>
        </w:tc>
        <w:tc>
          <w:tcPr>
            <w:tcW w:w="23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169,778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249,258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401,218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483,826</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28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88,887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134,387</w:t>
            </w:r>
          </w:p>
        </w:tc>
        <w:tc>
          <w:tcPr>
            <w:tcW w:w="30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211,771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259,509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258,665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383,645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612,989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743,335</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105,478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143,671</w:t>
            </w:r>
          </w:p>
        </w:tc>
        <w:tc>
          <w:tcPr>
            <w:tcW w:w="30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238,954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272,583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 on 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153,187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239,974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374,035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470,752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as Compared to Three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2020, total revenues decreased by $125.0 million to $258.7 million from $383.6 million for the same period in 2019. Domestic revenues decreased by $91.5 million, or 33.5%, to $181.9 million and were 70.3% of total revenues for the three months ended June 30, 2020 compared to $273.4 million during the same period in the prior year. International revenues decreased by $33.4 million or 30.3% to $76.8 million for the three months ended June 30, 2020 compared to $110.3 million during the same period in the prior year. The net decrease of $125.0 million was a result of decline in both segments due to disruption from the COVID-19 pandemic as well as $0.8 million due to unfavorable impact of foreign exchange and $7.8 million due to discontinued and divested products.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Codman Specialty Surgical revenues were $169.8, a decrease of $79.5 million, or 31.9% from the prior-year period. Orthopedics and Tissue Technologies revenues were $88.9 million, a decrease of $45.5 million, or 33.9% from the prior-year period. The decrease in both segments is primarily due to disruption caused by the COVID-19 pandemic across all franchises.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decreased to $153.2 million for the three-month period ended June 30, 2020, a decrease of $86.8 million from $240.0 million for the same period last year. Gross margin as a percentage of total revenue decreased to 59.2% for the second quarter of 2020 from 62.6% in the same period last year. This decrease is primarily attributable to the disruption caused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gridSpan w:val="2"/>
          </w:tcPr>
          <w:p>
            <w:pPr>
              <w:ind w:left="82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right"/>
              <w:ind w:right="694"/>
              <w:spacing w:after="0"/>
              <w:rPr>
                <w:sz w:val="20"/>
                <w:szCs w:val="20"/>
                <w:color w:val="auto"/>
              </w:rPr>
            </w:pPr>
            <w:r>
              <w:rPr>
                <w:rFonts w:ascii="Arial" w:cs="Arial" w:eastAsia="Arial" w:hAnsi="Arial"/>
                <w:sz w:val="14"/>
                <w:szCs w:val="14"/>
                <w:b w:val="1"/>
                <w:bCs w:val="1"/>
                <w:color w:val="auto"/>
              </w:rPr>
              <w:t>2019</w:t>
            </w:r>
          </w:p>
        </w:tc>
      </w:tr>
      <w:tr>
        <w:trPr>
          <w:trHeight w:val="249"/>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74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in-process research and development expense and amortization expenses, decreased by $54.9 million, or 28.3% to $139.1 million in the three months ended June 30, 2020, compared to $194.0 million in the same period in 2019.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for the three months ended June 30, 2020 decreased by $2.7 million as compared to the prior year. Selling, general and administrative costs decreased by $49.3 million as compared to the prior year. The decrease in research and development was driven by cost reduction in response to the COVID-19 pandemic while continuing to prioritize and invest in critical R&amp;D and clinical programs. The decrease in selling, general and administrative expenses was driven by overall cost reduction actions, along with lower commission and selling costs associated with lower revenue in the quarter.</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spending in the second quarter of 2020 reflected reduction in expense as various activities were restricted by the COVID-19 pandemic, including ceasing of third-party services and temporary contractor relationships as well as reductions in capital expenditures, temporary reductions in employee compensation and lower discretionary spending. Additionally, the Company also incurred costs associated with the impact of the COVID-19 pandemic, including personal protection equipment,</w:t>
      </w:r>
    </w:p>
    <w:p>
      <w:pPr>
        <w:sectPr>
          <w:pgSz w:w="11900" w:h="16838" w:orient="portrait"/>
          <w:cols w:equalWidth="0" w:num="1">
            <w:col w:w="11240"/>
          </w:cols>
          <w:pgMar w:left="320" w:top="125" w:right="33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testing for our employees and extra cleaning of our facilities, partially offset by the benefit of coronavirus government relief programs.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1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196"/>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2,281</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w w:val="95"/>
              </w:rPr>
              <w:t>(15,682)</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(13,384)</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0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972</w:t>
            </w:r>
          </w:p>
        </w:tc>
        <w:tc>
          <w:tcPr>
            <w:tcW w:w="1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7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June 30, 2020 increased by $2.3 million as compared to the same period last year primarily due to increase in non-cash interest expense due to the issuance of the Convertible Senior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r>
      <w:tr>
        <w:trPr>
          <w:trHeight w:val="263"/>
        </w:trPr>
        <w:tc>
          <w:tcPr>
            <w:tcW w:w="7300" w:type="dxa"/>
            <w:vAlign w:val="bottom"/>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r>
      <w:tr>
        <w:trPr>
          <w:trHeight w:val="196"/>
        </w:trPr>
        <w:tc>
          <w:tcPr>
            <w:tcW w:w="7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2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7"/>
                <w:szCs w:val="17"/>
                <w:color w:val="auto"/>
              </w:rPr>
            </w:pPr>
          </w:p>
        </w:tc>
      </w:tr>
      <w:tr>
        <w:trPr>
          <w:trHeight w:val="256"/>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1,651</w:t>
            </w:r>
          </w:p>
        </w:tc>
        <w:tc>
          <w:tcPr>
            <w:tcW w:w="124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36,383</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8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2,020</w:t>
            </w:r>
          </w:p>
        </w:tc>
        <w:tc>
          <w:tcPr>
            <w:tcW w:w="124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6,647</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122.4%</w:t>
            </w:r>
          </w:p>
        </w:tc>
        <w:tc>
          <w:tcPr>
            <w:tcW w:w="1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7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June 30, 2020 and 2019 were 122.4% and 18.3%,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2020, the higher tax rate is primarily attributable to lower income for the quarter in relation to the updated full year income projection, as impacted by the COVID-19 pandemic.</w:t>
      </w:r>
    </w:p>
    <w:p>
      <w:pPr>
        <w:spacing w:after="0" w:line="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While it is often difficult to predict the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as Compared to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six months ended June 30, 2020, total revenues decreased by $130.3 million to $613.0 million from $743.3 million for the same period in 2019. Domestic revenues decreased by $101.4 million, or 19%, to $428.7 million and were 70% of total revenues for the six months ended June 30, 2020. International revenues decreased by $28.9 million, or 14% to $184.3 million for the six months ended June 30, 2020 compared to $213.2 million during the same period in the prior year. The net decrease of $130.3 million was a result of decline in both segments due to disruption from the COVID-19 pandemic as well as $2.5 million due to unfavorable impact of foreign exchange and $11.3 million due to discontinued and divested products.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Codman Specialty Surgical revenues were $401.2 million, a decrease of $82.6 million, or 17.1% from the prior-year period. Orthopedics and Tissue Technologies revenues were $211.8 million, a decrease of $47.7 million, or 18.4% from the prior-year period.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decreased to $374.0 for the six-month period ended June 30, 2020, a decrease of $96.7 million from $470.8 for the same period last year. Gross margin as a percentage of total revenue decreased to 61.0% for the six months ended June 30, 2020 from 63.3% in the same period last year. This decrease is primarily attributable to the disruption caused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gridSpan w:val="2"/>
          </w:tcPr>
          <w:p>
            <w:pPr>
              <w:ind w:left="82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right"/>
              <w:ind w:right="694"/>
              <w:spacing w:after="0"/>
              <w:rPr>
                <w:sz w:val="20"/>
                <w:szCs w:val="20"/>
                <w:color w:val="auto"/>
              </w:rPr>
            </w:pPr>
            <w:r>
              <w:rPr>
                <w:rFonts w:ascii="Arial" w:cs="Arial" w:eastAsia="Arial" w:hAnsi="Arial"/>
                <w:sz w:val="14"/>
                <w:szCs w:val="14"/>
                <w:b w:val="1"/>
                <w:bCs w:val="1"/>
                <w:color w:val="auto"/>
              </w:rPr>
              <w:t>2019</w:t>
            </w:r>
          </w:p>
        </w:tc>
      </w:tr>
      <w:tr>
        <w:trPr>
          <w:trHeight w:val="249"/>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74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in-process research and development expense and amortization expenses, decreased by $59.6 million, or 15.2% to $332.9 million in the six months ended June 30, 2020, compared to $392.5 million in the same period in 2019.</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for the six months ended June 30, 2020 decreased by $0.2 million when compared to the same period in 2019 primarily driven by cost reduction in response to the COVID-19 pandemic while continuing to prioritize and invest in critical R&amp;D and clinical programs. Selling, general and administrative costs decreased by $58.2 million as compared to the prior year resulting from less acquisition and integration related charges, lower commissions and selling costs resulting from lower revenue in the quarter and overall cost reduction actions resulting from cost-savings measures associated with actions taken by the Company as a result of the impact of the COVID-19 pandemic.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104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w w:val="83"/>
              </w:rPr>
              <w:t>2019</w:t>
            </w:r>
          </w:p>
        </w:tc>
      </w:tr>
      <w:tr>
        <w:trPr>
          <w:trHeight w:val="196"/>
        </w:trPr>
        <w:tc>
          <w:tcPr>
            <w:tcW w:w="7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4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4,851</w:t>
            </w:r>
          </w:p>
        </w:tc>
        <w:tc>
          <w:tcPr>
            <w:tcW w:w="8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w w:val="98"/>
              </w:rPr>
              <w:t>(33,434)</w:t>
            </w:r>
          </w:p>
        </w:tc>
        <w:tc>
          <w:tcPr>
            <w:tcW w:w="8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(26,533)</w:t>
            </w:r>
          </w:p>
        </w:tc>
      </w:tr>
      <w:tr>
        <w:trPr>
          <w:trHeight w:val="27"/>
        </w:trPr>
        <w:tc>
          <w:tcPr>
            <w:tcW w:w="7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0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493</w:t>
            </w:r>
          </w:p>
        </w:tc>
        <w:tc>
          <w:tcPr>
            <w:tcW w:w="8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4,334</w:t>
            </w:r>
          </w:p>
        </w:tc>
      </w:tr>
      <w:tr>
        <w:trPr>
          <w:trHeight w:val="27"/>
        </w:trPr>
        <w:tc>
          <w:tcPr>
            <w:tcW w:w="7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six months ended June 30, 2020 increased by $6.9 million as compared to the same period last year primarily due to increase in non-cash interest expense due to the issuance of the Convertible Senior Notes and expenses associated with Amended and Restated Senior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for the six months ended June 30, 2020, decreased by $3.8 million as compared to the same period last year primarily due to unfavorable impact of foreign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1120" w:type="dxa"/>
            <w:vAlign w:val="bottom"/>
            <w:tcBorders>
              <w:bottom w:val="single" w:sz="8" w:color="auto"/>
            </w:tcBorders>
          </w:tcPr>
          <w:p>
            <w:pPr>
              <w:spacing w:after="0"/>
              <w:rPr>
                <w:sz w:val="16"/>
                <w:szCs w:val="16"/>
                <w:color w:val="auto"/>
              </w:rPr>
            </w:pPr>
          </w:p>
        </w:tc>
      </w:tr>
      <w:tr>
        <w:trPr>
          <w:trHeight w:val="263"/>
        </w:trPr>
        <w:tc>
          <w:tcPr>
            <w:tcW w:w="72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7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tcPr>
          <w:p>
            <w:pPr>
              <w:spacing w:after="0"/>
              <w:rPr>
                <w:sz w:val="17"/>
                <w:szCs w:val="17"/>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w w:val="98"/>
              </w:rPr>
              <w:t>13,093</w:t>
            </w:r>
          </w:p>
        </w:tc>
        <w:tc>
          <w:tcPr>
            <w:tcW w:w="9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61,206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20" w:type="dxa"/>
            <w:vAlign w:val="bottom"/>
          </w:tcPr>
          <w:p>
            <w:pPr>
              <w:spacing w:after="0"/>
              <w:rPr>
                <w:sz w:val="21"/>
                <w:szCs w:val="21"/>
                <w:color w:val="auto"/>
              </w:rPr>
            </w:pPr>
          </w:p>
        </w:tc>
        <w:tc>
          <w:tcPr>
            <w:tcW w:w="840" w:type="dxa"/>
            <w:vAlign w:val="bottom"/>
          </w:tcPr>
          <w:p>
            <w:pPr>
              <w:jc w:val="right"/>
              <w:ind w:right="197"/>
              <w:spacing w:after="0"/>
              <w:rPr>
                <w:sz w:val="20"/>
                <w:szCs w:val="20"/>
                <w:color w:val="auto"/>
              </w:rPr>
            </w:pPr>
            <w:r>
              <w:rPr>
                <w:rFonts w:ascii="Arial" w:cs="Arial" w:eastAsia="Arial" w:hAnsi="Arial"/>
                <w:sz w:val="18"/>
                <w:szCs w:val="18"/>
                <w:color w:val="auto"/>
              </w:rPr>
              <w:t>4,282</w:t>
            </w:r>
          </w:p>
        </w:tc>
        <w:tc>
          <w:tcPr>
            <w:tcW w:w="920" w:type="dxa"/>
            <w:vAlign w:val="bottom"/>
          </w:tcPr>
          <w:p>
            <w:pPr>
              <w:spacing w:after="0"/>
              <w:rPr>
                <w:sz w:val="21"/>
                <w:szCs w:val="21"/>
                <w:color w:val="auto"/>
              </w:rPr>
            </w:pP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(1,286)</w:t>
            </w:r>
          </w:p>
        </w:tc>
      </w:tr>
      <w:tr>
        <w:trPr>
          <w:trHeight w:val="27"/>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32.7%</w:t>
            </w:r>
          </w:p>
        </w:tc>
        <w:tc>
          <w:tcPr>
            <w:tcW w:w="9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June 30, 2020 and 2019 were 32.7% and (2.1)%,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the increase in the rate is primarily attributable to a $3.4 million valuation allowance on certain foreign deferred tax assets as the Company determined that it is no longer more likely than not that these foreign deferred tax assets would be realized due to the adverse impact of the COVID-19 pandemic. For the six months ended June 30, 2019, the</w:t>
      </w:r>
    </w:p>
    <w:p>
      <w:pPr>
        <w:sectPr>
          <w:pgSz w:w="11900" w:h="16838" w:orient="portrait"/>
          <w:cols w:equalWidth="0" w:num="1">
            <w:col w:w="11240"/>
          </w:cols>
          <w:pgMar w:left="320" w:top="12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primary driver of the lower rate was a tax benefit of $10.8 million related to a federal tax holiday in Switzerland, which was finalized during the quarter ended March 30, 2019. The Company received a Switzerland federal tax credit of 12.0 million CHF, which can be used over a seven-year period, ending in 2024.</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certain income tax provisions for corporations and individuals, among other provisions. The Company does not expect the CARES Act to have a significant impact on the tax provision. The Company continues to monitor the issuance of new legislation, regulations, or case law that may impact federal, state, and international tax positions.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expects its effective income tax rate for the full year to be approximately 33.4% driven primarily by the $3.4 million valuation allowance on certain foreign deferred tax assets as the Company determined that it is no longer more likely than not that these foreign deferred tax assets would be realized due to the adverse impact of the COVID-19 pandemic. This estimate could be revised in the future as additional information is presented to the Company.</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Three Months Ended June 30,</w:t>
            </w:r>
          </w:p>
        </w:tc>
        <w:tc>
          <w:tcPr>
            <w:tcW w:w="3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2019</w:t>
            </w:r>
          </w:p>
        </w:tc>
      </w:tr>
      <w:tr>
        <w:trPr>
          <w:trHeight w:val="263"/>
        </w:trPr>
        <w:tc>
          <w:tcPr>
            <w:tcW w:w="5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273,390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428,702</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530,116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32,026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50,871</w:t>
            </w:r>
          </w:p>
        </w:tc>
        <w:tc>
          <w:tcPr>
            <w:tcW w:w="38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77,922</w:t>
            </w:r>
          </w:p>
        </w:tc>
        <w:tc>
          <w:tcPr>
            <w:tcW w:w="5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99,511</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73,461</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72,731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11,288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22,353</w:t>
            </w:r>
          </w:p>
        </w:tc>
        <w:tc>
          <w:tcPr>
            <w:tcW w:w="38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32,904</w:t>
            </w:r>
          </w:p>
        </w:tc>
        <w:tc>
          <w:tcPr>
            <w:tcW w:w="5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40,977</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258,665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383,645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612,989</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743,335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decreased by $91.5 million for the three months ended June 30, 2020 compared to the same period last year. European sales decreased by $18.8 million for the three months ended June 30, 2020 compared to the same period last year. Sales to customers in Asia Pacific and the Rest of the World for the three months ended June 30, 2020 decreased by $14.6 million compared to the same period last year. The decrease in revenues globally was primarily due to disruption from the COVID-19 pandemic across all franchises.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decreased by $101.4 million for the six months ended June 30, 2020 compared to the same period last year. European sales decreased by $21.6 million for the six months ended June 30, 2020 compared to the same period last year. Sales to customers in Asia Pacific and the Rest of the World for the six months ended June 30, 2020 decreased by $7.3 million compared to the same period last year. The decrease in revenues globally was primarily due to adverse effects of the COVID-19 pandemic across all franchises.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cash and cash equivalents totaling approximately $361.0 million and $198.9 million at June 30, 2020 and December 31, 2019 respectively, which are valued based on Level 1 measurements in the fair value hierarchy. At June 30, 2020, our non-U.S. subsidiaries held approximately $183.4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2"/>
              </w:rPr>
              <w:t>Six Months Ended June 30,</w:t>
            </w:r>
          </w:p>
        </w:tc>
        <w:tc>
          <w:tcPr>
            <w:tcW w:w="700" w:type="dxa"/>
            <w:vAlign w:val="bottom"/>
            <w:tcBorders>
              <w:bottom w:val="single" w:sz="8" w:color="auto"/>
            </w:tcBorders>
          </w:tcPr>
          <w:p>
            <w:pPr>
              <w:spacing w:after="0"/>
              <w:rPr>
                <w:sz w:val="16"/>
                <w:szCs w:val="16"/>
                <w:color w:val="auto"/>
              </w:rPr>
            </w:pPr>
          </w:p>
        </w:tc>
      </w:tr>
      <w:tr>
        <w:trPr>
          <w:trHeight w:val="263"/>
        </w:trPr>
        <w:tc>
          <w:tcPr>
            <w:tcW w:w="74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196"/>
        </w:trPr>
        <w:tc>
          <w:tcPr>
            <w:tcW w:w="7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0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7"/>
                <w:szCs w:val="17"/>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53,931</w:t>
            </w:r>
          </w:p>
        </w:tc>
        <w:tc>
          <w:tcPr>
            <w:tcW w:w="11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78,008</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(25,434)</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(33,220)</w:t>
            </w:r>
          </w:p>
        </w:tc>
      </w:tr>
      <w:tr>
        <w:trPr>
          <w:trHeight w:val="27"/>
        </w:trPr>
        <w:tc>
          <w:tcPr>
            <w:tcW w:w="7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133,452</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cash flows for the six months ended June 30, 2020 decreased compared to the same period in 2019. Net income after non-cash adjustments decreased for the six months ended June 30, 2020 by approximately $37.7 million compared to the same period in 2019 primarily due to adverse effects of the COVID-19 pandemic. The changes in assets and liabilities, net of business acquisitions, decreased cash flows from operating activities by $36.1 million for the six months ended June 30, 2020 compared to a decrease of $49.8 million for the same period in 2019. The decrease in 2020 is attributable to an increase in inventory to ensure adequate safety stock of select products as surgical procedures continue to recover from levels experienced in the second quarter. In addition, decreases were also driven by reduced payables offset by decreases in accounts receivable due to lower revenue and continued collection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we paid $23.7 million for capital expenditures, most of which were directed to our facilities located in Mansfield, MA; Boston, MA; Memphis, TN; and Princeton, NJ.</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2019, the Company paid $33.8 million for capital expenditures, most of which were directed to our Mansfield, Massachusetts facility, and commercial expansion.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in the six months ended June 30, 2020 were $515.3 million proceeds from the issuance of Convertible Senior Notes including the call and warrant transactions, $127.7 million borrowing under our Senior Credit Facility and Securitization Facility. These were offset by repayments of $388.5 million on the revolving portion of our Senior Credit Facility and Securitization Facility, $20.3 million debt issuance costs related to the Amended and Restated Senior Credit Agreement and the issuance of Convertible Senior Notes and $100.0 million purchases of treasury stock.</w:t>
      </w:r>
    </w:p>
    <w:p>
      <w:pPr>
        <w:spacing w:after="0" w:line="5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principal sources of cash from financing activities in the six months ended June 30, 2019 were $101.2 million from borrowings under our Senior Credit Facility and Securitization Facility. These were offset by repayments of $105.0 million on the revolving portion of our Senior Credit Facility and Securitization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See Note 6 </w:t>
      </w:r>
      <w:r>
        <w:rPr>
          <w:rFonts w:ascii="Arial" w:cs="Arial" w:eastAsia="Arial" w:hAnsi="Arial"/>
          <w:sz w:val="17"/>
          <w:szCs w:val="17"/>
          <w:i w:val="1"/>
          <w:iCs w:val="1"/>
          <w:color w:val="auto"/>
        </w:rPr>
        <w:t>- Debt</w:t>
      </w:r>
      <w:r>
        <w:rPr>
          <w:rFonts w:ascii="Arial" w:cs="Arial" w:eastAsia="Arial" w:hAnsi="Arial"/>
          <w:sz w:val="17"/>
          <w:szCs w:val="17"/>
          <w:color w:val="auto"/>
        </w:rPr>
        <w:t xml:space="preserve"> to the current period’s condensed consolidated financial statements for a discussion of our Amended and Restated Senior Credit Agreement, Convertible Senior Notes and Securitization Facility and Note 7 -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discussion of our hedging activities.</w:t>
      </w:r>
    </w:p>
    <w:p>
      <w:pPr>
        <w:spacing w:after="0" w:line="1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forecasting that for the next twelve months, sales and earnings will be sufficient to remain in compliance with our financial covenants under the terms of the February 2020 Amendment and July 2020 Amendment to the Senior Credit Facility. The Company entered into the July 2020 amendment to increase financial flexibility in light of the unprecedented impact and uncertainty of the COVID-19 pandemic on the global economy. We have undertaken steps to reduce our spending and expenses in light of our expectation that our revenues will be depressed over the next several months. While we expect that we will be well positioned when surgeries begin to return to their pre-pandemic levels, we are unable to predict with certainty how long the COVID-19 pandemic will last, or how severe its economic impact will be. Even after the COVID-19 pandemic and government responses thereto have subsided, residual economic and other effects may have an impact on the demand for post-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pandemic surgery levels that are difficult to predict. If the downturn is more severe and prolonged than we currently expect, we may need to take further steps to reduce our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December 11, 2018, the Board authorized the Company to repurchase up to $225.0 million of the Company’s common stock. The program allows the Company to repurchase its shares opportunistically from time to time. The repurchase authorization expires in December 2020.</w:t>
      </w:r>
    </w:p>
    <w:p>
      <w:pPr>
        <w:spacing w:after="0" w:line="3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During the six months ended June 30, 2020, the Company repurchased 1.9 million shares of Integra’s common stock as a part of our existing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w:t>
      </w:r>
    </w:p>
    <w:p>
      <w:pPr>
        <w:spacing w:after="0" w:line="2"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$92.4 million accelerated share repurchase ("ASR") to complete the remaining $100.0 million of share repurchase. The Company received 1.3 million shares through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$125.0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 Further, as part of our actions to manage the impacts of the COVID-19 pandemic on our business, we will significantly reduce our capital expenditures for 2020.</w:t>
      </w:r>
    </w:p>
    <w:p>
      <w:pPr>
        <w:spacing w:after="0" w:line="5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result of the COVID-19 pandemic, the Company expects to experience reduced cash flow from operations as a result of decreased revenues and earnings. Moreover, we are focused on ensuring that we have adequate inventory on hand given the potential disruption of the COVID-19 pandemic to our suppliers and their supply chain and, accordingly, may continue to maintain these higher levels of inventory during the third quarter of 2020 and beyond.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financing arrangements during the six months ended June 30, 2020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is obligated to pay the following amounts under various agreements: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3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Remaining 2020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2021-2022</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2023-2024</w:t>
            </w: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669.4</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Convertible Debt (4)</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575.0</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Employment Agreements (3)</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1,893.4</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177.5</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1,489.7</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840" w:right="40" w:hanging="307"/>
        <w:spacing w:after="0" w:line="263"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21" w:lineRule="exact"/>
        <w:rPr>
          <w:rFonts w:ascii="Arial" w:cs="Arial" w:eastAsia="Arial" w:hAnsi="Arial"/>
          <w:sz w:val="18"/>
          <w:szCs w:val="18"/>
          <w:color w:val="auto"/>
        </w:rPr>
      </w:pPr>
    </w:p>
    <w:p>
      <w:pPr>
        <w:ind w:left="840" w:right="40" w:hanging="307"/>
        <w:spacing w:after="0" w:line="29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63" w:lineRule="exact"/>
        <w:rPr>
          <w:rFonts w:ascii="Arial" w:cs="Arial" w:eastAsia="Arial" w:hAnsi="Arial"/>
          <w:sz w:val="18"/>
          <w:szCs w:val="18"/>
          <w:color w:val="auto"/>
        </w:rPr>
      </w:pPr>
    </w:p>
    <w:p>
      <w:pPr>
        <w:ind w:left="840" w:right="100" w:hanging="307"/>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6, </w:t>
      </w:r>
      <w:r>
        <w:rPr>
          <w:rFonts w:ascii="Arial" w:cs="Arial" w:eastAsia="Arial" w:hAnsi="Arial"/>
          <w:sz w:val="18"/>
          <w:szCs w:val="18"/>
          <w:i w:val="1"/>
          <w:iCs w:val="1"/>
          <w:color w:val="auto"/>
        </w:rPr>
        <w:t>Debt</w:t>
      </w:r>
      <w:r>
        <w:rPr>
          <w:rFonts w:ascii="Arial" w:cs="Arial" w:eastAsia="Arial" w:hAnsi="Arial"/>
          <w:sz w:val="18"/>
          <w:szCs w:val="18"/>
          <w:color w:val="auto"/>
        </w:rPr>
        <w:t>, for the details on the 2025 Notes.</w:t>
      </w:r>
    </w:p>
    <w:p>
      <w:pPr>
        <w:spacing w:after="0" w:line="3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a prior and current year acquisitions from the contractual obligations table above; this liability had a total estimated fair value of $13.7 million at June 30, 2020. This liability has been excluded because the amount to be paid and the potential payment date is not fixed.</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excluded its option to acquire Integrated Shoulder Collaboration Inc., which becomes mandatory upon achievement of a certain sales threshold, for an amount not to exceed $80.0 million. This liability has been excluded because the amount to be paid and the potential payment date is not fixed.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excluded its future pension contribution obligations and deferred compensation obligations from the table above. This has been excluded because the future amounts to be paid and the potential payment dates are not fixed.</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$1.1 million at June 30, 2020. This liability for uncertain tax benefits has been excluded because we cannot make a reliable estimate of the period in which the uncertain tax benefits may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critical accounting estimates included in the Company's Annual Report on Form 10-K for the fiscal year ended December 31, 2019 have not materially 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June 30, 2020 would increase interest income by approximately $3.6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use interest rate derivative instruments to manage our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cash flow exposure to changes in interest rates. These interest rate swaps fix the interest rate on a portion of our expected LIBOR-indexed floating-rate borrowings.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notional amount of interest rate swaps in effect as of June 30, 2020 was $900 million. Based on our outstanding borrowings at June 30, 2020, a 100 basis points change in interest rates would have impacted interest expense on the unhedged portion of the debt by 2.0 million on an annualized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June 30, 2020. Based upon this evaluation, our principal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executive officer and principal financial officer concluded that our disclosure controls and procedures were effective as of June 30, 2020 to provide such reasonable assurance.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June 30, 2020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legal proceedings can be found in Note 16. Commitment and Contingencies.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risk factors are in addition to the risks described in the Company’s Form 10-K under Item 1A, “Risk Factors” for its fiscal year</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212529"/>
        </w:rPr>
        <w:t>ended December 31, 2019 and in its subsequent periodic reports filed with the Securities and Exchange Commission pursuant to the Securities Exchange Act of 1934, as amended. The risk factors described below may have the effect of heightening many of the risks contained in the Company’s Form 10-K and other periodic reports.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Global health emergencies, such as the COVID-19 pandemic, may disrupt our business.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measures taken or that may be taken in the future by governments, businesses, hospitals, our Company and our partners, patients and the public to mitigate the spread of COVID-19 and manage the resulting public health crisis have had, and we expect will continue to have, certain negative impacts on our business. The suspension or cancellation of elective or non-emergent medical procedures beginning in the first quarter of 2020 negatively impacted the demand for and sales of our products. While demand for our products has been returning since mid-April 2020 as healthcare institutions have altered how they are managing elective or non-emergent medical procedures, it is not possible to predict with precision whether and when demand for our products will return to levels that existed prior to the onset of the pandemic. The Company has implemented extensive business contingency plans across its global organization and network of business partners which help limit some of the impact of the COVID-19 pandemic but does not completely prevent or avoid negative impact on the business. The extent to which the COVID-19 pandemic will negatively affect the Company's operations and financial position will depend on future developments that remain uncertain and cannot be predicted with precision, including, without limitation, the scope and duration of the pandemic, the nature of various restrictive measures implemented to reduce the spread of the disease, the pace of business reopening plans across the globe, and related actions taken, or that may be taken in the future, by various governments and third parties in response to COVID-19.</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our common stock under the repurchase program can be found in Note 11. Treasury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7, 2020, the Company amended the Third Amended and Restated Employment Agreement (the " Agreement"), previously filed in the Company's 10-Q on October 26, 2017, with Peter J. Arduini, the Company’s President and Chief Executive Officer. The purpose of this amendment (the “2020 Amendment”) was to extend the term of the Agreement by one year, to December 31, 2021. Prior to the 2020 Amendment, the Agreement was set to expire on December 31, 2020, and earlier in the year, the Board and Mr. Arduini had begun to discuss the terms of a new employment agreement for Mr. Arduini. Subsequently, in order to minimize distractions from the Company’s response to the COVID-19 pandemic, the Board and Mr. Arduini agreed to extend the Agreement by one year rather than negotiate a new employment agreement at this time. The Board and Mr. Arduini intend to work toward a longer-term agreement for Mr. Arduini in 2021. The foregoing description of the 2020 Amendment is not complete and is subject to and qualified in its entirety by the terms of the 2020 Amendment, a copy of which is filed herewith as Exhibit 10.2 and incorporated herein by reference.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7">
        <w:r>
          <w:rPr>
            <w:rFonts w:ascii="Arial" w:cs="Arial" w:eastAsia="Arial" w:hAnsi="Arial"/>
            <w:sz w:val="18"/>
            <w:szCs w:val="18"/>
            <w:color w:val="auto"/>
          </w:rPr>
          <w:t>47.</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39"/>
          </w:cols>
          <w:pgMar w:left="320" w:top="125"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80"/>
              <w:spacing w:after="0"/>
              <w:rPr>
                <w:sz w:val="20"/>
                <w:szCs w:val="20"/>
                <w:color w:val="auto"/>
              </w:rPr>
            </w:pPr>
            <w:r>
              <w:rPr>
                <w:rFonts w:ascii="Arial" w:cs="Arial" w:eastAsia="Arial" w:hAnsi="Arial"/>
                <w:sz w:val="18"/>
                <w:szCs w:val="18"/>
                <w:color w:val="auto"/>
              </w:rPr>
              <w:t>August 10,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80"/>
              <w:spacing w:after="0"/>
              <w:rPr>
                <w:sz w:val="20"/>
                <w:szCs w:val="20"/>
                <w:color w:val="auto"/>
              </w:rPr>
            </w:pPr>
            <w:r>
              <w:rPr>
                <w:rFonts w:ascii="Arial" w:cs="Arial" w:eastAsia="Arial" w:hAnsi="Arial"/>
                <w:sz w:val="18"/>
                <w:szCs w:val="18"/>
                <w:color w:val="auto"/>
              </w:rPr>
              <w:t>August 10,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Carrie L. Anderson</w:t>
            </w:r>
          </w:p>
        </w:tc>
      </w:tr>
      <w:tr>
        <w:trPr>
          <w:trHeight w:val="27"/>
        </w:trPr>
        <w:tc>
          <w:tcPr>
            <w:tcW w:w="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70"/>
        </w:trPr>
        <w:tc>
          <w:tcPr>
            <w:tcW w:w="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480"/>
              <w:spacing w:after="0"/>
              <w:rPr>
                <w:sz w:val="20"/>
                <w:szCs w:val="20"/>
                <w:color w:val="auto"/>
              </w:rPr>
            </w:pPr>
            <w:r>
              <w:rPr>
                <w:rFonts w:ascii="Arial" w:cs="Arial" w:eastAsia="Arial" w:hAnsi="Arial"/>
                <w:sz w:val="18"/>
                <w:szCs w:val="18"/>
                <w:color w:val="auto"/>
              </w:rPr>
              <w:t>August 10,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Jeffrey A. Mosebrook</w:t>
            </w:r>
          </w:p>
        </w:tc>
      </w:tr>
      <w:tr>
        <w:trPr>
          <w:trHeight w:val="27"/>
        </w:trPr>
        <w:tc>
          <w:tcPr>
            <w:tcW w:w="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70"/>
        </w:trPr>
        <w:tc>
          <w:tcPr>
            <w:tcW w:w="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Finance</w:t>
            </w:r>
          </w:p>
        </w:tc>
      </w:tr>
      <w:tr>
        <w:trPr>
          <w:trHeight w:val="270"/>
        </w:trPr>
        <w:tc>
          <w:tcPr>
            <w:tcW w:w="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675"/>
        </w:trPr>
        <w:tc>
          <w:tcPr>
            <w:tcW w:w="8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660" w:type="dxa"/>
            <w:vAlign w:val="bottom"/>
          </w:tcPr>
          <w:p>
            <w:pPr>
              <w:spacing w:after="0"/>
              <w:rPr>
                <w:sz w:val="20"/>
                <w:szCs w:val="20"/>
                <w:color w:val="auto"/>
              </w:rPr>
            </w:pPr>
          </w:p>
        </w:tc>
      </w:tr>
      <w:tr>
        <w:trPr>
          <w:trHeight w:val="769"/>
        </w:trPr>
        <w:tc>
          <w:tcPr>
            <w:tcW w:w="6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Exhibits</w:t>
            </w:r>
          </w:p>
        </w:tc>
        <w:tc>
          <w:tcPr>
            <w:tcW w:w="26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25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9660" w:type="dxa"/>
            <w:vAlign w:val="bottom"/>
            <w:tcBorders>
              <w:bottom w:val="single" w:sz="8" w:color="0000FF"/>
            </w:tcBorders>
          </w:tcPr>
          <w:p>
            <w:pPr>
              <w:spacing w:after="0"/>
              <w:rPr>
                <w:rFonts w:ascii="Arial" w:cs="Arial" w:eastAsia="Arial" w:hAnsi="Arial"/>
                <w:sz w:val="18"/>
                <w:szCs w:val="18"/>
                <w:color w:val="0000FF"/>
                <w:w w:val="94"/>
              </w:rPr>
            </w:pPr>
            <w:hyperlink r:id="rId8">
              <w:r>
                <w:rPr>
                  <w:rFonts w:ascii="Arial" w:cs="Arial" w:eastAsia="Arial" w:hAnsi="Arial"/>
                  <w:sz w:val="18"/>
                  <w:szCs w:val="18"/>
                  <w:color w:val="0000FF"/>
                  <w:w w:val="94"/>
                </w:rPr>
                <w:t>Amendment, dated July 14, 2020, to that Sixth Amended and Restated Credit Agreement, among Integra LifeSciences Holdings</w:t>
              </w:r>
            </w:hyperlink>
          </w:p>
        </w:tc>
      </w:tr>
      <w:tr>
        <w:trPr>
          <w:trHeight w:val="196"/>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6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8">
              <w:r>
                <w:rPr>
                  <w:rFonts w:ascii="Arial" w:cs="Arial" w:eastAsia="Arial" w:hAnsi="Arial"/>
                  <w:sz w:val="18"/>
                  <w:szCs w:val="18"/>
                  <w:color w:val="0000FF"/>
                  <w:w w:val="96"/>
                </w:rPr>
                <w:t>Corporation, a syndicate of lending banks, Bank of America, N.A., as Administrative Agent, Swing Line Lender and L/C Issuer,</w:t>
              </w:r>
            </w:hyperlink>
          </w:p>
        </w:tc>
      </w:tr>
      <w:tr>
        <w:trPr>
          <w:trHeight w:val="196"/>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60" w:type="dxa"/>
            <w:vAlign w:val="bottom"/>
            <w:tcBorders>
              <w:bottom w:val="single" w:sz="8" w:color="0000FF"/>
            </w:tcBorders>
          </w:tcPr>
          <w:p>
            <w:pPr>
              <w:spacing w:after="0" w:line="196" w:lineRule="exact"/>
              <w:rPr>
                <w:rFonts w:ascii="Arial" w:cs="Arial" w:eastAsia="Arial" w:hAnsi="Arial"/>
                <w:sz w:val="18"/>
                <w:szCs w:val="18"/>
                <w:color w:val="0000FF"/>
                <w:w w:val="93"/>
              </w:rPr>
            </w:pPr>
            <w:hyperlink r:id="rId8">
              <w:r>
                <w:rPr>
                  <w:rFonts w:ascii="Arial" w:cs="Arial" w:eastAsia="Arial" w:hAnsi="Arial"/>
                  <w:sz w:val="18"/>
                  <w:szCs w:val="18"/>
                  <w:color w:val="0000FF"/>
                  <w:w w:val="93"/>
                </w:rPr>
                <w:t>Citibank N.A., Morgan Stanley MUFG Loan Partners, LLC and Wells Fargo Bank, N.A. as Co-Syndication Agents, and PNC Bank,</w:t>
              </w:r>
            </w:hyperlink>
          </w:p>
        </w:tc>
      </w:tr>
      <w:tr>
        <w:trPr>
          <w:trHeight w:val="196"/>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6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8">
              <w:r>
                <w:rPr>
                  <w:rFonts w:ascii="Arial" w:cs="Arial" w:eastAsia="Arial" w:hAnsi="Arial"/>
                  <w:sz w:val="18"/>
                  <w:szCs w:val="18"/>
                  <w:color w:val="0000FF"/>
                  <w:w w:val="95"/>
                </w:rPr>
                <w:t>N.A., Bank of Nova Scotia, Bank of the West, BBVA USA, Capital One, National Association, Citizens Bank, N.A., DNB Capital</w:t>
              </w:r>
            </w:hyperlink>
          </w:p>
        </w:tc>
      </w:tr>
      <w:tr>
        <w:trPr>
          <w:trHeight w:val="222"/>
        </w:trPr>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60" w:type="dxa"/>
            <w:vAlign w:val="bottom"/>
          </w:tcPr>
          <w:p>
            <w:pPr>
              <w:spacing w:after="0"/>
              <w:rPr>
                <w:rFonts w:ascii="Arial" w:cs="Arial" w:eastAsia="Arial" w:hAnsi="Arial"/>
                <w:sz w:val="18"/>
                <w:szCs w:val="18"/>
                <w:u w:val="single" w:color="auto"/>
                <w:color w:val="0000FF"/>
                <w:w w:val="94"/>
              </w:rPr>
            </w:pPr>
            <w:hyperlink r:id="rId8">
              <w:r>
                <w:rPr>
                  <w:rFonts w:ascii="Arial" w:cs="Arial" w:eastAsia="Arial" w:hAnsi="Arial"/>
                  <w:sz w:val="18"/>
                  <w:szCs w:val="18"/>
                  <w:u w:val="single" w:color="auto"/>
                  <w:color w:val="0000FF"/>
                  <w:w w:val="94"/>
                </w:rPr>
                <w:t>LLC, Santander Bank, N.A., T.D. Bank, N.A. and Truist Bank, as Co-Documentation Agents (Incorporated by reference to Exhibit</w:t>
              </w:r>
            </w:hyperlink>
          </w:p>
        </w:tc>
      </w:tr>
      <w:tr>
        <w:trPr>
          <w:trHeight w:val="230"/>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tcPr>
          <w:p>
            <w:pPr>
              <w:spacing w:after="0"/>
              <w:rPr>
                <w:rFonts w:ascii="Arial" w:cs="Arial" w:eastAsia="Arial" w:hAnsi="Arial"/>
                <w:sz w:val="18"/>
                <w:szCs w:val="18"/>
                <w:u w:val="single" w:color="auto"/>
                <w:color w:val="0000FF"/>
              </w:rPr>
            </w:pPr>
            <w:hyperlink r:id="rId8">
              <w:r>
                <w:rPr>
                  <w:rFonts w:ascii="Arial" w:cs="Arial" w:eastAsia="Arial" w:hAnsi="Arial"/>
                  <w:sz w:val="18"/>
                  <w:szCs w:val="18"/>
                  <w:u w:val="single" w:color="auto"/>
                  <w:color w:val="0000FF"/>
                </w:rPr>
                <w:t>4.1 to the Company’s Current Report on Form 8-K filed on July 14, 2020).</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Amendment to the Integra LifeSciences Holdings Corporation Fourth Amended and Restated 2003 Equity Incentive Plan</w:t>
              </w:r>
            </w:hyperlink>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*#10.2</w:t>
            </w:r>
          </w:p>
        </w:tc>
        <w:tc>
          <w:tcPr>
            <w:tcW w:w="966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Amendment to the Third Amended and Restated Employment Agreement between the Company and Peter J. Arduini</w:t>
              </w:r>
            </w:hyperlink>
          </w:p>
        </w:tc>
      </w:tr>
      <w:tr>
        <w:trPr>
          <w:trHeight w:val="864"/>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Principal Executive Officer Pursuant to Section 302 of the Sarbanes-Oxley Act of 2002</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Principal Financial Officer Pursuant to Section 302 of the Sarbanes-Oxley Act of 2002</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of Principal Executive Officer Pursuant to Section 906 of the Sarbanes-Oxley Act of 2002</w:t>
              </w:r>
            </w:hyperlink>
          </w:p>
        </w:tc>
      </w:tr>
      <w:tr>
        <w:trPr>
          <w:trHeight w:val="43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 of Principal Financial Officer Pursuant to Section 906 of the Sarbanes-Oxley Act of 2002</w:t>
              </w:r>
            </w:hyperlink>
          </w:p>
        </w:tc>
      </w:tr>
      <w:tr>
        <w:trPr>
          <w:trHeight w:val="418"/>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*†101.INS</w:t>
            </w:r>
          </w:p>
        </w:tc>
        <w:tc>
          <w:tcPr>
            <w:tcW w:w="9660" w:type="dxa"/>
            <w:vAlign w:val="bottom"/>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*†101.SCH</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*†101.CAL</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*†101.DEF</w:t>
            </w:r>
          </w:p>
        </w:tc>
        <w:tc>
          <w:tcPr>
            <w:tcW w:w="9660" w:type="dxa"/>
            <w:vAlign w:val="bottom"/>
          </w:tcPr>
          <w:p>
            <w:pPr>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*†101.LAB</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*†101.PRE</w:t>
            </w:r>
          </w:p>
        </w:tc>
        <w:tc>
          <w:tcPr>
            <w:tcW w:w="96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jc w:val="right"/>
        <w:ind w:left="500" w:hanging="492"/>
        <w:spacing w:after="0" w:line="287"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June 30, 2020 filed on August 10, 2020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2" w:lineRule="exact"/>
        <w:rPr>
          <w:rFonts w:ascii="Arial" w:cs="Arial" w:eastAsia="Arial" w:hAnsi="Arial"/>
          <w:sz w:val="16"/>
          <w:szCs w:val="16"/>
          <w:color w:val="auto"/>
        </w:rPr>
      </w:pPr>
    </w:p>
    <w:p>
      <w:pPr>
        <w:ind w:left="500" w:hanging="6"/>
        <w:spacing w:after="0" w:line="260" w:lineRule="auto"/>
        <w:tabs>
          <w:tab w:leader="none" w:pos="856"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AMENDMENT 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INTEGRA LIFESCIENCES HOLDINGS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AMENDED AND RESTATED 2003 EQUITY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AS OF July 16, 2020)</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AMENDMENT </w:t>
      </w:r>
      <w:r>
        <w:rPr>
          <w:rFonts w:ascii="Arial" w:cs="Arial" w:eastAsia="Arial" w:hAnsi="Arial"/>
          <w:sz w:val="20"/>
          <w:szCs w:val="20"/>
          <w:color w:val="auto"/>
        </w:rPr>
        <w:t>(this “Amendment”) to the Integra Lifesciences Holdings Corporation Fourth Amended and Restated 2003</w:t>
      </w:r>
      <w:r>
        <w:rPr>
          <w:rFonts w:ascii="Arial" w:cs="Arial" w:eastAsia="Arial" w:hAnsi="Arial"/>
          <w:sz w:val="20"/>
          <w:szCs w:val="20"/>
          <w:b w:val="1"/>
          <w:bCs w:val="1"/>
          <w:color w:val="auto"/>
        </w:rPr>
        <w:t xml:space="preserve"> </w:t>
      </w:r>
      <w:r>
        <w:rPr>
          <w:rFonts w:ascii="Arial" w:cs="Arial" w:eastAsia="Arial" w:hAnsi="Arial"/>
          <w:sz w:val="20"/>
          <w:szCs w:val="20"/>
          <w:color w:val="auto"/>
        </w:rPr>
        <w:t>Equity Incentive Plan (the “Plan”) is made by Integra Lifesciences Holdings Corporation (the “Company”) as of the date set forth at the end of this Amendment.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sponsors and maintains the Plan, which was previously amended and restated effective as of May 23,</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2017;</w:t>
      </w:r>
    </w:p>
    <w:p>
      <w:pPr>
        <w:spacing w:after="0" w:line="19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Section 9(a) of the Plan, the Board of Directors of the Company (the “Board”) has reserved the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amend the Plan;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Board deems it desirable to amend the Plan on the terms and conditions set forth in this Amendment; and</w:t>
      </w:r>
    </w:p>
    <w:p>
      <w:pPr>
        <w:spacing w:after="0" w:line="22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Board has determined that the nature of the amendments made to the Plan pursuant to this Amendment are such</w:t>
      </w:r>
      <w:r>
        <w:rPr>
          <w:rFonts w:ascii="Arial" w:cs="Arial" w:eastAsia="Arial" w:hAnsi="Arial"/>
          <w:sz w:val="20"/>
          <w:szCs w:val="20"/>
          <w:b w:val="1"/>
          <w:bCs w:val="1"/>
          <w:color w:val="auto"/>
        </w:rPr>
        <w:t xml:space="preserve"> </w:t>
      </w:r>
      <w:r>
        <w:rPr>
          <w:rFonts w:ascii="Arial" w:cs="Arial" w:eastAsia="Arial" w:hAnsi="Arial"/>
          <w:sz w:val="20"/>
          <w:szCs w:val="20"/>
          <w:color w:val="auto"/>
        </w:rPr>
        <w:t>that stockholder approval of this Amendment is not required.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Plan is hereby amended as follows:</w:t>
      </w:r>
    </w:p>
    <w:p>
      <w:pPr>
        <w:spacing w:after="0" w:line="222" w:lineRule="exact"/>
        <w:rPr>
          <w:sz w:val="20"/>
          <w:szCs w:val="20"/>
          <w:color w:val="auto"/>
        </w:rPr>
      </w:pPr>
    </w:p>
    <w:p>
      <w:pPr>
        <w:ind w:left="660" w:firstLine="644"/>
        <w:spacing w:after="0" w:line="233" w:lineRule="auto"/>
        <w:tabs>
          <w:tab w:leader="none" w:pos="2104"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Minimum Vesting</w:t>
      </w:r>
      <w:r>
        <w:rPr>
          <w:rFonts w:ascii="Arial" w:cs="Arial" w:eastAsia="Arial" w:hAnsi="Arial"/>
          <w:sz w:val="20"/>
          <w:szCs w:val="20"/>
          <w:color w:val="auto"/>
        </w:rPr>
        <w:t>. Effective for any Award granted on or after the date of adoption of this Amendment, a new Section 7.9 is added to the Plan as follows:</w:t>
      </w:r>
    </w:p>
    <w:p>
      <w:pPr>
        <w:spacing w:after="0" w:line="1" w:lineRule="exact"/>
        <w:rPr>
          <w:rFonts w:ascii="Arial" w:cs="Arial" w:eastAsia="Arial" w:hAnsi="Arial"/>
          <w:sz w:val="20"/>
          <w:szCs w:val="20"/>
          <w:color w:val="auto"/>
        </w:rPr>
      </w:pPr>
    </w:p>
    <w:p>
      <w:pPr>
        <w:ind w:left="1680" w:hanging="376"/>
        <w:spacing w:after="0"/>
        <w:tabs>
          <w:tab w:leader="none" w:pos="168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Minimum Vesting</w:t>
      </w:r>
      <w:r>
        <w:rPr>
          <w:rFonts w:ascii="Arial" w:cs="Arial" w:eastAsia="Arial" w:hAnsi="Arial"/>
          <w:sz w:val="19"/>
          <w:szCs w:val="19"/>
          <w:color w:val="auto"/>
        </w:rPr>
        <w:t>. Notwithstanding any other provision of the Plan to the contrary, all Awards, and all portions of</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Awards, shall be subject to a minimum vesting schedule of at least twelve (12) months following the date of grant of the Award;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limitations shall not</w:t>
      </w:r>
    </w:p>
    <w:p>
      <w:pPr>
        <w:spacing w:after="0" w:line="19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preclude the acceleration of vesting of any such Award upon the death or Disability of a Participant or preclude the double-trigger Change in Control treatment set forth in Section 8.5(a) of the Plan. Notwithstanding the foregoing, Awards with respect to 5% of the maximum aggregate number of Shares that may be granted under the Plan pursuant to Section 5 may be granted under the Plan to any one or more Participants without respect to such minimum vesting provisions.</w:t>
      </w:r>
    </w:p>
    <w:p>
      <w:pPr>
        <w:spacing w:after="0" w:line="191" w:lineRule="exact"/>
        <w:rPr>
          <w:sz w:val="20"/>
          <w:szCs w:val="20"/>
          <w:color w:val="auto"/>
        </w:rPr>
      </w:pPr>
    </w:p>
    <w:p>
      <w:pPr>
        <w:ind w:left="660" w:firstLine="644"/>
        <w:spacing w:after="0" w:line="233" w:lineRule="auto"/>
        <w:tabs>
          <w:tab w:leader="none" w:pos="2104"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Effective for any Award granted on or after the date of adoption of this Amendment, Section 7.3(b) of the Plan is amended in its entirety to read as follows:</w:t>
      </w:r>
    </w:p>
    <w:p>
      <w:pPr>
        <w:spacing w:after="0" w:line="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Rights as a Stockholder</w:t>
      </w:r>
      <w:r>
        <w:rPr>
          <w:rFonts w:ascii="Arial" w:cs="Arial" w:eastAsia="Arial" w:hAnsi="Arial"/>
          <w:sz w:val="19"/>
          <w:szCs w:val="19"/>
          <w:color w:val="auto"/>
        </w:rPr>
        <w:t>. Unless the Committee determines otherwise, a Key Employee or Associate who receives</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Restricted Stock shall have certain rights of a stockholder with respect to the Restricted Stock, including voting and dividend rights, subject to the restrictions described in subsection (c) below, Section 7.6(ii)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194" w:lineRule="exact"/>
        <w:rPr>
          <w:sz w:val="20"/>
          <w:szCs w:val="20"/>
          <w:color w:val="auto"/>
        </w:rPr>
      </w:pPr>
    </w:p>
    <w:p>
      <w:pPr>
        <w:ind w:left="660" w:firstLine="644"/>
        <w:spacing w:after="0" w:line="233" w:lineRule="auto"/>
        <w:tabs>
          <w:tab w:leader="none" w:pos="2104"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Remaining Provisions</w:t>
      </w:r>
      <w:r>
        <w:rPr>
          <w:rFonts w:ascii="Arial" w:cs="Arial" w:eastAsia="Arial" w:hAnsi="Arial"/>
          <w:sz w:val="20"/>
          <w:szCs w:val="20"/>
          <w:color w:val="auto"/>
        </w:rPr>
        <w:t>. The remaining provisions of the Plan will continue in full force and effect unless and until further modified or amended in accordance with the terms of the Plan.</w:t>
      </w:r>
    </w:p>
    <w:p>
      <w:pPr>
        <w:spacing w:after="0" w:line="1" w:lineRule="exact"/>
        <w:rPr>
          <w:rFonts w:ascii="Arial" w:cs="Arial" w:eastAsia="Arial" w:hAnsi="Arial"/>
          <w:sz w:val="20"/>
          <w:szCs w:val="20"/>
          <w:color w:val="auto"/>
        </w:rPr>
      </w:pPr>
    </w:p>
    <w:p>
      <w:pPr>
        <w:ind w:firstLine="656"/>
        <w:spacing w:after="0" w:line="234" w:lineRule="auto"/>
        <w:tabs>
          <w:tab w:leader="none" w:pos="1444"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Capitalized terms used in this Amendment that are not specifically defined in this Amendment will have the meanings set forth in the Plan.</w:t>
      </w:r>
    </w:p>
    <w:p>
      <w:pPr>
        <w:sectPr>
          <w:pgSz w:w="11900" w:h="16838" w:orient="portrait"/>
          <w:cols w:equalWidth="0" w:num="1">
            <w:col w:w="11240"/>
          </w:cols>
          <w:pgMar w:left="320" w:top="778" w:right="339" w:bottom="1440" w:gutter="0" w:footer="0" w:header="0"/>
        </w:sectPr>
      </w:pPr>
    </w:p>
    <w:bookmarkStart w:id="48" w:name="page49"/>
    <w:bookmarkEnd w:id="48"/>
    <w:p>
      <w:pPr>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Company has caused this Amendment to be executed by an authorized individual on the date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 w:leader="none" w:pos="2200" w:val="left"/>
          <w:tab w:leader="none" w:pos="2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Peter J. Arduini</w:t>
      </w:r>
      <w:r>
        <w:rPr>
          <w:sz w:val="20"/>
          <w:szCs w:val="20"/>
          <w:color w:val="auto"/>
        </w:rPr>
        <w:tab/>
      </w: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July 16, 2020</w:t>
      </w:r>
    </w:p>
    <w:p>
      <w:pPr>
        <w:spacing w:after="0" w:line="1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Peter J. Arduini</w:t>
      </w:r>
    </w:p>
    <w:p>
      <w:pPr>
        <w:spacing w:after="0" w:line="21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240"/>
          </w:cols>
          <w:pgMar w:left="320" w:top="5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to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Peter: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amends that certain Third Amended and Restated Employment Agreement by and between you and Integra LifeSciences Holdings Corporation,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dated October 24, 2017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as follows. Capitalized terms used but not defined below will have their respective meanings set forth in the Employment Agreement.</w:t>
      </w:r>
    </w:p>
    <w:p>
      <w:pPr>
        <w:spacing w:after="0" w:line="161" w:lineRule="exact"/>
        <w:rPr>
          <w:sz w:val="20"/>
          <w:szCs w:val="20"/>
          <w:color w:val="auto"/>
        </w:rPr>
      </w:pPr>
    </w:p>
    <w:p>
      <w:pPr>
        <w:jc w:val="both"/>
        <w:ind w:firstLine="1331"/>
        <w:spacing w:after="0" w:line="266" w:lineRule="auto"/>
        <w:tabs>
          <w:tab w:leader="none" w:pos="1773"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Section 3 of the Employment Agreement is hereby amended to provide the Employment Period of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terminate on December 31, 2021. As such, each reference in Section 3 of the Employment Agreement to the phrase “December 31, 2020” hereby is deleted and replaced in its entirety with the phrase “December 31, 2021”.</w:t>
      </w:r>
    </w:p>
    <w:p>
      <w:pPr>
        <w:spacing w:after="0" w:line="175" w:lineRule="exact"/>
        <w:rPr>
          <w:rFonts w:ascii="Arial" w:cs="Arial" w:eastAsia="Arial" w:hAnsi="Arial"/>
          <w:sz w:val="18"/>
          <w:szCs w:val="18"/>
          <w:color w:val="auto"/>
        </w:rPr>
      </w:pPr>
    </w:p>
    <w:p>
      <w:pPr>
        <w:ind w:right="20" w:firstLine="1331"/>
        <w:spacing w:after="0" w:line="282" w:lineRule="auto"/>
        <w:tabs>
          <w:tab w:leader="none" w:pos="1651"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Section 5 of the Employment Agreement is hereby amended to provide that, effective as of August 1, 2020,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is $980,000 per annum.</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Amendment shall constitute a valid amendment of the Employment Agreement under Section 20 of the Employment Agreement. The terms of this Amendment are hereby incorporated into the Employment Agreement. For the avoidance of doubt, except as expressly modified by this Amendment, the remaining terms of the Employment Agreement shall remain in full force and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indicate your agreement with the foregoing terms of this Amendment, to be effective as of the date first above written, by signing where indicated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Essig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Stuart Essig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J. Arduini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J. Arduini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55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900"/>
        <w:spacing w:after="0"/>
        <w:tabs>
          <w:tab w:leader="none" w:pos="614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931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540"/>
        <w:spacing w:after="0"/>
        <w:tabs>
          <w:tab w:leader="none" w:pos="134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9229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00" w:val="left"/>
          <w:tab w:leader="none" w:pos="6040" w:val="left"/>
        </w:tabs>
        <w:rPr>
          <w:sz w:val="20"/>
          <w:szCs w:val="20"/>
          <w:color w:val="auto"/>
        </w:rPr>
      </w:pPr>
      <w:r>
        <w:rPr>
          <w:rFonts w:ascii="Arial" w:cs="Arial" w:eastAsia="Arial" w:hAnsi="Arial"/>
          <w:sz w:val="18"/>
          <w:szCs w:val="18"/>
          <w:color w:val="auto"/>
        </w:rPr>
        <w:t>Date:</w:t>
        <w:tab/>
        <w:t>August 10,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2931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00"/>
        <w:spacing w:after="0"/>
        <w:tabs>
          <w:tab w:leader="none" w:pos="13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880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7.%1."/>
      <w:numFmt w:val="decimal"/>
      <w:start w:val="9"/>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1"/>
    </w:lvl>
    <w:lvl w:ilvl="1">
      <w:lvlJc w:val="left"/>
      <w:lvlText w:val="%2."/>
      <w:numFmt w:val="decimal"/>
      <w:start w:val="3"/>
    </w:lvl>
  </w:abstractNum>
  <w:abstractNum w:abstractNumId="15">
    <w:nsid w:val="3F2DBA31"/>
    <w:multiLevelType w:val="hybridMultilevel"/>
    <w:lvl w:ilvl="0">
      <w:lvlJc w:val="left"/>
      <w:lvlText w:val="%1."/>
      <w:numFmt w:val="decimal"/>
      <w:start w:val="4"/>
    </w:lvl>
    <w:lvl w:ilvl="1">
      <w:lvlJc w:val="left"/>
      <w:lvlText w:val="%2"/>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8" Type="http://schemas.openxmlformats.org/officeDocument/2006/relationships/hyperlink" Target="http://www.sec.gov/Archives/edgar/data/917520/000091752020000030/amendmentno1sixthar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2020-08-10T15:28:49Z</dcterms:created>
  <dcterms:modified xsi:type="dcterms:W3CDTF">2020-08-10T15:28:49Z</dcterms:modified>
</cp:coreProperties>
</file>