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412"/>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3"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Arial" w:cs="Arial" w:eastAsia="Arial" w:hAnsi="Arial"/>
                <w:sz w:val="16"/>
                <w:szCs w:val="16"/>
                <w:b w:val="1"/>
                <w:bCs w:val="1"/>
                <w:color w:val="auto"/>
                <w:w w:val="91"/>
              </w:rPr>
              <w:t>Title of Each Class</w:t>
            </w:r>
          </w:p>
        </w:tc>
        <w:tc>
          <w:tcPr>
            <w:tcW w:w="39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180" w:lineRule="exact"/>
        <w:rPr>
          <w:sz w:val="24"/>
          <w:szCs w:val="24"/>
          <w:color w:val="auto"/>
        </w:rPr>
      </w:pPr>
    </w:p>
    <w:p>
      <w:pPr>
        <w:ind w:right="23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48"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13" w:right="279" w:bottom="1440" w:gutter="0" w:footer="0" w:header="0"/>
        </w:sectPr>
      </w:pPr>
    </w:p>
    <w:bookmarkStart w:id="1" w:name="page2"/>
    <w:bookmarkEnd w:id="1"/>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581"/>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June 30, 2015, the aggregate market value of the registrant’s common stock held by non-affiliates was approximately $1,741.0 million based upon the closing sales price of the registrant’s common stock on The Nasdaq Global Market on such date. The number of shares of the registrant’s Common Stock, $0.01 par value, outstanding as of February 23, 2016 was 37,000,721.</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24, 2016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40" w:type="dxa"/>
            <w:vAlign w:val="bottom"/>
            <w:gridSpan w:val="10"/>
          </w:tcPr>
          <w:p>
            <w:pPr>
              <w:jc w:val="center"/>
              <w:ind w:right="184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gridSpan w:val="4"/>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w:t>
              </w:r>
            </w:hyperlink>
          </w:p>
        </w:tc>
        <w:tc>
          <w:tcPr>
            <w:tcW w:w="9780" w:type="dxa"/>
            <w:vAlign w:val="bottom"/>
            <w:gridSpan w:val="19"/>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780" w:type="dxa"/>
            <w:vAlign w:val="bottom"/>
            <w:gridSpan w:val="19"/>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EE"/>
                <w:w w:val="77"/>
              </w:rPr>
            </w:pPr>
            <w:hyperlink w:anchor="page4">
              <w:r>
                <w:rPr>
                  <w:rFonts w:ascii="Arial" w:cs="Arial" w:eastAsia="Arial" w:hAnsi="Arial"/>
                  <w:sz w:val="16"/>
                  <w:szCs w:val="16"/>
                  <w:color w:val="0000EE"/>
                  <w:w w:val="77"/>
                </w:rPr>
                <w:t>Item 1. Business</w:t>
              </w:r>
            </w:hyperlink>
          </w:p>
        </w:tc>
        <w:tc>
          <w:tcPr>
            <w:tcW w:w="8840" w:type="dxa"/>
            <w:vAlign w:val="bottom"/>
            <w:gridSpan w:val="1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EE"/>
                <w:w w:val="83"/>
              </w:rPr>
            </w:pPr>
            <w:hyperlink w:anchor="page12">
              <w:r>
                <w:rPr>
                  <w:rFonts w:ascii="Arial" w:cs="Arial" w:eastAsia="Arial" w:hAnsi="Arial"/>
                  <w:sz w:val="16"/>
                  <w:szCs w:val="16"/>
                  <w:color w:val="0000EE"/>
                  <w:w w:val="83"/>
                </w:rPr>
                <w:t>Item 1A. Risk Factors</w:t>
              </w:r>
            </w:hyperlink>
          </w:p>
        </w:tc>
        <w:tc>
          <w:tcPr>
            <w:tcW w:w="8480" w:type="dxa"/>
            <w:vAlign w:val="bottom"/>
            <w:gridSpan w:val="15"/>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1B. Unresolved Staff Comment</w:t>
              </w:r>
            </w:hyperlink>
            <w:r>
              <w:rPr>
                <w:rFonts w:ascii="Arial" w:cs="Arial" w:eastAsia="Arial" w:hAnsi="Arial"/>
                <w:sz w:val="16"/>
                <w:szCs w:val="16"/>
                <w:u w:val="single" w:color="auto"/>
                <w:color w:val="1A3CBF"/>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EE"/>
                <w:w w:val="79"/>
              </w:rPr>
            </w:pPr>
            <w:hyperlink w:anchor="page25">
              <w:r>
                <w:rPr>
                  <w:rFonts w:ascii="Arial" w:cs="Arial" w:eastAsia="Arial" w:hAnsi="Arial"/>
                  <w:sz w:val="16"/>
                  <w:szCs w:val="16"/>
                  <w:color w:val="0000EE"/>
                  <w:w w:val="79"/>
                </w:rPr>
                <w:t>Item 2. Properties</w:t>
              </w:r>
            </w:hyperlink>
          </w:p>
        </w:tc>
        <w:tc>
          <w:tcPr>
            <w:tcW w:w="1220" w:type="dxa"/>
            <w:vAlign w:val="bottom"/>
            <w:gridSpan w:val="6"/>
          </w:tcPr>
          <w:p>
            <w:pPr>
              <w:spacing w:after="0"/>
              <w:rPr>
                <w:sz w:val="20"/>
                <w:szCs w:val="20"/>
                <w:color w:val="auto"/>
              </w:rPr>
            </w:pPr>
          </w:p>
        </w:tc>
        <w:tc>
          <w:tcPr>
            <w:tcW w:w="7540" w:type="dxa"/>
            <w:vAlign w:val="bottom"/>
            <w:gridSpan w:val="10"/>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3. Legal Proceedings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EE"/>
                <w:w w:val="84"/>
              </w:rPr>
            </w:pPr>
            <w:hyperlink w:anchor="page26">
              <w:r>
                <w:rPr>
                  <w:rFonts w:ascii="Arial" w:cs="Arial" w:eastAsia="Arial" w:hAnsi="Arial"/>
                  <w:sz w:val="16"/>
                  <w:szCs w:val="16"/>
                  <w:color w:val="0000EE"/>
                  <w:w w:val="84"/>
                </w:rPr>
                <w:t>Item 4. Mine Safety Disclosures</w:t>
              </w:r>
            </w:hyperlink>
          </w:p>
        </w:tc>
        <w:tc>
          <w:tcPr>
            <w:tcW w:w="7840" w:type="dxa"/>
            <w:vAlign w:val="bottom"/>
            <w:gridSpan w:val="1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6">
              <w:r>
                <w:rPr>
                  <w:rFonts w:ascii="Arial" w:cs="Arial" w:eastAsia="Arial" w:hAnsi="Arial"/>
                  <w:sz w:val="16"/>
                  <w:szCs w:val="16"/>
                  <w:color w:val="0000FF"/>
                  <w:w w:val="96"/>
                </w:rPr>
                <w:t>PART II</w:t>
              </w:r>
            </w:hyperlink>
          </w:p>
        </w:tc>
        <w:tc>
          <w:tcPr>
            <w:tcW w:w="9780" w:type="dxa"/>
            <w:vAlign w:val="bottom"/>
            <w:gridSpan w:val="19"/>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60" w:type="dxa"/>
            <w:vAlign w:val="bottom"/>
            <w:gridSpan w:val="18"/>
          </w:tcPr>
          <w:p>
            <w:pPr>
              <w:spacing w:after="0"/>
              <w:rPr>
                <w:rFonts w:ascii="Arial" w:cs="Arial" w:eastAsia="Arial" w:hAnsi="Arial"/>
                <w:sz w:val="16"/>
                <w:szCs w:val="16"/>
                <w:color w:val="0000EE"/>
                <w:w w:val="90"/>
              </w:rPr>
            </w:pPr>
            <w:hyperlink w:anchor="page26">
              <w:r>
                <w:rPr>
                  <w:rFonts w:ascii="Arial" w:cs="Arial" w:eastAsia="Arial" w:hAnsi="Arial"/>
                  <w:sz w:val="16"/>
                  <w:szCs w:val="16"/>
                  <w:color w:val="0000EE"/>
                  <w:w w:val="90"/>
                </w:rPr>
                <w:t>Item 5. Market for Registrant's Common Equity, Related Stockholder Matters and Issuer Purchases of Equity Securities</w:t>
              </w:r>
            </w:hyperlink>
          </w:p>
        </w:tc>
        <w:tc>
          <w:tcPr>
            <w:tcW w:w="21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6. Selected Financial Data</w:t>
              </w:r>
            </w:hyperlink>
          </w:p>
        </w:tc>
        <w:tc>
          <w:tcPr>
            <w:tcW w:w="5720" w:type="dxa"/>
            <w:vAlign w:val="bottom"/>
            <w:gridSpan w:val="11"/>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5"/>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7A. Quantitative and Qualitative Disclosures About Market Risk</w:t>
              </w:r>
            </w:hyperlink>
          </w:p>
        </w:tc>
        <w:tc>
          <w:tcPr>
            <w:tcW w:w="3580" w:type="dxa"/>
            <w:vAlign w:val="bottom"/>
            <w:gridSpan w:val="4"/>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gridSpan w:val="11"/>
          </w:tcPr>
          <w:p>
            <w:pPr>
              <w:spacing w:after="0"/>
              <w:rPr>
                <w:rFonts w:ascii="Arial" w:cs="Arial" w:eastAsia="Arial" w:hAnsi="Arial"/>
                <w:sz w:val="16"/>
                <w:szCs w:val="16"/>
                <w:color w:val="0000EE"/>
                <w:w w:val="86"/>
              </w:rPr>
            </w:pPr>
            <w:hyperlink w:anchor="page48">
              <w:r>
                <w:rPr>
                  <w:rFonts w:ascii="Arial" w:cs="Arial" w:eastAsia="Arial" w:hAnsi="Arial"/>
                  <w:sz w:val="16"/>
                  <w:szCs w:val="16"/>
                  <w:color w:val="0000EE"/>
                  <w:w w:val="86"/>
                </w:rPr>
                <w:t>Item 8. Financial Statements and Supplementary Data</w:t>
              </w:r>
            </w:hyperlink>
          </w:p>
        </w:tc>
        <w:tc>
          <w:tcPr>
            <w:tcW w:w="1060" w:type="dxa"/>
            <w:vAlign w:val="bottom"/>
            <w:gridSpan w:val="2"/>
          </w:tcPr>
          <w:p>
            <w:pPr>
              <w:spacing w:after="0"/>
              <w:rPr>
                <w:sz w:val="20"/>
                <w:szCs w:val="20"/>
                <w:color w:val="auto"/>
              </w:rPr>
            </w:pPr>
          </w:p>
        </w:tc>
        <w:tc>
          <w:tcPr>
            <w:tcW w:w="5340" w:type="dxa"/>
            <w:vAlign w:val="bottom"/>
            <w:gridSpan w:val="6"/>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6"/>
          </w:tcPr>
          <w:p>
            <w:pPr>
              <w:spacing w:after="0"/>
              <w:rPr>
                <w:rFonts w:ascii="Arial" w:cs="Arial" w:eastAsia="Arial" w:hAnsi="Arial"/>
                <w:sz w:val="16"/>
                <w:szCs w:val="16"/>
                <w:color w:val="0000EE"/>
                <w:w w:val="90"/>
              </w:rPr>
            </w:pPr>
            <w:hyperlink w:anchor="page48">
              <w:r>
                <w:rPr>
                  <w:rFonts w:ascii="Arial" w:cs="Arial" w:eastAsia="Arial" w:hAnsi="Arial"/>
                  <w:sz w:val="16"/>
                  <w:szCs w:val="16"/>
                  <w:color w:val="0000EE"/>
                  <w:w w:val="90"/>
                </w:rPr>
                <w:t>Item 9. Changes in and Disagreements with Accountants on Accounting and Financial Disclosures</w:t>
              </w:r>
            </w:hyperlink>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8"/>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9A. Controls and Procedures</w:t>
              </w:r>
            </w:hyperlink>
          </w:p>
        </w:tc>
        <w:tc>
          <w:tcPr>
            <w:tcW w:w="4200" w:type="dxa"/>
            <w:vAlign w:val="bottom"/>
            <w:gridSpan w:val="8"/>
          </w:tcPr>
          <w:p>
            <w:pPr>
              <w:spacing w:after="0"/>
              <w:rPr>
                <w:sz w:val="20"/>
                <w:szCs w:val="20"/>
                <w:color w:val="auto"/>
              </w:rPr>
            </w:pPr>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Item 9B. Other Information</w:t>
              </w:r>
            </w:hyperlink>
          </w:p>
        </w:tc>
        <w:tc>
          <w:tcPr>
            <w:tcW w:w="400" w:type="dxa"/>
            <w:vAlign w:val="bottom"/>
            <w:gridSpan w:val="2"/>
          </w:tcPr>
          <w:p>
            <w:pPr>
              <w:spacing w:after="0"/>
              <w:rPr>
                <w:sz w:val="20"/>
                <w:szCs w:val="20"/>
                <w:color w:val="auto"/>
              </w:rPr>
            </w:pPr>
          </w:p>
        </w:tc>
        <w:tc>
          <w:tcPr>
            <w:tcW w:w="7680" w:type="dxa"/>
            <w:vAlign w:val="bottom"/>
            <w:gridSpan w:val="11"/>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PART III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780" w:type="dxa"/>
            <w:vAlign w:val="bottom"/>
            <w:gridSpan w:val="1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10. Directors, Executive Officers and Corporate Governance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2"/>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11. Executive Compensation</w:t>
              </w:r>
            </w:hyperlink>
          </w:p>
        </w:tc>
        <w:tc>
          <w:tcPr>
            <w:tcW w:w="5620" w:type="dxa"/>
            <w:vAlign w:val="bottom"/>
            <w:gridSpan w:val="7"/>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12. Security Ownership of Certain Beneficial Owners and Management and Related Stockholder Matter</w:t>
              </w:r>
            </w:hyperlink>
            <w:r>
              <w:rPr>
                <w:rFonts w:ascii="Arial" w:cs="Arial" w:eastAsia="Arial" w:hAnsi="Arial"/>
                <w:sz w:val="16"/>
                <w:szCs w:val="16"/>
                <w:color w:val="000000"/>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4"/>
          </w:tcPr>
          <w:p>
            <w:pPr>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800" w:type="dxa"/>
            <w:vAlign w:val="bottom"/>
            <w:gridSpan w:val="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0"/>
          </w:tcPr>
          <w:p>
            <w:pPr>
              <w:spacing w:after="0"/>
              <w:rPr>
                <w:rFonts w:ascii="Arial" w:cs="Arial" w:eastAsia="Arial" w:hAnsi="Arial"/>
                <w:sz w:val="16"/>
                <w:szCs w:val="16"/>
                <w:color w:val="0000EE"/>
                <w:w w:val="88"/>
              </w:rPr>
            </w:pPr>
            <w:hyperlink w:anchor="page49">
              <w:r>
                <w:rPr>
                  <w:rFonts w:ascii="Arial" w:cs="Arial" w:eastAsia="Arial" w:hAnsi="Arial"/>
                  <w:sz w:val="16"/>
                  <w:szCs w:val="16"/>
                  <w:color w:val="0000EE"/>
                  <w:w w:val="88"/>
                </w:rPr>
                <w:t>Item 14. Principal Accountant Fees and Services</w:t>
              </w:r>
            </w:hyperlink>
          </w:p>
        </w:tc>
        <w:tc>
          <w:tcPr>
            <w:tcW w:w="2100" w:type="dxa"/>
            <w:vAlign w:val="bottom"/>
            <w:gridSpan w:val="4"/>
          </w:tcPr>
          <w:p>
            <w:pPr>
              <w:spacing w:after="0"/>
              <w:rPr>
                <w:sz w:val="20"/>
                <w:szCs w:val="20"/>
                <w:color w:val="auto"/>
              </w:rPr>
            </w:pPr>
          </w:p>
        </w:tc>
        <w:tc>
          <w:tcPr>
            <w:tcW w:w="4620" w:type="dxa"/>
            <w:vAlign w:val="bottom"/>
            <w:gridSpan w:val="5"/>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26">
              <w:r>
                <w:rPr>
                  <w:rFonts w:ascii="Arial" w:cs="Arial" w:eastAsia="Arial" w:hAnsi="Arial"/>
                  <w:sz w:val="16"/>
                  <w:szCs w:val="16"/>
                  <w:color w:val="0000FF"/>
                  <w:w w:val="86"/>
                </w:rPr>
                <w:t>PART IV</w:t>
              </w:r>
            </w:hyperlink>
          </w:p>
        </w:tc>
        <w:tc>
          <w:tcPr>
            <w:tcW w:w="9780" w:type="dxa"/>
            <w:vAlign w:val="bottom"/>
            <w:gridSpan w:val="19"/>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Item 15. Exhibits and Financial Statements Schedules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0"/>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SIGNATURES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61">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headquartered in Plainsboro, New Jersey, is a world leader in medical technology. The Company employs approximately 3,500 people around the world who are dedicated to limiting uncertainty for surgeons, so that they can concentrate on providing the best care for their patients. Integra offers innovative solutions, including leading regenerative technologies, specialty surgical solutions, and orthopedic solutions. Revenues grew to $882.7 million in 2015, an increase of 11% from $796.7 million in 2014.</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was founded on an engineered collagen technology platform that can be used to repair and regenerate tissue. The Company has developed numerous product lines from this technology for applications ranging from burn and deep tissue wounds to repair of dura mater in the brain to repair of nerve and tendon. Over the past 25 years, Integra has grown by building upon this core regenerative technology, acquiring businesses in markets with overlapping customer bases, and developing products to further meet the needs of our target customers.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2015, the Company completed the separation of SeaSpine Holdings Corporation ("SeaSpine") from Integra through the pro rata distribution of 100% of the common stock of SeaSpine to Integra's stockholders of record as of the close of business on June 19, 2015. Each Integra shareholder received one share of SeaSpine common stock for every three shares of Integra common stock held as of the record date. As a result, SeaSpine became an independent, publicly traded company listed on the NASDAQ market, and Integra retains no ownership interest in SeaSpine. The distribution was structured to be tax-free to Integra and its shareholders for U.S. federal income tax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aspire to be a multi-billion dollar diversified global medical technology company that helps patients by limiting uncertainty for healthcare professionals.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customers will recognize us as a leader in specialty surgical applications, regenerative technologies and extremities orthopedics worldwide.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execute, optimize, and accelerate growth. These three pillars support our strategic initiatives to deliver on our commitments through improved planning and communication, optimize our infrastructure, and grow our revenues by introducing new products to the market through internal development, geographic expansion, and strategic acquisitions.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is an essential strategic approach for two reasons. First, the costs inherent in operating a medical technology company have increased at an accelerating rate in recent years and continue to rise. Scale is therefore correlated with rates of profitability in our industry. Our strategic response is to focus efforts and investments on accelerating growth in the clinical areas where we compete today. Second, we compete in a complex and highly regulated industry, and we have grown through more than 45 acquisitions in our history. We have made significant accomplishments in the past several years to reduce our operational footprint, simplify our organizational structure and build platforms for common systems. To effectively execute on our plans to grow our core business and integrate acquisitions, we must continue to improve our infrastructure and processes. These improvements will create a solid platform with operational stability from which to grow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 that end, our executive leadership team has set forth several near-term objectives aligned to this strategy:</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Portfolio Optimization</w:t>
      </w:r>
      <w:r>
        <w:rPr>
          <w:rFonts w:ascii="Arial" w:cs="Arial" w:eastAsia="Arial" w:hAnsi="Arial"/>
          <w:sz w:val="18"/>
          <w:szCs w:val="18"/>
          <w:color w:val="auto"/>
        </w:rPr>
        <w:t>. We are investing in innovative product development to drive a multi-generational pipeline for our key product franchises.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leadership of our Chief Scientific Officer, our product development efforts focus on regenerative technologies and other projects with the potential for significant returns on investment. We have a stated goal of generating at least one quarter of our organic growth in any one year from products launched in the last two to three years. These recent efforts have contributed to an active schedule of impactful product launches for 2016 through 2018. In addition to new product development, we are funding studies to gather clinical evidence to support successful launches and improved reimbursement for existing products. We also continue to identify low-growth, low-margin products and product franchises for discontinuation and will continue to look at other ways of optimizing our portfolio.</w:t>
      </w:r>
    </w:p>
    <w:p>
      <w:pPr>
        <w:spacing w:after="0" w:line="13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International Expansion</w:t>
      </w:r>
      <w:r>
        <w:rPr>
          <w:rFonts w:ascii="Arial" w:cs="Arial" w:eastAsia="Arial" w:hAnsi="Arial"/>
          <w:sz w:val="18"/>
          <w:szCs w:val="18"/>
          <w:color w:val="auto"/>
        </w:rPr>
        <w:t>. We generate less than one quarter of our revenues from markets outside the United States, whereas most large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companies produce significantly more of their revenues internationally. Therefore, we see an opportunity to accelerate revenue growth by increasing our international presence. In order to achieve this, we are expanding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both"/>
        <w:ind w:left="340"/>
        <w:spacing w:after="0" w:line="259" w:lineRule="auto"/>
        <w:rPr>
          <w:sz w:val="20"/>
          <w:szCs w:val="20"/>
          <w:color w:val="auto"/>
        </w:rPr>
      </w:pPr>
      <w:r>
        <w:rPr>
          <w:rFonts w:ascii="Arial" w:cs="Arial" w:eastAsia="Arial" w:hAnsi="Arial"/>
          <w:sz w:val="18"/>
          <w:szCs w:val="18"/>
          <w:color w:val="auto"/>
        </w:rPr>
        <w:t>our commercial infrastructure in key markets, and securing ownership or other control of our product registrations and distribution system. Additionally, we have a plan for registering and launching our existing products in countries where we already have a selling presence, but are missing key leading brands. We expect the commercial focus on key markets and products that carry both high margins and relevant price points to increase our proportion of international business.</w:t>
      </w:r>
    </w:p>
    <w:p>
      <w:pPr>
        <w:spacing w:after="0" w:line="133" w:lineRule="exact"/>
        <w:rPr>
          <w:sz w:val="20"/>
          <w:szCs w:val="20"/>
          <w:color w:val="auto"/>
        </w:rPr>
      </w:pPr>
    </w:p>
    <w:p>
      <w:pPr>
        <w:jc w:val="both"/>
        <w:ind w:left="340"/>
        <w:spacing w:after="0" w:line="274" w:lineRule="auto"/>
        <w:rPr>
          <w:sz w:val="20"/>
          <w:szCs w:val="20"/>
          <w:color w:val="auto"/>
        </w:rPr>
      </w:pPr>
      <w:r>
        <w:rPr>
          <w:rFonts w:ascii="Arial" w:cs="Arial" w:eastAsia="Arial" w:hAnsi="Arial"/>
          <w:sz w:val="16"/>
          <w:szCs w:val="16"/>
          <w:i w:val="1"/>
          <w:iCs w:val="1"/>
          <w:color w:val="auto"/>
        </w:rPr>
        <w:t xml:space="preserve">Commercial Channel Optimization. </w:t>
      </w:r>
      <w:r>
        <w:rPr>
          <w:rFonts w:ascii="Arial" w:cs="Arial" w:eastAsia="Arial" w:hAnsi="Arial"/>
          <w:sz w:val="16"/>
          <w:szCs w:val="16"/>
          <w:color w:val="auto"/>
        </w:rPr>
        <w:t>Through the recent acquisition of TEI Biosciences, Inc. and TEI Medical Inc. (collectively "TEI") in July 2015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planned launch of Omnigraft</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for diabetic foot ulcers in mid-2016, we have established a new presence in the outpatient segment of the fast-growing advanced wound care market. We are building up this commercial channel and support infrastructure to facilitate the Omnigraft product launch. Our new 3x3 strategy will take advantage of our unique position to call upon providers through three sales channels (inpatient, outpatient, and multi-center enterprise-wide contracting) and offer three product families for advanced wound healing (engineered collagen, acellular collagen and human amniotic wound dressings). More broadly, to compete successfully against much larger, diversified medical technology competitors, we are building upon our leadership brands across our product franchises and engaging hospital system customers through enterprise-wide contracts.</w:t>
      </w:r>
    </w:p>
    <w:p>
      <w:pPr>
        <w:spacing w:after="0" w:line="126"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i w:val="1"/>
          <w:iCs w:val="1"/>
          <w:color w:val="auto"/>
        </w:rPr>
        <w:t xml:space="preserve">Infrastructure Optimization. </w:t>
      </w:r>
      <w:r>
        <w:rPr>
          <w:rFonts w:ascii="Arial" w:cs="Arial" w:eastAsia="Arial" w:hAnsi="Arial"/>
          <w:sz w:val="17"/>
          <w:szCs w:val="17"/>
          <w:color w:val="auto"/>
        </w:rPr>
        <w:t>Over the past four years, we have reduced the number of manufacturing and distribution facilities that we operate by nine</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largely completed plans to consolidate operational activities into existing sites with greater utilization and efficiency. We have expanded our collagen manufacturing capabilities. In addition, we have a centrally led strategic sourcing and procurement effort, which has lowered our direct costs for certain purchased goods. These changes continue to control costs and enable higher marginal profit and cash flow. We have also completed the majority of a common enterprise resource planning ("ERP") system implementation. Approximately 85% of our revenue operates on a single system. We plan to complete these implementation activities in 2016. With these changes and the simplification of our operational structure during 2015 to two global business segments, we have the systems and structure in place to support a much larger business, which will enable us to better leverage our expenditures on general and administrative items over the next several years.</w:t>
      </w:r>
    </w:p>
    <w:p>
      <w:pPr>
        <w:spacing w:after="0" w:line="125"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i w:val="1"/>
          <w:iCs w:val="1"/>
          <w:color w:val="auto"/>
        </w:rPr>
        <w:t>Strategic Corporate Development</w:t>
      </w:r>
      <w:r>
        <w:rPr>
          <w:rFonts w:ascii="Arial" w:cs="Arial" w:eastAsia="Arial" w:hAnsi="Arial"/>
          <w:sz w:val="17"/>
          <w:szCs w:val="17"/>
          <w:color w:val="auto"/>
        </w:rPr>
        <w:t>. Over the years, we have successfully acquired and in-licensed businesses, products and technologies to grow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Our corporate development program is a core competency, and an important part of our strategy is to continue to pursue strategic transactions and licensing agreements to increase relevant scale in the clinical areas in which we compete. Heading into 2016, identifying additional opportunities and integrating the TEI and Salto Talaris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acquisitions will be key objectives for the company. Acquisitions, in particular, may expand international distribution, add a technology platform, increase the scale of one of our current portfolios, or provide access into an adjacent growth area that leverages the sales channel. We focus our efforts on the clinical areas of would care, extremities orthopedics, and specialty surgical applications. Our corporate development capabilities are increasingly important to remain competitive in today's environment.</w:t>
      </w:r>
    </w:p>
    <w:p>
      <w:pPr>
        <w:spacing w:after="0" w:line="14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Finally, we are investing in training programs to develop our leadership deeper in the organization and will be investing in targeted additions to our sales organization to improve market coverage. These initiatives, investments, and talent development efforts will strengthen the foundation necessary to support a faster growing, multi-billion dollar global medical technology company. Our strategy to execute, optimize and accelerate growth will enable us to continue to be a company that helps limit uncertainty for customers and touches millions of patients each year, while driving returns for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the first quarter of 2015, we began to disclose three global reportable segments as a result of changes in how we internally manage and report the results of our businesses. Following the spin-off of SeaSpine, we currently manufacture and sell our products in the following two global reportable business segments: Specialty Surgical Solutions, and Orthopedics and Tissue Technologies. We included financial information regarding our reportable business segments and certain geographic information under "Item 7. Management's Discussion and Analysis of Financial Condition and Results of Operations" and in Note 15, </w:t>
      </w:r>
      <w:r>
        <w:rPr>
          <w:rFonts w:ascii="Arial" w:cs="Arial" w:eastAsia="Arial" w:hAnsi="Arial"/>
          <w:sz w:val="17"/>
          <w:szCs w:val="17"/>
          <w:i w:val="1"/>
          <w:iCs w:val="1"/>
          <w:color w:val="auto"/>
        </w:rPr>
        <w:t xml:space="preserve">Segment and Geographic Information </w:t>
      </w:r>
      <w:r>
        <w:rPr>
          <w:rFonts w:ascii="Arial" w:cs="Arial" w:eastAsia="Arial" w:hAnsi="Arial"/>
          <w:sz w:val="17"/>
          <w:szCs w:val="17"/>
          <w:color w:val="auto"/>
        </w:rPr>
        <w:t>to our consolidated financial statements.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Specialty Surgical Solutions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Specialty Surgical Solutions business offers specialty surgical instrumentation for a broad range of specialties, including a market-leading product portfolio used in the neurosurgery operating suite and critical care unit.</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sell products and solutions for dural repair, precision tools and instruments, tissue ablation, and neuro critical care. For neurosurgeons, we have products for each step of a procedure and the care of the patient after surgery, from both equipment and implants used in the neurosurgery operating room to monitoring in the neurosurgery intensive care unit. We are also among the largest surgical instrument suppliers in the United States to hospitals, acute care surgical centers, and clinician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jc w:val="both"/>
        <w:ind w:left="340" w:right="20"/>
        <w:spacing w:after="0" w:line="277" w:lineRule="auto"/>
        <w:rPr>
          <w:sz w:val="20"/>
          <w:szCs w:val="20"/>
          <w:color w:val="auto"/>
        </w:rPr>
      </w:pPr>
      <w:r>
        <w:rPr>
          <w:rFonts w:ascii="Arial" w:cs="Arial" w:eastAsia="Arial" w:hAnsi="Arial"/>
          <w:sz w:val="18"/>
          <w:szCs w:val="18"/>
          <w:color w:val="auto"/>
        </w:rPr>
        <w:t>offices. Our portfolio includes over 60,000 instrument patterns and surgical products, surgical headlight systems and table-mounted retractors that address a broad set of surgical specialties.</w:t>
      </w:r>
    </w:p>
    <w:p>
      <w:pPr>
        <w:spacing w:after="0" w:line="170"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In the United States, Specialty Surgical Solutions products are sold through a combination of directly employed sales representatives, sales agents and distributors, depending on the customer call point. We have a specialized sales organization composed of directly employed sales representatives who primarily call on neurosurgeons and the neuro critical care unit. In addition, we have a sales organization consisting of a combination of directly employed sales representatives and sales agents who primarily call on the central sterile processing unit of hospitals and acute care surgical centers. Finally, we reach the diverse alternate site call point, which includes physician, dental and veterinary offices, through distributors. Internationally, we sell certain products and product lines from the Specialty Surgical Solutions portfolio through a combination of direct efforts, primarily in certain European countries, Australia, New Zealand, and Canada, and through distributors in other countries.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Orthopedics and Tissue Technologies</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Our Orthopedics and Tissue Technologies business offers a unique combination of differentiated soft tissue repair and tissue regeneration products, and small bone fixation and joint replacement solutions.</w:t>
      </w:r>
    </w:p>
    <w:p>
      <w:pPr>
        <w:spacing w:after="0" w:line="17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sell regenerative technology products that can be used to provide treatment for acute and chronic wounds, surgical tissue repair including hernia repair, peripheral nerve repair and protection, and tendon repair. For extremity bone and joint reconstruction procedures, we sell hardware products, such as bone and joint fixation and joint replacement devices, implants and instruments, which provide for the orthopedic reconstruction of bone in the hand, wrist, elbow and shoulder (Upper Extremity), and the foot, ankle and leg below the knee (Lower Extremity).</w:t>
      </w:r>
    </w:p>
    <w:p>
      <w:pPr>
        <w:spacing w:after="0" w:line="17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In the United States, we have a specialized sales organization composed of directly employed sales representatives, as well as specialty distributors, organized based upon their call point. A team of extremities sales representatives call on surgeons who treat acute wounds in hospitals, extremity orthopedic disorders, including osteoarthritis, rheumatoid arthritis, wrist, ankle and shoulder arthroplasty, and other conditions requiring foot or hand reconstruction. In addition, we sell our shoulder products through a specialty distributor network of sales agents who call on shoulder surgeons. A team of wound care clinic sales representatives call on physicians who treat chronic wounds in the outpatient wound care clinic setting. A team of surgical sales representatives call on surgeons who treat patients requiring surgical tissue repair and reconstruction. Finally, we have a small group of clinical sales specialists who focus on our regenerative products and support these three sales organizations, extremities, wound care and surgical, to address their clinicians' needs as they relate to this class of products. Outside the United States, we have a small direct sales presence, primarily in certain European countries, Australia, New Zealand, and Canada, and utilize distributors in other international markets to sell certain products and product lines from the Orthopedics and Tissue Technologies portfolio.</w:t>
      </w:r>
    </w:p>
    <w:p>
      <w:pPr>
        <w:spacing w:after="0" w:line="1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segment also includes private-label sales of a broad set of our regenerative technologies. Our customers are other medical technology companies that sell to end markets primarily in orthopedics, surgical and wound care.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thousands of products for the medical specialties we target. Our objective is to develop, acquire or otherwise provide products that will limit uncertainty for hospitals and surgeons. These products include our regenerative technology implants, metal implants, instruments and equipment for small bone orthopedic surgery and specialty surgical applications. We distinguish ourselves by emphasizing the importance of regenerative technology, which we define as surgical implants derived from our proprietary collagen matrix technology and other biologic platforms that enable or facilitate the body's healing process and are resorbed.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focus on identifying unmet surgical needs and addressing those needs with innovative solutions and products. We apply our core competency in regenerative technology to products for neurosurgical, orthopedic and wound applications, and we have extensive programs in the core platform technologies of orthopedic hardware and electromechanical technologies. In addition to our activities aimed at acquiring or in-licensing new products, we are optimizing our current portfolio through product franchise review and rationalization. We are focusing our development efforts on innovative products with an emphasis on product efficacy and clinical evidence.</w:t>
      </w:r>
    </w:p>
    <w:p>
      <w:pPr>
        <w:spacing w:after="0" w:line="13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Regenerative Technologies. </w:t>
      </w:r>
      <w:r>
        <w:rPr>
          <w:rFonts w:ascii="Arial" w:cs="Arial" w:eastAsia="Arial" w:hAnsi="Arial"/>
          <w:sz w:val="18"/>
          <w:szCs w:val="18"/>
          <w:color w:val="auto"/>
        </w:rPr>
        <w:t>Because implants derived from our regenerative technology platform represent a fast-growing, high-margin opportunity for</w:t>
      </w:r>
      <w:r>
        <w:rPr>
          <w:rFonts w:ascii="Arial" w:cs="Arial" w:eastAsia="Arial" w:hAnsi="Arial"/>
          <w:sz w:val="18"/>
          <w:szCs w:val="18"/>
          <w:i w:val="1"/>
          <w:iCs w:val="1"/>
          <w:color w:val="auto"/>
        </w:rPr>
        <w:t xml:space="preserve"> </w:t>
      </w:r>
      <w:r>
        <w:rPr>
          <w:rFonts w:ascii="Arial" w:cs="Arial" w:eastAsia="Arial" w:hAnsi="Arial"/>
          <w:sz w:val="18"/>
          <w:szCs w:val="18"/>
          <w:color w:val="auto"/>
        </w:rPr>
        <w:t>us, we allocate a large portion of our research and development budget to these projects.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jc w:val="both"/>
        <w:ind w:left="340"/>
        <w:spacing w:after="0" w:line="257" w:lineRule="auto"/>
        <w:rPr>
          <w:sz w:val="20"/>
          <w:szCs w:val="20"/>
          <w:color w:val="auto"/>
        </w:rPr>
      </w:pPr>
      <w:r>
        <w:rPr>
          <w:rFonts w:ascii="Arial" w:cs="Arial" w:eastAsia="Arial" w:hAnsi="Arial"/>
          <w:sz w:val="17"/>
          <w:szCs w:val="17"/>
          <w:color w:val="auto"/>
        </w:rPr>
        <w:t>regenerative technology development program applies our expertise in bioengineering a range of biomaterials including natural collagen and human tissues as well as synthetics such as polymers. The unique product designs are used for neurosurgical and orthopedic surgery applications, as well as dermal regeneration, tendon and nerve repair, and chronic and acute wounds. In 2015, Integra reported the results of a multi-center, randomized, controlled clinical trial under the United States Food and Drug Administration ("FDA") Investigational Device Exemption ("IDE") comparing the safety and effectiveness of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Dermal Regeneration Template to the standard of care for the treatment of diabetic foot ulcers. The data from this trial formed the foundation for the Premarket Approval ("PMA") Supplement application that we filed with the FDA. The FDA approved the PMA on January 7, 2016, and the Company anticipates commercializing the resulting Diabetic Foot Ulcer ("DFU") product, Omnigraft, in mid-2016. We are also investing in next generation nerve products, additional clinical studies for indications to support existing products including for an indication in ankle arthroplasty, and longer-term research programs to evaluate combination products.</w:t>
      </w:r>
    </w:p>
    <w:p>
      <w:pPr>
        <w:spacing w:after="0" w:line="137" w:lineRule="exact"/>
        <w:rPr>
          <w:sz w:val="20"/>
          <w:szCs w:val="20"/>
          <w:color w:val="auto"/>
        </w:rPr>
      </w:pPr>
    </w:p>
    <w:p>
      <w:pPr>
        <w:jc w:val="both"/>
        <w:ind w:left="340"/>
        <w:spacing w:after="0" w:line="257" w:lineRule="auto"/>
        <w:rPr>
          <w:sz w:val="20"/>
          <w:szCs w:val="20"/>
          <w:color w:val="auto"/>
        </w:rPr>
      </w:pPr>
      <w:r>
        <w:rPr>
          <w:rFonts w:ascii="Arial" w:cs="Arial" w:eastAsia="Arial" w:hAnsi="Arial"/>
          <w:sz w:val="17"/>
          <w:szCs w:val="17"/>
          <w:i w:val="1"/>
          <w:iCs w:val="1"/>
          <w:color w:val="auto"/>
        </w:rPr>
        <w:t>Orthopedic Hardware</w:t>
      </w:r>
      <w:r>
        <w:rPr>
          <w:rFonts w:ascii="Arial" w:cs="Arial" w:eastAsia="Arial" w:hAnsi="Arial"/>
          <w:sz w:val="17"/>
          <w:szCs w:val="17"/>
          <w:color w:val="auto"/>
        </w:rPr>
        <w:t>. We develop fixation devices and other implants and instruments for upper and lower extremities to both provide next generation</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and expand our product portfolio. This portfolio focuses on joint replacement products. Integra already has a strong shoulder portfolio, which includes a total shoulder system and a reverse shoulder. We are in the final stages of development for a glenoid replacement product and are developing a pyrocarbon hemi-shoulder product to add to that portfolio. We have a strong differentiated asset that resides in our exclusively licensed pyrocarbon products, and we continue to invest to bring new products to market with this technology, which has shown significantly less wear on bone then traditional metals. Our Cadence total ankle replacement product is also in the final stages of development before a controlled market release, and will complement the recently acquired Salto Talaris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ankle. The Cadence ankle is designed to simplify the ankle replacement procedure and maximize reproducibility through its instrumentation and technique.</w:t>
      </w:r>
    </w:p>
    <w:p>
      <w:pPr>
        <w:spacing w:after="0" w:line="130" w:lineRule="exact"/>
        <w:rPr>
          <w:sz w:val="20"/>
          <w:szCs w:val="20"/>
          <w:color w:val="auto"/>
        </w:rPr>
      </w:pPr>
    </w:p>
    <w:p>
      <w:pPr>
        <w:jc w:val="both"/>
        <w:ind w:left="340"/>
        <w:spacing w:after="0" w:line="273" w:lineRule="auto"/>
        <w:rPr>
          <w:sz w:val="20"/>
          <w:szCs w:val="20"/>
          <w:color w:val="auto"/>
        </w:rPr>
      </w:pPr>
      <w:r>
        <w:rPr>
          <w:rFonts w:ascii="Arial" w:cs="Arial" w:eastAsia="Arial" w:hAnsi="Arial"/>
          <w:sz w:val="16"/>
          <w:szCs w:val="16"/>
          <w:i w:val="1"/>
          <w:iCs w:val="1"/>
          <w:color w:val="auto"/>
        </w:rPr>
        <w:t>Electromechanical Technologies and Instrumentation</w:t>
      </w:r>
      <w:r>
        <w:rPr>
          <w:rFonts w:ascii="Arial" w:cs="Arial" w:eastAsia="Arial" w:hAnsi="Arial"/>
          <w:sz w:val="16"/>
          <w:szCs w:val="16"/>
          <w:color w:val="auto"/>
        </w:rPr>
        <w:t>. Because our electromechanical products and instruments represent products that limit uncertainty</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surgeon customers, we continue to invest in approvals for new indications and next generation improvements to our market-leading products. We are developing the next generation tissue ablation system enhancements, which are in late stages of development. We are focusing on ease of set-up, ensuring that the CUSA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enhancements have a user-friendly interface and hand pieces that are ergonomic, a key request of surgeons. We also work with a number of primarily German instrument partners to bring new surgical instrument patterns to the market, enabling us to add new instruments with minimal expense. Finally, our lighting franchise is among the most dynamic, and we continue to invest in ongoing development in LED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competitors in specialty surgical solutions are the Aesculap division of B. Braun Medical, Inc., Johnson &amp; Johnson, Medtronic, Inc., Stryker Corporation, Becton, Dickinson and Company, and C.R. Bard, Inc. In addition, we compete with many smaller specialized companies and larger companies that do not otherwise focus on specialty surgical solutions. We rely on the depth and breadth of our sales and marketing organization, our innovative technology, and our procurement operation to maintain our competitive position in much of our precision tools and instruments portfolio.</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competition in orthopedics and tissue technologies includes the DePuy/Synthes business of Johnson &amp; Johnson, Stryker Corporation, Wright Medical Group, N.V., Smith &amp; Nephew plc, MiMedx Group, Inc., Acelity L.P. Inc., and Zimmer Biomet Holdings, Inc., as well as other major orthopedic companies that carry a full line of small bone and joint fixation and soft tissue products.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on the basis of our products' features, strength of our sales force or distributors, sophistication of our technology and cost effectiveness of our solution.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manufacturer and marketer of medical devices,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97" w:lineRule="auto"/>
        <w:rPr>
          <w:sz w:val="20"/>
          <w:szCs w:val="20"/>
          <w:color w:val="auto"/>
        </w:rPr>
      </w:pPr>
      <w:r>
        <w:rPr>
          <w:rFonts w:ascii="Arial" w:cs="Arial" w:eastAsia="Arial" w:hAnsi="Arial"/>
          <w:sz w:val="16"/>
          <w:szCs w:val="16"/>
          <w:color w:val="auto"/>
        </w:rPr>
        <w:t>The FDA inspected our Añasco, Puerto Rico facility in October and November 2012, and issued a warning letter for that facility on February 13, 2013. On November 26, 2013, the FDA completed its second inspection of the Añasco facility and issued a new Form 483 with six additional observations. On September 30, 2014, the FDA completed its third inspection of the Añasco facility, concluded that the Company had addressed the issues raised in the Warning Letter and previous inspectional observations, and issued no other inspectional observations. The Añasco warning letter was closed out effective January 14, 2015, because the FDA concluded that the Company had addressed the issues raised in the warning letter and previous inspectional observations.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 outstanding FDA warning letter related to TEI Biosciences Inc., a recent acquisition by Integra on July 17, 2015. TEI Biosciences Inc. received a Warning Letter from the FDA dated May 29, 2015 for promoting the product SurgiMend for breast surgery applications that were not cleared in the 510(k) process and do not have a PMA Approval for the indication. The FDA requested that TEI Biosciences Inc. immediately cease all activities that resulted in misbranding or adulteration of the product in commercial distribution. The FDA also required TEI Biosciences Inc. to cease all violations regarding promotion of the product for an indication that it was not cleared or approved. TEI Biosciences Inc.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 other promotional claims on products and require additional corrective actions. We do not expect to incur material operating expenses to complete the corrective action plan.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“FD&amp;C Act”) or an approved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United States on an unapproved product, we are required to obtain an IDE from the FDA. The FDA may also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to which we are exporting and maintain certain records relating to exports and make these available to the FDA for inspection, if required.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Prior to the spin-off of SeaSpine, Integra manufactured medical devices derived from human tissue (demineralized bone tissue).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National Organ Transplant Act. </w:t>
      </w:r>
      <w:r>
        <w:rPr>
          <w:rFonts w:ascii="Arial" w:cs="Arial" w:eastAsia="Arial" w:hAnsi="Arial"/>
          <w:sz w:val="17"/>
          <w:szCs w:val="17"/>
          <w:color w:val="auto"/>
        </w:rPr>
        <w:t>Procurement of certain human organs and tissue for transplantation is subject to the restrictions of the National Organ</w:t>
      </w:r>
      <w:r>
        <w:rPr>
          <w:rFonts w:ascii="Arial" w:cs="Arial" w:eastAsia="Arial" w:hAnsi="Arial"/>
          <w:sz w:val="17"/>
          <w:szCs w:val="17"/>
          <w:i w:val="1"/>
          <w:iCs w:val="1"/>
          <w:color w:val="auto"/>
        </w:rPr>
        <w:t xml:space="preserve"> </w:t>
      </w:r>
      <w:r>
        <w:rPr>
          <w:rFonts w:ascii="Arial" w:cs="Arial" w:eastAsia="Arial" w:hAnsi="Arial"/>
          <w:sz w:val="17"/>
          <w:szCs w:val="17"/>
          <w:color w:val="auto"/>
        </w:rPr>
        <w:t>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payment allowances may be interpreted to limit the amount of costs and expenses that we may recover in our pricing for our products, thereby reducing our future revenue and profitability.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Medical device regulations also are in effect in many of the countries in which we do business outside the United States.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technical documentation and data on the product, which are then reviewed by a Notified Body. A Notified Body is an organization designated by the national governments of the European Union member states to make independent judgments about whether a product complies with the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Anti-Bribery Laws</w:t>
      </w:r>
      <w:r>
        <w:rPr>
          <w:rFonts w:ascii="Arial" w:cs="Arial" w:eastAsia="Arial" w:hAnsi="Arial"/>
          <w:sz w:val="17"/>
          <w:szCs w:val="17"/>
          <w:color w:val="auto"/>
        </w:rPr>
        <w:t>. In the United States, we are subject to laws and regulations pertaining to healthcare fraud and abuse, including anti-kickback laws and</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 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of the United States,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involving interactions with healthcare professionals, and customer discount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arrangements. See “Item 1A. Risk Factors - Oversight of the medical device industry might affect the manner in which we may sell medical devices and compete in the marketplace.”</w:t>
      </w:r>
    </w:p>
    <w:p>
      <w:pPr>
        <w:spacing w:after="0" w:line="10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Import-export</w:t>
      </w:r>
      <w:r>
        <w:rPr>
          <w:rFonts w:ascii="Arial" w:cs="Arial" w:eastAsia="Arial" w:hAnsi="Arial"/>
          <w:sz w:val="16"/>
          <w:szCs w:val="16"/>
          <w:color w:val="auto"/>
        </w:rPr>
        <w:t>. Our international operations subject us to laws regarding sanctioned countries, entities and persons, customs, and import-export.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these laws restrict, and in some cases can prevent, United States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Our research, development and manufacturing processes involve the controlled use of certain hazardous materials. 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Employee Health &amp; Safety programs, driven by a centrally led organizational structure that ensures proper implementation, which is essential to our overall business objectives.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United States,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Medicare and 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32" w:lineRule="exact"/>
        <w:rPr>
          <w:sz w:val="20"/>
          <w:szCs w:val="20"/>
          <w:color w:val="auto"/>
        </w:rPr>
      </w:pPr>
    </w:p>
    <w:p>
      <w:pPr>
        <w:jc w:val="both"/>
        <w:spacing w:after="0" w:line="204" w:lineRule="auto"/>
        <w:rPr>
          <w:sz w:val="20"/>
          <w:szCs w:val="20"/>
          <w:color w:val="auto"/>
        </w:rPr>
      </w:pPr>
      <w:r>
        <w:rPr>
          <w:rFonts w:ascii="Arial" w:cs="Arial" w:eastAsia="Arial" w:hAnsi="Arial"/>
          <w:sz w:val="17"/>
          <w:szCs w:val="17"/>
          <w:color w:val="auto"/>
        </w:rPr>
        <w:t>AccuDrain</w:t>
      </w:r>
      <w:r>
        <w:rPr>
          <w:rFonts w:ascii="Arial" w:cs="Arial" w:eastAsia="Arial" w:hAnsi="Arial"/>
          <w:sz w:val="24"/>
          <w:szCs w:val="24"/>
          <w:color w:val="auto"/>
          <w:vertAlign w:val="superscript"/>
        </w:rPr>
        <w:t>®</w:t>
      </w:r>
      <w:r>
        <w:rPr>
          <w:rFonts w:ascii="Arial" w:cs="Arial" w:eastAsia="Arial" w:hAnsi="Arial"/>
          <w:sz w:val="17"/>
          <w:szCs w:val="17"/>
          <w:color w:val="auto"/>
        </w:rPr>
        <w:t>, Advansys</w:t>
      </w:r>
      <w:r>
        <w:rPr>
          <w:rFonts w:ascii="Arial" w:cs="Arial" w:eastAsia="Arial" w:hAnsi="Arial"/>
          <w:sz w:val="24"/>
          <w:szCs w:val="24"/>
          <w:color w:val="auto"/>
          <w:vertAlign w:val="superscript"/>
        </w:rPr>
        <w:t>®</w:t>
      </w:r>
      <w:r>
        <w:rPr>
          <w:rFonts w:ascii="Arial" w:cs="Arial" w:eastAsia="Arial" w:hAnsi="Arial"/>
          <w:sz w:val="17"/>
          <w:szCs w:val="17"/>
          <w:color w:val="auto"/>
        </w:rPr>
        <w:t>, Ascension</w:t>
      </w:r>
      <w:r>
        <w:rPr>
          <w:rFonts w:ascii="Arial" w:cs="Arial" w:eastAsia="Arial" w:hAnsi="Arial"/>
          <w:sz w:val="24"/>
          <w:szCs w:val="24"/>
          <w:color w:val="auto"/>
          <w:vertAlign w:val="superscript"/>
        </w:rPr>
        <w:t>®</w:t>
      </w:r>
      <w:r>
        <w:rPr>
          <w:rFonts w:ascii="Arial" w:cs="Arial" w:eastAsia="Arial" w:hAnsi="Arial"/>
          <w:sz w:val="17"/>
          <w:szCs w:val="17"/>
          <w:color w:val="auto"/>
        </w:rPr>
        <w:t>, BioFix</w:t>
      </w:r>
      <w:r>
        <w:rPr>
          <w:rFonts w:ascii="Arial" w:cs="Arial" w:eastAsia="Arial" w:hAnsi="Arial"/>
          <w:sz w:val="24"/>
          <w:szCs w:val="24"/>
          <w:color w:val="auto"/>
          <w:vertAlign w:val="superscript"/>
        </w:rPr>
        <w:t>®</w:t>
      </w:r>
      <w:r>
        <w:rPr>
          <w:rFonts w:ascii="Arial" w:cs="Arial" w:eastAsia="Arial" w:hAnsi="Arial"/>
          <w:sz w:val="17"/>
          <w:szCs w:val="17"/>
          <w:color w:val="auto"/>
        </w:rPr>
        <w:t>, BioMotion</w:t>
      </w:r>
      <w:r>
        <w:rPr>
          <w:rFonts w:ascii="Arial" w:cs="Arial" w:eastAsia="Arial" w:hAnsi="Arial"/>
          <w:sz w:val="24"/>
          <w:szCs w:val="24"/>
          <w:color w:val="auto"/>
          <w:vertAlign w:val="superscript"/>
        </w:rPr>
        <w:t>®</w:t>
      </w:r>
      <w:r>
        <w:rPr>
          <w:rFonts w:ascii="Arial" w:cs="Arial" w:eastAsia="Arial" w:hAnsi="Arial"/>
          <w:sz w:val="17"/>
          <w:szCs w:val="17"/>
          <w:color w:val="auto"/>
        </w:rPr>
        <w:t>, Bold</w:t>
      </w:r>
      <w:r>
        <w:rPr>
          <w:rFonts w:ascii="Arial" w:cs="Arial" w:eastAsia="Arial" w:hAnsi="Arial"/>
          <w:sz w:val="24"/>
          <w:szCs w:val="24"/>
          <w:color w:val="auto"/>
          <w:vertAlign w:val="superscript"/>
        </w:rPr>
        <w:t>®</w:t>
      </w:r>
      <w:r>
        <w:rPr>
          <w:rFonts w:ascii="Arial" w:cs="Arial" w:eastAsia="Arial" w:hAnsi="Arial"/>
          <w:sz w:val="17"/>
          <w:szCs w:val="17"/>
          <w:color w:val="auto"/>
        </w:rPr>
        <w:t>, Budde</w:t>
      </w:r>
      <w:r>
        <w:rPr>
          <w:rFonts w:ascii="Arial" w:cs="Arial" w:eastAsia="Arial" w:hAnsi="Arial"/>
          <w:sz w:val="24"/>
          <w:szCs w:val="24"/>
          <w:color w:val="auto"/>
          <w:vertAlign w:val="superscript"/>
        </w:rPr>
        <w:t>®</w:t>
      </w:r>
      <w:r>
        <w:rPr>
          <w:rFonts w:ascii="Arial" w:cs="Arial" w:eastAsia="Arial" w:hAnsi="Arial"/>
          <w:sz w:val="17"/>
          <w:szCs w:val="17"/>
          <w:color w:val="auto"/>
        </w:rPr>
        <w:t>, Buzz™, Camino</w:t>
      </w:r>
      <w:r>
        <w:rPr>
          <w:rFonts w:ascii="Arial" w:cs="Arial" w:eastAsia="Arial" w:hAnsi="Arial"/>
          <w:sz w:val="24"/>
          <w:szCs w:val="24"/>
          <w:color w:val="auto"/>
          <w:vertAlign w:val="superscript"/>
        </w:rPr>
        <w:t>®</w:t>
      </w:r>
      <w:r>
        <w:rPr>
          <w:rFonts w:ascii="Arial" w:cs="Arial" w:eastAsia="Arial" w:hAnsi="Arial"/>
          <w:sz w:val="17"/>
          <w:szCs w:val="17"/>
          <w:color w:val="auto"/>
        </w:rPr>
        <w:t>, Capture™, CRW</w:t>
      </w:r>
      <w:r>
        <w:rPr>
          <w:rFonts w:ascii="Arial" w:cs="Arial" w:eastAsia="Arial" w:hAnsi="Arial"/>
          <w:sz w:val="24"/>
          <w:szCs w:val="24"/>
          <w:color w:val="auto"/>
          <w:vertAlign w:val="superscript"/>
        </w:rPr>
        <w:t>®</w:t>
      </w:r>
      <w:r>
        <w:rPr>
          <w:rFonts w:ascii="Arial" w:cs="Arial" w:eastAsia="Arial" w:hAnsi="Arial"/>
          <w:sz w:val="17"/>
          <w:szCs w:val="17"/>
          <w:color w:val="auto"/>
        </w:rPr>
        <w:t>, CUSA</w:t>
      </w:r>
      <w:r>
        <w:rPr>
          <w:rFonts w:ascii="Arial" w:cs="Arial" w:eastAsia="Arial" w:hAnsi="Arial"/>
          <w:sz w:val="24"/>
          <w:szCs w:val="24"/>
          <w:color w:val="auto"/>
          <w:vertAlign w:val="superscript"/>
        </w:rPr>
        <w:t>®</w:t>
      </w:r>
      <w:r>
        <w:rPr>
          <w:rFonts w:ascii="Arial" w:cs="Arial" w:eastAsia="Arial" w:hAnsi="Arial"/>
          <w:sz w:val="17"/>
          <w:szCs w:val="17"/>
          <w:color w:val="auto"/>
        </w:rPr>
        <w:t>, DigiFuse</w:t>
      </w:r>
      <w:r>
        <w:rPr>
          <w:rFonts w:ascii="Arial" w:cs="Arial" w:eastAsia="Arial" w:hAnsi="Arial"/>
          <w:sz w:val="24"/>
          <w:szCs w:val="24"/>
          <w:color w:val="auto"/>
          <w:vertAlign w:val="superscript"/>
        </w:rPr>
        <w:t>®</w:t>
      </w:r>
      <w:r>
        <w:rPr>
          <w:rFonts w:ascii="Arial" w:cs="Arial" w:eastAsia="Arial" w:hAnsi="Arial"/>
          <w:sz w:val="17"/>
          <w:szCs w:val="17"/>
          <w:color w:val="auto"/>
        </w:rPr>
        <w:t>, DuraGen</w:t>
      </w:r>
      <w:r>
        <w:rPr>
          <w:rFonts w:ascii="Arial" w:cs="Arial" w:eastAsia="Arial" w:hAnsi="Arial"/>
          <w:sz w:val="24"/>
          <w:szCs w:val="24"/>
          <w:color w:val="auto"/>
          <w:vertAlign w:val="superscript"/>
        </w:rPr>
        <w:t>®</w:t>
      </w:r>
      <w:r>
        <w:rPr>
          <w:rFonts w:ascii="Arial" w:cs="Arial" w:eastAsia="Arial" w:hAnsi="Arial"/>
          <w:sz w:val="17"/>
          <w:szCs w:val="17"/>
          <w:color w:val="auto"/>
        </w:rPr>
        <w:t>, DuraSeal</w:t>
      </w:r>
      <w:r>
        <w:rPr>
          <w:rFonts w:ascii="Arial" w:cs="Arial" w:eastAsia="Arial" w:hAnsi="Arial"/>
          <w:sz w:val="24"/>
          <w:szCs w:val="24"/>
          <w:color w:val="auto"/>
          <w:vertAlign w:val="superscript"/>
        </w:rPr>
        <w:t>®</w:t>
      </w:r>
      <w:r>
        <w:rPr>
          <w:rFonts w:ascii="Arial" w:cs="Arial" w:eastAsia="Arial" w:hAnsi="Arial"/>
          <w:sz w:val="17"/>
          <w:szCs w:val="17"/>
          <w:color w:val="auto"/>
        </w:rPr>
        <w:t>, First Choice</w:t>
      </w:r>
      <w:r>
        <w:rPr>
          <w:rFonts w:ascii="Arial" w:cs="Arial" w:eastAsia="Arial" w:hAnsi="Arial"/>
          <w:sz w:val="24"/>
          <w:szCs w:val="24"/>
          <w:color w:val="auto"/>
          <w:vertAlign w:val="superscript"/>
        </w:rPr>
        <w:t>®</w:t>
      </w:r>
      <w:r>
        <w:rPr>
          <w:rFonts w:ascii="Arial" w:cs="Arial" w:eastAsia="Arial" w:hAnsi="Arial"/>
          <w:sz w:val="17"/>
          <w:szCs w:val="17"/>
          <w:color w:val="auto"/>
        </w:rPr>
        <w:t>, Futura</w:t>
      </w:r>
      <w:r>
        <w:rPr>
          <w:rFonts w:ascii="Arial" w:cs="Arial" w:eastAsia="Arial" w:hAnsi="Arial"/>
          <w:sz w:val="24"/>
          <w:szCs w:val="24"/>
          <w:color w:val="auto"/>
          <w:vertAlign w:val="superscript"/>
        </w:rPr>
        <w:t>TM</w:t>
      </w:r>
      <w:r>
        <w:rPr>
          <w:rFonts w:ascii="Arial" w:cs="Arial" w:eastAsia="Arial" w:hAnsi="Arial"/>
          <w:sz w:val="17"/>
          <w:szCs w:val="17"/>
          <w:color w:val="auto"/>
        </w:rPr>
        <w:t>, Hallu</w:t>
      </w:r>
      <w:r>
        <w:rPr>
          <w:rFonts w:ascii="Arial" w:cs="Arial" w:eastAsia="Arial" w:hAnsi="Arial"/>
          <w:sz w:val="24"/>
          <w:szCs w:val="24"/>
          <w:color w:val="auto"/>
          <w:vertAlign w:val="superscript"/>
        </w:rPr>
        <w:t>®</w:t>
      </w:r>
      <w:r>
        <w:rPr>
          <w:rFonts w:ascii="Arial" w:cs="Arial" w:eastAsia="Arial" w:hAnsi="Arial"/>
          <w:sz w:val="17"/>
          <w:szCs w:val="17"/>
          <w:color w:val="auto"/>
        </w:rPr>
        <w:t>, HeliCote</w:t>
      </w:r>
      <w:r>
        <w:rPr>
          <w:rFonts w:ascii="Arial" w:cs="Arial" w:eastAsia="Arial" w:hAnsi="Arial"/>
          <w:sz w:val="24"/>
          <w:szCs w:val="24"/>
          <w:color w:val="auto"/>
          <w:vertAlign w:val="superscript"/>
        </w:rPr>
        <w:t>®</w:t>
      </w:r>
      <w:r>
        <w:rPr>
          <w:rFonts w:ascii="Arial" w:cs="Arial" w:eastAsia="Arial" w:hAnsi="Arial"/>
          <w:sz w:val="17"/>
          <w:szCs w:val="17"/>
          <w:color w:val="auto"/>
        </w:rPr>
        <w:t>, HeliPlug</w:t>
      </w:r>
      <w:r>
        <w:rPr>
          <w:rFonts w:ascii="Arial" w:cs="Arial" w:eastAsia="Arial" w:hAnsi="Arial"/>
          <w:sz w:val="24"/>
          <w:szCs w:val="24"/>
          <w:color w:val="auto"/>
          <w:vertAlign w:val="superscript"/>
        </w:rPr>
        <w:t>®</w:t>
      </w:r>
      <w:r>
        <w:rPr>
          <w:rFonts w:ascii="Arial" w:cs="Arial" w:eastAsia="Arial" w:hAnsi="Arial"/>
          <w:sz w:val="17"/>
          <w:szCs w:val="17"/>
          <w:color w:val="auto"/>
        </w:rPr>
        <w:t>, HeliTape</w:t>
      </w:r>
      <w:r>
        <w:rPr>
          <w:rFonts w:ascii="Arial" w:cs="Arial" w:eastAsia="Arial" w:hAnsi="Arial"/>
          <w:sz w:val="24"/>
          <w:szCs w:val="24"/>
          <w:color w:val="auto"/>
          <w:vertAlign w:val="superscript"/>
        </w:rPr>
        <w:t>®</w:t>
      </w:r>
      <w:r>
        <w:rPr>
          <w:rFonts w:ascii="Arial" w:cs="Arial" w:eastAsia="Arial" w:hAnsi="Arial"/>
          <w:sz w:val="17"/>
          <w:szCs w:val="17"/>
          <w:color w:val="auto"/>
        </w:rPr>
        <w:t>, HeliMend</w:t>
      </w:r>
      <w:r>
        <w:rPr>
          <w:rFonts w:ascii="Arial" w:cs="Arial" w:eastAsia="Arial" w:hAnsi="Arial"/>
          <w:sz w:val="24"/>
          <w:szCs w:val="24"/>
          <w:color w:val="auto"/>
          <w:vertAlign w:val="superscript"/>
        </w:rPr>
        <w:t>®</w:t>
      </w:r>
      <w:r>
        <w:rPr>
          <w:rFonts w:ascii="Arial" w:cs="Arial" w:eastAsia="Arial" w:hAnsi="Arial"/>
          <w:sz w:val="17"/>
          <w:szCs w:val="17"/>
          <w:color w:val="auto"/>
        </w:rPr>
        <w:t>, Helistat</w:t>
      </w:r>
      <w:r>
        <w:rPr>
          <w:rFonts w:ascii="Arial" w:cs="Arial" w:eastAsia="Arial" w:hAnsi="Arial"/>
          <w:sz w:val="24"/>
          <w:szCs w:val="24"/>
          <w:color w:val="auto"/>
          <w:vertAlign w:val="superscript"/>
        </w:rPr>
        <w:t>®</w:t>
      </w:r>
      <w:r>
        <w:rPr>
          <w:rFonts w:ascii="Arial" w:cs="Arial" w:eastAsia="Arial" w:hAnsi="Arial"/>
          <w:sz w:val="17"/>
          <w:szCs w:val="17"/>
          <w:color w:val="auto"/>
        </w:rPr>
        <w:t>, Helitene</w:t>
      </w:r>
      <w:r>
        <w:rPr>
          <w:rFonts w:ascii="Arial" w:cs="Arial" w:eastAsia="Arial" w:hAnsi="Arial"/>
          <w:sz w:val="24"/>
          <w:szCs w:val="24"/>
          <w:color w:val="auto"/>
          <w:vertAlign w:val="superscript"/>
        </w:rPr>
        <w:t>®</w:t>
      </w:r>
      <w:r>
        <w:rPr>
          <w:rFonts w:ascii="Arial" w:cs="Arial" w:eastAsia="Arial" w:hAnsi="Arial"/>
          <w:sz w:val="17"/>
          <w:szCs w:val="17"/>
          <w:color w:val="auto"/>
        </w:rPr>
        <w:t>, Integra</w:t>
      </w:r>
      <w:r>
        <w:rPr>
          <w:rFonts w:ascii="Arial" w:cs="Arial" w:eastAsia="Arial" w:hAnsi="Arial"/>
          <w:sz w:val="24"/>
          <w:szCs w:val="24"/>
          <w:color w:val="auto"/>
          <w:vertAlign w:val="superscript"/>
        </w:rPr>
        <w:t>®</w:t>
      </w:r>
      <w:r>
        <w:rPr>
          <w:rFonts w:ascii="Arial" w:cs="Arial" w:eastAsia="Arial" w:hAnsi="Arial"/>
          <w:sz w:val="17"/>
          <w:szCs w:val="17"/>
          <w:color w:val="auto"/>
        </w:rPr>
        <w:t>, IPP-ON</w:t>
      </w:r>
      <w:r>
        <w:rPr>
          <w:rFonts w:ascii="Arial" w:cs="Arial" w:eastAsia="Arial" w:hAnsi="Arial"/>
          <w:sz w:val="24"/>
          <w:szCs w:val="24"/>
          <w:color w:val="auto"/>
          <w:vertAlign w:val="superscript"/>
        </w:rPr>
        <w:t>®</w:t>
      </w:r>
      <w:r>
        <w:rPr>
          <w:rFonts w:ascii="Arial" w:cs="Arial" w:eastAsia="Arial" w:hAnsi="Arial"/>
          <w:sz w:val="17"/>
          <w:szCs w:val="17"/>
          <w:color w:val="auto"/>
        </w:rPr>
        <w:t>, Jarit</w:t>
      </w:r>
      <w:r>
        <w:rPr>
          <w:rFonts w:ascii="Arial" w:cs="Arial" w:eastAsia="Arial" w:hAnsi="Arial"/>
          <w:sz w:val="24"/>
          <w:szCs w:val="24"/>
          <w:color w:val="auto"/>
          <w:vertAlign w:val="superscript"/>
        </w:rPr>
        <w:t>®</w:t>
      </w:r>
      <w:r>
        <w:rPr>
          <w:rFonts w:ascii="Arial" w:cs="Arial" w:eastAsia="Arial" w:hAnsi="Arial"/>
          <w:sz w:val="17"/>
          <w:szCs w:val="17"/>
          <w:color w:val="auto"/>
        </w:rPr>
        <w:t>, Licox</w:t>
      </w:r>
      <w:r>
        <w:rPr>
          <w:rFonts w:ascii="Arial" w:cs="Arial" w:eastAsia="Arial" w:hAnsi="Arial"/>
          <w:sz w:val="24"/>
          <w:szCs w:val="24"/>
          <w:color w:val="auto"/>
          <w:vertAlign w:val="superscript"/>
        </w:rPr>
        <w:t>®</w:t>
      </w:r>
      <w:r>
        <w:rPr>
          <w:rFonts w:ascii="Arial" w:cs="Arial" w:eastAsia="Arial" w:hAnsi="Arial"/>
          <w:sz w:val="17"/>
          <w:szCs w:val="17"/>
          <w:color w:val="auto"/>
        </w:rPr>
        <w:t>, LimiTorr™, Luxtec</w:t>
      </w:r>
      <w:r>
        <w:rPr>
          <w:rFonts w:ascii="Arial" w:cs="Arial" w:eastAsia="Arial" w:hAnsi="Arial"/>
          <w:sz w:val="24"/>
          <w:szCs w:val="24"/>
          <w:color w:val="auto"/>
          <w:vertAlign w:val="superscript"/>
        </w:rPr>
        <w:t>®</w:t>
      </w:r>
      <w:r>
        <w:rPr>
          <w:rFonts w:ascii="Arial" w:cs="Arial" w:eastAsia="Arial" w:hAnsi="Arial"/>
          <w:sz w:val="17"/>
          <w:szCs w:val="17"/>
          <w:color w:val="auto"/>
        </w:rPr>
        <w:t>, MemoFix</w:t>
      </w:r>
      <w:r>
        <w:rPr>
          <w:rFonts w:ascii="Arial" w:cs="Arial" w:eastAsia="Arial" w:hAnsi="Arial"/>
          <w:sz w:val="24"/>
          <w:szCs w:val="24"/>
          <w:color w:val="auto"/>
          <w:vertAlign w:val="superscript"/>
        </w:rPr>
        <w:t>®</w:t>
      </w:r>
      <w:r>
        <w:rPr>
          <w:rFonts w:ascii="Arial" w:cs="Arial" w:eastAsia="Arial" w:hAnsi="Arial"/>
          <w:sz w:val="17"/>
          <w:szCs w:val="17"/>
          <w:color w:val="auto"/>
        </w:rPr>
        <w:t>, MicroFrance</w:t>
      </w:r>
      <w:r>
        <w:rPr>
          <w:rFonts w:ascii="Arial" w:cs="Arial" w:eastAsia="Arial" w:hAnsi="Arial"/>
          <w:sz w:val="24"/>
          <w:szCs w:val="24"/>
          <w:color w:val="auto"/>
          <w:vertAlign w:val="superscript"/>
        </w:rPr>
        <w:t>®</w:t>
      </w:r>
      <w:r>
        <w:rPr>
          <w:rFonts w:ascii="Arial" w:cs="Arial" w:eastAsia="Arial" w:hAnsi="Arial"/>
          <w:sz w:val="17"/>
          <w:szCs w:val="17"/>
          <w:color w:val="auto"/>
        </w:rPr>
        <w:t>, Miltex</w:t>
      </w:r>
      <w:r>
        <w:rPr>
          <w:rFonts w:ascii="Arial" w:cs="Arial" w:eastAsia="Arial" w:hAnsi="Arial"/>
          <w:sz w:val="24"/>
          <w:szCs w:val="24"/>
          <w:color w:val="auto"/>
          <w:vertAlign w:val="superscript"/>
        </w:rPr>
        <w:t>®</w:t>
      </w:r>
      <w:r>
        <w:rPr>
          <w:rFonts w:ascii="Arial" w:cs="Arial" w:eastAsia="Arial" w:hAnsi="Arial"/>
          <w:sz w:val="17"/>
          <w:szCs w:val="17"/>
          <w:color w:val="auto"/>
        </w:rPr>
        <w:t>, Movement</w:t>
      </w:r>
      <w:r>
        <w:rPr>
          <w:rFonts w:ascii="Arial" w:cs="Arial" w:eastAsia="Arial" w:hAnsi="Arial"/>
          <w:sz w:val="24"/>
          <w:szCs w:val="24"/>
          <w:color w:val="auto"/>
          <w:vertAlign w:val="superscript"/>
        </w:rPr>
        <w:t>®</w:t>
      </w:r>
      <w:r>
        <w:rPr>
          <w:rFonts w:ascii="Arial" w:cs="Arial" w:eastAsia="Arial" w:hAnsi="Arial"/>
          <w:sz w:val="17"/>
          <w:szCs w:val="17"/>
          <w:color w:val="auto"/>
        </w:rPr>
        <w:t>, NeuraGen</w:t>
      </w:r>
      <w:r>
        <w:rPr>
          <w:rFonts w:ascii="Arial" w:cs="Arial" w:eastAsia="Arial" w:hAnsi="Arial"/>
          <w:sz w:val="24"/>
          <w:szCs w:val="24"/>
          <w:color w:val="auto"/>
          <w:vertAlign w:val="superscript"/>
        </w:rPr>
        <w:t>®</w:t>
      </w:r>
      <w:r>
        <w:rPr>
          <w:rFonts w:ascii="Arial" w:cs="Arial" w:eastAsia="Arial" w:hAnsi="Arial"/>
          <w:sz w:val="17"/>
          <w:szCs w:val="17"/>
          <w:color w:val="auto"/>
        </w:rPr>
        <w:t>, NeuraWrap™, NuGrip</w:t>
      </w:r>
      <w:r>
        <w:rPr>
          <w:rFonts w:ascii="Arial" w:cs="Arial" w:eastAsia="Arial" w:hAnsi="Arial"/>
          <w:sz w:val="24"/>
          <w:szCs w:val="24"/>
          <w:color w:val="auto"/>
          <w:vertAlign w:val="superscript"/>
        </w:rPr>
        <w:t>®</w:t>
      </w:r>
      <w:r>
        <w:rPr>
          <w:rFonts w:ascii="Arial" w:cs="Arial" w:eastAsia="Arial" w:hAnsi="Arial"/>
          <w:sz w:val="17"/>
          <w:szCs w:val="17"/>
          <w:color w:val="auto"/>
        </w:rPr>
        <w:t>, Omni-Tract</w:t>
      </w:r>
      <w:r>
        <w:rPr>
          <w:rFonts w:ascii="Arial" w:cs="Arial" w:eastAsia="Arial" w:hAnsi="Arial"/>
          <w:sz w:val="24"/>
          <w:szCs w:val="24"/>
          <w:color w:val="auto"/>
          <w:vertAlign w:val="superscript"/>
        </w:rPr>
        <w:t>®</w:t>
      </w:r>
      <w:r>
        <w:rPr>
          <w:rFonts w:ascii="Arial" w:cs="Arial" w:eastAsia="Arial" w:hAnsi="Arial"/>
          <w:sz w:val="17"/>
          <w:szCs w:val="17"/>
          <w:color w:val="auto"/>
        </w:rPr>
        <w:t>, OSV II</w:t>
      </w:r>
      <w:r>
        <w:rPr>
          <w:rFonts w:ascii="Arial" w:cs="Arial" w:eastAsia="Arial" w:hAnsi="Arial"/>
          <w:sz w:val="24"/>
          <w:szCs w:val="24"/>
          <w:color w:val="auto"/>
          <w:vertAlign w:val="superscript"/>
        </w:rPr>
        <w:t>®</w:t>
      </w:r>
      <w:r>
        <w:rPr>
          <w:rFonts w:ascii="Arial" w:cs="Arial" w:eastAsia="Arial" w:hAnsi="Arial"/>
          <w:sz w:val="17"/>
          <w:szCs w:val="17"/>
          <w:color w:val="auto"/>
        </w:rPr>
        <w:t>, Qwix</w:t>
      </w:r>
      <w:r>
        <w:rPr>
          <w:rFonts w:ascii="Arial" w:cs="Arial" w:eastAsia="Arial" w:hAnsi="Arial"/>
          <w:sz w:val="24"/>
          <w:szCs w:val="24"/>
          <w:color w:val="auto"/>
          <w:vertAlign w:val="superscript"/>
        </w:rPr>
        <w:t>®</w:t>
      </w:r>
      <w:r>
        <w:rPr>
          <w:rFonts w:ascii="Arial" w:cs="Arial" w:eastAsia="Arial" w:hAnsi="Arial"/>
          <w:sz w:val="17"/>
          <w:szCs w:val="17"/>
          <w:color w:val="auto"/>
        </w:rPr>
        <w:t>, Padgett</w:t>
      </w:r>
      <w:r>
        <w:rPr>
          <w:rFonts w:ascii="Arial" w:cs="Arial" w:eastAsia="Arial" w:hAnsi="Arial"/>
          <w:sz w:val="24"/>
          <w:szCs w:val="24"/>
          <w:color w:val="auto"/>
          <w:vertAlign w:val="superscript"/>
        </w:rPr>
        <w:t>®</w:t>
      </w:r>
      <w:r>
        <w:rPr>
          <w:rFonts w:ascii="Arial" w:cs="Arial" w:eastAsia="Arial" w:hAnsi="Arial"/>
          <w:sz w:val="17"/>
          <w:szCs w:val="17"/>
          <w:color w:val="auto"/>
        </w:rPr>
        <w:t>, Panta</w:t>
      </w:r>
      <w:r>
        <w:rPr>
          <w:rFonts w:ascii="Arial" w:cs="Arial" w:eastAsia="Arial" w:hAnsi="Arial"/>
          <w:sz w:val="24"/>
          <w:szCs w:val="24"/>
          <w:color w:val="auto"/>
          <w:vertAlign w:val="superscript"/>
        </w:rPr>
        <w:t>®</w:t>
      </w:r>
      <w:r>
        <w:rPr>
          <w:rFonts w:ascii="Arial" w:cs="Arial" w:eastAsia="Arial" w:hAnsi="Arial"/>
          <w:sz w:val="17"/>
          <w:szCs w:val="17"/>
          <w:color w:val="auto"/>
        </w:rPr>
        <w:t>, PriMatrix</w:t>
      </w:r>
      <w:r>
        <w:rPr>
          <w:rFonts w:ascii="Arial" w:cs="Arial" w:eastAsia="Arial" w:hAnsi="Arial"/>
          <w:sz w:val="24"/>
          <w:szCs w:val="24"/>
          <w:color w:val="auto"/>
          <w:vertAlign w:val="superscript"/>
        </w:rPr>
        <w:t>®</w:t>
      </w:r>
      <w:r>
        <w:rPr>
          <w:rFonts w:ascii="Arial" w:cs="Arial" w:eastAsia="Arial" w:hAnsi="Arial"/>
          <w:sz w:val="17"/>
          <w:szCs w:val="17"/>
          <w:color w:val="auto"/>
        </w:rPr>
        <w:t>, PyroSphere</w:t>
      </w:r>
      <w:r>
        <w:rPr>
          <w:rFonts w:ascii="Arial" w:cs="Arial" w:eastAsia="Arial" w:hAnsi="Arial"/>
          <w:sz w:val="24"/>
          <w:szCs w:val="24"/>
          <w:color w:val="auto"/>
          <w:vertAlign w:val="superscript"/>
        </w:rPr>
        <w:t>®</w:t>
      </w:r>
      <w:r>
        <w:rPr>
          <w:rFonts w:ascii="Arial" w:cs="Arial" w:eastAsia="Arial" w:hAnsi="Arial"/>
          <w:sz w:val="17"/>
          <w:szCs w:val="17"/>
          <w:color w:val="auto"/>
        </w:rPr>
        <w:t>, Redmond™, Ruggles</w:t>
      </w:r>
      <w:r>
        <w:rPr>
          <w:rFonts w:ascii="Arial" w:cs="Arial" w:eastAsia="Arial" w:hAnsi="Arial"/>
          <w:sz w:val="24"/>
          <w:szCs w:val="24"/>
          <w:color w:val="auto"/>
          <w:vertAlign w:val="superscript"/>
        </w:rPr>
        <w:t>®</w:t>
      </w:r>
      <w:r>
        <w:rPr>
          <w:rFonts w:ascii="Arial" w:cs="Arial" w:eastAsia="Arial" w:hAnsi="Arial"/>
          <w:sz w:val="17"/>
          <w:szCs w:val="17"/>
          <w:color w:val="auto"/>
        </w:rPr>
        <w:t>, SafeGuard</w:t>
      </w:r>
      <w:r>
        <w:rPr>
          <w:rFonts w:ascii="Arial" w:cs="Arial" w:eastAsia="Arial" w:hAnsi="Arial"/>
          <w:sz w:val="24"/>
          <w:szCs w:val="24"/>
          <w:color w:val="auto"/>
          <w:vertAlign w:val="superscript"/>
        </w:rPr>
        <w:t>®</w:t>
      </w:r>
      <w:r>
        <w:rPr>
          <w:rFonts w:ascii="Arial" w:cs="Arial" w:eastAsia="Arial" w:hAnsi="Arial"/>
          <w:sz w:val="17"/>
          <w:szCs w:val="17"/>
          <w:color w:val="auto"/>
        </w:rPr>
        <w:t>, Salto Talaris</w:t>
      </w:r>
      <w:r>
        <w:rPr>
          <w:rFonts w:ascii="Arial" w:cs="Arial" w:eastAsia="Arial" w:hAnsi="Arial"/>
          <w:sz w:val="24"/>
          <w:szCs w:val="24"/>
          <w:color w:val="auto"/>
          <w:vertAlign w:val="superscript"/>
        </w:rPr>
        <w:t>®</w:t>
      </w:r>
      <w:r>
        <w:rPr>
          <w:rFonts w:ascii="Arial" w:cs="Arial" w:eastAsia="Arial" w:hAnsi="Arial"/>
          <w:sz w:val="17"/>
          <w:szCs w:val="17"/>
          <w:color w:val="auto"/>
        </w:rPr>
        <w:t>, Subtalar MBA</w:t>
      </w:r>
      <w:r>
        <w:rPr>
          <w:rFonts w:ascii="Arial" w:cs="Arial" w:eastAsia="Arial" w:hAnsi="Arial"/>
          <w:sz w:val="24"/>
          <w:szCs w:val="24"/>
          <w:color w:val="auto"/>
          <w:vertAlign w:val="superscript"/>
        </w:rPr>
        <w:t>®</w:t>
      </w:r>
      <w:r>
        <w:rPr>
          <w:rFonts w:ascii="Arial" w:cs="Arial" w:eastAsia="Arial" w:hAnsi="Arial"/>
          <w:sz w:val="17"/>
          <w:szCs w:val="17"/>
          <w:color w:val="auto"/>
        </w:rPr>
        <w:t>, SurgiMend</w:t>
      </w:r>
      <w:r>
        <w:rPr>
          <w:rFonts w:ascii="Arial" w:cs="Arial" w:eastAsia="Arial" w:hAnsi="Arial"/>
          <w:sz w:val="24"/>
          <w:szCs w:val="24"/>
          <w:color w:val="auto"/>
          <w:vertAlign w:val="superscript"/>
        </w:rPr>
        <w:t>®</w:t>
      </w:r>
      <w:r>
        <w:rPr>
          <w:rFonts w:ascii="Arial" w:cs="Arial" w:eastAsia="Arial" w:hAnsi="Arial"/>
          <w:sz w:val="17"/>
          <w:szCs w:val="17"/>
          <w:color w:val="auto"/>
        </w:rPr>
        <w:t>, TenoGlide</w:t>
      </w:r>
      <w:r>
        <w:rPr>
          <w:rFonts w:ascii="Arial" w:cs="Arial" w:eastAsia="Arial" w:hAnsi="Arial"/>
          <w:sz w:val="24"/>
          <w:szCs w:val="24"/>
          <w:color w:val="auto"/>
          <w:vertAlign w:val="superscript"/>
        </w:rPr>
        <w:t>®</w:t>
      </w:r>
      <w:r>
        <w:rPr>
          <w:rFonts w:ascii="Arial" w:cs="Arial" w:eastAsia="Arial" w:hAnsi="Arial"/>
          <w:sz w:val="17"/>
          <w:szCs w:val="17"/>
          <w:color w:val="auto"/>
        </w:rPr>
        <w:t>, Ti6</w:t>
      </w:r>
      <w:r>
        <w:rPr>
          <w:rFonts w:ascii="Arial" w:cs="Arial" w:eastAsia="Arial" w:hAnsi="Arial"/>
          <w:sz w:val="24"/>
          <w:szCs w:val="24"/>
          <w:color w:val="auto"/>
          <w:vertAlign w:val="superscript"/>
        </w:rPr>
        <w:t>®</w:t>
      </w:r>
      <w:r>
        <w:rPr>
          <w:rFonts w:ascii="Arial" w:cs="Arial" w:eastAsia="Arial" w:hAnsi="Arial"/>
          <w:sz w:val="17"/>
          <w:szCs w:val="17"/>
          <w:color w:val="auto"/>
        </w:rPr>
        <w:t>, Tibiaxys</w:t>
      </w:r>
      <w:r>
        <w:rPr>
          <w:rFonts w:ascii="Arial" w:cs="Arial" w:eastAsia="Arial" w:hAnsi="Arial"/>
          <w:sz w:val="24"/>
          <w:szCs w:val="24"/>
          <w:color w:val="auto"/>
          <w:vertAlign w:val="superscript"/>
        </w:rPr>
        <w:t>®</w:t>
      </w:r>
      <w:r>
        <w:rPr>
          <w:rFonts w:ascii="Arial" w:cs="Arial" w:eastAsia="Arial" w:hAnsi="Arial"/>
          <w:sz w:val="17"/>
          <w:szCs w:val="17"/>
          <w:color w:val="auto"/>
        </w:rPr>
        <w:t>, TissueMend</w:t>
      </w:r>
      <w:r>
        <w:rPr>
          <w:rFonts w:ascii="Arial" w:cs="Arial" w:eastAsia="Arial" w:hAnsi="Arial"/>
          <w:sz w:val="24"/>
          <w:szCs w:val="24"/>
          <w:color w:val="auto"/>
          <w:vertAlign w:val="superscript"/>
        </w:rPr>
        <w:t>®</w:t>
      </w:r>
      <w:r>
        <w:rPr>
          <w:rFonts w:ascii="Arial" w:cs="Arial" w:eastAsia="Arial" w:hAnsi="Arial"/>
          <w:sz w:val="17"/>
          <w:szCs w:val="17"/>
          <w:color w:val="auto"/>
        </w:rPr>
        <w:t>, Titan™ , Trel-X™, Trel-XC</w:t>
      </w:r>
      <w:r>
        <w:rPr>
          <w:rFonts w:ascii="Arial" w:cs="Arial" w:eastAsia="Arial" w:hAnsi="Arial"/>
          <w:sz w:val="24"/>
          <w:szCs w:val="24"/>
          <w:color w:val="auto"/>
          <w:vertAlign w:val="superscript"/>
        </w:rPr>
        <w:t>®</w:t>
      </w:r>
      <w:r>
        <w:rPr>
          <w:rFonts w:ascii="Arial" w:cs="Arial" w:eastAsia="Arial" w:hAnsi="Arial"/>
          <w:sz w:val="17"/>
          <w:szCs w:val="17"/>
          <w:color w:val="auto"/>
        </w:rPr>
        <w:t>, Trel-XPress</w:t>
      </w:r>
      <w:r>
        <w:rPr>
          <w:rFonts w:ascii="Arial" w:cs="Arial" w:eastAsia="Arial" w:hAnsi="Arial"/>
          <w:sz w:val="24"/>
          <w:szCs w:val="24"/>
          <w:color w:val="auto"/>
          <w:vertAlign w:val="superscript"/>
        </w:rPr>
        <w:t>TM</w:t>
      </w:r>
      <w:r>
        <w:rPr>
          <w:rFonts w:ascii="Arial" w:cs="Arial" w:eastAsia="Arial" w:hAnsi="Arial"/>
          <w:sz w:val="17"/>
          <w:szCs w:val="17"/>
          <w:color w:val="auto"/>
        </w:rPr>
        <w:t>, TruArch</w:t>
      </w:r>
      <w:r>
        <w:rPr>
          <w:rFonts w:ascii="Arial" w:cs="Arial" w:eastAsia="Arial" w:hAnsi="Arial"/>
          <w:sz w:val="24"/>
          <w:szCs w:val="24"/>
          <w:color w:val="auto"/>
          <w:vertAlign w:val="superscript"/>
        </w:rPr>
        <w:t>®</w:t>
      </w:r>
      <w:r>
        <w:rPr>
          <w:rFonts w:ascii="Arial" w:cs="Arial" w:eastAsia="Arial" w:hAnsi="Arial"/>
          <w:sz w:val="17"/>
          <w:szCs w:val="17"/>
          <w:color w:val="auto"/>
        </w:rPr>
        <w:t>, Uni-CP</w:t>
      </w:r>
      <w:r>
        <w:rPr>
          <w:rFonts w:ascii="Arial" w:cs="Arial" w:eastAsia="Arial" w:hAnsi="Arial"/>
          <w:sz w:val="24"/>
          <w:szCs w:val="24"/>
          <w:color w:val="auto"/>
          <w:vertAlign w:val="superscript"/>
        </w:rPr>
        <w:t>®</w:t>
      </w:r>
      <w:r>
        <w:rPr>
          <w:rFonts w:ascii="Arial" w:cs="Arial" w:eastAsia="Arial" w:hAnsi="Arial"/>
          <w:sz w:val="17"/>
          <w:szCs w:val="17"/>
          <w:color w:val="auto"/>
        </w:rPr>
        <w:t>, Uni-Clip</w:t>
      </w:r>
      <w:r>
        <w:rPr>
          <w:rFonts w:ascii="Arial" w:cs="Arial" w:eastAsia="Arial" w:hAnsi="Arial"/>
          <w:sz w:val="24"/>
          <w:szCs w:val="24"/>
          <w:color w:val="auto"/>
          <w:vertAlign w:val="superscript"/>
        </w:rPr>
        <w:t>®</w:t>
      </w:r>
      <w:r>
        <w:rPr>
          <w:rFonts w:ascii="Arial" w:cs="Arial" w:eastAsia="Arial" w:hAnsi="Arial"/>
          <w:sz w:val="17"/>
          <w:szCs w:val="17"/>
          <w:color w:val="auto"/>
        </w:rPr>
        <w:t>, and the Integra logo are some of the material trademarks of Integra LifeSciences Corporation and its subsidiaries. MAYFIELD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SM USA, Inc., and is used by Integra under license.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2015, we had approximately 3,500 employees engaged in production and production support for warehouse, engineering and facilities, quality assurance, 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Financial information about our geographical areas is set forth under “Item 7. Management's Discussion and Analysis of Financial Condition and Results of Operations - Geographic Product Revenues and Operations” and in our financial statements Note 15,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either from the deep flexor tendon of cattle less than 24 months old from New Zealand, a country that has never had a reported case of bovine spongiform encephalopathy, or from the United States or from fetal dermis. The World Health Organization classifies different types of cattle tissue for relative risk of BSE transmission. Deep flexor tendon is in the lowest-risk category for BSE transmission, and is therefore considered to have a negligible risk of containing the agent that causes BSE.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8"/>
          <w:szCs w:val="18"/>
          <w:u w:val="single" w:color="auto"/>
          <w:color w:val="auto"/>
        </w:rPr>
        <w:t>www.integralife.com</w:t>
      </w:r>
      <w:r>
        <w:rPr>
          <w:rFonts w:ascii="Arial" w:cs="Arial" w:eastAsia="Arial" w:hAnsi="Arial"/>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Please call the Securities and Exchange Commission at 1-800-SEC-0330 for further information on the operation of the public reference facilities.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3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collagen-based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regulatory approvals as well as changes in country-specific regulatory requirements;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British pound, Swiss franc, Canadian dollar, Japanese yen, Australian dollar, and Chinese yuan;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backorders and lost sales resulting from stoppages in production relating to product recalls or field corrective actions;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0" w:right="2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expenditures for major initiatives;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existing distribution rights to and from certain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new commercial sales representatives to obtain sales targets in a reasonable time frame;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regulations or guidelines that impact the marketing practices for products that we sell;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or involve field corrective actions that could affect the marketability of our products; and</w:t>
      </w: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private and public health insurers and foreign governmental health systems.</w:t>
      </w:r>
    </w:p>
    <w:p>
      <w:pPr>
        <w:spacing w:after="0" w:line="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studies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dural sealant, extremity reconstruction implants, regenerative skin, neuro critical care monitors and ultrasonic tissue ablation devices, among others.</w:t>
      </w:r>
    </w:p>
    <w:p>
      <w:pPr>
        <w:spacing w:after="0" w:line="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primary competitors in specialty surgical solutions are the Aesculap division of B. Braun Medical, Inc., Johnson &amp; Johnson, Medtronic, Inc., Stryker Corporation, Becton, Dickinson and Company, and C.R. Bard, Inc. Our competitors in orthopedics and tissue technologies include the DePuy/Synthes business of Johnson &amp; Johnson, Stryker Corporation, Wright Medical Group, N.V., Smith &amp; Nephew plc, MiMedx Group, Inc., Acelity L.P. Inc., and Zimmer Biomet Holdings, Inc., as well as other major orthopedic companies that carry a full line of small bone and joint fixation, soft tissue and/or wound care products. Additionally, we compete with many smaller specialized companies and larger companies that do not otherwise focus on specialty surgical solutions.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achieve some or all of the anticipated benefits of the separation of our Spine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ind w:firstLine="324"/>
        <w:spacing w:after="0" w:line="288" w:lineRule="auto"/>
        <w:rPr>
          <w:sz w:val="20"/>
          <w:szCs w:val="20"/>
          <w:color w:val="auto"/>
        </w:rPr>
      </w:pPr>
      <w:r>
        <w:rPr>
          <w:rFonts w:ascii="Arial" w:cs="Arial" w:eastAsia="Arial" w:hAnsi="Arial"/>
          <w:sz w:val="16"/>
          <w:szCs w:val="16"/>
          <w:color w:val="auto"/>
        </w:rPr>
        <w:t>On July 1, 2015, we completed the separation (the “Separation”) of our orthobiologics and spinal fusion hardware business, now known as SeaSpine Holdings Corporation (“SeaSpine”), from the Company. Even though the Separation has been completed, we may not realize any or all of the anticipated strategic, financial, operational, marketing or other benefits from the Separation, including our ability to benefit from the increased focus through our new two divisional structure or to achieve anticipated growth rates, margins and scale and to execute on our strategy generally. Following the Separation, we are a smaller, less diversified company. This narrower business focus could leave us more vulnerable to changing market conditions, which could adversely affect our business, financial condition and results of operations. The diminished diversification of revenue, costs, and cash flows could also cause our results of operations, cash flows, working capital and financing requirements to be subject to increased volatility. In addition, we may be unable to achieve some or all of the strategic and financial benefits that we expected would result from the Separation, or such benefits may be delayed, which could adversely affect our business, financial condition and results of operations. Further, there can be no assurance that the combined value of the common stock of the two publicly-traded companies will be equal to or greater than what the value of our common stock would have been had the Separation not occurred.</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Following the Separation, SeaSpine will continue to be dependent on us for certain support services and we may have indemnification obligations to each other with respect to such arrangements.</w:t>
      </w:r>
    </w:p>
    <w:p>
      <w:pPr>
        <w:spacing w:after="0" w:line="2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entered into various agreements with SeaSpine in connection with the Separation, including a transition services agreement, a separation and distribution agreement, a tax matters agreement, an employee matters agreement and several supply agreements. These agreements will govern our relationship with SeaSpine following the Separation. If we are required to indemnify SeaSpine for certain liabilities and related losses arising in connection with any of these agreements or if SeaSpine is required to indemnify us for certain liabilities and related losses arising in connection with any of these agreements and does not fulfill its obligations to us, we may be subject to substantial liabilities, which could have a material adverse effect on our financial position.</w:t>
      </w:r>
    </w:p>
    <w:p>
      <w:pPr>
        <w:spacing w:after="0" w:line="15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there is a determination that the spin-off is taxable for U.S. federal income tax purposes, then we and our stockholders that are subject to U.S. federal income tax could incur significant U.S. federal income tax liabilities and, in certain circumstances, we could be required to indemnify SeaSpine for material taxes pursuant to indemnification obligations under the tax matters agreement.</w:t>
      </w:r>
    </w:p>
    <w:p>
      <w:pPr>
        <w:spacing w:after="0" w:line="2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received an opinion of Latham &amp; Watkins LLP, tax counsel to us (the “Tax Opinion”), substantially to the effect that (i) the contribution of the stock of SeaSpine Orthopedics Corporation to SeaSpine, together with the internal distribution of the stock of SeaSpine to Integra (collectively, the “internal distribution”), will constitute a reorganization under Sections 355 and 368(a)(1)(D) of the Internal Revenue Code of 1986, as amended (the “Code”) and (ii) the contribution of cash from us to SeaSpine (the “cash contribution”), together with the distribution of the stock of SeaSpine to our shareholders (the “distribution”), will constitute a reorganization under Sections 355 and 368(a)(1)(D) of the Code. Based on this tax treatment, the distribution will be tax-free to Integra and its stockholders for U.S. federal income tax purposes (except for any cash received in lieu of fractional shares). The Tax Opinion relied on certain facts, assumptions, representations and undertakings from us and SeaSpine regarding the past and future conduct of the companies’ respective businesses and other matters. The Tax Opinion is not binding on the U.S. Internal Revenue Service (the “IRS”) or the courts. Notwithstanding the opinion, the IRS could determine on audit that the internal distribution, the cash contribution and the distribution should be treated as taxable transactions if it determines that any of the facts, assumptions, representations or undertakings we or SeaSpine have made is not correct or has been violated, or that the internal distribution, the cash contribution and the distribution should be taxable for other reasons, including as a result of a significant change in stock or asset ownership after the distribution. If the distribution ultimately is determined to be taxable, the distribution could be treated as a taxable dividend or capital gain to our stockholders for U.S. federal income tax purposes, and our stockholders could incur significant U.S. federal income tax liabilities. In addition, we would recognize gain in an amount equal to the excess of the fair market value of shares of SeaSpine common stock distributed to our stockholders on the distribution date over our tax basis in such shares of SeaSpine common stock. Moreover, we could incur significant U.S. federal income tax liabilities if it is ultimately determined that the internal distribution does not qualify as a transaction that is tax-free for U.S. federal income tax purposes.</w:t>
      </w:r>
    </w:p>
    <w:p>
      <w:pPr>
        <w:spacing w:after="0" w:line="1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might not be able to engage in desirable strategic transactions and equity issuances following the spin-off because of certain restrictions relating to requirements for tax-free distributions.</w:t>
      </w:r>
    </w:p>
    <w:p>
      <w:pPr>
        <w:spacing w:after="0" w:line="25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engage in significant equity transactions could be limited or restricted after the spin-off in order to preserve, for U.S. federal income tax purposes, the tax-free nature of the internal distribution and the distribution. Even if the internal distribution and the distribution otherwise qualify for tax-free treatment under Section 355 of the Code, they may result in corporate-level taxable gain to us under Section 355(e) of the Code if there is a 50% or greater change in ownership, by vote or value, of shares of our stock or SeaSpine’s stock occurring as part of a plan or series of related transactions that includes the internal distribution or the distribution. Any acquisitions or issuances of our stock or SeaSpine’s stock within two years after the distribution are generally presumed to be part of such a plan, although we or SeaSpine may be able to rebut that presumption.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may be subject to continuing contingent liabilities of SeaSpine following the spin-off.</w:t>
      </w:r>
    </w:p>
    <w:p>
      <w:pPr>
        <w:spacing w:after="0" w:line="3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Separation, there are several significant areas where the liabilities of SeaSpine may become our obligations. For example, under the Code and the related rules and regulations, each corporation that was a member of our consolidated U.S. federal income tax reporting group during any taxable period or portion of any taxable period ending on or before the effective time of the spin-off is jointly and severally liable for the U.S. federal income tax liability of the entire consolidated tax reporting group for that taxable period. If SeaSpine is unable to pay any prior period taxes for which it is responsible, we could be required to pay the entire amount of such taxes.</w:t>
      </w:r>
    </w:p>
    <w:p>
      <w:pPr>
        <w:spacing w:after="0" w:line="229"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2013 and December 31, 2015, we have acquired 8 businesses at a total cost of approximately $682.3 million.</w:t>
      </w:r>
    </w:p>
    <w:p>
      <w:pPr>
        <w:spacing w:after="0" w:line="3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we have grown through acquisitions, we have $512.4 million of goodwill and $1.0 million of indefinite-lived intangible assets as of December 31, 2015.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2015, we had $602.7 million of finite-lived intangible assets.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2015 our trade names have a carrying value of $74.5 million and decisions relating to our trade names may occur over time.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value of a medical device business is often volatile, and the assumptions underlying our estimates made in connection with our assessments under the guidance may change as a result of that volatility or other factors outside our control and may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22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United States and initiatives sponsored by other governments may adversely affect our business, results of operations and/or financial condition.</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where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w:t>
      </w:r>
    </w:p>
    <w:p>
      <w:pPr>
        <w:spacing w:after="0" w:line="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March 2010, significant reforms to the U.S. healthcare system were adopted in the form of the Patient Protection and Affordable Care Act (the “Affordable Care Act”). The Affordable Care Act includes provisions that, among other things, reduce and/or limit Medicare reimbursement, require all individuals to have health insurance (with limited exceptions) and impose new and/or increased taxes. Specifically, the law requires the medical device industry to subsidize healthcare reform by implementing a 2.3% excise tax, commencing on January 1, 2013, on the sale of certain medical devices by a manufacturer, producer or importer of such devices in the United States. Because the substantial majority of our revenues is generated in the United States, the Affordable Care Act affected our financial results since it came into effect after December 31, 2012. In December 2015, President Obama signed into law The Consolidated Appropriations Act, which included a two-year moratorium on the 2.3% medical device excise tax , with the effect such that medical device revenues earned in 2016 and 2017 will be exempt from such tax. Unless there is further legislative action during that two-year period, the 2.3% medical device excise tax automatically will be reinstated for sales of medical devices on or after January 1, 2018. While this two-year moratorium on the 2.3% medical device excise tax may provide a short-term benefit to the Company in terms of providing additional monies available to spend on various projects in 2016 and 2017, we are unable to predict what the long-term impact will have on our financial statements and financial performance.</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the Affordable Care Act also requires detailed disclosure of gifts and other remuneration made to healthcare professionals, which could have a negative impact on our relationships with customers and ability to seek input on product design or involvement in research.</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provisions of the Affordable Care Act could meaningfully change the way healthcare is developed and delivered in the United States, and may adversely affect our business and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many programs and requirements for which the details have not yet been fully established or consequences not fully understood, and it is unclear what the full impact of the legislation will be. We cannot predict what healthcare programs and regulations will ultimately be implemented at the U.S. federal or state level, or the effect of any future legislation or regulation in the United States or elsewhere. That said, any changes that lower reimbursements for our products or reduce medical procedure volumes could have a material adverse effect on our business, financial condition and results of operations. We continue to monitor the implementation of such legislation and, to the extent new market or industry trends or new governmental programs evolve, we will have implemented or will consider implementing programs to respond.</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Initiatives sponsored by government agencies, legislative bodies and the private sector to limit the growth of healthcare costs, including price regulation and competitive pricing, are ongoing in other markets where we do business.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the Affordable Care Act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jc w:val="both"/>
        <w:ind w:left="66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mentioned above, the Affordable Care Act, which is intended to expand access to health insurance coverage over time, has resulted in and will continue to result in major changes in the United States healthcare system that have had and could continue to have an adverse effect on our business, including a 2.3% excise tax on U.S. sales of most medical devices, implemented in 2013, which has adversely affected our earnings through the end of 2015 (Note: even though President Obama signed into law The Consolidated Appropriations Act in December 2015, which included a two-year moratorium on the 2.3% excise tax for medical device revenues earned in 2016 and 2017, the 2.3% excise tax automatically will be reinstated for sales of medical devices on or after January 1, 2018 unless there is further legislative action);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6" w:name="page17"/>
    <w:bookmarkEnd w:id="16"/>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jc w:val="both"/>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foreign governmental health systems have revised, and continue to consider whether to revise, their payment methodologies, which have resulted and could continue to result in stricter standards for reimbursement of hospital charges for certain medical procedures leading to less government reimbursement, thereby putting downward pricing pressure on our products or rendering some uneconomical;</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Medicare, Medicaid, private and public health insurer and foreign governmental cutbacks could create downward price pressure on our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United States, local Medicare coverage as well as commercial carrier coverage determinations will reduce or eliminate reimbursement or coverage for certain of our wound matrix products as well as other collagen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jc w:val="both"/>
        <w:ind w:left="660" w:hanging="328"/>
        <w:spacing w:after="0" w:line="32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United States, 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38"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adversely affect our levels of revenue and our profitability.</w:t>
      </w:r>
    </w:p>
    <w:p>
      <w:pPr>
        <w:spacing w:after="0" w:line="9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adversely affect our financial condition and business operations.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w:t>
      </w:r>
    </w:p>
    <w:p>
      <w:pPr>
        <w:spacing w:after="0" w:line="1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the expenditure of substantial financial and other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Both before and after a product is commercially released, we have ongoing responsibilities under FDA regulations. For example, we are required to comply with the FDA's Quality System Regulation, which mandates that manufacturers of medical devices adhere to certain quality assurance requirements pertaining to, among other things, validation of manufacturing processes,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subject to the Medical Device Directive for our medical devices that are CE Marked and sold in the EU. We are also subject to Good Manufacturing Practice regulations for Pharmaceuticals in the EU for certain of our products. These regulations also mandate that manufacturers of medical devices (or those that are considered pharmaceuticals) adhere to certain quality assurance requirements pertaining to, among other things, validation of manufacturing processes, controls for purchasing product components, and documentation practices. There may be additional regulations if such products are considered pharmaceuticals outside the U.S.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In addition, negative publicity and product liability claims resulting from any adverse regulatory action could have a material adverse effect on our financial condition and results of operations.</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an outstanding FDA warning letter related to TEI, a recent acquisition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 other promotional claims regarding TEI’s or our products and require additional corrective actions.</w:t>
      </w: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have taken measures to enhance our Quality System, we cannot assure you that future inspections by the FDA and the standards they apply will not result in warning letters for any facility in the future. We are also subject to inspections of our Quality System by regulatory agencies outside the U.S. which could result in the issuance of nonconformances or significant requirements to our Quality System.</w:t>
      </w:r>
    </w:p>
    <w:p>
      <w:pPr>
        <w:spacing w:after="0" w:line="2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these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2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("GUDID"),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 than once and intended to be reprocessed before each use, then there is a requirement for the UDI to be directly marked on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device itself. This regulation will require significant resources and expense to comply with the regulation. We have complied with the initial requirements of this regulation for our Class III products by meeting the September 2014 deadline and for our Class II implantable products by meeting the September 2015 deadline for labeling and entering the data in FDA's GUDID Database.</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Finally, the FDA issued regulations regarding “Current Good Manufacturing Practice Requirements for Combination Products” on January 22, 2013. These regulations apply to some of our product lines that have been designated by the FDA as Combination Products. There have been and will be additional costs associated with compliance with the FDA Good Manufacturing Practice Requirements regulations for Combination Products.</w:t>
      </w:r>
    </w:p>
    <w:p>
      <w:pPr>
        <w:spacing w:after="0" w:line="20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the 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2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governmental regulations have become increasingly stringent and more common, and we may become subject to even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medical device law or regulation imposed in the future may have a material adverse effect on our financial condition and business operations.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Certain of our products, including our dermal regeneration products, duraplasty products, wound care products, bone void fillers, nerve and tendon repair products and certain other products, contain material derived from bovine tissue. In 2015 approximately 40%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In 2013, the World Organization for Animal Health ("OIE") recommended that the United States risk classification for BSE be upgraded from controlled risk to negligible risk.</w:t>
      </w:r>
    </w:p>
    <w:p>
      <w:pPr>
        <w:spacing w:after="0" w:line="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United States and purchase tendon from the United States and New Zealand. New Zealand has never had a case of BSE. We received approval in the United States, the EU, Japan, Taiwan, China, Argentina as well as other countries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distribute medical devices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FD&amp;C Act.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higher rates of reimbursement are justified because they are an attractive and cost-effective alternative to other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future success depends, in part, on our ability to license and develop additional products. Even if we determine that a product candidate has medical benefits, the cost of commercializing that product candidate, either through internal development or payments associated with licensing arrangements,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adversely affected.</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may vary unpredictably, and such variations could have a material adverse effect on our competitive position. We may not be able to adjust our contemplated plan of development to meet changing market demands.</w:t>
      </w:r>
    </w:p>
    <w:p>
      <w:pPr>
        <w:spacing w:after="0" w:line="4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Current economic conditions, especially in Europe as well as in Brazil, Russia, China and Mexico,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Governmental austerity policies in Europe and other markets have reduced and could continue to reduce the amount of money available to purchase medical products, including our products.</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Disruptions in the financial markets may adversely affect the availability and cost of credit to us.</w:t>
      </w:r>
    </w:p>
    <w:p>
      <w:pPr>
        <w:spacing w:after="0" w:line="1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 2014, the Company entered into its third amended and restated credit agreement, as amended on December 19, 2014 and August 28, 2015. As of February 23, 2016, we had approximately $496.3 million of outstanding borrowings under this financing arrangement. The Company’s 2016 Notes (hereinafter defined) mature in December 2016. The Company may attempt to refinance or extend, either or both of these obligations depending on prevailing market conditions. Our ability to refinance or extend these obligations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0" w:name="page21"/>
    <w:bookmarkEnd w:id="20"/>
    <w:p>
      <w:pPr>
        <w:ind w:left="180"/>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70" w:lineRule="exact"/>
        <w:rPr>
          <w:sz w:val="20"/>
          <w:szCs w:val="20"/>
          <w:color w:val="auto"/>
        </w:rPr>
      </w:pPr>
    </w:p>
    <w:p>
      <w:pPr>
        <w:ind w:left="980" w:hanging="648"/>
        <w:spacing w:after="0" w:line="258"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collagen-based products, such as the Integra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Dermal Regeneration Template and wound matrix products, the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family of products, and our Absorbable Collagen Sponges;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products which use many different specialty parts from numerous suppliers, such as our intracranial monitors, catheters and headlights;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 and recently entered into a contract with a third party to assume the manufacture of these product lines after the relationship with the affiliate of the seller concludes in several years.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United States or foreign countries.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for the proprietary rights involved. Any required license may be unavailable to us on acceptable terms, if at all. In addition, some licenses may be nonexclusive and allow our competitors to access the same technology we license.</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5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Damage to our manufacturing, development or research facilities because of fire, extreme weather conditions, natural disaster, power loss, communications failure, unauthorized entry or other events, such as a flu or other health epidemic, could cause us to cease development and manufacturing of some or all of our products. In particular, our San Diego, California facility is susceptible to earthquake damage, wildfire damage and power losses from electrical shortages as are other businesses in Southern California. Our Añasco, Puerto Rico plant, where we manufacture collagen, silicone and our private-label products, is vulnerable to hurricane, storm, earthquake and wind damage. Our Plainsboro, New Jersey facility is vulnerable to hurricane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3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we manufacture certain products in Europe and our European headquarters is located in France, which has experienced labor strikes and acts of terrorism. Thus far, strikes and acts of terrorism have not had a material impact on our business; however, if either were to occur, there is no assurance that they would not disrupt our business, and any such disruption could have a material adverse effect on our business.</w:t>
      </w:r>
    </w:p>
    <w:p>
      <w:pPr>
        <w:spacing w:after="0" w:line="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experienced third 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consolidated several facilities in 2014 and 2015,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2" w:name="page23"/>
    <w:bookmarkEnd w:id="22"/>
    <w:p>
      <w:pPr>
        <w:jc w:val="both"/>
        <w:ind w:firstLine="324"/>
        <w:spacing w:after="0" w:line="257" w:lineRule="auto"/>
        <w:rPr>
          <w:sz w:val="20"/>
          <w:szCs w:val="20"/>
          <w:color w:val="auto"/>
        </w:rPr>
      </w:pPr>
      <w:r>
        <w:rPr>
          <w:rFonts w:ascii="Arial" w:cs="Arial" w:eastAsia="Arial" w:hAnsi="Arial"/>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we have operations based outside the United States and we generate revenues and incur operating expenses in multiple foreign currencies including euros, British pounds, Swiss francs, Canadian dollars, Japanese yen, Australian dollars and Chinese yuan, we experience currency exchange risk with respect to those foreign currency-denominated revenues and expenses. Our most significant currency exchange risk relates to transactions conducted in euros, Canadian dollars, Australian dollars, and Chinese yuan.</w:t>
      </w:r>
    </w:p>
    <w:p>
      <w:pPr>
        <w:spacing w:after="0" w:line="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in our consolidated financial statements.</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70"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Correspondingly, federal and state laws are also sometimes open to interpretation, and from time to time we may find ourselves at a competitive disadvantage if our interpretation differs from that of our competitors. AdvaMed (for the U.S. and China), EucoMed (Europe), MEDEC (Canada), and MTAA (Australia), some of the principal trade associations for the medical device industry, promulgate model codes of ethics that set forth standards by which its members should (and non-member companies may) abide in the promotion of their products; AdvaMed is undergoing initiatives in Latin America and Asia Pacific to develop regional codes of ethics there as well, including the launch of a new Code of Ethics in China. We have in place policies and procedures for compliance that we believe are at least as stringent as those set forth in the revised AdvaMed Code, and we regularly train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federal legislation, state legislation and foreign legislation requires detailed disclosure of gifts and other remuneration made to healthcare professionals. In addition, prosecutorial scrutiny over the past several years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of relationships between healthcare professionals and medical device companies or ban or restrict certain marketing and sales practices such as gifts and business meals.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manufacturing, product development, research, and development operations and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Laws”). Although we believe that our procedures for handling, transporting, and disposing of hazardous materials comply with the Environmental Laws, the Environmental Laws may be amended in ways that increase our cost of compliance, perhaps materially.</w:t>
      </w:r>
    </w:p>
    <w:p>
      <w:pPr>
        <w:spacing w:after="0" w:line="19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implementing our common global enterprise resource planning system.</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engaged in a multi-year implementation of a new global enterprise resource planning system to improve our operational efficiency. Currently we have approximately 85% of our revenue on one system. The ERP system is designed to accurately maintain our financial reporting data and provide information to our management team important to the operation of the business. Our ERP system has required, and will require, the investment of significant human and financial resources. The implementation of this ERP involves numerous risks, including disruption to our normal accounting procedures and internal control over financial reporting, inaccuracies in the conversion of electronic data, difficulties integrating the systems and processes, additional costs to continue to refine the system’s functionality, and disruption of our financial reporting process. We may not be able to successfully implement the ERP without experiencing significant delays, increased costs, or other difficulties. Any significant disruption or deficiency in the design or implementation of the ERP could adversely affect our ability to estimate supply chain needs, plan production requirements, process orders, ship product, send invoices and track payments, fulfill contractual obligations, accurately forecast sales, or otherwise operate our business, all of which could negatively impact sales and profits. While a significant portion of the Company is running on our new ERP system as of December 31, 2015, we will continue to face similar risks in implementing our ERP system within the remaining sites as we continue to maintain multiple legacy ERP systems.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dependent on information technology and if we fail to properly maintain the integrity of our data, our business could be adversely affected.</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our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5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22, 2012, the Securities and Exchange Commission adopted disclosure regulations for public companies that manufacture products that contain certain minerals (i.e., tin, tantalum, tungsten or gold) known as conflict minerals, if these conflict minerals are necessary to the functionality or production of our products. These regulations require such companies to report annually whether or not such conflict minerals originate from the Democratic Republic of Congo (“DRC”) and adjoining countries and in some cases to perform extensive due diligence on their supply chains for such conflict minerals. The implementation of these requirements could adversely affect the sourcing, availability and pricing of tin, tantalum, tungsten and gold used in the manufacture of medical devices, including our products. In addition, we may incur additional costs to comply with the disclosure requirements, including costs related to determining the source of any of the relevant conflict minerals used in our products. Since our supply chain is complex, the due diligence procedures that we implement may not enable us to determine the origins for these conflict minerals or determine that these conflict minerals are DRC conflict-free, which may harm our reputation. We may also face difficulties in satisfying any customers who may require that our products be certified as DRC conflict-free, which could harm our relationships with these customers and result in a loss of revenue. These requirements also could have the effect of limiting the pool of suppliers from which we source tin, tantalum, tungsten and gold, and we may be unable to obtain conflict-free minerals at competitive prices, which could increase our costs and adversely affect our manufacturing operations and our profitability.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2015 fiscal year.</w:t>
      </w:r>
    </w:p>
    <w:p>
      <w:pPr>
        <w:spacing w:after="0" w:line="30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executive offices are located in Plainsboro, New Jersey. Our principal manufacturing and research facilities are located in New Jersey, Ohio, Pennsylvania, Massachusetts, France, Germany, Ireland, Mexico, and Puerto Rico.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and Rietheim-Weilheim, Germany and certain facilities in Ohio and Pennsylvania, and we lease all of our other facilities. We also have repair centers in California, Massachusetts, Ohio, Australia and Germany.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20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TEI, a recent acquisition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2015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High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Low</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Third Quarter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66.27</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58.35</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41.75</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First Quarter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56.65</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48.27</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40.25</w:t>
            </w:r>
          </w:p>
        </w:tc>
      </w:tr>
    </w:tbl>
    <w:p>
      <w:pPr>
        <w:spacing w:after="0" w:line="175" w:lineRule="exact"/>
        <w:rPr>
          <w:sz w:val="20"/>
          <w:szCs w:val="20"/>
          <w:color w:val="auto"/>
        </w:rPr>
      </w:pPr>
    </w:p>
    <w:p>
      <w:pPr>
        <w:ind w:right="20" w:firstLine="8"/>
        <w:spacing w:after="0" w:line="277"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the July 1, 2015 distribution of SeaSpine, the high and low close prices shown above for each quarter prior to the distribution have been adjusted for comparability purposes.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w:t>
      </w:r>
    </w:p>
    <w:p>
      <w:pPr>
        <w:spacing w:after="0" w:line="46" w:lineRule="exact"/>
        <w:rPr>
          <w:sz w:val="20"/>
          <w:szCs w:val="20"/>
          <w:color w:val="auto"/>
        </w:rPr>
      </w:pPr>
    </w:p>
    <w:p>
      <w:pPr>
        <w:jc w:val="both"/>
        <w:ind w:firstLine="8"/>
        <w:spacing w:after="0" w:line="302" w:lineRule="auto"/>
        <w:tabs>
          <w:tab w:leader="none" w:pos="1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stockholders of record as of February 23, 2016 was approximately 888,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2015, 2014 or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2015, we sold 3.795 million shares of our common stock (including 495,000 shares from the exercise of the underwriters’ option for additional shares) in a registered public offering to a select group of underwriters through a Registration Statement on Form S-3 (File No. 333-192079) that was declared effective by the Securities and Exchange Commission on November 4, 2013.</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shares of common stock were sold at a price of $61.00 per share (before underwriting discounts and commissions). The aggregate offering proceeds were $231.5 million. Following the sale of the common stock, the public offering terminated.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total offering costs of approximately $11.8 million, which includes the amounts paid for underwriters' discounts and commissions of 5.0%, and other offering costs. The net proceeds of the offering were $219.7 million after deducting these expenses. No offering expenses were paid directly or indirectly to any of our directors or officers (or their associates) or persons owning ten percent or more of any class of our equity securities or to any other affiliates.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used the entire net proceeds from this offering to pay down a portion of our outstanding Senior Credit Facility balance during 2015.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we sold 4.025 million shares of our common stock (including 525,000 shares from the exercise of the underwriters’ option for additional shares) in a registered public offering to a select group of underwriters through a Registration Statement on Form S-3 (File No. 333-192079) that was declared effective by the Securities and Exchange Commission on November 4, 2013. The shares of common stock were sold at a price of $40.00 per share (before underwriting discounts and commissions). The aggregate offering proceeds were $161.0 million. Following the sale of the common stock, the public offering terminated.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total offering costs of approximately $8.5 million, which includes the amounts paid for underwriters' discounts and commissions of 5.0%, and other offering costs. The net proceeds of the offering were $152.5 million after deducting these expenses. No offering expenses were paid directly or indirectly to any of our directors or officers (or their associates) or persons owning ten percent or more of any class of our equity securities or to any other affiliates.</w:t>
      </w:r>
    </w:p>
    <w:p>
      <w:pPr>
        <w:spacing w:after="0" w:line="133"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We used the entire net proceeds from this offering to pay down a portion of our outstanding Senior Credit Facility balance during 2013. The foregoing represents our best estimate of our use of proceeds for the period indicated. </w:t>
      </w:r>
      <w:r>
        <w:rPr>
          <w:rFonts w:ascii="Arial" w:cs="Arial" w:eastAsia="Arial" w:hAnsi="Arial"/>
          <w:sz w:val="18"/>
          <w:szCs w:val="18"/>
          <w:b w:val="1"/>
          <w:bCs w:val="1"/>
          <w:color w:val="auto"/>
        </w:rPr>
        <w:t>Issuer Purchases of Equity Securities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shares of common stock repurchased by the Company under any of these authorizations in the year ended December 31, 2015 or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Treasury Stock</w:t>
      </w:r>
      <w:r>
        <w:rPr>
          <w:rFonts w:ascii="Arial" w:cs="Arial" w:eastAsia="Arial" w:hAnsi="Arial"/>
          <w:sz w:val="18"/>
          <w:szCs w:val="18"/>
          <w:color w:val="auto"/>
        </w:rPr>
        <w:t>, in our consolidated financial statements for further details.</w:t>
      </w:r>
    </w:p>
    <w:p>
      <w:pPr>
        <w:spacing w:after="0" w:line="35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information set forth below should be read in conjunction with “Item 7. Management’s Discussion and Analysis of Financial Condition and Results of Operations” and our consolidated financial statements and related notes included elsewhere in this report. All results and data in the tables below reflect continuing operations, unless otherwise noted. As a result, the data presented below will not necessarily agree to previously issued financial statements. See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in the Consolidated Financial Statements in Item 15 of this Form 10-K for additional information on discontinued operations and Note 4,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additional information regarding the impact of 2015, 2014 and 2013 acquisitions.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center"/>
              <w:ind w:left="281"/>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8"/>
        </w:trPr>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3"/>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2011</w:t>
            </w:r>
          </w:p>
        </w:tc>
      </w:tr>
      <w:tr>
        <w:trPr>
          <w:trHeight w:val="276"/>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8"/>
          </w:tcPr>
          <w:p>
            <w:pPr>
              <w:jc w:val="center"/>
              <w:ind w:right="3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Results:</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Total revenues, net</w:t>
            </w:r>
          </w:p>
        </w:tc>
        <w:tc>
          <w:tcPr>
            <w:tcW w:w="200" w:type="dxa"/>
            <w:vAlign w:val="bottom"/>
          </w:tcPr>
          <w:p>
            <w:pPr>
              <w:spacing w:after="0"/>
              <w:rPr>
                <w:sz w:val="20"/>
                <w:szCs w:val="20"/>
                <w:color w:val="auto"/>
              </w:rPr>
            </w:pPr>
          </w:p>
        </w:tc>
        <w:tc>
          <w:tcPr>
            <w:tcW w:w="8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w w:val="86"/>
              </w:rPr>
              <w:t>882,734</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6"/>
                <w:szCs w:val="16"/>
                <w:color w:val="auto"/>
              </w:rPr>
              <w:t>796,717</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696,832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7"/>
              <w:spacing w:after="0"/>
              <w:rPr>
                <w:sz w:val="20"/>
                <w:szCs w:val="20"/>
                <w:color w:val="auto"/>
              </w:rPr>
            </w:pPr>
            <w:r>
              <w:rPr>
                <w:rFonts w:ascii="Arial" w:cs="Arial" w:eastAsia="Arial" w:hAnsi="Arial"/>
                <w:sz w:val="16"/>
                <w:szCs w:val="16"/>
                <w:color w:val="auto"/>
              </w:rPr>
              <w:t>691,895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661,148</w:t>
            </w:r>
          </w:p>
        </w:tc>
      </w:tr>
      <w:tr>
        <w:trPr>
          <w:trHeight w:val="3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 (1)</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86"/>
              </w:rPr>
              <w:t>803,147</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728,860</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661,459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614,110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601,770</w:t>
            </w:r>
          </w:p>
        </w:tc>
      </w:tr>
      <w:tr>
        <w:trPr>
          <w:trHeight w:val="318"/>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79,587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67,857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77,785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59,378</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Interest income (expense), net (2) (3)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(23,504)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(21,799)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(27,174)</w:t>
            </w:r>
          </w:p>
        </w:tc>
      </w:tr>
      <w:tr>
        <w:trPr>
          <w:trHeight w:val="3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4,588</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1,337</w:t>
            </w:r>
          </w:p>
        </w:tc>
      </w:tr>
      <w:tr>
        <w:trPr>
          <w:trHeight w:val="217"/>
        </w:trPr>
        <w:tc>
          <w:tcPr>
            <w:tcW w:w="520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60,671</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45,566</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18,786</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64,231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33,541</w:t>
            </w:r>
          </w:p>
        </w:tc>
      </w:tr>
      <w:tr>
        <w:trPr>
          <w:trHeight w:val="3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53,820</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9,271</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16,024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1,644</w:t>
            </w:r>
          </w:p>
        </w:tc>
      </w:tr>
      <w:tr>
        <w:trPr>
          <w:trHeight w:val="217"/>
        </w:trPr>
        <w:tc>
          <w:tcPr>
            <w:tcW w:w="5200" w:type="dxa"/>
            <w:vAlign w:val="bottom"/>
          </w:tcPr>
          <w:p>
            <w:pPr>
              <w:ind w:left="4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6,851</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36,295</w:t>
            </w:r>
          </w:p>
        </w:tc>
        <w:tc>
          <w:tcPr>
            <w:tcW w:w="14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22,027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48,207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31,897</w:t>
            </w:r>
          </w:p>
        </w:tc>
      </w:tr>
      <w:tr>
        <w:trPr>
          <w:trHeight w:val="3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(10,370)</w:t>
            </w:r>
          </w:p>
        </w:tc>
        <w:tc>
          <w:tcPr>
            <w:tcW w:w="4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(2,291)</w:t>
            </w: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(43,094)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r>
      <w:tr>
        <w:trPr>
          <w:trHeight w:val="28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(3,519)</w:t>
            </w:r>
          </w:p>
        </w:tc>
        <w:tc>
          <w:tcPr>
            <w:tcW w:w="1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34,004</w:t>
            </w:r>
          </w:p>
        </w:tc>
        <w:tc>
          <w:tcPr>
            <w:tcW w:w="1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(21,067)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41,204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27,989</w:t>
            </w:r>
          </w:p>
        </w:tc>
      </w:tr>
      <w:tr>
        <w:trPr>
          <w:trHeight w:val="311"/>
        </w:trPr>
        <w:tc>
          <w:tcPr>
            <w:tcW w:w="5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Diluted net income per common share from continuing operations</w:t>
            </w:r>
          </w:p>
        </w:tc>
        <w:tc>
          <w:tcPr>
            <w:tcW w:w="200" w:type="dxa"/>
            <w:vAlign w:val="bottom"/>
          </w:tcPr>
          <w:p>
            <w:pPr>
              <w:spacing w:after="0"/>
              <w:rPr>
                <w:sz w:val="20"/>
                <w:szCs w:val="20"/>
                <w:color w:val="auto"/>
              </w:rPr>
            </w:pPr>
          </w:p>
        </w:tc>
        <w:tc>
          <w:tcPr>
            <w:tcW w:w="8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0.19</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1.10</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7"/>
              <w:spacing w:after="0"/>
              <w:rPr>
                <w:sz w:val="20"/>
                <w:szCs w:val="20"/>
                <w:color w:val="auto"/>
              </w:rPr>
            </w:pPr>
            <w:r>
              <w:rPr>
                <w:rFonts w:ascii="Arial" w:cs="Arial" w:eastAsia="Arial" w:hAnsi="Arial"/>
                <w:sz w:val="16"/>
                <w:szCs w:val="16"/>
                <w:color w:val="auto"/>
              </w:rPr>
              <w:t>1.69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1.08</w:t>
            </w:r>
          </w:p>
        </w:tc>
      </w:tr>
      <w:tr>
        <w:trPr>
          <w:trHeight w:val="3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4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7"/>
        </w:trPr>
        <w:tc>
          <w:tcPr>
            <w:tcW w:w="520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0.95</w:t>
            </w:r>
          </w:p>
        </w:tc>
      </w:tr>
      <w:tr>
        <w:trPr>
          <w:trHeight w:val="3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Weighted average common shares outstanding for diluted 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35,677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32,960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28,516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29,495</w:t>
            </w:r>
          </w:p>
        </w:tc>
      </w:tr>
      <w:tr>
        <w:trPr>
          <w:trHeight w:val="615"/>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r>
      <w:tr>
        <w:trPr>
          <w:trHeight w:val="250"/>
        </w:trPr>
        <w:tc>
          <w:tcPr>
            <w:tcW w:w="5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Position:</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Cash, cash equivalents (5)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48,132</w:t>
            </w:r>
          </w:p>
        </w:tc>
        <w:tc>
          <w:tcPr>
            <w:tcW w:w="6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71,734</w:t>
            </w:r>
          </w:p>
        </w:tc>
        <w:tc>
          <w:tcPr>
            <w:tcW w:w="54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59"/>
              <w:spacing w:after="0"/>
              <w:rPr>
                <w:sz w:val="20"/>
                <w:szCs w:val="20"/>
                <w:color w:val="auto"/>
              </w:rPr>
            </w:pPr>
            <w:r>
              <w:rPr>
                <w:rFonts w:ascii="Arial" w:cs="Arial" w:eastAsia="Arial" w:hAnsi="Arial"/>
                <w:sz w:val="18"/>
                <w:szCs w:val="18"/>
                <w:color w:val="auto"/>
              </w:rPr>
              <w:t>120,692</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99,768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98,455</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40" w:type="dxa"/>
            <w:vAlign w:val="bottom"/>
            <w:gridSpan w:val="4"/>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(5)</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1,774,704</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1,413,900</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w w:val="99"/>
              </w:rPr>
              <w:t>1,009,796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w w:val="97"/>
              </w:rPr>
              <w:t>1,064,172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2"/>
              </w:rPr>
              <w:t>1,092,415</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Short-term borrowings under the term loan of the senior credit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facility (5)</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14,375</w:t>
            </w:r>
          </w:p>
        </w:tc>
        <w:tc>
          <w:tcPr>
            <w:tcW w:w="6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3,750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borrowings under the revolving portion of the senior</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(2), (5)</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481,875</w:t>
            </w:r>
          </w:p>
        </w:tc>
        <w:tc>
          <w:tcPr>
            <w:tcW w:w="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413,125</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186,875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321,875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179,688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Long-term debt (3), (5)</w:t>
            </w:r>
          </w:p>
        </w:tc>
        <w:tc>
          <w:tcPr>
            <w:tcW w:w="2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218,720</w:t>
            </w:r>
          </w:p>
        </w:tc>
        <w:tc>
          <w:tcPr>
            <w:tcW w:w="6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213,121</w:t>
            </w:r>
          </w:p>
        </w:tc>
        <w:tc>
          <w:tcPr>
            <w:tcW w:w="540" w:type="dxa"/>
            <w:vAlign w:val="bottom"/>
          </w:tcPr>
          <w:p>
            <w:pPr>
              <w:spacing w:after="0"/>
              <w:rPr>
                <w:sz w:val="21"/>
                <w:szCs w:val="21"/>
                <w:color w:val="auto"/>
              </w:rPr>
            </w:pPr>
          </w:p>
        </w:tc>
        <w:tc>
          <w:tcPr>
            <w:tcW w:w="1060" w:type="dxa"/>
            <w:vAlign w:val="bottom"/>
            <w:gridSpan w:val="3"/>
          </w:tcPr>
          <w:p>
            <w:pPr>
              <w:jc w:val="right"/>
              <w:ind w:right="159"/>
              <w:spacing w:after="0"/>
              <w:rPr>
                <w:sz w:val="20"/>
                <w:szCs w:val="20"/>
                <w:color w:val="auto"/>
              </w:rPr>
            </w:pPr>
            <w:r>
              <w:rPr>
                <w:rFonts w:ascii="Arial" w:cs="Arial" w:eastAsia="Arial" w:hAnsi="Arial"/>
                <w:sz w:val="18"/>
                <w:szCs w:val="18"/>
                <w:color w:val="auto"/>
              </w:rPr>
              <w:t>205,182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w w:val="89"/>
              </w:rPr>
              <w:t>197,672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352,576</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145,879</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314,960</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280,956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302,023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260,819</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Stockholders’ equity (4)</w:t>
            </w:r>
          </w:p>
        </w:tc>
        <w:tc>
          <w:tcPr>
            <w:tcW w:w="2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751,443</w:t>
            </w:r>
          </w:p>
        </w:tc>
        <w:tc>
          <w:tcPr>
            <w:tcW w:w="6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704,322</w:t>
            </w:r>
          </w:p>
        </w:tc>
        <w:tc>
          <w:tcPr>
            <w:tcW w:w="540" w:type="dxa"/>
            <w:vAlign w:val="bottom"/>
          </w:tcPr>
          <w:p>
            <w:pPr>
              <w:spacing w:after="0"/>
              <w:rPr>
                <w:sz w:val="21"/>
                <w:szCs w:val="21"/>
                <w:color w:val="auto"/>
              </w:rPr>
            </w:pPr>
          </w:p>
        </w:tc>
        <w:tc>
          <w:tcPr>
            <w:tcW w:w="1060" w:type="dxa"/>
            <w:vAlign w:val="bottom"/>
            <w:gridSpan w:val="3"/>
          </w:tcPr>
          <w:p>
            <w:pPr>
              <w:jc w:val="right"/>
              <w:ind w:right="159"/>
              <w:spacing w:after="0"/>
              <w:rPr>
                <w:sz w:val="20"/>
                <w:szCs w:val="20"/>
                <w:color w:val="auto"/>
              </w:rPr>
            </w:pPr>
            <w:r>
              <w:rPr>
                <w:rFonts w:ascii="Arial" w:cs="Arial" w:eastAsia="Arial" w:hAnsi="Arial"/>
                <w:sz w:val="18"/>
                <w:szCs w:val="18"/>
                <w:color w:val="auto"/>
              </w:rPr>
              <w:t>666,090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w w:val="89"/>
              </w:rPr>
              <w:t>517,775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492,638</w:t>
            </w:r>
          </w:p>
        </w:tc>
      </w:tr>
    </w:tbl>
    <w:p>
      <w:pPr>
        <w:spacing w:after="0" w:line="391" w:lineRule="exact"/>
        <w:rPr>
          <w:sz w:val="20"/>
          <w:szCs w:val="20"/>
          <w:color w:val="auto"/>
        </w:rPr>
      </w:pPr>
    </w:p>
    <w:p>
      <w:pPr>
        <w:jc w:val="both"/>
        <w:ind w:left="500" w:right="60" w:hanging="270"/>
        <w:spacing w:after="0" w:line="264"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2011, we recorded a total of $13.3 million in stock-based compensation charges related to our former chief executive officer employment agreement extension, accelerated vesting of his outstanding shares upon the appointment of the new chief executive officer, and his minimum annual stock-based compensation award which was fully vested on the date of grant.</w:t>
      </w:r>
    </w:p>
    <w:p>
      <w:pPr>
        <w:spacing w:after="0" w:line="154" w:lineRule="exact"/>
        <w:rPr>
          <w:rFonts w:ascii="Arial" w:cs="Arial" w:eastAsia="Arial" w:hAnsi="Arial"/>
          <w:sz w:val="18"/>
          <w:szCs w:val="18"/>
          <w:color w:val="auto"/>
        </w:rPr>
      </w:pPr>
    </w:p>
    <w:p>
      <w:pPr>
        <w:jc w:val="both"/>
        <w:ind w:left="500" w:right="60" w:hanging="367"/>
        <w:spacing w:after="0" w:line="302"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each of the periods presented, we report the borrowings outstanding under the revolving portion of our Senior Credit Facility as long-term debt as well as the 2016 Notes based on our current intent and ability to repay the borrowings outside of the following twelve-month periods. We also report the term loan as long-term debt with the exception of current principal payments due within 12 months, which are classified as short-term. At December 31, 2015, we have a total of $496.3 million outstanding under our Senior Credit Facility and $603.7 million available for future borrowings.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9" w:right="239" w:bottom="1440" w:gutter="0" w:footer="0" w:header="0"/>
        </w:sectPr>
      </w:pPr>
    </w:p>
    <w:bookmarkStart w:id="28" w:name="page29"/>
    <w:bookmarkEnd w:id="28"/>
    <w:p>
      <w:pPr>
        <w:ind w:left="500" w:right="40" w:hanging="29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2007, we issued $165.0 million of 2.375% senior convertible notes due 2012 (the “2012 Notes”). The 2012 Notes were repaid in June 2012 in accordance with their terms.</w:t>
      </w:r>
    </w:p>
    <w:p>
      <w:pPr>
        <w:spacing w:after="0" w:line="237" w:lineRule="exact"/>
        <w:rPr>
          <w:rFonts w:ascii="Arial" w:cs="Arial" w:eastAsia="Arial" w:hAnsi="Arial"/>
          <w:sz w:val="18"/>
          <w:szCs w:val="18"/>
          <w:color w:val="auto"/>
        </w:rPr>
      </w:pPr>
    </w:p>
    <w:p>
      <w:pPr>
        <w:jc w:val="both"/>
        <w:ind w:left="500" w:right="40"/>
        <w:spacing w:after="0" w:line="264" w:lineRule="auto"/>
        <w:rPr>
          <w:rFonts w:ascii="Arial" w:cs="Arial" w:eastAsia="Arial" w:hAnsi="Arial"/>
          <w:sz w:val="18"/>
          <w:szCs w:val="18"/>
          <w:color w:val="auto"/>
        </w:rPr>
      </w:pPr>
      <w:r>
        <w:rPr>
          <w:rFonts w:ascii="Arial" w:cs="Arial" w:eastAsia="Arial" w:hAnsi="Arial"/>
          <w:sz w:val="18"/>
          <w:szCs w:val="18"/>
          <w:color w:val="auto"/>
        </w:rPr>
        <w:t>In 2011, we issued $230.0 million of 1.625% convertible senior notes due in 2016 (the “2016 Notes”). We expect to satisfy any conversion of the 2016 Notes with cash up to their principal amount pursuant to the net share settlement mechanism set forth in the indenture and, with respect to any excess conversion value, with shares of common stock.</w:t>
      </w:r>
    </w:p>
    <w:p>
      <w:pPr>
        <w:spacing w:after="0" w:line="248" w:lineRule="exact"/>
        <w:rPr>
          <w:rFonts w:ascii="Arial" w:cs="Arial" w:eastAsia="Arial" w:hAnsi="Arial"/>
          <w:sz w:val="18"/>
          <w:szCs w:val="18"/>
          <w:color w:val="auto"/>
        </w:rPr>
      </w:pPr>
    </w:p>
    <w:p>
      <w:pPr>
        <w:jc w:val="both"/>
        <w:ind w:left="500" w:right="20" w:hanging="291"/>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2015, we sold 3.795 million shares of our common stock at a price of $61.00 per share. The aggregate offering proceeds were $231.5 million. The net proceeds of the offering were $219.7 million after deducting the underwriters' discounts and commissions and all other estimated offering expenses.</w:t>
      </w:r>
    </w:p>
    <w:p>
      <w:pPr>
        <w:spacing w:after="0" w:line="397" w:lineRule="exact"/>
        <w:rPr>
          <w:rFonts w:ascii="Arial" w:cs="Arial" w:eastAsia="Arial" w:hAnsi="Arial"/>
          <w:sz w:val="18"/>
          <w:szCs w:val="18"/>
          <w:color w:val="auto"/>
        </w:rPr>
      </w:pPr>
    </w:p>
    <w:p>
      <w:pPr>
        <w:jc w:val="both"/>
        <w:ind w:left="500" w:right="20"/>
        <w:spacing w:after="0" w:line="264" w:lineRule="auto"/>
        <w:rPr>
          <w:rFonts w:ascii="Arial" w:cs="Arial" w:eastAsia="Arial" w:hAnsi="Arial"/>
          <w:sz w:val="18"/>
          <w:szCs w:val="18"/>
          <w:color w:val="auto"/>
        </w:rPr>
      </w:pPr>
      <w:r>
        <w:rPr>
          <w:rFonts w:ascii="Arial" w:cs="Arial" w:eastAsia="Arial" w:hAnsi="Arial"/>
          <w:sz w:val="18"/>
          <w:szCs w:val="18"/>
          <w:color w:val="auto"/>
        </w:rPr>
        <w:t>In 2013, we sold 4.025 million shares of our common stock at a price of $40.00 per share. The aggregate offering proceeds were $161.0 million. The net proceeds of the offering were $152.5 million after deducting the underwriters' discounts and commissions and all other estimated offering expenses.</w:t>
      </w:r>
    </w:p>
    <w:p>
      <w:pPr>
        <w:spacing w:after="0" w:line="248" w:lineRule="exact"/>
        <w:rPr>
          <w:rFonts w:ascii="Arial" w:cs="Arial" w:eastAsia="Arial" w:hAnsi="Arial"/>
          <w:sz w:val="18"/>
          <w:szCs w:val="18"/>
          <w:color w:val="auto"/>
        </w:rPr>
      </w:pPr>
    </w:p>
    <w:p>
      <w:pPr>
        <w:ind w:left="500" w:hanging="291"/>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Presented for continuing operations only.</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 leader in medical technology focused on limiting uncertainty for surgeons so they can concentrate on providing the best care for their patients. Integra provides customers with clinically relevant, innovative and cost-effective products that improve the quality of life for patients. We focus on cranial procedures, small bone and joint recontruction, the repair and reconstruction of soft tissue, and instruments for surgery.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 2015, we completed the separation of SeaSpine from Integra through the pro rata distribution of 100% of the common stock of SeaSpine to Integra's stockholders of record as of the close of business on June 19, 2015. The distribution was structured to be tax-free to Integra and its shareholders for U.S. federal income tax purposes. Unless indicated otherwise, the information in the management discussion and analysis of financial condition and results of operations relates to the Company’s continuing operations. Further information regarding the SeaSpine separation and discontinued operations reporting may be found in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first quarter of 2015, we announced the realignment of our businesses into a new segment structure, consisting of three global reportable segments as a result of changes in how we internally manage and report the results of our businesses. Following the spin-off of SeaSpine, we manufacture and sell our products in two reportable business segments: Specialty Surgical Solutions, and Orthopedics and Tissue Technologies. Our Specialty Surgical Solutions products offer specialty surgical instrumentation for a broad range of specialties. This product category includes products and solutions for dural repair, precision tools and instruments, tissue ablation, and neuro critical care including market-leading product portfolios used in neurosurgery operation suites and critical care units. Our Orthopedics and Tissue Technologies products offer a unique combination of differentiated regenerative technology products for soft tissue repair and tissue regeneration products, alongside small bone fixation and joint replacement hardware products for both upper extremities and lower extremities. This product category also includes private-label sales of a broad set of our regenerative medicine technologies.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Puerto Rico, France, Germany, Ireland, and Mexico. We also source most of our handheld surgical instruments, specialty metal and pyrocarbon implants, and dural sealant products through specialized third-party vendors.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we have several sales channels. Specialty Surgical Solutions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as a leader by our customers in specialty surgical applications, regenerative technologies and extremities orthopedics worldwide. Our strategy is built around three pillars - execute, optimize, and accelerate growth. These three pillars support our strategic initiatives to deliver on our commitments through improved planning and communication, optimize our infrastructure, and grow by introducing new products to the market through internal development, geographic expansion, and strategic acquisitions.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through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and polyethylene glycol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16"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Specialty Surgical Solutions,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Specialty Surgical Solutions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joint replacement and advanced wound care, as well as to increase gross margins. We have unique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Specialized Sales Footprint</w:t>
      </w:r>
      <w:r>
        <w:rPr>
          <w:rFonts w:ascii="Arial" w:cs="Arial" w:eastAsia="Arial" w:hAnsi="Arial"/>
          <w:sz w:val="17"/>
          <w:szCs w:val="17"/>
          <w:color w:val="auto"/>
        </w:rPr>
        <w:t>. Our medical technology investment and manufacturing strategy provides us with a specialized set of customer call-points and synergies. We have market-leading products across our portfolio providing both scale and depth in solutions for a broad set of clinical needs across many departments in the healthcare system. We also have clinical expertise across all of our channels in the United States, and an opportunity to expand and leverage this expertise in markets worldwide. Many of our customers are facing pressure placed upon them by healthcare reform and the Affordable Care Act. In response to our customers’ needs for clinical and technical solutions across multiple departments and clinical areas, we have developed and deployed our Enterprise Selling initiative to bring unique clinical solutions to even the most difficult healthcare issues in our key accounts across multiple clinical sites and multi-hospital integrated delivery networks.</w:t>
      </w:r>
    </w:p>
    <w:p>
      <w:pPr>
        <w:spacing w:after="0" w:line="123"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our ability to grow into a multi-billion 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July 2014, we completed our multi-center clinical trial evaluating the safety and effectiveness of the INTEGRA® Dermal Regeneration Template for the Treatment of DFU. The data collected formed the foundation for the PMA Supplement application that we filed with the FDA. The FDA approved the PMA on January 7, 2016, and the Company anticipates commercializing the resulting DFU product, Omnigraft</w:t>
      </w:r>
      <w:r>
        <w:rPr>
          <w:rFonts w:ascii="Arial" w:cs="Arial" w:eastAsia="Arial" w:hAnsi="Arial"/>
          <w:sz w:val="25"/>
          <w:szCs w:val="25"/>
          <w:color w:val="auto"/>
          <w:vertAlign w:val="superscript"/>
        </w:rPr>
        <w:t>TM</w:t>
      </w:r>
      <w:r>
        <w:rPr>
          <w:rFonts w:ascii="Arial" w:cs="Arial" w:eastAsia="Arial" w:hAnsi="Arial"/>
          <w:sz w:val="18"/>
          <w:szCs w:val="18"/>
          <w:color w:val="auto"/>
        </w:rPr>
        <w:t>, in mid-2016. We are also investing in next generation nerve products, additional clinical studies for indications to support existing products including breast reconstruction, and longer term research programs to evaluate combination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strategy includes the acquisition of complementary product lines and companies in order to increase the breadth and reach of our product portfolios. As a result of our recent acquisitions of businesses, assets and product lines, our financial results for the year ended December 31, 2015 may not be directly comparable to those of the corresponding prior-year periods.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xml:space="preserve"> to our consolidated financial statements for a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From January 2013 through December 2015, we acquired the following businesses, assets and product lines: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In December 2015, we acquired the assets of Tekmed Instruments S.p.A ("Tekmed") for $14.2 million in cash. Tekmed was a distributor of our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us to support Specialty Surgical Solutions growth in Italy along with other key Integra franchises.</w:t>
      </w:r>
    </w:p>
    <w:p>
      <w:pPr>
        <w:spacing w:after="0" w:line="13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October 2015, we acquired the United States rights to Tornier's Salto Talaris® and Salto Talaris® XT ankle replacement products and Tornier's Futura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silastic toe replacement products for $6.0 million in cash. The acquired toe and ankle products ("Salto and Futura") enhances our lower extremities product offering and accelerates our entry into the U.S. total ankle replacement market.</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2015, we executed the two merger agreements (collectively, the "Agreements") under which we acquired TEI Biosciences, Inc., a Delaware corporation ("TEI Bio"), and TEI Medical Inc., a Delaware corporation ("TEI Med") for an aggregate purchase price of approximately $312.4 million ($210.4 million for TEI Bio and $102.0 million for TEI Med). The purchase price consists of a cash payment to the former shareholders of TEI Bio and TEI Med of approximately $312.4 million upon the closing of the transaction, net of $1.2 million of acquired cash. 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we acquired certain assets of Koby Ventures II, L.P. dba Metasurg ("Metasurg") for an aggregate purchase price of $27.2 million. The purchase price consisted of an initial cash payment to Metasurg of $26.5 million and contingent consideration with an acquisition date fair value of $0.7 million. The potential maximum undiscounted contingent consideration of $38.5 million is based on reaching certain sales of acquired products. Metasurg develops intuitive implant systems for the foot and ankle market and sells almost entirely in the U.S. market. During the fourth quarter of 2015, we adjusted the fair value of the contingent consideration to zero as we no longer believe the achievement of the sales targets is probable.</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2014, we acquired all outstanding shares of Medtronic Xomed Instrumentation, SAS ("MicroFrance") from Medtronic, Inc. ("Medtronic") as well as certain assets of Medtronic for $61.6 million in cash. MicroFrance specializes in manual ear, nose, and throat instruments and designs, manufactures, and sells reusable handheld instruments to ENT and laparoscopic surgical specialists around the world.</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2014, we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Confluent Surgical is a developer and supplier of polymer-based biosurgery technology used in surgical sealants and anti-adhesion products.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2013, we acquired all outstanding preferred and common stock of Tarsus Medical, Inc. ("Tarsus") for $4.7 million consisting of $3.1 million in cash (including working capital adjustments of $0.2 million) and contingent consideration with an estimated acquisition date fair value of approximately $1.6 million. The potential maximum undiscounted contingent consideration consists of a first milestone payment of up to $1.5 million and a second payment of up to $11.5 million. These payments are based on reaching certain sales of acquired products. During the second quarter of 2014, we adjusted the fair value of the contingent consideration to zero as we no longer believed the achievement of the sales targets was probable and the contingent consideration period ended December 31, 2015, with no payment being made. Tarsus Medical, Inc. is a podiatry device company addressing clinical needs associated with diseases and injuries of the foot and ankle.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OPTIMIZATION ACTIVITIES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Over the past four years, we have reduced the number of manufacturing and distribution facilities that we operate by nine and have largely completed plans to consolidate operational activities into existing sites with greater utilization and efficiency as a result. We expect the benefits of these efforts will contribute to our financial results in 2016 and beyond.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While we expect a positive impact from ongoing restructuring, integration, and manufacturing transfer and expansion activities, such results remain uncertain.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Executive Summary</w:t>
      </w:r>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income from continuing operations in 2015 was $6.9 million, or $0.19 per diluted share, as compared to $36.3 million, or $1.10 per diluted share in 2014 and $22.0 million, or $0.76 per diluted share in 2013.</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2013 to 2015 increased $186.0 million, generating $138.9 million of additional gross margin over that time period resulting primarily from the businesses we acquired. Costs and expenses increased sequentially as new employees, especially in selling general and administrative functions, joined the Company, and from the higher operating expenses associated with the businesses we acquired.</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income before taxes result from the operating items described above and changes in interest expense, which increased in 2014 and 2015 because our borrowings under our Senior Facility increased. Additionally, we saw an increase in Other income primarily as a result of the transition services agreement entered into with SeaSpine in conjunction with the spin-off.</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increased in 2015 due to $37.2 million of expense recorded relating to a non-cash tax valuation allowance as a result of the spin-off of the spine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24,264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Structural optimization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Spine spin-off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Convertible debt non-cash interest (1)</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6,463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63,144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500" w:right="20" w:hanging="465"/>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amounts have been reduced by $0.6 million, $0.8 million, and $1.0 million in 2015, 2014, and 2013, respectively, representing the non-cash interest that was capitalized as a component of the historical cost of assets constructed for the Company's own use.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our consolidated financial statements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63,144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65,093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51,581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5" w:right="239" w:bottom="1440" w:gutter="0" w:footer="0" w:header="0"/>
        </w:sectPr>
      </w:pPr>
    </w:p>
    <w:bookmarkStart w:id="32" w:name="page33"/>
    <w:bookmarkEnd w:id="32"/>
    <w:p>
      <w:pPr>
        <w:jc w:val="both"/>
        <w:spacing w:after="0" w:line="272" w:lineRule="auto"/>
        <w:rPr>
          <w:sz w:val="20"/>
          <w:szCs w:val="20"/>
          <w:color w:val="auto"/>
        </w:rPr>
      </w:pPr>
      <w:r>
        <w:rPr>
          <w:rFonts w:ascii="Arial" w:cs="Arial" w:eastAsia="Arial" w:hAnsi="Arial"/>
          <w:sz w:val="17"/>
          <w:szCs w:val="17"/>
          <w:color w:val="auto"/>
        </w:rPr>
        <w:t>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continued to do so during 2015. We placed the ERP in service across a number of U.S. sites in May of 2014, and at that time, we began depreciating the capitalized costs associated with that part of the implementation. We expect the additional capital and integration expenses associated with our ERP system to decrease as we continue to progress in our ERP implementation over the next year.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FDA inspected our Añasco, Puerto Rico facility in October and November 2012, and issued a warning letter for that facility on February 13, 2013. On November 26, 2013, the FDA completed its second inspection of the Añasco facility and issued a new Form 483 with six additional observations. On September 30, 2014, the FDA completed its third inspection of the Añasco facility, concluded that the Company had addressed the issues raised in the Warning Letter and previous inspectional observations, and issued no other inspectional observations. The Añasco warning letter was closed out effective January 14, 2015, because the FDA concluded that the Company had addressed the issues raised in the warning letter and previous inspectional observations.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outstanding FDA warning letter related to TEI, a recent acquisition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it was not cleared or approved. TEI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 other promotional claims on products and require additional corrective actions. We do not expect to incur material operating expenses to complete the corrective action plan.</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remediation expenses incurred in the year-ended December 31, 2015 and $1.4 million of remediation expenses consisting of consulting expenses and other work activities required to complete our remediation activities were incurred in the year-ended December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1"/>
        </w:trPr>
        <w:tc>
          <w:tcPr>
            <w:tcW w:w="6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Surgical Solutions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586,918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554,872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463,296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295,816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241,845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233,536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882,734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796,717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696,832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326,542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302,946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279,548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556,192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493,771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417,284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with Year Ended December 31, 2014.</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2015, total revenues increased by $86.0 million or 11%, to $882.7 million from $796.7 million during the prior year. Domestic revenues increased $84.5 million, or 14%, to $680.8 million and were 77% of total revenues for the year ended December 31, 2015. International revenues were flat at $201.9 million compared to 2014. Foreign exchange fluctuations had a negative impact of $22.2 million on revenues for the year.</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Specialty Surgical Solutions revenues were $586.9 million, an increase of 6% from the prior year. The increase resulted in part from the impact of the MicroFrance acquisition which added $24.8 million in the period. Increases in our dural repair and precision tools and instruments franchises contributed to the majority of the rest of the growth partially offset by declines in both neuro critical care and tissue ablation, both of which benefited from strong sales of capital equipment in the prior year.</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Orthopedics and Tissue Technologies revenues were $295.8 million, an increase of 22% from the prior year. The increase largely resulted from the impact of the acquisitions of TEI, Metasurg, and Salto and Futura which added $38.5 million in the period. We also saw increases in our regenerative products, upper extremities and private label portfolios driven by strong demand for our skin and shoulder lines.</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with Year Ended December 31, 2013.</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2014, total revenues increased by $99.9 million or 14% to $796.7 million from $696.8 million during 2013. Domestic revenues increased 14.4% to $596.3 million and were 75% of total revenues for the year ended December 31, 2014. International revenues increased 12% to $200.4 million as compared to 2013. Foreign exchange fluctuations had a negligible impact on revenues for the year.</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total revenues for the year ended December 31, 2013 were negatively affected by our voluntary recall of certain products manufactured in our Añasco, Puerto Rico facility, including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Dural Graft Matrix products.</w:t>
      </w:r>
    </w:p>
    <w:p>
      <w:pPr>
        <w:spacing w:after="0" w:line="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Specialty Surgical Solutions revenues were $554.9 million, an increase of 20% from 2013. The increase largely resulted from the impact of the DuraSeal product sales arising out of the Confluent Surgical acquisition which added $54.1 million in the period. We also saw increases from our dural repair franchise, which recovered from the 2013 recall, and neuro critical care and tissue ablation, both of which benefited from strong sales of capital equipment during the period. Sales in precision tools and instruments declined primarily from lower sales in our acute-care and alternate-site businesses and product discontinuations. Increases in our lighting product line and the partial-year contribution from our MicroFrance acquisition partially offset this decline.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Orthopedics and Tissue Technologies revenues were $241.8 million, an increase of 4% from 2013. This increase resulted primarily from dermal and wound care products, including our new "Thin" version of Integra Wound Matrix, and from our shoulder product line, which increased as a result of the launch of a new reverse shoulder in the latter half of 2013 and increases in the number of distributors selling our shoulder line. The remainder of our lower and upper extremity franchise increased slightly during the period partially as a consequence of sales force turnover in the second quarter of 2014 as well as the transition to our new total foot system. Sales of our private label products were up only slightly from the prior-year period because we lost some business as a result of recall issues in 2013.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4" w:name="page35"/>
    <w:bookmarkEnd w:id="34"/>
    <w:p>
      <w:pPr>
        <w:jc w:val="both"/>
        <w:ind w:right="20"/>
        <w:spacing w:after="0" w:line="308" w:lineRule="auto"/>
        <w:rPr>
          <w:sz w:val="20"/>
          <w:szCs w:val="20"/>
          <w:color w:val="auto"/>
        </w:rPr>
      </w:pPr>
      <w:r>
        <w:rPr>
          <w:rFonts w:ascii="Arial" w:cs="Arial" w:eastAsia="Arial" w:hAnsi="Arial"/>
          <w:sz w:val="17"/>
          <w:szCs w:val="17"/>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margin as a percentage of revenues was 63.0% in 2015, 62.0% in 2014, and 59.9% in 2013. Cost of product revenues in 2015, 2014, and 2013 included $10.0 million, $1.1 million, and $1.4 million, respectively, in fair value inventory purchase accounting adjustments recorded in connection with acquisitions, and $22.3 million, $15.9 million, and $4.1 million, respectively, of amortization for technology-based intangible assets inclusive of impairments.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gross margin percentage from 2014 to 2015 resulted primarily from an increase in sales of higher margin products such as DuraSeal, DuraGen, skin and wound products.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gross margin percentage from 2013 to 2014 resulted primarily from increases in margins on DuraSeal related to the Confluent Surgical acquisition as well as a decrease in reserved and scrapped inventory from the 2013 recall of DuraGen. We also incurred fewer quality costs at our manufacturing facilities in 2014 because the bulk of the remediation work was performed in 2012 and 2013 in response to the warning letters that we previously disclosed.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2016 to be approximately 64%. We expect the increase in gross margin as the result of a full year contribution from TEI and continued favorable product mix, which will more than offset the costs associated with operating our new collagen manufacturing center.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37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intangible asset amortization expense, and goodwill impairment charge, increased $50.7 million or 12% to $476.6 million in 2015, compared to $425.9 million in the same period last year.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amounted to $50.9 million in 2015, compared to $43.6 million in 2014 and $42.6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2013. The increase in research and development costs from 2014 to 2015 primarily resulted from additional spending on new product development and clinical studies as well as the acquisition of TEI. The increase in research and development from 2013 to 2014 primarily resulted from an increase in headcount and product development.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continuing to invest in clinical work and product development, and expect an increase in our research and development expenses in 2016 to between 5.5% and 6.0% of total revenues.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in the year ended December 31, 2015 increased by $40.2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10.7% to $415.8 million compared to $375.5 million in the same period last year. Selling and marketing expenses increased by $32.7 million, primarily resulting from the impact of the TEI acquisition, higher headcount in our sales force compared to last year, and commission costs, which were higher as a result of increases in revenue. General and administrative costs increased $7.5 million, primarily due to facility optimization activities and higher transaction related costs both to effectuate the spin-off of our Spine business, and to close the TEI and Salto acquisitions. In addition, we experienced higher incentive compensation costs due to improved business performance.</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for the year ended December 31, 2014 increased by $43.4 million or 13.1% to $375.5 million compared to $332.2 million in 2013. Selling and marketing expenses increased by $15.0 million, primarily resulting from higher headcount in our sales force compared to last year, the impact of the DuraSeal acquisition, and commission costs which were higher as a result of increases in revenue. General and administrative costs increased $28.4 million primarily because of additional depreciation as we implemented our ERP in certain locations during May of 2014, consulting costs to support various strategic projects, higher severance costs, and acquisition-related costs from our three acquisitions in 2014. These general and administrative increases were partially offset by $1.2 million to reflect a decrease in the fair value of the contingent consideration liability because management concluded that the achievement of the sales threshold for a contingent consideration payment from a prior acquisition was no longer probable.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For 2016, we expect our reported selling, general, and administrative expenses to be between 44.5% and 45% of revenue in 2016 as we make additional investments in our commercial channels offsetting the benefit of the Medical Device Excise Tax suspension.</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INTANGIBLE ASSET AMORTIZATION. </w:t>
      </w:r>
      <w:r>
        <w:rPr>
          <w:rFonts w:ascii="Arial" w:cs="Arial" w:eastAsia="Arial" w:hAnsi="Arial"/>
          <w:sz w:val="18"/>
          <w:szCs w:val="18"/>
          <w:color w:val="auto"/>
        </w:rPr>
        <w:t>Amortization expense (excluding amounts reported in cost of product revenues for technology-based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the year ended December 31, 2015 was $10.0 million compared to $6.8 million in 2014. The increase primarily resulted from a full year of amortization on the intangible assets added as part of our MicroFrance and Metasurg acquisitions in 2014 as well as partial year amortization of the intangible assets added as part of TEI, Salto, and Tekmed acquisitions in 2015.</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amortization expense (excluding amounts reported in cost of product revenues for technology-based intangible assets) decreased by $0.3 million to $6.8 million compared to $7.1 million in 2013. The decrease primarily resulted from certain intangible assets that became fully amortized in the first half of 2013.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in-process research and development ("IPR&amp;D")) to be approximately $42.2 million in 2016, $41.5 million in 2017, $40.7 million in 2018, $40.6 million in 2019 and $40.5 million in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(23,517)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(19,725)</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(18,916)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(16,587)</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decreased for the years ended December 31, 2015 and 2014 because the Company no longer holds any short-term investments in time deposit accounts outside the United States as it did for a portion of 2013. Interest income on our invested cash in 2015 was minimal and $0.2 million and $4.9 million in 2014 and 2013, respectively.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was $23.5 million, $22.0 million and $19.7 million in 2015, 2014 and 2013, respectively. Interest expense increased in 2015 compared to 2014 primarily because we increased borrowings on our Senior Credit facility compared to the prior year. Also, in July 2014, we expensed $0.3 million of previously capitalized deferred financing costs in connection with the refinancing of our Senior Credit Facility. Furthermore, the amount of our 2016 Notes discount amortization increased by $0.6 million as expected when using the effective interest method for its amortization in the twelve-month period December 31, 2015.</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reported interest expense for the years ended December 31, 2015, 2014 and 2013 includes non-cash interest related to the accounting for convertible securities of $7.9 million, $7.1 million and $6.5 million, respectively. The expense was associated primarily with the principal amount of the outstanding 2016 Notes, and interest and fees related to our $1.1 billion senior secured credit facility. In 2015, 2014, and 2013, we capitalized a total of $0.6 million, $0.8 million and $1.0 million of non-cash interest, respectively, and included it in the historical cost of assets constructed for the Company's own use.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reported interest expense for the years ended December 31, 2015, 2014 and 2013 included $2.3 million, $2.6 million and $2.3 million, respectively, of non-cash amortization of debt issuance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of $4.6 million in 2015 was primarily attributable to the transition services agreement entered into with SeaSpine in conjunction with the spin-off and the $1.1 million gain recorded in connection with the Tornier acquisition as well as foreign exchange losses on intercompany balances. Other expenses of $0.5 million in 2014 were attributable to foreign exchange losses on intercompany balances.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2013, other expenses of $1.8 million were primarily related to a write-off of $1.5 million for a capital expenditure project not placed into service and by foreign exchange losses on intercompany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ectPr>
          <w:pgSz w:w="11900" w:h="16838" w:orient="portrait"/>
          <w:cols w:equalWidth="0" w:num="1">
            <w:col w:w="11420"/>
          </w:cols>
          <w:pgMar w:left="240" w:top="368"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68" w:right="239" w:bottom="1440" w:gutter="0" w:footer="0" w:header="0"/>
          <w:type w:val="continuous"/>
        </w:sectPr>
      </w:pPr>
    </w:p>
    <w:bookmarkStart w:id="36" w:name="page37"/>
    <w:bookmarkEnd w:id="36"/>
    <w:p>
      <w:pPr>
        <w:jc w:val="both"/>
        <w:spacing w:after="0" w:line="308" w:lineRule="auto"/>
        <w:rPr>
          <w:sz w:val="20"/>
          <w:szCs w:val="20"/>
          <w:color w:val="auto"/>
        </w:rPr>
      </w:pPr>
      <w:r>
        <w:rPr>
          <w:rFonts w:ascii="Arial" w:cs="Arial" w:eastAsia="Arial" w:hAnsi="Arial"/>
          <w:sz w:val="17"/>
          <w:szCs w:val="17"/>
          <w:color w:val="auto"/>
        </w:rPr>
        <w:t>Our effective income tax rate was 88.7%, 20.3% and (17.3)% of income before income taxes in 2015, 2014 and 2013, respectively. See Note 11, “Income Taxes,” in our consolidated financial statements for a reconciliation of the United States federal statutory rate to our effective tax rate.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our worldwide effective tax rate was primarily attributable to the Company's recognizing income tax expense of $37.2 million relating to a tax valuation allowance recorded in its continuing operations as a result of the spin-off of the spine business. The Company determined that upon spin-off, the deferred tax assets of the spine business would be unrealizable. Our full-year worldwide income increased over prior year, which combined with a shift in the jurisdictional mix of earnings in the current year, resulted in a change in our worldwide effective tax rate.</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our full-year worldwide income increased over prior year, primarily resulting from higher profits from our 2014 acquisitions of Covidien and MicroFrance. The shift in the jurisdictional mix of earnings in the current year caused a significant change in our worldwide effective tax rate. Additionally, the Company recorded a tax benefit in the fourth quarter of 2013 of $1.0 million related to the correction of a deferred tax item relating primarily to 2011, which helped lower the 2013 effective tax rate.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 including our history of generating taxable earnings, in assessing our ability to realize deferred tax assets. We estimate the range of our worldwide effective income tax rate for 2016 to be approximately 26% to 27%.</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recorded a valuation allowance of $4.9 million against the remaining $82.5 million of gross deferred tax assets recorded at December 31, 2015. This valuation allowance relates to deferred tax assets for which the Company does not believe it has satisfied the more likely than not threshold for realization. We do not anticipate additional income tax benefits through future reductions in the valuation allowance. That said, if we determine that we would be able to realize more or less than the recorded amount of net deferred tax assets, we will record an adjustment to the deferred tax asset valuation allowance in the period such a determination is made. Our deferred tax asset valuation allowance decreased $1.9 million in 2015, $0.5 million in 2014, and $4.9 million in 2013.</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we had net operating loss carryforwards of $34.4 million for federal income tax purposes, $21.7 million for foreign income tax purposes and $14.2 million for state income tax purposes to offset future taxable income. The federal net operating loss carryforwards expire through 2032, $2.9 million of the foreign net operating loss carryforwards expire through 2021 with the remaining $18.8 million having an indefinite carry forward period. The state net operating loss carryforwards expire through 2032.</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2015, we have not provided deferred U.S. income taxes or foreign withholding taxes on temporary differences of approximately $261.3 million resulting from earnings for certain non-U.S. subsidiaries which are permanently reinvested outside the U.S. The unrecognized deferred tax liability associated with these temporary differences was estimated to be $37.9 million at December 31, 2015.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680,824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596,303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521,244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103,057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99,207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85,448</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101,207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90,140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882,734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796,717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696,832</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2015, sales to our U.S. customers increased 14.2% from the prior year. We saw increases in our reconstructive, precision tools and instruments, and dural repair businesses which benefited from organic growth as well as the TEI and MicroFrance acquisitions. These gains were offset by decreases in tissue ablation and neuro critical care. European sales increased approximately 3.9% in 2015 compared to the prior year resulting primarily from increases in sales in our neurosurgery portfolio, led by dural repair and tissue ablation, as well as revenue related to our MicroFrance acquisition. Increases in revenue were offset by foreign exchange losses due to the declining value of the euro against the U.S. dollar. Sales to customers in the Rest of the World region decreased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approximately 2.3% for the year ended December 31, 2015 primarily driven by weaker neurosurgery sales, led by dural repair and tissue ablation.</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sales to our U.S. customers increased 14.4% from the prior year. We saw increases in our reconstructive and neuro critical care businesses as well from the DuraSeal acquisition. These gains were offset by decreases in instruments and lower extremities. European sales increased approximately 16.1% in 2014 compared to the prior year resulting primarily from increases in sales in our neurosurgery portfolio led by DuraSeal and tissue ablation, as well as revenue related to our MicroFrance acquisitions. Sales to customers in the Rest of the World region increased approximately 12.3% for the year ended December 31, 2014 primarily driven by strong neurosurgery sales, led by DuraSeal and tissue ablation.</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our global reach, we generate revenues and incur operating expenses in multiple foreign currencies, including euros, British pounds, Swiss francs, Canadian dollars, Japanese yen, Australian dollars, and Chinese yuan. Accordingly, we will experience currency exchange risk with respect to those foreign currency denominated revenues and operating expenses. The Company generated revenues denominated in foreign currencies of $144.5 million, $151.6 million and $125.9 million during the years ended December 31, 2015, 2014 and 2013, respectively.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Relationships with customers and effective terms of sale frequently vary by country, often with longer-term receivables than are typical in the United States.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totaling approximately $48.1 million and $71.7 million at December 31, 2015 and 2014, respectively.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determined that our existing cash, future cash to be generated from operations, and our remaining $600.0 million of borrowing capacity under our senior secured revolving credit facility at December 31, 2015, if needed, will satisfy our foreseeable working capital, debt repayment and capital expenditure requirements for at least the next twelve months.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we anticipate that our principal uses of cash will include between $35.0 million and $40.0 million on capital expenditures primarily for support and maintenance in our existing plants for facility automation, our enterprise resource planning system implementation, and additions to our instrument kits used in sales of orthopedic products.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our non-U.S. subsidiaries held approximately $36.6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4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32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106,692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58,843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(364,950)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(359,736)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258,513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242,784</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3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32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774"/>
              <w:spacing w:after="0"/>
              <w:rPr>
                <w:sz w:val="20"/>
                <w:szCs w:val="20"/>
                <w:color w:val="auto"/>
              </w:rPr>
            </w:pPr>
            <w:r>
              <w:rPr>
                <w:rFonts w:ascii="Arial" w:cs="Arial" w:eastAsia="Arial" w:hAnsi="Arial"/>
                <w:sz w:val="18"/>
                <w:szCs w:val="18"/>
                <w:color w:val="auto"/>
              </w:rPr>
              <w:t>38</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7"/>
          <w:szCs w:val="17"/>
          <w:color w:val="auto"/>
        </w:rPr>
        <w:t>In the third quarter of 2015, we sold 3.795 million shares of our common stock in a registered public offering to a select group of underwriters. The net proceeds of the offering were $219.7 million after deducting the underwriters' discounts and commissions and all other estimated offering expenses. Through December 31, 2015, we used all of the net proceeds from this offering to pay down a portion of our outstanding Senior Credit Facility balance.</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fourth quarter of 2013, we sold 4.025 million shares of our common stock in a registered public offering to a select group of underwriters. The net proceeds of the offering were $152.5 million after deducting the underwriters' discounts and commissions and all other estimated offering expenses. Through December 31, 2013, we used all of the net proceeds from this offering to pay down a portion of our outstanding Senior Credit Facility balance.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generated operating cash flows of $106.7 million, $58.8 million and $53.0 million for years ended December 31, 2015, 2014 and 2013, respectively.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cash flows in 2015 increased compared to the same period in 2014. Net income decreased compared to 2014 primarily because of the impact of the tax valuation allowance recorded in conjunction with the SeaSpine spin-off, which was a non-cash adjustment. Net income for the year adjusted for items included in net income which did not result in a change to our cash balance amounted to cash inflows of $123.6 million, compared to $99.7 million in 2014. Changes in working capital in 2015 decreased cash flows by approximately $18.5 million. Among the changes in working capital, accounts receivable used $16.2 million of cash, inventory used $3.8 million of cash, prepaid expenses and other current assets used $0.2 million of cash, and accounts payable, accrued expenses and other current liabilities provided $1.6 million of cash.</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for 2014 benefited from an increase in net income of $14.3 million compared to 2013. Net income for the year adjusted for items included in net income which did not result in a change to our cash balance amounted to cash inflows of $99.7 million compared to $72.3 million in 2013. Changes in working capital decreased cash flows by approximately $25.5 million. Among the changes in working capital, accounts receivable used $17.1 million of cash, inventory used $24.1 million of cash, prepaid expenses and other current assets provided $16.5 million of cash, and accounts payable, accrued expenses and other current liabilities used $1.9 million of cash.</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year ended December 31, 2013, plus items included in those earnings that did not result in a change to our cash balance, amounted to $72.3 million. In 2013, the impact of net working capital items on operating cash flows was a decrease of $22.3 million. Accounts receivable provided $1.0 million of cash, prepaid expenses and other current assets provided $2.0 million of cash, and accounts payable, accrued expenses, and other current liabilities provided $1.3 million of cash. Inventory used $27.4 million of cash.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we paid $33.4 million in cash for capital expenditures, most of which was directed to the expansion of our collagen manufacturing center and ERP implementation. We also paid an aggregate of $328.9 million for the acquisition of TEI, Salto and Futura product lines, and Tekmed. We transferred $4.1 million to a restricted cash account to support our European cash pool activities.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2014, we paid $38.3 million in cash for capital expenditures, most of which was directed to the expansion of our collagen manufacturing center and our ERP system implementation. We also paid $320.9 million in cash for the acquisition of Confluent Surgical, MicroFrance, and Metasurg.</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2013, we paid $42.3 million in cash for capital expenditures, most of which was directed to the expansion and remediation of our collagen manufacturing center and implementation of our ERP system. We also paid $3.0 million in cash for the acquisition of Tarsus Medical,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principal sources of cash from financing activities in the year ended December 31, 2015 were from $219.7 million of net proceeds from the issuance of 3.795 million shares of common stock in the third quarter, $545.0 million of borrowings under our Senior Credit Facility, and $7.3 million in proceeds from stock option exercises and the tax impact of stock-based compensation, offset by $465.6 million in repayments under our Senior Credit Facility.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in the year ended December 31, 2014 were from $425.0 million of borrowings under our Senior Credit Facility primarily to fund the Confluent Surgical acquisition, borrowing $150.0 million under the term loan portion of our Senior Credit Facility in connection with the July 2014 refinancing, and $15.2 million in proceeds from stock option exercises and the tax impact of stock-based compensation, offset by $195.0 million of repayments under our Senior Credit Facility and $3.2 million in debt issuance costs related to our Amended and Restated Senior Credit Facility entered into in July 2014.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2013 were from $152.5 million of net proceeds from the issuance of 4.025 million shares of common stock in the fourth quarter, $30.0 million borrowings under our Senior Credit Facility, and $2.3 million in proceeds from stock option exercises and the tax impact of stock-based compensation, offset by $165.0 million repayments under our Senior Credit Facility and capitalized cost related to the amendment of our Senior Credit Facility of $1.1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and December 31, 2014, working capital was $299.4 million and $403.3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Debt Maturities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1.625% senior convertible notes mature in 2016. The Company may attempt to refinance, extend, or use available borrowing capacity under the Senior Credit Facility to settle this obligation within the next 12 months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 The Company considers the balance to be long term in nature based on its current intent and ability to refinance the borrowing within the next twelve-month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2015, the Company entered into a second amendment (the "Second Amendment") to that certain Third Amended and Restated Credit Agreement, dated as of July 2, 2014 among the Company, a syndicate of lending banks, Bank of America, N.A., as Administrative Agent, Swing Line Lender and L/C Issuer, Wells Fargo Bank, National Association, as Syndication Agent, and HSBC Bank USA, National Association, Royal Bank of Canada, Citizens Bank, National Association, DNB Capital LLC, Crédit Agricole-Corporate and Investment Bank, and TD Bank, N.A., as Co-Documentation Agents.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Second Amendment creates an aggregate principal amount of up to $1.1 billion available to the Company through the following facilities:</w:t>
      </w:r>
    </w:p>
    <w:p>
      <w:pPr>
        <w:spacing w:after="0" w:line="90"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$750.0 million revolving credit facility which includes a $60.0 million sublimit for the issuance of standby letters of credit and a $60.0 million sublimit for swingline loans,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$350.0 million term loan facility.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Second Amendment, the Company borrowed $200.0 million of incremental term loans as permitted under the original terms of the Senior Credit Facility to repay a portion of the Company's outstanding revolving loans. Additionally, the Second Amendment (i) enables the Company to incur up to $200.0 million of incremental loans in the future and (ii) modifies the consolidated leverage ratio covenant in the Credit Agreement. The July 2014 amended and restated Senior Credit Facility extended the maturity date of the prior facility from June 8, 2016 to July 2,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2015 the Company was in compliance with all such covenants. The Company capitalized $1.4 million and $3.2 million of incremental financing costs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in 2015 and 2014, respectively, in connection with the modifications of the Senior Credit Facility and expensed $0.3 million in 2014 of previously capitalized financing costs. No previously capitalized financing costs were expensed in 2015 related to the modification.</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plan to utilize the Senior Credit Facility for working capital, capital expenditures, acquisitions, debt repayments and other general corporate purposes. At December 31, 2015 and 2014, there was $150.0 million and $266.9 million outstanding, respectively, under the revolving portion of the Senior Credit Facility at a weighted average interest rate of 1.9% and 1.7%, respectively. The Company considers the balance to be long-term in nature based on its current intent and ability to repay the borrowing outside the next twelve-month period. At December 31, 2015 and 2014 there was $346.2 million and $150.0 million, respectively, outstanding under the term loan component of the Senior Credit Facility at a weighted average interest rate of 1.8% and 1.7%, respectively. Contractual repayments of the term loan began in September 2015. We classify as short-term those repayments that are due within twelve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there was approximately $600.0 million available for borrowing under the Senior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which includes the planned spin-off of the spine business. The issue price of the 2016 Notes was equal to their face amounts,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note holders provided notice to convert 2,903 notes. During the twelve months ended December 31, 2015, the Company paid $2.9 million in cash and issued 8,457 shares to settle the obligation to the note holders that converted. As a result of the spin-off and pursuant to the indenture for the Company's 2016 Notes, the initial conversion price and rate was adjusted effective July 1, 2015. The conversion price on the 2016 Notes has been adjusted to $52.83 per share and the new conversion rate is 18.9287 shares per $1,000 principal amount of 2016 Notes.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subject to anti-dilution adjustments substantially similar to those in the 2016 Notes. The initial strike price of the warrant transactions is approximately $70.05 for the 2016 Notes, subject to customary anti-dilution adjustments. The strike price of the call transactions and warrant transactions has been adjusted similarly to the 2016 Notes as a result of the spin-off to $52.83 per share and $64.43 per share, respectively.</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 with respect to the number of 2016 Notes that cease to be outstanding. The amounts involved may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 We repurchased no shares under this program through December 31, 2015 and $75.0 million remains available under the authorization.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we were obligated to pay the following amounts under the following agreements: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Credit Facility(2) - Revolver</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 - 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Interest(3)</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807.6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500" w:right="40" w:hanging="465"/>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our consolidated financial statements for additional information.</w:t>
      </w:r>
    </w:p>
    <w:p>
      <w:pPr>
        <w:spacing w:after="0" w:line="154"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 term based on its current intent and ability to repay the borrowing outside the next twelve-month period.</w:t>
      </w:r>
    </w:p>
    <w:p>
      <w:pPr>
        <w:spacing w:after="0" w:line="359"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spacing w:after="0" w:line="143" w:lineRule="exact"/>
        <w:rPr>
          <w:rFonts w:ascii="Arial" w:cs="Arial" w:eastAsia="Arial" w:hAnsi="Arial"/>
          <w:sz w:val="18"/>
          <w:szCs w:val="18"/>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Excluded from the contractual obligations table is the liability for uncertain tax benefits, including interest and penalties, totaling $1.1 million. We also have excluded contingent consideration resulting from certain acquisitions, which total $21.8 million. These liabilities for uncertain tax benefits and contingent consideration have been excluded because we cannot make a reliable estimate of the period in which the uncertain tax benefits or contingent consideration may be realized.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The purchase price of each acquisition is allocated to the net assets acquired based on estimates of their fair values at the date of the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Contingent consideration is recognized at the estimated fair value on the acquisition date.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2015, we revised our reportable segments in connection with the realignment of our portfolio. Specifically, we integrated the five existing business divisions into three global divisions, no longer focusing on international as a separate reportable segment but managing each business globally. The change in reportable segments resulted in our requirement to reallocate existing goodwill to the new reportable segments based on the relative fair value of the four underlying reporting units: Specialty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 xml:space="preserve">Surgical Solutions Instruments, Specialty Surgical Solutions Neurosurgery, Spine, and Orthopedics and Tissue Technologies. Refer to Note 15 </w:t>
      </w:r>
      <w:r>
        <w:rPr>
          <w:rFonts w:ascii="Arial" w:cs="Arial" w:eastAsia="Arial" w:hAnsi="Arial"/>
          <w:sz w:val="17"/>
          <w:szCs w:val="17"/>
          <w:i w:val="1"/>
          <w:iCs w:val="1"/>
          <w:color w:val="auto"/>
        </w:rPr>
        <w:t>- Segment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Geographic Information </w:t>
      </w:r>
      <w:r>
        <w:rPr>
          <w:rFonts w:ascii="Arial" w:cs="Arial" w:eastAsia="Arial" w:hAnsi="Arial"/>
          <w:sz w:val="17"/>
          <w:szCs w:val="17"/>
          <w:color w:val="auto"/>
        </w:rPr>
        <w:t>for more information on the change in reportable segments. With the reportable segments now being managed at a global level,</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previously assigned to the EMEA, LAPAC, and Private Label reporting units was reallocated to the new reporting units. We estimated the fair value of the four reporting units using a discounted cash flow model, which incorporates significant estimates and assumptions made by management which, by their nature, are characterized by uncertainty. Inputs used to fair value our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43"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our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projected terminal value for the reporting unit, which represents the present value of projected cash flows beyond the last period in the discounted cash flow analysis. The terminal value reflects our assumptions related to long-term growth rates and profitability, which are based on several factors, including local and macroeconomic variables, market opportunities, and future growth plans.</w:t>
      </w:r>
    </w:p>
    <w:p>
      <w:pPr>
        <w:spacing w:after="0" w:line="46"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discount rate used to measure the present value of the projected future cash flows is set using a weighted-average cost of capital method that considers market and industry data as well as our specific risk factors that are likely to be considered by a market participant. The weighted-average cost of capital is our estimate of the overall after-tax rate of return required by equity and debt holders of a business enterprise.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Given the excess of the Specialty Surgical Solutions Instruments, Specialty Surgical Solutions Neurosurgery, and Orthopedics and Tissue Technologies estimated fair values over their carrying values after the reallocation of goodwill, no impairment was recognized. The goodwill assigned to the Spine reporting unit was impaired during the first quarter of 2015 and the impairment has been presented in the Company's discontinued operations.</w:t>
      </w:r>
    </w:p>
    <w:p>
      <w:pPr>
        <w:spacing w:after="0" w:line="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goodwill impairment testing performed in conjunction with the change in reportable segments, we performed our annual goodwill impairment test as of July 31, 2015. In reviewing goodwill for impairment, we have the option - for any or all of our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we elect to perform a qualitative assessment and determine that an impairment is more likely than not, we are then required to perform the two-step quantitative impairment test, otherwise no further analysis is required. We also may elect not to perform the qualitative assessment and, instead, proceed directly to step one of the two-step quantitative impairment test. The ultimate outcome of the goodwill impairment review for a reporting unit should be the same whether we choose to perform the qualitative assessment or proceeds directly to the two-step quantitative impairment test.</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July 1, 2015, we completed the separation of our spine business, which also represented a reporting unit. See Note 3 -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for additional information. Following the separation, we have three remaining underlying reporting units. We elected to perform a two-step quantitative analysis for our three reporting units as of July 31, 2015. To derive the fair value of the reporting units, we utilized a discounted cash flow model and inputs and assumptions that were similar to our discounted cash flow model performed in the reallocation of goodwill. We determined, after performing the Step-1 fair value analysis, that the reporting units' fair value was in excess of their carrying value; therefore, it was not necessary to proceed to Step-2 of the goodwill impairment test for Specialty Surgical Solutions Instruments, Specialty Surgical Solutions Neurosurgery, and Orthopedics and Tissue Technologies.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Identifiable Intangible Assets and In-Process Research and Development Charges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including IPR&amp;D,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useful life. If the R&amp;D project is subsequently abandoned, the indefinite-lived intangible asset is charged to expense. IPR&amp;D acquired outside of a business combination is expensed immediately.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associated with R&amp;D projects, there is risk that actual results will differ materially from the original cash flow projections and that the R&amp;D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2015, we did not have any outstanding derivative instruments requiring fair value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and our foreign earnings are taxed at rates that are generally lower than in the United States. See Note 11, </w:t>
      </w:r>
      <w:r>
        <w:rPr>
          <w:rFonts w:ascii="Arial" w:cs="Arial" w:eastAsia="Arial" w:hAnsi="Arial"/>
          <w:sz w:val="17"/>
          <w:szCs w:val="17"/>
          <w:i w:val="1"/>
          <w:iCs w:val="1"/>
          <w:color w:val="auto"/>
        </w:rPr>
        <w:t>Income Taxes</w:t>
      </w:r>
      <w:r>
        <w:rPr>
          <w:rFonts w:ascii="Arial" w:cs="Arial" w:eastAsia="Arial" w:hAnsi="Arial"/>
          <w:sz w:val="17"/>
          <w:szCs w:val="17"/>
          <w:color w:val="auto"/>
        </w:rPr>
        <w:t>, in our consolidated financial statements for disclosures related to foreign and domestic pretax income, foreign and domestic income tax expense (benefit) and the effect foreign taxes have on our overall effective tax rate.</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16" w:lineRule="exact"/>
        <w:rPr>
          <w:sz w:val="20"/>
          <w:szCs w:val="20"/>
          <w:color w:val="auto"/>
        </w:rPr>
      </w:pPr>
    </w:p>
    <w:p>
      <w:pPr>
        <w:ind w:right="200"/>
        <w:spacing w:after="0" w:line="438" w:lineRule="auto"/>
        <w:rPr>
          <w:sz w:val="20"/>
          <w:szCs w:val="20"/>
          <w:color w:val="auto"/>
        </w:rPr>
      </w:pPr>
      <w:r>
        <w:rPr>
          <w:rFonts w:ascii="Arial" w:cs="Arial" w:eastAsia="Arial" w:hAnsi="Arial"/>
          <w:sz w:val="18"/>
          <w:szCs w:val="18"/>
          <w:color w:val="auto"/>
        </w:rPr>
        <w:t xml:space="preserve">Our policy is to provide income taxes on earnings of certain foreign subsidiaries only to the extent those earnings are taxable or are expected to be remitted. </w:t>
      </w:r>
      <w:r>
        <w:rPr>
          <w:rFonts w:ascii="Arial" w:cs="Arial" w:eastAsia="Arial" w:hAnsi="Arial"/>
          <w:sz w:val="18"/>
          <w:szCs w:val="18"/>
          <w:b w:val="1"/>
          <w:bCs w:val="1"/>
          <w:i w:val="1"/>
          <w:iCs w:val="1"/>
          <w:color w:val="auto"/>
        </w:rPr>
        <w:t>Loss Contingencies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The new guidance is effective for Integra prospectively for all disposals (or classifications as held for sale) of components of an entity that occur after January 1, 2015. The spin-off of the spine business by the Company on July 1, 2015 met the definition of a discontinued operation under the new guidance and, as a result, the Company reflected the provisions of the new guidance in its third quarter 2015 results.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In July 2015, the FASB deferred for one year the effective date of the new revenue standard, but early adoption will be permitted as of January 1, 2017. The new standard will be effective for the Company on January 1, 2018. The Company is in the process of evaluating the impact of this standard on its financial statements.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2014, the FASB issued Update No. 2014-12, </w:t>
      </w:r>
      <w:r>
        <w:rPr>
          <w:rFonts w:ascii="Arial" w:cs="Arial" w:eastAsia="Arial" w:hAnsi="Arial"/>
          <w:sz w:val="16"/>
          <w:szCs w:val="16"/>
          <w:i w:val="1"/>
          <w:iCs w:val="1"/>
          <w:color w:val="auto"/>
        </w:rPr>
        <w:t>Accounting for Share-Based Payments When the Terms of an Award Provide That a Performance Target</w:t>
      </w:r>
      <w:r>
        <w:rPr>
          <w:rFonts w:ascii="Arial" w:cs="Arial" w:eastAsia="Arial" w:hAnsi="Arial"/>
          <w:sz w:val="16"/>
          <w:szCs w:val="16"/>
          <w:color w:val="auto"/>
        </w:rPr>
        <w:t xml:space="preserve"> </w:t>
      </w:r>
      <w:r>
        <w:rPr>
          <w:rFonts w:ascii="Arial" w:cs="Arial" w:eastAsia="Arial" w:hAnsi="Arial"/>
          <w:sz w:val="16"/>
          <w:szCs w:val="16"/>
          <w:i w:val="1"/>
          <w:iCs w:val="1"/>
          <w:color w:val="auto"/>
        </w:rPr>
        <w:t>Could Be Achieved after the Requisite Service Period (Topic 718)</w:t>
      </w:r>
      <w:r>
        <w:rPr>
          <w:rFonts w:ascii="Arial" w:cs="Arial" w:eastAsia="Arial" w:hAnsi="Arial"/>
          <w:sz w:val="16"/>
          <w:szCs w:val="16"/>
          <w:color w:val="auto"/>
        </w:rPr>
        <w:t>. The amendments require that a performance target that affects vesting and that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the Company's consolidated financial position or results of operations.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2014, the FASB issued Update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6" w:name="page47"/>
    <w:bookmarkEnd w:id="46"/>
    <w:p>
      <w:pPr>
        <w:jc w:val="both"/>
        <w:spacing w:after="0" w:line="297" w:lineRule="auto"/>
        <w:rPr>
          <w:sz w:val="20"/>
          <w:szCs w:val="20"/>
          <w:color w:val="auto"/>
        </w:rPr>
      </w:pPr>
      <w:r>
        <w:rPr>
          <w:rFonts w:ascii="Arial" w:cs="Arial" w:eastAsia="Arial" w:hAnsi="Arial"/>
          <w:sz w:val="16"/>
          <w:szCs w:val="16"/>
          <w:color w:val="auto"/>
        </w:rPr>
        <w:t xml:space="preserve">In April 2015, the FASB issued Update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amendment requires that all costs incurred to issue debt be presented in the balance sheet as a direct deduction from the carrying value of the debt. The new standard is limited to the presentation of debt issuance costs and does not affect the recognition or measurement of debt issuance costs. This update will become effective for all annual periods and interim reporting periods beginning after December 15, 2015. The implementation of the amended guidance is not expected to have a material impact on the consolidated results of operations and will result in a reclassification of the debt issuance costs from other long-term assets to long-term debt when adopted.</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2015, the FASB issued Update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2015, the FASB issued Update No. 2015-15,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The amendment requires entities to present debt issuance costs related to a recognized debt liability as a direct deduction from the carrying amount of that debt liability.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would not object to an entity's deferring and presenting debt issuance costs as an asset and subsequently amortizing the deferred debt issuance costs ratably over the term of the line-of-credit arrangement, regardless of whether there are any outstanding borrowings on the line-of-credit arrangement. This update will become effective for all annual periods and interim reporting periods beginning after December 15, 2015. The implementation of the amended guidance is not expected to have a material impact on the consolidated financial position or results of operations.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September 2015, the FASB issued Update No.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will become effective for all annual periods and interim reporting periods beginning after December 15, 2015. The new standard must be applied prospectively to adjustments to provisional amounts that occur after the effective date. Early application is permitted for financial statements that have not been issued. The implementation of the amended guidance is not expected to have a material impact on the consolidated results of operations or disclosures in the financial statements.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2015, the FASB issued Update No. 2015-17, </w:t>
      </w:r>
      <w:r>
        <w:rPr>
          <w:rFonts w:ascii="Arial" w:cs="Arial" w:eastAsia="Arial" w:hAnsi="Arial"/>
          <w:sz w:val="18"/>
          <w:szCs w:val="18"/>
          <w:i w:val="1"/>
          <w:iCs w:val="1"/>
          <w:color w:val="auto"/>
        </w:rPr>
        <w:t>Income Taxes (Topic 740)</w:t>
      </w:r>
      <w:r>
        <w:rPr>
          <w:rFonts w:ascii="Arial" w:cs="Arial" w:eastAsia="Arial" w:hAnsi="Arial"/>
          <w:sz w:val="18"/>
          <w:szCs w:val="18"/>
          <w:color w:val="auto"/>
        </w:rPr>
        <w:t>. Under current accounting guidance an entity is required to separate deferred income tax liabilities and assets into current and non-current amounts in a classified statement of financial position. The amendment requires that an entity present all deferred tax assets and liabilities as non-current in a classified statement of financial position. This update will become effective for all annual periods and interim reporting periods beginning after December 15, 2016. The Company adopted this guidance effective December 31, 2015 on a prospective basis. As a result, the Company has not retrospectively adjusted the balance sheet classification and presentation for the deferred tax assets and liabilities for years prior to 2015.</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Japanese yen,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contracts that qualify as cash flow hedges in other comprehensive income, and then recognize them in other income or expense when the hedged item affects net earnings.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At December 31, 2015 and 2014, the Company had no foreign currency forward contracts outstanding.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December 31, 2015 would increase interest income by approximately $0.5 million on an annual basis.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Senior Credit Facility </w:t>
      </w:r>
      <w:r>
        <w:rPr>
          <w:rFonts w:ascii="Arial" w:cs="Arial" w:eastAsia="Arial" w:hAnsi="Arial"/>
          <w:sz w:val="18"/>
          <w:szCs w:val="18"/>
          <w:color w:val="auto"/>
        </w:rPr>
        <w:t>- Our interest rate risk relates primarily to U.S. dollar LIBOR-indexed borrowings. We have used an interest rate swap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manage our earnings and cash flow exposure to changes in interest rates. This interest rate swap fixed the interest rate on a portion of our expected LIBOR-indexed floating-rate borrowings beginning on December 31, 2010. The interest rate swap expired in August 2015. We recognized $0.9 million of additional interest expense related to this derivative during the year-ended December 31, 2015.</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outstanding borrowings at December 31, 2015, a one-percentage point change in interest rates would have impacted interest expense on the unhedged portion of the debt by $5.0 million on an annualized basis.</w:t>
      </w:r>
    </w:p>
    <w:p>
      <w:pPr>
        <w:spacing w:after="0" w:line="22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 thereon of PricewaterhouseCoopers LLP, are presented following Item 15 of this report.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15, “Selected Quarterly Information — Unaudited,” to our consolidated financial statements.</w:t>
      </w:r>
    </w:p>
    <w:p>
      <w:pPr>
        <w:spacing w:after="0" w:line="302" w:lineRule="exact"/>
        <w:rPr>
          <w:sz w:val="20"/>
          <w:szCs w:val="20"/>
          <w:color w:val="auto"/>
        </w:rPr>
      </w:pPr>
    </w:p>
    <w:p>
      <w:pPr>
        <w:ind w:right="1080"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8" w:name="page49"/>
    <w:bookmarkEnd w:id="48"/>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2015. Based upon this evaluation, our principal executive officer and principal financial officer concluded that our disclosure controls and procedures were effective as of December 31, 2015 to provide such reasonable assurance.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2015. We excluded TEI from our assessment of internal control over financial reporting as of December 31, 2015 because it was acquired by the Company in a purchase business combination during 2015. The total assets and total revenues of TEI, a wholly-owned subsidiary, represents 1.8% and 3.2%, respectively, of the related consolidated financial statement amounts as of and for the year ended December 31, 2015.</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PricewaterhouseCoopers LLP, an independent registered public accounting firm, as stated in their report which appears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December 31, 2015 that have materially affected, or are reasonably likely to materially affect, our internal control over financial reporting.</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24, 2016,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34" w:right="239" w:bottom="1440" w:gutter="0" w:footer="0" w:header="0"/>
        </w:sectPr>
      </w:pPr>
    </w:p>
    <w:bookmarkStart w:id="49" w:name="page50"/>
    <w:bookmarkEnd w:id="49"/>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right="8280" w:firstLine="8"/>
        <w:spacing w:after="0" w:line="438"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500" w:type="dxa"/>
            <w:vAlign w:val="bottom"/>
          </w:tcPr>
          <w:p>
            <w:pPr>
              <w:ind w:left="1160"/>
              <w:spacing w:after="0"/>
              <w:rPr>
                <w:sz w:val="20"/>
                <w:szCs w:val="20"/>
                <w:color w:val="auto"/>
              </w:rPr>
            </w:pPr>
            <w:r>
              <w:rPr>
                <w:rFonts w:ascii="Arial" w:cs="Arial" w:eastAsia="Arial" w:hAnsi="Arial"/>
                <w:sz w:val="18"/>
                <w:szCs w:val="18"/>
                <w:color w:val="0000FF"/>
              </w:rPr>
              <w:t>F-1</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Operations for the years ended December 31, 2015, 2014 and 2013</w:t>
            </w:r>
          </w:p>
        </w:tc>
        <w:tc>
          <w:tcPr>
            <w:tcW w:w="1500" w:type="dxa"/>
            <w:vAlign w:val="bottom"/>
          </w:tcPr>
          <w:p>
            <w:pPr>
              <w:ind w:left="1160"/>
              <w:spacing w:after="0"/>
              <w:rPr>
                <w:sz w:val="20"/>
                <w:szCs w:val="20"/>
                <w:color w:val="auto"/>
              </w:rPr>
            </w:pPr>
            <w:r>
              <w:rPr>
                <w:rFonts w:ascii="Arial" w:cs="Arial" w:eastAsia="Arial" w:hAnsi="Arial"/>
                <w:sz w:val="18"/>
                <w:szCs w:val="18"/>
                <w:color w:val="0000FF"/>
              </w:rPr>
              <w:t>F-2</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2015, 2014 and 2013</w:t>
            </w:r>
          </w:p>
        </w:tc>
        <w:tc>
          <w:tcPr>
            <w:tcW w:w="1500" w:type="dxa"/>
            <w:vAlign w:val="bottom"/>
          </w:tcPr>
          <w:p>
            <w:pPr>
              <w:ind w:left="1160"/>
              <w:spacing w:after="0"/>
              <w:rPr>
                <w:sz w:val="20"/>
                <w:szCs w:val="20"/>
                <w:color w:val="auto"/>
              </w:rPr>
            </w:pPr>
            <w:r>
              <w:rPr>
                <w:rFonts w:ascii="Arial" w:cs="Arial" w:eastAsia="Arial" w:hAnsi="Arial"/>
                <w:sz w:val="18"/>
                <w:szCs w:val="18"/>
                <w:color w:val="0000FF"/>
              </w:rPr>
              <w:t>F-3</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Balance Sheets as of December 31, 2014 and 2015</w:t>
            </w:r>
          </w:p>
        </w:tc>
        <w:tc>
          <w:tcPr>
            <w:tcW w:w="1500" w:type="dxa"/>
            <w:vAlign w:val="bottom"/>
          </w:tcPr>
          <w:p>
            <w:pPr>
              <w:ind w:left="1160"/>
              <w:spacing w:after="0"/>
              <w:rPr>
                <w:sz w:val="20"/>
                <w:szCs w:val="20"/>
                <w:color w:val="auto"/>
              </w:rPr>
            </w:pPr>
            <w:r>
              <w:rPr>
                <w:rFonts w:ascii="Arial" w:cs="Arial" w:eastAsia="Arial" w:hAnsi="Arial"/>
                <w:sz w:val="18"/>
                <w:szCs w:val="18"/>
                <w:color w:val="0000FF"/>
              </w:rPr>
              <w:t>F-4</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December 31, 2015, 2014 and 2013</w:t>
            </w:r>
          </w:p>
        </w:tc>
        <w:tc>
          <w:tcPr>
            <w:tcW w:w="1500" w:type="dxa"/>
            <w:vAlign w:val="bottom"/>
          </w:tcPr>
          <w:p>
            <w:pPr>
              <w:ind w:left="1160"/>
              <w:spacing w:after="0"/>
              <w:rPr>
                <w:sz w:val="20"/>
                <w:szCs w:val="20"/>
                <w:color w:val="auto"/>
              </w:rPr>
            </w:pPr>
            <w:r>
              <w:rPr>
                <w:rFonts w:ascii="Arial" w:cs="Arial" w:eastAsia="Arial" w:hAnsi="Arial"/>
                <w:sz w:val="18"/>
                <w:szCs w:val="18"/>
                <w:color w:val="0000FF"/>
              </w:rPr>
              <w:t>F-5</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2015, 2014 and 2013</w:t>
            </w:r>
          </w:p>
        </w:tc>
        <w:tc>
          <w:tcPr>
            <w:tcW w:w="1500" w:type="dxa"/>
            <w:vAlign w:val="bottom"/>
          </w:tcPr>
          <w:p>
            <w:pPr>
              <w:ind w:left="1160"/>
              <w:spacing w:after="0"/>
              <w:rPr>
                <w:sz w:val="20"/>
                <w:szCs w:val="20"/>
                <w:color w:val="auto"/>
              </w:rPr>
            </w:pPr>
            <w:r>
              <w:rPr>
                <w:rFonts w:ascii="Arial" w:cs="Arial" w:eastAsia="Arial" w:hAnsi="Arial"/>
                <w:sz w:val="18"/>
                <w:szCs w:val="18"/>
                <w:color w:val="0000FF"/>
              </w:rPr>
              <w:t>F-6</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1500" w:type="dxa"/>
            <w:vAlign w:val="bottom"/>
          </w:tcPr>
          <w:p>
            <w:pPr>
              <w:ind w:left="1160"/>
              <w:spacing w:after="0"/>
              <w:rPr>
                <w:sz w:val="20"/>
                <w:szCs w:val="20"/>
                <w:color w:val="auto"/>
              </w:rPr>
            </w:pPr>
            <w:r>
              <w:rPr>
                <w:rFonts w:ascii="Arial" w:cs="Arial" w:eastAsia="Arial" w:hAnsi="Arial"/>
                <w:sz w:val="18"/>
                <w:szCs w:val="18"/>
                <w:color w:val="0000FF"/>
              </w:rPr>
              <w:t>F-7</w:t>
            </w:r>
          </w:p>
        </w:tc>
      </w:tr>
      <w:tr>
        <w:trPr>
          <w:trHeight w:val="608"/>
        </w:trPr>
        <w:tc>
          <w:tcPr>
            <w:tcW w:w="9580" w:type="dxa"/>
            <w:vAlign w:val="bottom"/>
          </w:tcPr>
          <w:p>
            <w:pPr>
              <w:spacing w:after="0"/>
              <w:rPr>
                <w:sz w:val="20"/>
                <w:szCs w:val="20"/>
                <w:color w:val="auto"/>
              </w:rPr>
            </w:pPr>
            <w:r>
              <w:rPr>
                <w:rFonts w:ascii="Arial" w:cs="Arial" w:eastAsia="Arial" w:hAnsi="Arial"/>
                <w:sz w:val="18"/>
                <w:szCs w:val="18"/>
                <w:b w:val="1"/>
                <w:bCs w:val="1"/>
                <w:i w:val="1"/>
                <w:iCs w:val="1"/>
                <w:color w:val="auto"/>
              </w:rPr>
              <w:t>2. Financial Statement Schedules.</w:t>
            </w:r>
          </w:p>
        </w:tc>
        <w:tc>
          <w:tcPr>
            <w:tcW w:w="1500" w:type="dxa"/>
            <w:vAlign w:val="bottom"/>
          </w:tcPr>
          <w:p>
            <w:pPr>
              <w:spacing w:after="0"/>
              <w:rPr>
                <w:sz w:val="24"/>
                <w:szCs w:val="24"/>
                <w:color w:val="auto"/>
              </w:rPr>
            </w:pPr>
          </w:p>
        </w:tc>
      </w:tr>
      <w:tr>
        <w:trPr>
          <w:trHeight w:val="540"/>
        </w:trPr>
        <w:tc>
          <w:tcPr>
            <w:tcW w:w="9580" w:type="dxa"/>
            <w:vAlign w:val="bottom"/>
          </w:tcPr>
          <w:p>
            <w:pPr>
              <w:spacing w:after="0"/>
              <w:rPr>
                <w:sz w:val="20"/>
                <w:szCs w:val="20"/>
                <w:color w:val="auto"/>
              </w:rPr>
            </w:pPr>
            <w:r>
              <w:rPr>
                <w:rFonts w:ascii="Arial" w:cs="Arial" w:eastAsia="Arial" w:hAnsi="Arial"/>
                <w:sz w:val="18"/>
                <w:szCs w:val="18"/>
                <w:color w:val="0000FF"/>
              </w:rPr>
              <w:t>Schedule II — Valuation and Qualifying Accounts</w:t>
            </w:r>
          </w:p>
        </w:tc>
        <w:tc>
          <w:tcPr>
            <w:tcW w:w="1500" w:type="dxa"/>
            <w:vAlign w:val="bottom"/>
          </w:tcPr>
          <w:p>
            <w:pPr>
              <w:ind w:left="1160"/>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106">
              <w:r>
                <w:rPr>
                  <w:rFonts w:ascii="Arial" w:cs="Arial" w:eastAsia="Arial" w:hAnsi="Arial"/>
                  <w:sz w:val="18"/>
                  <w:szCs w:val="18"/>
                  <w:color w:val="0000FF"/>
                  <w:w w:val="86"/>
                </w:rPr>
                <w:t>43</w:t>
              </w:r>
            </w:hyperlink>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Stock Purchase Agreement, dated as of October 25, 2013, by and between Covidien Group S.A.R.L. and Integra LifeSciences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Corporation (Incorporated by Reference to Exhibit 10.1 to the Company’s Current Report on Form 8-K filed on January 15,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2.2</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Stock and Asset Purchase Agreement by and among Medtronic, Inc., Medtronic Xomed Instrumentation, SAS, and Integra LifeSciences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Corporation, dated as of September 12, 2014 (Incorporated by reference to Exhibit 2.1 to the Company's Current Report on Form 8-K</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filed on October 27,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10460" w:type="dxa"/>
            <w:vAlign w:val="bottom"/>
          </w:tcPr>
          <w:p>
            <w:pPr>
              <w:ind w:left="480"/>
              <w:spacing w:after="0"/>
              <w:rPr>
                <w:sz w:val="20"/>
                <w:szCs w:val="20"/>
                <w:color w:val="auto"/>
              </w:rPr>
            </w:pPr>
            <w:r>
              <w:rPr>
                <w:rFonts w:ascii="Arial" w:cs="Arial" w:eastAsia="Arial" w:hAnsi="Arial"/>
                <w:sz w:val="18"/>
                <w:szCs w:val="18"/>
                <w:color w:val="auto"/>
                <w:w w:val="90"/>
              </w:rPr>
              <w:t>Separation and Distribution Agreement between Integra LifeSciences Holdings Corporation and SeaSpine Holdings Corporation, dated as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of June 30, 2015 (Incorporated by reference to Exhibit 2.1 to the Company’s Current Report on Form 8-K filed on July 7,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2.4</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Agreement and Plan of Merger by and among Integra LifeSciences Corporation, Patriot S1, Inc., TEI Biosciences Inc. and Dr. Yiannis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Monovoukas, dated as of June 26, 2015 (Incorporated by reference to Exhibit 2.1 to the Company's Current Report on Form 8-K filed 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July 20,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2.5</w:t>
            </w: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Agreement and Plan of Merger by and among Integra LifeSciences Corporation, Patriot S2, Inc., TEI Medical Inc. and Dr. Yiannis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Monovoukas, dated as of June 26, 2015 (Incorporated by reference to Exhibit 2.2 to the Company's Current Report on Form 8-K filed 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July 20,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Amended and Restated Certificate of Incorporation of the Company dated February 16, 1993 (Incorporated by reference to Exhibit 3.1(a)</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the 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Certificate of Amendment to Amended and Restated Certificate of Incorporation of the Company dated May 22, 1998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648"/>
        </w:trPr>
        <w:tc>
          <w:tcPr>
            <w:tcW w:w="90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00"/>
          </w:cols>
          <w:pgMar w:left="240" w:top="1094" w:right="25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3.1(c)</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Certificate of Amendment to Amended and Restated Certificate of Incorporation of the Company dated May 17, 1999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Amended and Restated Bylaws of the Company, effective as of May 17, 2012 (Incorporated by reference to Exhibit 3.2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Purchase Agreement, dated June 9, 2011, by and between Integra LifeSciences Holdings Corporation and J.P. Morgan Securities LLC,</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Merrill Lynch, Pierce, Fenner &amp; Smith Incorporated, Morgan Stanley &amp; Co. LLC, Deutsche Bank Securities Inc., RBC Capital Markets,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LLC and Wells Fargo Securities, LLC (Incorporated by reference to Exhibit 4.1 to the Company’s Current Report on Form 8-K filed 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as trustee (Incorporated by reference to Exhibit 4.2 to the Company’s Current Report on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4.3(a)</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Credit Agreement, dated as of December 22, 2005,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Exhibit 10.1 to the Company’s Current Report on Form 8-K filed on December 29,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4.3(b)</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First Amendment, dated as of February 15, 2006,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Exhibit 4.3(b) to the 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4.3(c)</w:t>
            </w:r>
          </w:p>
        </w:tc>
        <w:tc>
          <w:tcPr>
            <w:tcW w:w="104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February 23,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Exhibit 4.1 to the Company’s Current Report on Form 8-K filed on February 27,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4.3(d)</w:t>
            </w: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Third Amendment, dated as of June 4,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Syndication Agent and JPMorgan Chase Bank, N.A., Deutsche Bank Trust Company Americas and Royal Bank of Canada, as Co-</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Documentation Agents (Incorporated by reference to Exhibit 4.1 to the Company’s Current Report on Form 8-K filed on June 6,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4.3(e)</w:t>
            </w:r>
          </w:p>
        </w:tc>
        <w:tc>
          <w:tcPr>
            <w:tcW w:w="10460" w:type="dxa"/>
            <w:vAlign w:val="bottom"/>
          </w:tcPr>
          <w:p>
            <w:pPr>
              <w:ind w:left="480"/>
              <w:spacing w:after="0"/>
              <w:rPr>
                <w:sz w:val="20"/>
                <w:szCs w:val="20"/>
                <w:color w:val="auto"/>
              </w:rPr>
            </w:pPr>
            <w:r>
              <w:rPr>
                <w:rFonts w:ascii="Arial" w:cs="Arial" w:eastAsia="Arial" w:hAnsi="Arial"/>
                <w:sz w:val="18"/>
                <w:szCs w:val="18"/>
                <w:color w:val="auto"/>
                <w:w w:val="90"/>
              </w:rPr>
              <w:t>Fourth Amendment, dated as of September 5,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Syndication Agent and JPMorgan Chase Bank, N.A., Deutsche Bank Trust Company Americas and Royal Bank of Canada, as Co-</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Documentation Agents (Incorporated by reference to Exhibit 4.1 to the Company’s Current Report on Form 8-K filed on September 6,</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4.3(f)</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Amended and Restated Credit Agreement, dated as of August 10, 2010, among Integra LifeSciences Holdings Corporation, the lenders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 Morgan Chase Bank,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Syndication Agent, and HSBC Bank USA, NA, RBC Capital Markets, Wells Fargo Bank, N.A., Fifth Third Bank, DNB NOR Bank ASA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and TD Bank, N.A., as Co-Documentation Agents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8-K filed on August 10,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4.3(g)</w:t>
            </w: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Second Amended and Restated Credit Agreement, dated as of June 8, 2011, among Integra LifeSciences Holdings Corporation, the</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lenders party thereto, Bank of America, N.A. as Administrative Agent, Swing Line Lender and L/C Issuer, JPMorgan Chase Bank N.A.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Syndication Agent, and, HSBC Bank USA, NA, Royal Bank of Canada, Wells Fargo Bank, N.A., Fifth Third Bank, DNB NOR Bank</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ASA, and TD Bank, N.A., as Co-Documentation Agents (Incorporated by reference to Exhibit 4.3 to the Company’s Quarterly Report 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Form 10-Q filed on July 29,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4.3(h)</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First Amendment, dated as of May 11, 2012, to Second Amended and Restated Credit Agreement dated as of June 8, 2011, among Integra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L/C Issuer, JPMorgan Chase Bank, N.A., as Syndication Agent, and HSBC Bank, NA, Royal Bank of Canada, Wells Fargo Bank, NA,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Fifth Third Bank, DNB Nor Bank ASA and TD Bank, N.A., as Co-Documentation Agents (Incorporated by reference to Exhibit 4.1 to the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648"/>
        </w:trPr>
        <w:tc>
          <w:tcPr>
            <w:tcW w:w="90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60"/>
          </w:cols>
          <w:pgMar w:left="280" w:top="530" w:right="25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4.3(i)</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Second Amendment, dated as of June 21, 2013, to Second Amended and Restated Credit Agreement dated as of June 8, 2011, among</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Integra LifeSciences Holdings Corporation, the lenders party thereto, Bank of America, N.A., as Administrative Agent, Swing Line</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Lender and L/C Issuer, JPMorgan Chase Bank, N.A.,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Canada, Wells Fargo Bank, National Association, Fifth Third Bank, DNB Bank ASA and TD Bank, N.A., as Co-Documentation Agents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24,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4.3(j)</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Third Amended and Restated Credit Agreement, dated as of July 2, 2014, among Integra LifeSciences Holdings Corporation, the other</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lenders party hereto, Bank of America, N.A., as Administrative Agent, Swing Line Lender and L/C Issuer, Wells Fargo Bank, National</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8"/>
              </w:rPr>
              <w:t>Association, as Syndication Agent and HSBC Bank USA, National Association, Royal Bank of Canada, Citizens Bank, National</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Association, DNB Capital LLC, Credit Agricole-Corporate and Investment Bank and TD Bank, N.A., as Co-Documentation Agents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(Incorporated by reference to Exhibit 4.1 to the Company's Current Report on Form 8-K filed on July 9,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4.3(k)</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First Amendment, dated as of December 19, 2014, to that Third Amended and Restated Credit Agreement, among Integra LifeSciences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Holdings Corporation, a syndicate of lending banks, Bank of America, N.A., as Administrative Agent, Swing Line Lender and L/C Issuer,</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Wells Fargo Bank, National Association, as Syndication Agent, and HSBC Bank USA, National Association, Royal Bank of Canada,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Citizens Bank, National Association, DNB Capital LLC, Crédit Agricole-Corporate and Investment Bank, and TD Bank, N.A., as Co-</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Documentation Agents (Incorporated by reference to Exhibit 4.1 to the Company's Current Report on Form 8-K filed on December 29,</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4.3(l)</w:t>
            </w: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Second Amendment, dated August 28, 2015, to that Third Amended and Restated Credit Agreement, among Integra LifeSciences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Holdings Corporation, a syndicate of lending banks, Bank of America, N.A., as Administrative Agent, Swing Line Lender and L/C Issuer,</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Wells Fargo Bank, National Association, as Syndication Agent, and HSBC Bank USA, National Association, Royal Bank of Canada,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Citizens Bank, National Association, DNB Capital LLC, Crédit Agricole-Corporate and Investment Bank and TD Bank, N.A., as Co-</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Documentation Agents (Incorporated by reference to Exhibit 4.1 to the Company’s Current Report on Form 8-K filed on September 1,</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Security Agreement, dated as of December 22, 2005, among Integra LifeSciences Holdings Corporation and the additional grantors party</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thereto in favor of Bank of America, N.A., as administrative and collateral agent (Incorporated by reference to Exhibit 4.4 to the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4.5</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Pledge Agreement, dated as of December 22, 2005, among Integra LifeSciences Holdings Corporation and the additional grantors party</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thereto in favor of Bank of America, N.A., as administrative and collateral agent (Incorporated by reference to Exhibit 4.5 to the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4.6</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in favor of Bank of America, N.A., as administrative and collateral agent (Incorporated by reference to Exhibit 4.6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4.7</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Indenture, dated June 11, 2007, among Integra LifeSciences Holdings Corporation, Integra LifeSciences Corporation and Wells Fargo</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Bank, N.A., as trustee (Incorporated by reference to Exhibit 4.1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4.8</w:t>
            </w: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Form of 2.75% Senior Convertible Note due 2010 (included in Exhibit 4.8) (Incorporated by reference to Exhibit B to Exhibit 4.1 to the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4.9</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Indenture, dated June 11, 2007, among Integra LifeSciences Holdings Corporation, Integra LifeSciences Corporation and Wells Fargo</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Bank, N.A., as trustee (Incorporated by reference to Exhibit 4.3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4.10</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Form of 2.375% Senior Convertible Note due 2012 (included in Exhibit 4.10) (Incorporated by reference to Exhibit B to Exhibit 4.3 to the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4.11</w:t>
            </w: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Registration Rights Agreement, dated June 11, 2007, among Integra LifeSciences Holdings Corporation, Banc of America Securities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LLC, J.P. Morgan Securities Inc. and Morgan Stanley &amp; Co., Incorporated, as representatives of the several initial purchasers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(Incorporated by reference to Exhibit 4.5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4.12</w:t>
            </w: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Registration Rights Agreement, dated June 11, 2007, among Integra LifeSciences Holdings Corporation, Banc of America Securities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LLC, J.P. Morgan Securities Inc. and Morgan Stanley &amp; Co., Incorporated, as representatives of the several initial purchasers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(Incorporated by reference to Exhibit 4.6 to the Company’s Current Report on Form 8-K filed on June 12, 2007)</w:t>
            </w:r>
          </w:p>
        </w:tc>
      </w:tr>
      <w:tr>
        <w:trPr>
          <w:trHeight w:val="648"/>
        </w:trPr>
        <w:tc>
          <w:tcPr>
            <w:tcW w:w="90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360"/>
          </w:cols>
          <w:pgMar w:left="280" w:top="530" w:right="25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Lease between Plainsboro Associates and American Biomaterials Corporation dated as of April 16, 1985, as assigned to Colla-Tec, Inc.</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on September 30, 1988 and as amended on November 1, 1992 as Lease Modification #1 (Incorporated by reference to Exhibit 10.30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Lease Modification #2 entered into as of October 28, 2005, by and between Plainsboro Associates and Integra LifeSciences Corporation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10.1(c)</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Lease Modification #3 entered into as of March 2, 2011, by and between Plainsboro Associates and Integra LifeSciences Corporation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 (a)</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Equipment Lease Agreement between Medicus Corporation and the Company, dated as of June 1, 2000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10.1 to the Company’s Quarterly Report on Form 10-Q for the quarter ended June 30, 2000)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10.2(b)</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First Amendment to Equipment Lease Agreement between Medicus Corporation and the Company, dated as of June 29, 2010</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(Incorporated by reference to Exhibit 10.2 to the Company’s Quarterly Report on Form 10-Q for the quarter ended June 30,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10.3(a)</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Form of Indemnification Agreement between the Company and [ ] dated August 16, 1995, including a schedule identifying the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individuals that are a party to such Indemnification Agreements (Incorporated by reference to Exhibit 10.37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Registration Statement on Form S-1 (File No. 33-98698) which became effective on January 24, 1996)*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10.3(b)</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Form of Indemnification Agreement for Non-Employee Directors and Officers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24,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1996 Incentive Stock Option and Non-Qualified Stock Option Plan (as amended through December 27, 1997) (Incorporated by reference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Exhibit 10.4 to 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1998 Stock Option Plan (amended and restated as of July 26, 2005) (Incorporated by reference to Exhibit 10.3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1999 Stock Option Plan (amended and restated as of July 26, 2005) (Incorporated by reference to Exhibit 10.4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Employee Stock Purchase Plan (as amended on May 17, 2004) (Incorporated by reference to Exhibit 4.1 to the Company’s Registration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10.7(b)</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First Amendment to Employee Stock Purchase Plan, dated October 26, 2005 (Incorporated by reference to Exhibit 10.1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10.8(a)</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2000 Equity Incentive Plan (amended and restated as of July 26, 2005) (Incorporated by reference to Exhibit 10.5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to 2000 Equity Incentive Plan (effective as of May 17, 2012) (Incorporated by reference to Exhibit 10.7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10.8(c)</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Amendment to 2000 Equity Incentive Plan (effective as of January 1, 2013) (Incorporated by reference to Exhibit 10.8(c)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10.9(a)</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2001 Equity Incentive Plan (amended and restated as of July 26, 2005) (Incorporated by reference to Exhibit 10.6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to 2001 Equity Incentive Plan (effective as of May 17, 2012) (Incorporated by reference to Exhibit 10.8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10.9(c)</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Amendment to 2001 Equity Incentive Plan (effective as of January 1, 2013) (Incorporated by reference to Exhibit 10.9(c)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10.10(a)</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Second Amended and Restated 2003 Equity Incentive Plan effective May 19, 2010 (Incorporated by reference to Exhibit 10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May 21,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to the Second Amended and Restated 2003 Equity Incentive Plan effective May 17, 2012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10.9 to the Company’s Quarterly Report on Form 10-Q for the quarter ended June 30, 2012)*</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80" w:top="530" w:right="2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10.10(c)</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to the Second Amended and Restated 2003 Equity Incentive Plan effective January 1, 2013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10.4 to the Company’s 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10.10(d)</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Third Amended and Restated 2003 Equity Incentive Plan effective May 22, 2015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May 29, 2015)*</w:t>
            </w:r>
          </w:p>
        </w:tc>
      </w:tr>
      <w:tr>
        <w:trPr>
          <w:trHeight w:val="634"/>
        </w:trPr>
        <w:tc>
          <w:tcPr>
            <w:tcW w:w="1000" w:type="dxa"/>
            <w:vAlign w:val="bottom"/>
          </w:tcPr>
          <w:p>
            <w:pPr>
              <w:spacing w:after="0"/>
              <w:rPr>
                <w:sz w:val="20"/>
                <w:szCs w:val="20"/>
                <w:color w:val="auto"/>
              </w:rPr>
            </w:pPr>
            <w:r>
              <w:rPr>
                <w:rFonts w:ascii="Arial" w:cs="Arial" w:eastAsia="Arial" w:hAnsi="Arial"/>
                <w:sz w:val="18"/>
                <w:szCs w:val="18"/>
                <w:color w:val="auto"/>
              </w:rPr>
              <w:t>10.11(a)</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Second Amended and Restated Employment Agreement dated July 27, 2004 between the Company and Stuart M. Essig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10.11(b)</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Amendment 2006-1, dated as of December 19, 2006, to the Second Amended and Restated Employment Agreement, between the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Company and Stuart M. Essig (Incorporated by reference to Exhibit 10.1 to the Company’s Current Report on Form 8-K filed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December 22,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10.11(c)</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Amendment 2008-1, dated as of March 6, 2008, to the Second Amended and Restated Employment Agreement, between the Company</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and Stuart M. Essig (Incorporated by reference to Exhibit 10.12(c) to the Company’s Annual Report on Form 10-K for the year ended</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December 31, 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10.11(d)</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Amendment 2008-2, dated as of August 6, 2008, to the Second Amended and Restated Employment Agreement between Stuart M. Essig</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and the Company (Incorporated by reference to Exhibit 10.7 to the Company’s Quarterly Report on Form 10-Q for the quarter ended June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10.11(e)</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Amendment 2009-1, dated as of April 13, 2009, to the Second Amended and Restated Employment Agreement between Stuart M. Essig</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and the Company (Incorporated by reference to Exhibit 10.2 to the Company’s Current Report on Form 8-K filed on April 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10.11(f)</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Agreement dated May 17, 2011 between the Company and Stuart M. Essig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May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10.11(g)</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Letter dated December 20, 2011 from Stuart M. Essig to the Company (Incorporated by reference to Exhibit 10.3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10.11(h)</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Agreement dated June 7, 2012 between Stuart M. Essig and the Company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June 7,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Indemnity letter agreement dated December 27, 1997 from the Company to Stuart M. Essig (Incorporated by reference to Exhibit 10.5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10.13(a)</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Registration Rights Provisions for Stuart M. Essig (Incorporated by reference to Exhibit B of Exhibit 10.1 to the Company’s Current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10.13(b)</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Registration Rights Provisions for Stuart M. Essig (Incorporated by reference to Exhibit 10.2 to the Company’s Current Report on Form</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10.13(c)</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Registration Rights Provisions for Stuart M. Essig (Incorporated by reference to Exhibit B of Exhibit 10.1 to the Company’s Quarterly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10-Q for the quarter ended September 30,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10.14(a)</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Amended and Restated 2005 Employment Agreement between John B. Henneman, III and the Company dated December 19, 2005</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(Incorporated by reference to Exhibit 10.16 to the Company’s Annual Report on Form 10-K for the year ended December 31,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10.14(b)</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Amendment 2008-1, dated as of January 2,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Henneman, III and the Company (Incorporated by reference to Exhibit 10.15(b) to the Company’s Annual Report on Form 10-K for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year ended December 31, 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10.14(c)</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2008-2, dated as of December 18,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Henneman, III and the Company (Incorporated by reference to Exhibit 10.2 to the Company’s Current Report on Form 8-K filed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December 24,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10.14(d)</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Amendment 2009-1, dated as of April 13, 2009,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Henneman, III and the Company (Incorporated by reference to Exhibit 10.5 to the Company’s Current Report on Form 8-K filed on April</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10.14(e)</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Amendment 2010-1, dated as of October 12, 2010,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Henneman, III and the Company (Incorporated by reference to Exhibit 10.3 to the Company’s Current Report on Form 8-K filed October</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12, 2010)*</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60"/>
          </w:cols>
          <w:pgMar w:left="280" w:top="530" w:right="25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10.14(f)</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dated as of February 22, 2012 from John B. Henneman, III to the Company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10.14(g)</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Second Amended and Restated 2005 Employment Agreement between the Company and John B. Henneman, III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May 23,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Consulting Agreement, dated October 12, 2010, between the Company and Inception Surgical (Incorporated by reference to Exhibit 10.1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Severance Agreement between Richard D. Gorelick and the Company dated as of January 3, 2012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10.10 to the Company’s 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10.17(a)</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Severance Agreement between Judith O’Grady and the Company dated as of January 4, 2010 (Incorporated by reference to Exhibit 10.17</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the Company’s Annual Report on Form 10-K for the year ended December 31,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Severance Agreement between Judith O’Grady and the Company dated as of January 3, 2011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10.17(a) to the Company’s Annual Report on Form 10-K for the year ended 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10.17(c)</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Severance Agreement between Judith O’Grady and the Company dated as of January 3, 2012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10.16(c) to the Company’s Annual Report on Form 10-K for the year ended December 31,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Employment Agreement, dated as of October 12, 2010, between Peter J. Arduini and the Company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10.18(b)</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Amended and Restated Employment Agreement dated December 20, 2011 between Peter J. Arduini and the Company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10.18(c)</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Second Amended and Restated Employment Agreement between the Company and Peter J. Arduini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June 20,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Form of Notice of Stock Option Grant with Eight-Year Term for Peter J. Arduini (Incorporated by reference to Exhibit 10.2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Letter Agreement dated February 19, 2013 between Peter J. Arduini and Integra LifeSciences Holdings Corporation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10.21(a)</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Lease Contract, dated April 1, 2005, between the Puerto Rico Industrial Development Company and Integra CI, Inc. (executed 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September 15, 2006) (Incorporated by reference to Exhibit 10.3 to the Company’s Quarterly Report on Form 10-Q for the quarter ended</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September 30,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10.21(b)</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Amendment to Lease Contract dated as of November 2, 2011, between Integra CI, Inc. and Puerto Rico Industrial Development Company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10.21(c)</w:t>
            </w:r>
          </w:p>
        </w:tc>
        <w:tc>
          <w:tcPr>
            <w:tcW w:w="10360" w:type="dxa"/>
            <w:vAlign w:val="bottom"/>
          </w:tcPr>
          <w:p>
            <w:pPr>
              <w:ind w:left="380"/>
              <w:spacing w:after="0"/>
              <w:rPr>
                <w:sz w:val="20"/>
                <w:szCs w:val="20"/>
                <w:color w:val="auto"/>
              </w:rPr>
            </w:pPr>
            <w:r>
              <w:rPr>
                <w:rFonts w:ascii="Arial" w:cs="Arial" w:eastAsia="Arial" w:hAnsi="Arial"/>
                <w:sz w:val="18"/>
                <w:szCs w:val="18"/>
                <w:color w:val="auto"/>
              </w:rPr>
              <w:t>Termination of Amendment to Lease Contract, dated as of April 2, 2012, between Integra CI, Inc. and Puerto Rico Industrial</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Development Company (Incorporated by reference to Exhibit 10.2 to the Company’s Quarterly Report on Form 10-Q for the quarter</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ended March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Restricted Units Agreement dated December 27, 1997 between the Company and Stuart M. Essig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10.3 to 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Stock Option Grant and Agreement pursuant to 1999 Stock Option Plan dated December 22, 2000 between the Company and Stuart M.</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Essig (Incorporated by reference to Exhibit 4.1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Stock Option Grant and Agreement pursuant to 2000 Equity Incentive Plan dated December 22, 2000 between the Company and Stuart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10.25(a)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Restricted Units Agreement dated December 22, 2000 between the Company and Stuart M. Essig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4.3 to the Company’s Current Report on Form 8-K filed on January 8, 2001)*</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80" w:top="530" w:right="25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10.25(b)</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2006-1, dated as of October 30, 2006, to the Stuart M. Essig Restricted Units Agreement dated as of December 22, 2000</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Stock Option Grant and Agreement pursuant to 2003 Equity Incentive Plan dated July 27, 2004 between the Company and Stuart M.</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Essig (Incorporated by reference to Exhibit 10.30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M. Essig (Incorporated by reference to Exhibit 10.31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10.27(b)</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Amendment 2006-1, dated as of October 30, 2006, to the Stuart M. Essig Contract Stock/Restricted Units Agreement dated as of July 27,</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10.27(c)</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2008-1, dated as of March 6, 2008, to the Stuart M. Essig Contract Stock/Restricted Units Agreement dated as of July 27,</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2004 (Incorporated by reference to Exhibit 10.25(c)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10.27(d)</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2011-1, dated as of May 17, 2011, to the Stuart M. Essig Contract Stock/Restricted Units Agreement dated as of July 24,</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2004 (Incorporated by reference to Exhibit 10.6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Contract Stock/Units Agreement dated as of May 17, 2011 between the Company and Stuart M. Essig (Incorporated by reference to</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10.2 to the Company’s Current Report on Form 8-K filed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May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Form of Amendment 2011-1 to Contract Stock/Restricted Units Agreements between the Company and Mr. Essig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10.5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Stock Option Grant and Agreement between the Company and Stuart M. Essig (Incorporated by reference to Exhibit 10.32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10.31(a)</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Form of Contract Stock/Restricted Units Agreement for Stuart M. Essig (Incorporated by reference to Exhibit 10.8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10.31(b)</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New Form of Contract Stock/Restricted Units Agreement (for Annual Equity Awards) for Stuart M. Essig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10.31(c)</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Form of Amendment 2011-1 to Contract Stock/Restricted Units Agreement between the Company and Mr. Essig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10.4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Restricted Stock Agreement for Stuart M. Essig for 2009 (Incorporated by reference to Exhibit 10.3 to the Company’s Current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8-K filed April 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10.34</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Form of Performance Stock Agreement (Executive Officers) (Incorporated by reference to Exhibit 10.2 to the Company's Current Report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on Form 8-K filed on February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10.35</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Performance Incentive Compensation Plan effective January 1, 2013 (Incorporated by reference to Exhibit 10.3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10.36</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New Form of Contract Stock/Restricted Units Agreement pursuant to 2003 Equity Incentive Plan (for 2011) Annual Equity Award for</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Stuart M. Essig) (Incorporated by reference to Exhibit 10.3 to the Company’s Quarterly Report on Form 10-Q for the quarter ended June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10.37</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Form of Notice of Grant of Stock Option and Stock Option Agreement (Incorporated by reference to Exhibit 10.1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on July 29,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10.38</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Form of Non-Qualified Stock Option Agreement (Non-Directors) (Incorporated by reference to Exhibit 10.35 to the Company’s Annual</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2004)*</w:t>
            </w:r>
          </w:p>
        </w:tc>
      </w:tr>
    </w:tbl>
    <w:p>
      <w:pPr>
        <w:spacing w:after="0" w:line="200" w:lineRule="exact"/>
        <w:rPr>
          <w:sz w:val="20"/>
          <w:szCs w:val="20"/>
          <w:color w:val="auto"/>
        </w:rPr>
      </w:pPr>
    </w:p>
    <w:p>
      <w:pPr>
        <w:sectPr>
          <w:pgSz w:w="11900" w:h="16838" w:orient="portrait"/>
          <w:cols w:equalWidth="0" w:num="1">
            <w:col w:w="11360"/>
          </w:cols>
          <w:pgMar w:left="280" w:top="692"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80" w:top="692" w:right="2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10.39</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Incentive Stock Option Agreement (Incorporated by reference to Exhibit 10.36 to the Company’s Annual Report on Form 10-K</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10.40</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Stock Option Agreement (Executive Officers) (Incorporated by reference to Exhibit 10.1 to the Company’s Quarterly Report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Form 10-Q for the quarter ended March 31, 2015)*</w:t>
            </w:r>
          </w:p>
        </w:tc>
      </w:tr>
      <w:tr>
        <w:trPr>
          <w:trHeight w:val="634"/>
        </w:trPr>
        <w:tc>
          <w:tcPr>
            <w:tcW w:w="1000" w:type="dxa"/>
            <w:vAlign w:val="bottom"/>
          </w:tcPr>
          <w:p>
            <w:pPr>
              <w:spacing w:after="0"/>
              <w:rPr>
                <w:sz w:val="20"/>
                <w:szCs w:val="20"/>
                <w:color w:val="auto"/>
              </w:rPr>
            </w:pPr>
            <w:r>
              <w:rPr>
                <w:rFonts w:ascii="Arial" w:cs="Arial" w:eastAsia="Arial" w:hAnsi="Arial"/>
                <w:sz w:val="18"/>
                <w:szCs w:val="18"/>
                <w:color w:val="auto"/>
              </w:rPr>
              <w:t>10.42</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Stock Option Agreement for Glenn Coleman (Incorporated by reference to Exhibit 10.2 to the Company’s Quarterly Report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Form 10-Q for the quarter ended March 31,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10.43</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Agreement and General Release by and between Robert Paltridge and Integra LifeSciences Corporation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10.1 to the Company’s Quarterly Report on Form 10-Q for the quarter ended March 31,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10.44(a)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Change in Control Severance Agreement (Incorporated by reference to Exhibit 10.1 to the Company's Current Report on Form 8-</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K filed on May 1,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10.44(b)</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Change in Control Severance Agreement (Incorporated by reference to Exhibit 10.1 to the Company's Current Report on Form 8-</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K filed on January 30,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Compensation of Directors of the Company effective May 17, 2011 (Incorporated by reference to Exhibit 10.1 to the Company’s Current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10.45(b)</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17, 2012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10.45(c)</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22, 2013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10.45(d)</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July 24, 2013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10.45(e)</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22, 2015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18,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10.45(f)</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24, 2016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17, 2015)*</w:t>
            </w:r>
          </w:p>
        </w:tc>
      </w:tr>
      <w:tr>
        <w:trPr>
          <w:trHeight w:val="634"/>
        </w:trPr>
        <w:tc>
          <w:tcPr>
            <w:tcW w:w="1000" w:type="dxa"/>
            <w:vAlign w:val="bottom"/>
          </w:tcPr>
          <w:p>
            <w:pPr>
              <w:spacing w:after="0"/>
              <w:rPr>
                <w:sz w:val="20"/>
                <w:szCs w:val="20"/>
                <w:color w:val="auto"/>
              </w:rPr>
            </w:pPr>
            <w:r>
              <w:rPr>
                <w:rFonts w:ascii="Arial" w:cs="Arial" w:eastAsia="Arial" w:hAnsi="Arial"/>
                <w:sz w:val="18"/>
                <w:szCs w:val="18"/>
                <w:color w:val="auto"/>
              </w:rPr>
              <w:t>10.46(a)</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Form of Restricted Stock Agreement for Non-Employee Directors under the 2003 Equity Incentive Plan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10.46(b)</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New Form of Restricted Stock Agreement for Non-Employee Directors under the 2003 Equity Incentive Plan (Incorporated by reference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Exhibit 10.38(b) to the 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10.46(c)</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Restricted Stock Agreement for Executive Officers - Annual Vesting (Incorporated by reference to Exhibit 10.1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10.46(d)</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Restricted Stock Agreement for Executive Officers - Annual Vesting (Incorporated by reference to Exhibit 10.5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10.46(e)</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New Form of Restricted Stock Agreement for Executive Officers - Annual Vesting (Incorporated by reference to Exhibit 10.38(e)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10.46(f)</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Restricted Stock Agreement for Executive Officers - Cliff Vesting (Incorporated by reference to Exhibit 10.8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10.46(g)</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Restricted Stock Agreement for Executive Officers - Cliff Vesting (Incorporated by reference to Exhibit 10.6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10.46(h)</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New Form of Restricted Stock Agreement for Executive Officers - Cliff Vesting (Incorporated by reference to Exhibit 10.38(h)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10.46(i)</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Form of Restricted Stock Agreement for Mr. Henneman for 2008 and 2009 (Incorporated by reference to Exhibit 10.6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on April 13, 2009)*</w:t>
            </w:r>
          </w:p>
        </w:tc>
      </w:tr>
    </w:tbl>
    <w:p>
      <w:pPr>
        <w:spacing w:after="0" w:line="200" w:lineRule="exact"/>
        <w:rPr>
          <w:sz w:val="20"/>
          <w:szCs w:val="20"/>
          <w:color w:val="auto"/>
        </w:rPr>
      </w:pPr>
    </w:p>
    <w:p>
      <w:pPr>
        <w:sectPr>
          <w:pgSz w:w="11900" w:h="16838" w:orient="portrait"/>
          <w:cols w:equalWidth="0" w:num="1">
            <w:col w:w="11360"/>
          </w:cols>
          <w:pgMar w:left="280" w:top="530" w:right="259" w:bottom="649"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80" w:top="530" w:right="259" w:bottom="649"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10.46(j)</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to Exhibit 10.4 to the Company’s Current Report on Form 8-K filed on December 24, 2008)*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10.46(k)</w:t>
            </w: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Form of Option Agreement for John B. Henneman, III (Incorporated by reference to Exhibit 10.1 to the Company’s Current Report 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Form 8-K filed on June 6, 2008)*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10.46(l)</w:t>
            </w:r>
          </w:p>
        </w:tc>
        <w:tc>
          <w:tcPr>
            <w:tcW w:w="10340" w:type="dxa"/>
            <w:vAlign w:val="bottom"/>
          </w:tcPr>
          <w:p>
            <w:pPr>
              <w:ind w:left="360"/>
              <w:spacing w:after="0"/>
              <w:rPr>
                <w:sz w:val="20"/>
                <w:szCs w:val="20"/>
                <w:color w:val="auto"/>
              </w:rPr>
            </w:pPr>
            <w:r>
              <w:rPr>
                <w:rFonts w:ascii="Arial" w:cs="Arial" w:eastAsia="Arial" w:hAnsi="Arial"/>
                <w:sz w:val="18"/>
                <w:szCs w:val="18"/>
                <w:color w:val="auto"/>
                <w:w w:val="96"/>
              </w:rPr>
              <w:t>Form of Performance Stock Agreement for John B. Henneman, III (Incorporated by reference to Exhibit 10.37(b)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10.46(m)</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Form of Contract Stock/Restricted Units Agreement (for Signing Grant) for Mr. Arduini (Incorporated by reference to Exhibit 10.4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10.46(n)</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Contract Stock/Restricted Units Agreement (for Annual Equity Awards) for Mr. Arduini (Incorporated by reference to Exhibit</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10.5 to the Company’s Current 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10.46(o)</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Non-Qualified Stock Option Agreement for Mr. Arduini (Incorporated by reference to Exhibit 10.6 to the Company’s Current</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10.46(p)</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Form of Restricted Stock Agreement for Mr. Henneman (Incorporated by reference to Exhibit 10.7 to the Company’s Current Report 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10.46(q)</w:t>
            </w: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Form of Restricted Stock Agreement (Annual Vesting) for Mr. Henneman (Incorporated by reference to Exhibit 10.39(n)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2011)*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10.47</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Annual Executive Physical Medical Exam Arrangement (Incorporated by reference to the Exhibit 10.2 to the Company’s Current Report</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on Form 8-K filed on July 29,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10.48</w:t>
            </w: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Reimbursement of Legal Fees Arrangement for CFO (Incorporated by reference to Exhibit 10.3 to the Company’s Current Report 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Form 8-K filed on July 29, 2013)*</w:t>
            </w: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10.49</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to the Company’s Annual Report on Form 10-K for the year ended December 31,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10.50</w:t>
            </w: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Form of 2010 Convertible Bond Hedge Transaction Confirmation, dated June 6, 2007, between Integra LifeSciences Holdings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Corporation and dealer (Incorporated by reference to Exhibit 10.1 to the Company’s Current Report on Form 8-K filed on June 12,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10.51</w:t>
            </w: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Form of 2012 Convertible Bond Hedge Transaction Confirmation, dated June 6, 2007, between Integra LifeSciences Holdings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Corporation and dealer (Incorporated by reference to Exhibit 10.2 to the Company’s Current Report on Form 8-K filed on June 12,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10.52</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2010 Amended and Restated Issuer Warrant Transaction Confirmation, dated June 6, 2007, between Integra LifeSciences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Holdings Corporation and dealer (Incorporated by reference to Exhibit 10.3 to the Company’s Current Report on Form 8-K filed on June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12, 2007)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10.53</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2012 Amended and Restated Issuer Warrant Transaction Confirmation, dated June 6, 2007, between Integra LifeSciences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Holdings Corporation and dealer (Incorporated by reference to Exhibit 10.4 to the Company’s Current Report on Form 8-K filed on June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12, 2007)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10.54</w:t>
            </w: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regarding the Base Call Option Transaction (Incorporated by reference to Exhibit 10.4 to the Company’s Form 8-K filed on June 15,</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10.55</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10.56</w:t>
            </w:r>
          </w:p>
        </w:tc>
        <w:tc>
          <w:tcPr>
            <w:tcW w:w="10340" w:type="dxa"/>
            <w:vAlign w:val="bottom"/>
          </w:tcPr>
          <w:p>
            <w:pPr>
              <w:ind w:left="360"/>
              <w:spacing w:after="0"/>
              <w:rPr>
                <w:sz w:val="20"/>
                <w:szCs w:val="20"/>
                <w:color w:val="auto"/>
              </w:rPr>
            </w:pPr>
            <w:r>
              <w:rPr>
                <w:rFonts w:ascii="Arial" w:cs="Arial" w:eastAsia="Arial" w:hAnsi="Arial"/>
                <w:sz w:val="18"/>
                <w:szCs w:val="18"/>
                <w:color w:val="auto"/>
                <w:w w:val="97"/>
              </w:rPr>
              <w:t>Letter Agreement, dated June 9, 2011, between The Royal Bank of Scotland plc and Integra LifeSciences Holdings Corporation,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regarding the Base Call Option Transaction (Incorporated by reference to Exhibit 10.6 to the Company’s Form 8-K filed on June 15,</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10.57</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Letter Agreement, dated June 9, 2011, between Wells Fargo Bank, National Association and Integra LifeSciences Holdings Corporation,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regarding the Base Call Option Transaction (Incorporated by reference to Exhibit 10.2 to the Company’s Form 8-K filed on June 15,</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2011)</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80" w:top="530" w:right="25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10.58</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Base Warrant Transaction (Incorporated by reference to Exhibit 10.3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10.59</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10.60</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Letter Agreement, dated June 9, 2011, between The Royal Bank of Scotland plc and Integra LifeSciences Holdings Corporation,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Base Warrant Transaction (Incorporated by reference to Exhibit 10.5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10.61</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Letter Agreement, dated June 9, 2011, between Wells Fargo Bank, National Association and Integra LifeSciences Holdings Corporation,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Base Warrant Transaction (Incorporated by reference to Exhibit 10.1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10.62</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10.9 to the Company’s Form 8-K filed on June 15,</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10.63</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Additional Call Option Transaction (Incorporated by reference to Exhibit 10.10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10.64</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Agreement, dated June 14, 2011, between The Royal Bank of Scotland plc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10.11 to the Company’s Form 8-K filed on June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10.65</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10.12 to the Company’s Form 8-K filed on June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10.66</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10.13 to the Company’s Form 8-K filed on June 15,</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10.67</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Additional Warrant Transaction (Incorporated by reference to Exhibit 10.14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10.68</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Agreement, dated June 14, 2011, between The Royal Bank of Scotland plc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10.15 to the Company’s Form 8-K filed on June 15,</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10.69</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10.16 to the Company’s Form 8-K filed on June 15,</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10.70</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Piggyback Registration Rights Agreement dated December 22, 2008 between Integra LifeSciences Holdings Corporation and George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Heenan, Thomas Gilliam and Michael Evers, as trustees of The Bruce A. LeVahn 2008 Trust and Steven M. LeVahn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10.71(a)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Lease Agreement between 109 Morgan Lane, LLC and Integra LifeSciences Corporation, dated May 15, 2008 (Incorporated by reference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Exhibit 10.10 to the Company’s Quarterly Report 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10.71(b)</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First Amendment to Lease Agreement between 109 Morgan Lane, LLC and Integra LifeSciences Corporation, dated March 9, 2009</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10.9 to the Company’s Quarterly Report on Form 10-Q for the quarter ended March 31, 2009)</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10.71(c)</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Lease Agreement dated as of July 1, 2013, between 109 Morgan Lane, LLC and Integra LifeSciences Corporation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July 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10.72</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Offer Letter between Glenn Coleman and the Company (Incorporated by reference to Exhibit 10.1 to the Company's Current Report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Form 8-K filed on April 29, 2014)*</w:t>
            </w:r>
          </w:p>
        </w:tc>
      </w:tr>
      <w:tr>
        <w:trPr>
          <w:trHeight w:val="648"/>
        </w:trPr>
        <w:tc>
          <w:tcPr>
            <w:tcW w:w="1000" w:type="dxa"/>
            <w:vAlign w:val="bottom"/>
          </w:tcPr>
          <w:p>
            <w:pPr>
              <w:spacing w:after="0"/>
              <w:rPr>
                <w:sz w:val="24"/>
                <w:szCs w:val="24"/>
                <w:color w:val="auto"/>
              </w:rPr>
            </w:pPr>
          </w:p>
        </w:tc>
        <w:tc>
          <w:tcPr>
            <w:tcW w:w="10360" w:type="dxa"/>
            <w:vAlign w:val="bottom"/>
          </w:tcPr>
          <w:p>
            <w:pPr>
              <w:ind w:left="458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360"/>
          </w:cols>
          <w:pgMar w:left="280" w:top="530" w:right="25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12.1</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Statement Regarding the Computation of Ratio of Earnings to Fixed Charges and Preferred Share Dividends for the Years Ended 2008,</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2009, 2010, 2011 and 2012, and the Nine Months Ended September 30, 2013 (Incorporated by reference to Exhibit 12.1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Registration Statement on Form S-3 ASR filed November 4,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18.1</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Preferability letter of Independent Public Accounting Firm dated May 1, 2014 (Incorporated by reference to Exhibit 18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March 31, 2014)</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18.2</w:t>
            </w:r>
          </w:p>
        </w:tc>
        <w:tc>
          <w:tcPr>
            <w:tcW w:w="10340" w:type="dxa"/>
            <w:vAlign w:val="bottom"/>
          </w:tcPr>
          <w:p>
            <w:pPr>
              <w:ind w:left="360"/>
              <w:spacing w:after="0"/>
              <w:rPr>
                <w:sz w:val="20"/>
                <w:szCs w:val="20"/>
                <w:color w:val="auto"/>
              </w:rPr>
            </w:pPr>
            <w:r>
              <w:rPr>
                <w:rFonts w:ascii="Arial" w:cs="Arial" w:eastAsia="Arial" w:hAnsi="Arial"/>
                <w:sz w:val="18"/>
                <w:szCs w:val="18"/>
                <w:color w:val="auto"/>
                <w:w w:val="98"/>
              </w:rPr>
              <w:t>Preferability Letter of Independent Public Accounting Firm dated July 31, 2012 (Incorporated by reference to Exhibit 18.1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10340" w:type="dxa"/>
            <w:vAlign w:val="bottom"/>
          </w:tcPr>
          <w:p>
            <w:pPr>
              <w:ind w:left="36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23</w:t>
            </w:r>
          </w:p>
        </w:tc>
        <w:tc>
          <w:tcPr>
            <w:tcW w:w="10340" w:type="dxa"/>
            <w:vAlign w:val="bottom"/>
          </w:tcPr>
          <w:p>
            <w:pPr>
              <w:ind w:left="36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340" w:type="dxa"/>
            <w:vAlign w:val="bottom"/>
          </w:tcPr>
          <w:p>
            <w:pPr>
              <w:ind w:left="360"/>
              <w:spacing w:after="0"/>
              <w:rPr>
                <w:sz w:val="20"/>
                <w:szCs w:val="20"/>
                <w:color w:val="auto"/>
              </w:rPr>
            </w:pPr>
            <w:r>
              <w:rPr>
                <w:rFonts w:ascii="Arial" w:cs="Arial" w:eastAsia="Arial" w:hAnsi="Arial"/>
                <w:sz w:val="18"/>
                <w:szCs w:val="18"/>
                <w:color w:val="auto"/>
              </w:rPr>
              <w:t>Letter, dated December 21, 2011, from the United States Food and Drug Administration to Integra LifeSciences Corporation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(Incorporated by reference to Exhibit 99.1 to the Company’s Current Report on Form 8-K filed on January 5,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10340" w:type="dxa"/>
            <w:vAlign w:val="bottom"/>
          </w:tcPr>
          <w:p>
            <w:pPr>
              <w:ind w:left="36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6"/>
              </w:rPr>
              <w:t>(Incorporated by reference to Exhibit 99.1 to the Company’s Quarterly Report on Form 10-Q for the quarter ended June 30,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99.3</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Letter, dated November 1, 2012, from the United States Food and Drug Administration to Integra NeuroSciences Ltd. (Incorporated by</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99.4</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Letter, dated February 13, 2013, from the United States Federal Drug Administration to Integra LifeSciences Corporation (Incorporated</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February 19, 2013)</w:t>
            </w:r>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99.5</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Letter, dated September 24, 2013, from the United States Federal Drug Administration to Integra LifeSciences Corporation (Incorporated</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September 27,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99.6</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Food and Drug Administration Form FDA-483, dated November 26, 2013, relating to the inspection of the Añasco Facility (Incorporated</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December 3,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99.7</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Letter, dated January 14, 2015, from the United States Food and Drug Administration to Integra LifeSciences Corporation (Incorporated</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January 20,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99.8</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Letter, dated May 29, 2015, from the United States Food and Drug Administration to TEI Biosciences Inc. (Incorporated by reference to</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99.1 to the Company’s Quarterly Report on Form 10-Q for the quarter ended June 30,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99.9</w:t>
            </w:r>
          </w:p>
        </w:tc>
        <w:tc>
          <w:tcPr>
            <w:tcW w:w="10340" w:type="dxa"/>
            <w:vAlign w:val="bottom"/>
          </w:tcPr>
          <w:p>
            <w:pPr>
              <w:ind w:left="360"/>
              <w:spacing w:after="0"/>
              <w:rPr>
                <w:sz w:val="20"/>
                <w:szCs w:val="20"/>
                <w:color w:val="auto"/>
              </w:rPr>
            </w:pPr>
            <w:r>
              <w:rPr>
                <w:rFonts w:ascii="Arial" w:cs="Arial" w:eastAsia="Arial" w:hAnsi="Arial"/>
                <w:sz w:val="18"/>
                <w:szCs w:val="18"/>
                <w:color w:val="auto"/>
              </w:rPr>
              <w:t>Letter, dated June 30, 2015, from the United States Food and Drug Administration to Integra LifeSciences (Ireland) Limited</w:t>
            </w:r>
          </w:p>
        </w:tc>
      </w:tr>
      <w:tr>
        <w:trPr>
          <w:trHeight w:val="230"/>
        </w:trPr>
        <w:tc>
          <w:tcPr>
            <w:tcW w:w="10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6"/>
              </w:rPr>
              <w:t>(Incorporated by reference to Exhibit 99.2 to the Company’s Quarterly Report on Form 10-Q for the quarter ended June 30, 2015)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80" w:top="530" w:right="259" w:bottom="1440" w:gutter="0" w:footer="0" w:header="0"/>
          <w:type w:val="continuous"/>
        </w:sectPr>
      </w:pPr>
    </w:p>
    <w:bookmarkStart w:id="60" w:name="page61"/>
    <w:bookmarkEnd w:id="60"/>
    <w:p>
      <w:pPr>
        <w:ind w:left="40" w:right="5960" w:hanging="5"/>
        <w:spacing w:after="0" w:line="497" w:lineRule="auto"/>
        <w:tabs>
          <w:tab w:leader="none" w:pos="27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hanging="225"/>
        <w:spacing w:after="0" w:line="25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2015 filed on February 26, 2016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746" w:right="27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45" w:right="35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89"/>
              </w:rPr>
              <w:t>Signature</w:t>
            </w:r>
          </w:p>
        </w:tc>
        <w:tc>
          <w:tcPr>
            <w:tcW w:w="4340" w:type="dxa"/>
            <w:vAlign w:val="bottom"/>
            <w:gridSpan w:val="3"/>
          </w:tcPr>
          <w:p>
            <w:pPr>
              <w:jc w:val="center"/>
              <w:ind w:left="51"/>
              <w:spacing w:after="0"/>
              <w:rPr>
                <w:sz w:val="20"/>
                <w:szCs w:val="20"/>
                <w:color w:val="auto"/>
              </w:rPr>
            </w:pPr>
            <w:r>
              <w:rPr>
                <w:rFonts w:ascii="Arial" w:cs="Arial" w:eastAsia="Arial" w:hAnsi="Arial"/>
                <w:sz w:val="16"/>
                <w:szCs w:val="16"/>
                <w:b w:val="1"/>
                <w:bCs w:val="1"/>
                <w:color w:val="auto"/>
                <w:w w:val="97"/>
              </w:rPr>
              <w:t>Title</w:t>
            </w:r>
          </w:p>
        </w:tc>
        <w:tc>
          <w:tcPr>
            <w:tcW w:w="114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President and Chief Executive Officer,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and Director (Principal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Glenn G. Coleman</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89"/>
              </w:rPr>
              <w:t>Corporate Vice President and</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Glenn G. Coleman</w:t>
            </w:r>
          </w:p>
        </w:tc>
        <w:tc>
          <w:tcPr>
            <w:tcW w:w="4340" w:type="dxa"/>
            <w:vAlign w:val="bottom"/>
            <w:gridSpan w:val="3"/>
            <w:vMerge w:val="restart"/>
          </w:tcPr>
          <w:p>
            <w:pPr>
              <w:jc w:val="center"/>
              <w:ind w:left="51"/>
              <w:spacing w:after="0"/>
              <w:rPr>
                <w:sz w:val="20"/>
                <w:szCs w:val="20"/>
                <w:color w:val="auto"/>
              </w:rPr>
            </w:pPr>
            <w:r>
              <w:rPr>
                <w:rFonts w:ascii="Arial" w:cs="Arial" w:eastAsia="Arial" w:hAnsi="Arial"/>
                <w:sz w:val="18"/>
                <w:szCs w:val="18"/>
                <w:color w:val="auto"/>
                <w:w w:val="94"/>
              </w:rPr>
              <w:t>Chief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34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(Principal Financial Officer and Principal Accounting</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0"/>
              </w:rPr>
              <w:t>Chairman of the Board</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Richard E. Caruso,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Richard E. Caruso,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Barbara B. Hill</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Lloyd W. Howell, Jr.</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Donald E. Morel, Jr.,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Raymond G. Murphy</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James M. Sullivan</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James M. Sullivan</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49"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income (loss), changes in stockholders’ equity and cash flows present fairly, in all material respects the financial position of Integra LifeSciences Holdings Corporation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index appearing under Item 15(a)(2) of the Company’s 2015 Annual Report on Form 10-K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Internal Control - 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6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classifies deferred taxes in 2015 due to the adoption of Accounting Standards Update 2015-17, Balance Sheet Classification of Deferred Taxes.</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described in Management’s Annual Report on Internal Control Over Financial Reporting, management has excluded TEI from their assessment of internal control over financial reporting as of December 31, 2015 because it was acquired by the Company in a purchase business combination on July 17, 2015. We have also excluded TEI from our audit of internal control over financial reporting as of December 31, 2015 because it was acquired by the Company in a purchase business combination. The total assets and total revenues of TEI, a wholly-owned subsidiary, was 1.8% and 3.2%, respectively, of the related consolidated financial statement amounts as of and for the year ended December 31,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rPr>
          <w:sz w:val="20"/>
          <w:szCs w:val="20"/>
          <w:color w:val="auto"/>
        </w:rPr>
      </w:pPr>
      <w:r>
        <w:rPr>
          <w:rFonts w:ascii="Arial" w:cs="Arial" w:eastAsia="Arial" w:hAnsi="Arial"/>
          <w:sz w:val="18"/>
          <w:szCs w:val="18"/>
          <w:color w:val="auto"/>
        </w:rPr>
        <w:t>February 26, 2016</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420"/>
          </w:cols>
          <w:pgMar w:left="240" w:top="66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8"/>
        </w:trPr>
        <w:tc>
          <w:tcPr>
            <w:tcW w:w="6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0"/>
        </w:trPr>
        <w:tc>
          <w:tcPr>
            <w:tcW w:w="6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60" w:type="dxa"/>
            <w:vAlign w:val="bottom"/>
          </w:tcPr>
          <w:p>
            <w:pPr>
              <w:spacing w:after="0"/>
              <w:rPr>
                <w:sz w:val="23"/>
                <w:szCs w:val="23"/>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Total revenue, net</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882,734</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796,717</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696,832</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326,542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302,946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279,548</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415,757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375,545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332,190</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7,099</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803,147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728,860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661,459</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4,933</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(23,517)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benefit)</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(10,370)</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(43,094)</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r>
      <w:tr>
        <w:trPr>
          <w:trHeight w:val="32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per share - basic:</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0.20</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0.78</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Net (loss) income per share - basic</w:t>
            </w: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(loss) income per share - diluted:</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(0.29)</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per share - diluted</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32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 (See Note 12):</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08"/>
        </w:trPr>
        <w:tc>
          <w:tcPr>
            <w:tcW w:w="64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28,416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32,960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28,802</w:t>
            </w:r>
          </w:p>
        </w:tc>
      </w:tr>
      <w:tr>
        <w:trPr>
          <w:trHeight w:val="27"/>
        </w:trPr>
        <w:tc>
          <w:tcPr>
            <w:tcW w:w="6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364" w:right="2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left="833"/>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r>
      <w:tr>
        <w:trPr>
          <w:trHeight w:val="237"/>
        </w:trPr>
        <w:tc>
          <w:tcPr>
            <w:tcW w:w="718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5,874</w:t>
            </w:r>
          </w:p>
        </w:tc>
      </w:tr>
      <w:tr>
        <w:trPr>
          <w:trHeight w:val="318"/>
        </w:trPr>
        <w:tc>
          <w:tcPr>
            <w:tcW w:w="7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Unrealized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60"/>
              <w:spacing w:after="0"/>
              <w:rPr>
                <w:sz w:val="20"/>
                <w:szCs w:val="20"/>
                <w:color w:val="auto"/>
              </w:rPr>
            </w:pPr>
            <w:r>
              <w:rPr>
                <w:rFonts w:ascii="Arial" w:cs="Arial" w:eastAsia="Arial" w:hAnsi="Arial"/>
                <w:sz w:val="18"/>
                <w:szCs w:val="18"/>
                <w:color w:val="auto"/>
              </w:rPr>
              <w:t>Unrealized derivative losses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Less: Reclassification adjustments for losses included in net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37"/>
        </w:trPr>
        <w:tc>
          <w:tcPr>
            <w:tcW w:w="7180" w:type="dxa"/>
            <w:vAlign w:val="bottom"/>
          </w:tcPr>
          <w:p>
            <w:pPr>
              <w:ind w:left="300"/>
              <w:spacing w:after="0"/>
              <w:rPr>
                <w:sz w:val="20"/>
                <w:szCs w:val="20"/>
                <w:color w:val="auto"/>
              </w:rPr>
            </w:pPr>
            <w:r>
              <w:rPr>
                <w:rFonts w:ascii="Arial" w:cs="Arial" w:eastAsia="Arial" w:hAnsi="Arial"/>
                <w:sz w:val="18"/>
                <w:szCs w:val="18"/>
                <w:color w:val="auto"/>
              </w:rPr>
              <w:t>Unrealized gain on derivatives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1,720</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180" w:type="dxa"/>
            <w:vAlign w:val="bottom"/>
          </w:tcPr>
          <w:p>
            <w:pPr>
              <w:ind w:left="800"/>
              <w:spacing w:after="0"/>
              <w:rPr>
                <w:sz w:val="20"/>
                <w:szCs w:val="20"/>
                <w:color w:val="auto"/>
              </w:rPr>
            </w:pPr>
            <w:r>
              <w:rPr>
                <w:rFonts w:ascii="Arial" w:cs="Arial" w:eastAsia="Arial" w:hAnsi="Arial"/>
                <w:sz w:val="18"/>
                <w:szCs w:val="18"/>
                <w:color w:val="auto"/>
              </w:rPr>
              <w:t>Defined benefit pension plan - net gain (loss) arising during period</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80" w:type="dxa"/>
            <w:vAlign w:val="bottom"/>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6,196</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benefit related to items in other comprehensive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5,724</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180" w:type="dxa"/>
            <w:vAlign w:val="bottom"/>
          </w:tcPr>
          <w:p>
            <w:pPr>
              <w:ind w:left="20"/>
              <w:spacing w:after="0"/>
              <w:rPr>
                <w:sz w:val="20"/>
                <w:szCs w:val="20"/>
                <w:color w:val="auto"/>
              </w:rPr>
            </w:pPr>
            <w:r>
              <w:rPr>
                <w:rFonts w:ascii="Arial" w:cs="Arial" w:eastAsia="Arial" w:hAnsi="Arial"/>
                <w:sz w:val="18"/>
                <w:szCs w:val="18"/>
                <w:color w:val="auto"/>
              </w:rPr>
              <w:t>Comprehensive income (loss), net of tax</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w:t>
            </w: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00"/>
          </w:cols>
          <w:pgMar w:left="260" w:top="36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71,734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Restricted cash and cash equivalents</w:t>
            </w:r>
          </w:p>
        </w:tc>
        <w:tc>
          <w:tcPr>
            <w:tcW w:w="40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accounts receivable, net of allowances of $5,572 and $5,659</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110,414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211,429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189,133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42,620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assets of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99,785</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438,495</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529,321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205,181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193,626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603,740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412,568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512,389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363,479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Non-current assets of discontinued operations</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73,734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1,774,704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1,587,419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Borrowings under senior credit facility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14,375</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trade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28,867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5,666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39,160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39,809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liabilities of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13,780</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139,127</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borrowings under senior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481,875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413,125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convertible securities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218,720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213,121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100,417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28,648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27,778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liabilities of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1,023,261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883,097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3"/>
              </w:rPr>
              <w:t>Common stock; $0.01 par value; 60,000 authorized shares; 45,857 and 41,644 issued at December 31, 2015 and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2014, respectively</w:t>
            </w:r>
          </w:p>
        </w:tc>
        <w:tc>
          <w:tcPr>
            <w:tcW w:w="4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1,020,128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779,555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Treasury stock, at cost; 8,915 and 8,907 shares at December 31, 2015 and 2014, respectively</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(367,121)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145,879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314,960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751,443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704,322</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1,774,704</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1,587,419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36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c>
          <w:tcPr>
            <w:tcW w:w="1360" w:type="dxa"/>
            <w:vAlign w:val="bottom"/>
          </w:tcPr>
          <w:p>
            <w:pPr>
              <w:jc w:val="center"/>
              <w:ind w:right="232"/>
              <w:spacing w:after="0"/>
              <w:rPr>
                <w:sz w:val="20"/>
                <w:szCs w:val="20"/>
                <w:color w:val="auto"/>
              </w:rPr>
            </w:pPr>
            <w:r>
              <w:rPr>
                <w:rFonts w:ascii="Arial" w:cs="Arial" w:eastAsia="Arial" w:hAnsi="Arial"/>
                <w:sz w:val="14"/>
                <w:szCs w:val="14"/>
                <w:b w:val="1"/>
                <w:bCs w:val="1"/>
                <w:color w:val="auto"/>
                <w:w w:val="83"/>
              </w:rPr>
              <w:t>2014</w:t>
            </w:r>
          </w:p>
        </w:tc>
        <w:tc>
          <w:tcPr>
            <w:tcW w:w="360" w:type="dxa"/>
            <w:vAlign w:val="bottom"/>
          </w:tcPr>
          <w:p>
            <w:pPr>
              <w:spacing w:after="0"/>
              <w:rPr>
                <w:sz w:val="22"/>
                <w:szCs w:val="22"/>
                <w:color w:val="auto"/>
              </w:rPr>
            </w:pPr>
          </w:p>
        </w:tc>
        <w:tc>
          <w:tcPr>
            <w:tcW w:w="11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67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40"/>
              <w:spacing w:after="0"/>
              <w:rPr>
                <w:sz w:val="20"/>
                <w:szCs w:val="20"/>
                <w:color w:val="auto"/>
              </w:rPr>
            </w:pPr>
            <w:r>
              <w:rPr>
                <w:rFonts w:ascii="Arial" w:cs="Arial" w:eastAsia="Arial" w:hAnsi="Arial"/>
                <w:sz w:val="14"/>
                <w:szCs w:val="14"/>
                <w:color w:val="auto"/>
              </w:rPr>
              <w:t>Net (loss) income</w:t>
            </w:r>
          </w:p>
        </w:tc>
        <w:tc>
          <w:tcPr>
            <w:tcW w:w="360" w:type="dxa"/>
            <w:vAlign w:val="bottom"/>
            <w:vMerge w:val="restart"/>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(3,519)</w:t>
            </w:r>
          </w:p>
        </w:tc>
        <w:tc>
          <w:tcPr>
            <w:tcW w:w="34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32"/>
              <w:spacing w:after="0"/>
              <w:rPr>
                <w:sz w:val="20"/>
                <w:szCs w:val="20"/>
                <w:color w:val="auto"/>
              </w:rPr>
            </w:pPr>
            <w:r>
              <w:rPr>
                <w:rFonts w:ascii="Arial" w:cs="Arial" w:eastAsia="Arial" w:hAnsi="Arial"/>
                <w:sz w:val="14"/>
                <w:szCs w:val="14"/>
                <w:color w:val="auto"/>
              </w:rPr>
              <w:t>34,004</w:t>
            </w:r>
          </w:p>
        </w:tc>
        <w:tc>
          <w:tcPr>
            <w:tcW w:w="36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(21,067)</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p>
      <w:pPr>
        <w:sectPr>
          <w:pgSz w:w="11900" w:h="16838" w:orient="portrait"/>
          <w:cols w:equalWidth="0" w:num="1">
            <w:col w:w="11420"/>
          </w:cols>
          <w:pgMar w:left="240" w:top="369" w:right="239" w:bottom="0" w:gutter="0" w:footer="0" w:header="0"/>
        </w:sectPr>
      </w:pPr>
    </w:p>
    <w:p>
      <w:pPr>
        <w:spacing w:after="0" w:line="1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Non-cash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 provision (benefit)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Non-cash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Non-cash interest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 of accreted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disposal of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stock-based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fair value of contingent consideration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bargain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assets and liabilities, net of business acquisitions: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non-current assets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Accounts payable,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provided by operating activities of continuing operations</w:t>
      </w:r>
    </w:p>
    <w:p>
      <w:pPr>
        <w:spacing w:after="0" w:line="109" w:lineRule="exact"/>
        <w:rPr>
          <w:sz w:val="20"/>
          <w:szCs w:val="20"/>
          <w:color w:val="auto"/>
        </w:rPr>
      </w:pPr>
    </w:p>
    <w:p>
      <w:pPr>
        <w:jc w:val="right"/>
        <w:ind w:right="1120"/>
        <w:spacing w:after="0"/>
        <w:rPr>
          <w:sz w:val="20"/>
          <w:szCs w:val="20"/>
          <w:color w:val="auto"/>
        </w:rPr>
      </w:pPr>
      <w:r>
        <w:rPr>
          <w:rFonts w:ascii="Arial" w:cs="Arial" w:eastAsia="Arial" w:hAnsi="Arial"/>
          <w:sz w:val="14"/>
          <w:szCs w:val="14"/>
          <w:color w:val="auto"/>
        </w:rPr>
        <w:t>Net cash (used in) provided by operating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restricted cash</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used in business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property and equipment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Sales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changes in intangible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used in investing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used in investing activities of discontinued operations</w:t>
      </w:r>
    </w:p>
    <w:p>
      <w:pPr>
        <w:spacing w:after="0" w:line="10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Borrowings under senior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Repayments under senior credit facility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the issuance of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Distribution to SeaSpine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 of liability component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 of capital lease obligation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exercised stock options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Excess tax benefits from stock-based compensation arrangements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14"/>
                <w:szCs w:val="14"/>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2,291</w:t>
            </w:r>
          </w:p>
        </w:tc>
        <w:tc>
          <w:tcPr>
            <w:tcW w:w="100" w:type="dxa"/>
            <w:vAlign w:val="bottom"/>
          </w:tcPr>
          <w:p>
            <w:pPr>
              <w:spacing w:after="0"/>
              <w:rPr>
                <w:sz w:val="14"/>
                <w:szCs w:val="14"/>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43,094</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58,863</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46,434</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31,013</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340</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37,210</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15,450</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14,554</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9,842</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2,264</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2,298</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7,911</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7,104</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6,463</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1,965</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(3,792)</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4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(16,231)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(17,145)</w:t>
            </w:r>
          </w:p>
        </w:tc>
        <w:tc>
          <w:tcPr>
            <w:tcW w:w="100" w:type="dxa"/>
            <w:vAlign w:val="bottom"/>
          </w:tcPr>
          <w:p>
            <w:pPr>
              <w:spacing w:after="0"/>
              <w:rPr>
                <w:sz w:val="24"/>
                <w:szCs w:val="24"/>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1,010</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(3,759)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(24,138)</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(27,364)</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16,526</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1,996</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(10,914)</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1,872</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1,629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1,334</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697</w:t>
            </w:r>
          </w:p>
        </w:tc>
      </w:tr>
      <w:tr>
        <w:trPr>
          <w:trHeight w:val="278"/>
        </w:trPr>
        <w:tc>
          <w:tcPr>
            <w:tcW w:w="1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(4,357)</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1,159</w:t>
            </w:r>
          </w:p>
        </w:tc>
      </w:tr>
      <w:tr>
        <w:trPr>
          <w:trHeight w:val="243"/>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106,692</w:t>
            </w:r>
          </w:p>
        </w:tc>
        <w:tc>
          <w:tcPr>
            <w:tcW w:w="12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58,843</w:t>
            </w: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53,041</w:t>
            </w:r>
          </w:p>
        </w:tc>
      </w:tr>
      <w:tr>
        <w:trPr>
          <w:trHeight w:val="278"/>
        </w:trPr>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(12,209)</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20,620</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227</w:t>
            </w:r>
          </w:p>
        </w:tc>
      </w:tr>
      <w:tr>
        <w:trPr>
          <w:trHeight w:val="243"/>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94,483</w:t>
            </w:r>
          </w:p>
        </w:tc>
        <w:tc>
          <w:tcPr>
            <w:tcW w:w="12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79,463</w:t>
            </w: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53,268</w:t>
            </w:r>
          </w:p>
        </w:tc>
      </w:tr>
      <w:tr>
        <w:trPr>
          <w:trHeight w:val="54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(4,087)</w:t>
            </w:r>
          </w:p>
        </w:tc>
        <w:tc>
          <w:tcPr>
            <w:tcW w:w="1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(328,888)</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(320,921)</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(2,980)</w:t>
            </w:r>
          </w:p>
        </w:tc>
      </w:tr>
      <w:tr>
        <w:trPr>
          <w:trHeight w:val="270"/>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(33,413)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(38,340)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(42,301)</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535</w:t>
            </w:r>
          </w:p>
        </w:tc>
      </w:tr>
      <w:tr>
        <w:trPr>
          <w:trHeight w:val="278"/>
        </w:trPr>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4"/>
                <w:szCs w:val="24"/>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(364,950)</w:t>
            </w:r>
          </w:p>
        </w:tc>
        <w:tc>
          <w:tcPr>
            <w:tcW w:w="1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(359,736)</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(44,746)</w:t>
            </w:r>
          </w:p>
        </w:tc>
      </w:tr>
      <w:tr>
        <w:trPr>
          <w:trHeight w:val="278"/>
        </w:trPr>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(7,060)</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(3,581)</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(5,550)</w:t>
            </w:r>
          </w:p>
        </w:tc>
      </w:tr>
      <w:tr>
        <w:trPr>
          <w:trHeight w:val="243"/>
        </w:trPr>
        <w:tc>
          <w:tcPr>
            <w:tcW w:w="1500" w:type="dxa"/>
            <w:vAlign w:val="bottom"/>
          </w:tcPr>
          <w:p>
            <w:pPr>
              <w:jc w:val="right"/>
              <w:ind w:right="11"/>
              <w:spacing w:after="0"/>
              <w:rPr>
                <w:sz w:val="20"/>
                <w:szCs w:val="20"/>
                <w:color w:val="auto"/>
              </w:rPr>
            </w:pPr>
            <w:r>
              <w:rPr>
                <w:rFonts w:ascii="Arial" w:cs="Arial" w:eastAsia="Arial" w:hAnsi="Arial"/>
                <w:sz w:val="14"/>
                <w:szCs w:val="14"/>
                <w:color w:val="auto"/>
              </w:rPr>
              <w:t>(372,010)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(363,317)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(50,296)</w:t>
            </w:r>
          </w:p>
        </w:tc>
      </w:tr>
      <w:tr>
        <w:trPr>
          <w:trHeight w:val="542"/>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545,000</w:t>
            </w:r>
          </w:p>
        </w:tc>
        <w:tc>
          <w:tcPr>
            <w:tcW w:w="120" w:type="dxa"/>
            <w:vAlign w:val="bottom"/>
          </w:tcPr>
          <w:p>
            <w:pPr>
              <w:spacing w:after="0"/>
              <w:rPr>
                <w:sz w:val="24"/>
                <w:szCs w:val="24"/>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425,000</w:t>
            </w:r>
          </w:p>
        </w:tc>
        <w:tc>
          <w:tcPr>
            <w:tcW w:w="100" w:type="dxa"/>
            <w:vAlign w:val="bottom"/>
          </w:tcPr>
          <w:p>
            <w:pPr>
              <w:spacing w:after="0"/>
              <w:rPr>
                <w:sz w:val="24"/>
                <w:szCs w:val="24"/>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30,000</w:t>
            </w:r>
          </w:p>
        </w:tc>
      </w:tr>
      <w:tr>
        <w:trPr>
          <w:trHeight w:val="270"/>
        </w:trPr>
        <w:tc>
          <w:tcPr>
            <w:tcW w:w="1500" w:type="dxa"/>
            <w:vAlign w:val="bottom"/>
          </w:tcPr>
          <w:p>
            <w:pPr>
              <w:jc w:val="right"/>
              <w:spacing w:after="0"/>
              <w:rPr>
                <w:sz w:val="20"/>
                <w:szCs w:val="20"/>
                <w:color w:val="auto"/>
              </w:rPr>
            </w:pPr>
            <w:r>
              <w:rPr>
                <w:rFonts w:ascii="Arial" w:cs="Arial" w:eastAsia="Arial" w:hAnsi="Arial"/>
                <w:sz w:val="14"/>
                <w:szCs w:val="14"/>
                <w:color w:val="auto"/>
              </w:rPr>
              <w:t>(465,625)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(195,000)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(165,000)</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219,669</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152,458</w:t>
            </w:r>
          </w:p>
        </w:tc>
      </w:tr>
      <w:tr>
        <w:trPr>
          <w:trHeight w:val="270"/>
        </w:trPr>
        <w:tc>
          <w:tcPr>
            <w:tcW w:w="1500" w:type="dxa"/>
            <w:vAlign w:val="bottom"/>
          </w:tcPr>
          <w:p>
            <w:pPr>
              <w:jc w:val="right"/>
              <w:spacing w:after="0"/>
              <w:rPr>
                <w:sz w:val="20"/>
                <w:szCs w:val="20"/>
                <w:color w:val="auto"/>
              </w:rPr>
            </w:pPr>
            <w:r>
              <w:rPr>
                <w:rFonts w:ascii="Arial" w:cs="Arial" w:eastAsia="Arial" w:hAnsi="Arial"/>
                <w:sz w:val="14"/>
                <w:szCs w:val="14"/>
                <w:color w:val="auto"/>
              </w:rPr>
              <w:t>(47,013)</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1500" w:type="dxa"/>
            <w:vAlign w:val="bottom"/>
          </w:tcPr>
          <w:p>
            <w:pPr>
              <w:jc w:val="right"/>
              <w:spacing w:after="0"/>
              <w:rPr>
                <w:sz w:val="20"/>
                <w:szCs w:val="20"/>
                <w:color w:val="auto"/>
              </w:rPr>
            </w:pPr>
            <w:r>
              <w:rPr>
                <w:rFonts w:ascii="Arial" w:cs="Arial" w:eastAsia="Arial" w:hAnsi="Arial"/>
                <w:sz w:val="14"/>
                <w:szCs w:val="14"/>
                <w:color w:val="auto"/>
              </w:rPr>
              <w:t>(2,519)</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(3,210)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(1,053)</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7,345</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15,215</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2,344</w:t>
            </w:r>
          </w:p>
        </w:tc>
      </w:tr>
      <w:tr>
        <w:trPr>
          <w:trHeight w:val="270"/>
        </w:trPr>
        <w:tc>
          <w:tcPr>
            <w:tcW w:w="1500" w:type="dxa"/>
            <w:vAlign w:val="bottom"/>
          </w:tcPr>
          <w:p>
            <w:pPr>
              <w:jc w:val="right"/>
              <w:ind w:right="51"/>
              <w:spacing w:after="0"/>
              <w:rPr>
                <w:sz w:val="20"/>
                <w:szCs w:val="20"/>
                <w:color w:val="auto"/>
              </w:rPr>
            </w:pPr>
            <w:r>
              <w:rPr>
                <w:rFonts w:ascii="Arial" w:cs="Arial" w:eastAsia="Arial" w:hAnsi="Arial"/>
                <w:sz w:val="14"/>
                <w:szCs w:val="14"/>
                <w:color w:val="auto"/>
              </w:rPr>
              <w:t>3,791</w:t>
            </w:r>
          </w:p>
        </w:tc>
        <w:tc>
          <w:tcPr>
            <w:tcW w:w="12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270</w:t>
            </w:r>
          </w:p>
        </w:tc>
      </w:tr>
    </w:tbl>
    <w:p>
      <w:pPr>
        <w:spacing w:after="0" w:line="1" w:lineRule="exact"/>
        <w:rPr>
          <w:sz w:val="20"/>
          <w:szCs w:val="20"/>
          <w:color w:val="auto"/>
        </w:rPr>
      </w:pPr>
    </w:p>
    <w:p>
      <w:pPr>
        <w:sectPr>
          <w:pgSz w:w="11900" w:h="16838" w:orient="portrait"/>
          <w:cols w:equalWidth="0" w:num="2">
            <w:col w:w="6020" w:space="720"/>
            <w:col w:w="4680"/>
          </w:cols>
          <w:pgMar w:left="240" w:top="369" w:right="239" w:bottom="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67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Net cash provided by financing activities</w:t>
            </w:r>
          </w:p>
        </w:tc>
        <w:tc>
          <w:tcPr>
            <w:tcW w:w="5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258,513</w:t>
            </w: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242,784</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19,019</w:t>
            </w:r>
          </w:p>
        </w:tc>
        <w:tc>
          <w:tcPr>
            <w:tcW w:w="0" w:type="dxa"/>
            <w:vAlign w:val="bottom"/>
          </w:tcPr>
          <w:p>
            <w:pPr>
              <w:spacing w:after="0"/>
              <w:rPr>
                <w:sz w:val="1"/>
                <w:szCs w:val="1"/>
                <w:color w:val="auto"/>
              </w:rPr>
            </w:pPr>
          </w:p>
        </w:tc>
      </w:tr>
      <w:tr>
        <w:trPr>
          <w:trHeight w:val="68"/>
        </w:trPr>
        <w:tc>
          <w:tcPr>
            <w:tcW w:w="674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500" w:type="dxa"/>
            <w:vAlign w:val="bottom"/>
          </w:tcPr>
          <w:p>
            <w:pPr>
              <w:spacing w:after="0"/>
              <w:rPr>
                <w:sz w:val="14"/>
                <w:szCs w:val="14"/>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(7,550)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75"/>
        </w:trPr>
        <w:tc>
          <w:tcPr>
            <w:tcW w:w="67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5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(23,862)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23,676</w:t>
            </w:r>
          </w:p>
        </w:tc>
        <w:tc>
          <w:tcPr>
            <w:tcW w:w="0" w:type="dxa"/>
            <w:vAlign w:val="bottom"/>
          </w:tcPr>
          <w:p>
            <w:pPr>
              <w:spacing w:after="0"/>
              <w:rPr>
                <w:sz w:val="1"/>
                <w:szCs w:val="1"/>
                <w:color w:val="auto"/>
              </w:rPr>
            </w:pPr>
          </w:p>
        </w:tc>
      </w:tr>
      <w:tr>
        <w:trPr>
          <w:trHeight w:val="82"/>
        </w:trPr>
        <w:tc>
          <w:tcPr>
            <w:tcW w:w="67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500" w:type="dxa"/>
            <w:vAlign w:val="bottom"/>
          </w:tcPr>
          <w:p>
            <w:pPr>
              <w:spacing w:after="0"/>
              <w:rPr>
                <w:sz w:val="16"/>
                <w:szCs w:val="16"/>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color w:val="auto"/>
              </w:rPr>
              <w:t>71,994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120,614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color w:val="auto"/>
              </w:rPr>
              <w:t>96,938</w:t>
            </w:r>
          </w:p>
        </w:tc>
        <w:tc>
          <w:tcPr>
            <w:tcW w:w="0" w:type="dxa"/>
            <w:vAlign w:val="bottom"/>
          </w:tcPr>
          <w:p>
            <w:pPr>
              <w:spacing w:after="0"/>
              <w:rPr>
                <w:sz w:val="1"/>
                <w:szCs w:val="1"/>
                <w:color w:val="auto"/>
              </w:rPr>
            </w:pPr>
          </w:p>
        </w:tc>
      </w:tr>
      <w:tr>
        <w:trPr>
          <w:trHeight w:val="75"/>
        </w:trPr>
        <w:tc>
          <w:tcPr>
            <w:tcW w:w="67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50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48,132</w:t>
            </w:r>
          </w:p>
        </w:tc>
        <w:tc>
          <w:tcPr>
            <w:tcW w:w="1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71,994</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120,614</w:t>
            </w:r>
          </w:p>
        </w:tc>
        <w:tc>
          <w:tcPr>
            <w:tcW w:w="0" w:type="dxa"/>
            <w:vAlign w:val="bottom"/>
          </w:tcPr>
          <w:p>
            <w:pPr>
              <w:spacing w:after="0"/>
              <w:rPr>
                <w:sz w:val="1"/>
                <w:szCs w:val="1"/>
                <w:color w:val="auto"/>
              </w:rPr>
            </w:pPr>
          </w:p>
        </w:tc>
      </w:tr>
      <w:tr>
        <w:trPr>
          <w:trHeight w:val="62"/>
        </w:trPr>
        <w:tc>
          <w:tcPr>
            <w:tcW w:w="674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369" w:right="239" w:bottom="0"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w:t>
      </w:r>
    </w:p>
    <w:p>
      <w:pPr>
        <w:sectPr>
          <w:pgSz w:w="11900" w:h="16838" w:orient="portrait"/>
          <w:cols w:equalWidth="0" w:num="1">
            <w:col w:w="11420"/>
          </w:cols>
          <w:pgMar w:left="240" w:top="369" w:right="239"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66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8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Treasury Stock</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Accumulated 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Additional Paid-In</w:t>
            </w:r>
          </w:p>
        </w:tc>
        <w:tc>
          <w:tcPr>
            <w:tcW w:w="120" w:type="dxa"/>
            <w:vAlign w:val="bottom"/>
          </w:tcPr>
          <w:p>
            <w:pPr>
              <w:spacing w:after="0"/>
              <w:rPr>
                <w:sz w:val="2"/>
                <w:szCs w:val="2"/>
                <w:color w:val="auto"/>
              </w:rPr>
            </w:pPr>
          </w:p>
        </w:tc>
        <w:tc>
          <w:tcPr>
            <w:tcW w:w="11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249"/>
        </w:trPr>
        <w:tc>
          <w:tcPr>
            <w:tcW w:w="3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2012</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36,852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(367,121)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587,301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302,023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517,775</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(21,067)</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4,025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152,418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152,458</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common stock through employee benefit plans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10,966</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Balance, December 31, 2013</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41,042</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(8,907)</w:t>
            </w:r>
          </w:p>
        </w:tc>
        <w:tc>
          <w:tcPr>
            <w:tcW w:w="1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(367,121)</w:t>
            </w:r>
          </w:p>
        </w:tc>
        <w:tc>
          <w:tcPr>
            <w:tcW w:w="14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750,918</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280,956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666,090</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34,004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34,004</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(24,415)</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common stock through employee benefit plans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596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28,357</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Balance, December 31, 2014</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41,644</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(8,907)</w:t>
            </w:r>
          </w:p>
        </w:tc>
        <w:tc>
          <w:tcPr>
            <w:tcW w:w="1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(367,121)</w:t>
            </w:r>
          </w:p>
        </w:tc>
        <w:tc>
          <w:tcPr>
            <w:tcW w:w="14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779,555</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(23,488)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314,960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704,322</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Separation of SeaSpine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(165,562)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(167,229)</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(22,747)</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4,003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219,640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219,680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w w:val="95"/>
              </w:rPr>
              <w:t>Issuance of common stock through employee benefit plans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20,705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45,857</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(8,915)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(367,121)</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1,020,128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145,879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751,443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364" w:right="239" w:bottom="1440" w:gutter="0" w:footer="0" w:header="0"/>
        </w:sectPr>
      </w:pPr>
    </w:p>
    <w:bookmarkStart w:id="69" w:name="page70"/>
    <w:bookmarkEnd w:id="69"/>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ind w:right="2700"/>
        <w:spacing w:after="0" w:line="438" w:lineRule="auto"/>
        <w:rPr>
          <w:sz w:val="20"/>
          <w:szCs w:val="20"/>
          <w:color w:val="auto"/>
        </w:rPr>
      </w:pPr>
      <w:r>
        <w:rPr>
          <w:rFonts w:ascii="Arial" w:cs="Arial" w:eastAsia="Arial" w:hAnsi="Arial"/>
          <w:sz w:val="18"/>
          <w:szCs w:val="18"/>
          <w:color w:val="auto"/>
        </w:rPr>
        <w:t xml:space="preserve">The Company sells its products directly through various sales forces and through a variety of other distribution channels. </w:t>
      </w: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consolidated financial statements include the accounts of the Company and its subsidiaries, all of which are wholly owned. All intercompany accounts and transactions are eliminated in consolidation.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for details of new subsidiaries included in the consolidation.</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On July 1, 2015, the Company completed the distribution of 100% of the outstanding common shares of SeaSpine Holdings Corporation ("SeaSpine") to Integra shareholders who received one share of SeaSpine common stock for every three shares of Integra common stock held as of the close of business on the record date, June 19, 2015. The Company has classified the results of operations, cash flows, and related assets and liabilities of SeaSpine as discontinued operations for all periods presented in the Company's Form 10-K. Unless indicated otherwise, the information in the Notes to the consolidated financial statements relates to the Company's continuing operations. Refer to Note 3, </w:t>
      </w:r>
      <w:r>
        <w:rPr>
          <w:rFonts w:ascii="Arial" w:cs="Arial" w:eastAsia="Arial" w:hAnsi="Arial"/>
          <w:sz w:val="16"/>
          <w:szCs w:val="16"/>
          <w:i w:val="1"/>
          <w:iCs w:val="1"/>
          <w:color w:val="auto"/>
        </w:rPr>
        <w:t>Discontinued Operations</w:t>
      </w:r>
      <w:r>
        <w:rPr>
          <w:rFonts w:ascii="Arial" w:cs="Arial" w:eastAsia="Arial" w:hAnsi="Arial"/>
          <w:sz w:val="16"/>
          <w:szCs w:val="16"/>
          <w:color w:val="auto"/>
        </w:rPr>
        <w:t>, for additional information regarding the distribution.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 OF PERIOD ADJUSTMENTS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2013, income tax benefit was increased by $1.0 million for the cumulative effect of immaterial errors related to the Company's reserve for uncertain tax positions that related to prior periods. Of the $1.0 million increase, $0.9 million was to correct an error that was recorded in the deferred tax accounts in 2011, and the remainder of the error had an insignificant impact across 2012 and 2013. Based upon the Company's evaluation of relevant factors related to this matter, it concluded that the uncorrected adjustments in the previously issued consolidated financial statements for any of the periods affected are immaterial and that the impact of recording the cumulative correction in the fourth quarter of 2013 is not material to its earnings for the full year ending December 31,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- 7</w:t>
      </w:r>
    </w:p>
    <w:p>
      <w:pPr>
        <w:sectPr>
          <w:pgSz w:w="11900" w:h="16838" w:orient="portrait"/>
          <w:cols w:equalWidth="0" w:num="1">
            <w:col w:w="11420"/>
          </w:cols>
          <w:pgMar w:left="240" w:top="121"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Restricted cash and cash equivalents represents cash that is not available for use in our operations. The Company had restricted cash and cash equivalents of $4.1 million as of December 31, 2015. There was no restricted cash as of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47,962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38,938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211,429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189,133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2015 or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8"/>
          <w:szCs w:val="18"/>
          <w:i w:val="1"/>
          <w:iCs w:val="1"/>
          <w:color w:val="auto"/>
        </w:rPr>
        <w:t>Internal-Use Software.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75,575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41,154</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86,010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10,758</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90,672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14,861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78,055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373,697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341,089</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(147,463)</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205,181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193,626</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associated with property, plant and equipment was $27.0 million, $23.7 million, and $19.9 million for the years ended December 31, 2015, 2014 and 2013, respectively.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leases certain computer equipment under capital lease agreements. The gross carrying value of such leases amounted to $2.0 million at December 31, 2015 and 2014. The accumulated depreciation of such leases amounted to $1.3 million and $0.7 million at December 31, 2015 and 2014, respectively, and the cost is included as a component of furniture, fixtures, office equipment and information systems and hardware.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2015 and 2014, respectively, the Company capitalized $1.7 million and $2.6 million and of interest expense into property, plant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The purchase price of each acquisition is allocated to the net assets acquired based on estimates of their fair values at the date of the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Contingent consideration is recognized at the estimated fair value on the acquisition date.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annually as of July 31 and whenever events or changes in circumstances indicate the carrying value of goodwill may not be recoverable.</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2015 the Company revised its reportable segments in connection with the realignment of its portfolio. Specifically, the Company integrated the five existing business divisions into three global divisions, no longer focusing on international as a separate reportable segment but managing each business globally. The change in reportable segments resulted in the Company's requirement to reallocate existing goodwill to the new reportable segments based on the relative fair value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four underlying reporting units: Specialty Surgical Solutions Instruments, Specialty Surgical Solutions Neurosurgery, Spine, and Orthopedics and Tissue Technologies. Refer to Note 13 </w:t>
      </w:r>
      <w:r>
        <w:rPr>
          <w:rFonts w:ascii="Arial" w:cs="Arial" w:eastAsia="Arial" w:hAnsi="Arial"/>
          <w:sz w:val="18"/>
          <w:szCs w:val="18"/>
          <w:i w:val="1"/>
          <w:iCs w:val="1"/>
          <w:color w:val="auto"/>
        </w:rPr>
        <w:t>- Segment and Geographic Information</w:t>
      </w:r>
      <w:r>
        <w:rPr>
          <w:rFonts w:ascii="Arial" w:cs="Arial" w:eastAsia="Arial" w:hAnsi="Arial"/>
          <w:sz w:val="18"/>
          <w:szCs w:val="18"/>
          <w:color w:val="auto"/>
        </w:rPr>
        <w:t xml:space="preserve"> for more information on the change in reportable segments. With the reportable segments now being managed at a global level, goodwill previously assigned to the EMEA, LAPAC, and Private Label reporting units was reallocated to the new reporting units. The Company estimated the fair value of the four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57"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30"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Given the excess of the Specialty Surgical Solutions Instruments, Specialty Surgical Solutions Neurosurgery, and Orthopedics and Tissue Technologies estimated fair values over their carrying values after the reallocation of goodwill, no impairment was recognized. The goodwill assigned to the Spine reporting unit was impaired during the first quarter of 2015 and the impairment charge has been presented in the Company's discontinued operations.</w:t>
      </w:r>
    </w:p>
    <w:p>
      <w:pPr>
        <w:spacing w:after="0" w:line="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goodwill impairment testing performed in conjunction with the change in reportable segments, the Company performed its annual goodwill impairment test as of July 31, 2015. In reviewing goodwill for impairment, the Company has the option - for any or all of its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the Company elects to perform a qualitative assessment and determines that an impairment is more likely than not, the Company is then required to perform the two-step quantitative impairment test, otherwise no further analysis is required. The Company also may elect not to perform the qualitative assessment and, instead, proceed directly to step one of the two-step quantitative impairment test. The ultimate outcome of the goodwill impairment review for a reporting unit should be the same whether the Company chooses to perform the qualitative assessment or proceeds directly to the two-step quantitative impairment test.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July 1, 2015, the Company completed the separation of its spine business, which also represented a reporting unit. See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additional information. Following the separation, the Company has three remaining underlying reporting units. The Company elected to perform a two-step quantitative analysis for its three reporting units as of July 31, 2015. To derive the fair value of the reporting units, the Company utilized a discounted cash flow model and inputs and assumptions that were similar to its discounted cash flow model performed in the reallocation of goodwill. The Company determined, after performing the Step-1 fair value analysis, that the reporting units' fair value was in excess of their carrying value; therefore, it was not necessary to proceed to Step-2 of the goodwill impairment test for Specialty Surgical Solutions Instruments, Specialty Surgical Solutions Neurosurgery, and Orthopedics and Tissue Technologies.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2015 and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Specialty Surgical</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Orthopedics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Tissue</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Technologies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2014</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281,829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363,479</w:t>
            </w:r>
          </w:p>
        </w:tc>
        <w:tc>
          <w:tcPr>
            <w:tcW w:w="0" w:type="dxa"/>
            <w:vAlign w:val="bottom"/>
          </w:tcPr>
          <w:p>
            <w:pPr>
              <w:spacing w:after="0"/>
              <w:rPr>
                <w:sz w:val="1"/>
                <w:szCs w:val="1"/>
                <w:color w:val="auto"/>
              </w:rPr>
            </w:pPr>
          </w:p>
        </w:tc>
      </w:tr>
      <w:tr>
        <w:trPr>
          <w:trHeight w:val="324"/>
        </w:trPr>
        <w:tc>
          <w:tcPr>
            <w:tcW w:w="7440" w:type="dxa"/>
            <w:vAlign w:val="bottom"/>
          </w:tcPr>
          <w:p>
            <w:pPr>
              <w:ind w:left="40"/>
              <w:spacing w:after="0"/>
              <w:rPr>
                <w:sz w:val="20"/>
                <w:szCs w:val="20"/>
                <w:color w:val="auto"/>
              </w:rPr>
            </w:pPr>
            <w:r>
              <w:rPr>
                <w:rFonts w:ascii="Arial" w:cs="Arial" w:eastAsia="Arial" w:hAnsi="Arial"/>
                <w:sz w:val="18"/>
                <w:szCs w:val="18"/>
                <w:color w:val="auto"/>
              </w:rPr>
              <w:t>MicroFrance working capital and purchase price adjustments</w:t>
            </w:r>
          </w:p>
        </w:tc>
        <w:tc>
          <w:tcPr>
            <w:tcW w:w="2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Metasurg working capital and purchase price adjustment</w:t>
            </w:r>
          </w:p>
        </w:tc>
        <w:tc>
          <w:tcPr>
            <w:tcW w:w="220" w:type="dxa"/>
            <w:vAlign w:val="bottom"/>
            <w:shd w:val="clear" w:color="auto" w:fill="CCEEFF"/>
          </w:tcPr>
          <w:p>
            <w:pPr>
              <w:spacing w:after="0"/>
              <w:rPr>
                <w:sz w:val="24"/>
                <w:szCs w:val="24"/>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88"/>
        </w:trPr>
        <w:tc>
          <w:tcPr>
            <w:tcW w:w="744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440" w:type="dxa"/>
            <w:vAlign w:val="bottom"/>
          </w:tcPr>
          <w:p>
            <w:pPr>
              <w:ind w:left="40"/>
              <w:spacing w:after="0"/>
              <w:rPr>
                <w:sz w:val="20"/>
                <w:szCs w:val="20"/>
                <w:color w:val="auto"/>
              </w:rPr>
            </w:pPr>
            <w:r>
              <w:rPr>
                <w:rFonts w:ascii="Arial" w:cs="Arial" w:eastAsia="Arial" w:hAnsi="Arial"/>
                <w:sz w:val="18"/>
                <w:szCs w:val="18"/>
                <w:color w:val="auto"/>
              </w:rPr>
              <w:t>TEI acquisition</w:t>
            </w:r>
          </w:p>
        </w:tc>
        <w:tc>
          <w:tcPr>
            <w:tcW w:w="220" w:type="dxa"/>
            <w:vAlign w:val="bottom"/>
          </w:tcPr>
          <w:p>
            <w:pPr>
              <w:spacing w:after="0"/>
              <w:rPr>
                <w:sz w:val="24"/>
                <w:szCs w:val="24"/>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147,878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147,878</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Tekmed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284,976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227,413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512,389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including IPR&amp;D,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R&amp;D project is subsequently abandoned, the indefinite-lived intangible asset is charged to expense. IPR&amp;D acquired outside of a business combination is expensed immediately.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associated with R&amp;D projects, there is risk that actual results will differ materially from the original cash flow projections and that the R&amp;D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480,684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412,706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12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153,246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84,435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Trademarks/brand names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 years</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90,837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74,463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27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22,485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 years</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770,446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(166,706)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603,740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 2014</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years</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314,664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268,325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105,201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Trademarks/brand names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44,220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Trademarks/brand names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years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550,200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December 31, 2015 and 2014, all other included IPR&amp;D of $1.0 million and $1.4 million, respectively, which was indefinite-lived.</w:t>
      </w:r>
    </w:p>
    <w:p>
      <w:pPr>
        <w:spacing w:after="0" w:line="17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August 2015, the Company reevaluated the Miltex, CUSA, Luxtec, and Omni-Tract trade names and determined that they are no longer indefinite-lived intangible assets. The Company assigned remaining useful lives ranging from 20 to 30 years, consistent with other trademarks/brand names, and began amortization.</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performs its assessment of the recoverability of indefinite-lived intangible assets annually during the second quarter, or more frequently as impairment indicators arise, and it is based upon a comparison of the carrying value of such assets to their estimated fair values. The Company performed its most recent annual assessment during the second quarter of 2015, which resulted in no impairments.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2015, the Company recorded impairment charges of $0.4 million in research and development expense related to IPR&amp;D projects that have been discontinued in its Orthopedics and Tissue Technologies segment.</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2014, the Company recorded impairment charges of $0.2 million in research and development expense related to IPR&amp;D projects primarily acquired in connection with the Metasurg acquisition. In connection with this acquisition, we acquired IPR&amp;D related to a product that will be discontinued. Therefore, a full-impairment of acquired IPR&amp;D was recorded in the Company's selling, general, and administrative expenses. We also recorded an impairment charge of $0.6 million in cost of sales related to acquired technology product rights in conjunction with the Covidien acquisition. Subsequent to the acquisition date, a regulatory event occurred that was not known, or knowable, at the time of acquisition which resulted in the impairment.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the Company recorded impairment charges of $0.4 million in research and development expense related to IPR&amp;D projects that have been discontinued in its Orthopedics and Tissue Technologies segment.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(including amounts reported in cost of product revenues, but excluding any possible future amortization associated with acquired IPR&amp;D) for the years ended December 31, 2015, 2014 and 2013 was $32.2 million, $22.7 million and $11.2 million, respectively. Annual amortization expense is expected to approximate $42.2 million in 2016, $41.5 million in 2017, $40.7 million in 2018, $40.6 million in 2019 and $40.5 million in 2020. Amortization of product technology based intangible assets totaled $22.3 million, $15.9 million and $4.1 million for the years ended December 31, 2015, 2014 and 2013, respectively, and is presented by the Company within cost of goods sold.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- 12</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$0.9 million, $0.6 million and $0.6 million to the Integra Foundation during the years ended December 31, 2015, 2014 and 2013, respectively. These contributions were recorded in selling, general, and administrative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that meet the definition of hedges in the same category as the item being hedged for cash flow presentation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in the consolidated balance sheets of the Company. The Company also records interest and penalties accrued in relation to uncertain tax benefits as a component of income tax expense.</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continues to indefinitely reinvest substantially all of its foreign earnings. Our current analysis indicates that we have sufficient U.S. liquidity, including borrowing capacity, to fund foreseeable U.S. cash needs without requiring the repatriation of foreign cash. As of December 31, 2015, taxes have not been provided on approximately $261.3 million of accumulated foreign unremitted earnings on certain non-US subsidiaries that are expected to remain invested indefinitely. The unrecognized deferred tax liability associated with these temporary differences was estimated to be $37.9 million. One time or unusual items that may impact our ability or intent to keep our foreign earnings and cash indefinitely reinvested include significant U.S. acquisitions, loans from a foreign subsidiary, changes in tax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distribution arrangements, research grants, and technology-related royalties.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persuasive evidence of an arrangement exists, delivery has occurred;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 A portion of the Company's product revenue is generated from consigned inventory maintained at hospitals and distributors, and also from inventory physically held by field sales representatives. For these types of products sales, the Company retains title until receiving appropriate notification that the product has been used or implanted, at which time revenue is recognized.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billed to customers for shipping and handling are included in revenues. The related shipping and freight charges incurred by the Company are included in cost of goods sold. Distribution and handling costs of $13.7 million, $13.2 million and $12.8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million were recorded in selling, general and administrative expense during the years ended December 31, 2015, 2014 and 2013, respectively. </w:t>
      </w:r>
      <w:r>
        <w:rPr>
          <w:rFonts w:ascii="Arial" w:cs="Arial" w:eastAsia="Arial" w:hAnsi="Arial"/>
          <w:sz w:val="18"/>
          <w:szCs w:val="18"/>
          <w:b w:val="1"/>
          <w:bCs w:val="1"/>
          <w:i w:val="1"/>
          <w:iCs w:val="1"/>
          <w:color w:val="auto"/>
        </w:rPr>
        <w:t>PRODUCT WARRANTIES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 Accrued warranty expense of $0.8 million and $0.3 million is recorded in the consolidated balance sheet at December 31, 2015 and 2014, respectively.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7"/>
          <w:szCs w:val="17"/>
          <w:i w:val="1"/>
          <w:iCs w:val="1"/>
          <w:color w:val="auto"/>
        </w:rPr>
        <w:t xml:space="preserve">Compensation-Nonretirement Benefits </w:t>
      </w:r>
      <w:r>
        <w:rPr>
          <w:rFonts w:ascii="Arial" w:cs="Arial" w:eastAsia="Arial" w:hAnsi="Arial"/>
          <w:sz w:val="17"/>
          <w:szCs w:val="17"/>
          <w:color w:val="auto"/>
        </w:rPr>
        <w:t>and ASC Topic 420</w:t>
      </w:r>
      <w:r>
        <w:rPr>
          <w:rFonts w:ascii="Arial" w:cs="Arial" w:eastAsia="Arial" w:hAnsi="Arial"/>
          <w:sz w:val="17"/>
          <w:szCs w:val="17"/>
          <w:i w:val="1"/>
          <w:iCs w:val="1"/>
          <w:color w:val="auto"/>
        </w:rPr>
        <w:t xml:space="preserve"> One-time Employee Termination Benefits</w:t>
      </w:r>
      <w:r>
        <w:rPr>
          <w:rFonts w:ascii="Arial" w:cs="Arial" w:eastAsia="Arial" w:hAnsi="Arial"/>
          <w:sz w:val="17"/>
          <w:szCs w:val="17"/>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defined benefit pension plan covers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completed the buy-out of its defined benefit pension plan in the U.K. which covered certain employees and retirees. All plan assets of the defined benefit pension plan were transferred to an independent financial services firm and the Company made cash contributions of approximately $1.8 million for the year-ended December 31, 2015. The Company recorded expenses totaling approximately $5.6 million in selling, general and administrative costs in conjunction with the buy-out of the plan. The buy-out of the U.K. pension plan eliminated future obligations of the Company under this plan.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Pension contributions to the remaining German plan are expected to be consistent over the next few years since the plan is frozen. Contributions made to both the UK and Germany plan during the years ended December 31, 2015, 2014 and 2013 were $2.2 million, $0.9 million and $0.8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127"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None of the Company's customers accounted for 10% or more of the consolidated net sales during the years ended December 31, 2015, 2014 and 2013. </w:t>
      </w:r>
      <w:r>
        <w:rPr>
          <w:rFonts w:ascii="Arial" w:cs="Arial" w:eastAsia="Arial" w:hAnsi="Arial"/>
          <w:sz w:val="18"/>
          <w:szCs w:val="18"/>
          <w:b w:val="1"/>
          <w:bCs w:val="1"/>
          <w:i w:val="1"/>
          <w:iCs w:val="1"/>
          <w:color w:val="auto"/>
        </w:rPr>
        <w:t>RECENTLY ISSUED AND ADOPTED ACCOUNTING STANDARDS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 The new guidance is effective for Integra prospectively for all disposals (or classifications as held for sale) of components of an entity that occur after January 1, 2015. The spin-off of the spine business by the Company on July 1, 2015 met the definition of a discontinued operation under the new guidance and, as a result, the Company reflected the provisions of the new guidance in its third quarter 2015 results.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In July 2015, the FASB deferred for one year the effective date of the new revenue standard, but early adoption will be permitted as of January 1, 2017. The new standard will be effective for the Company on January 1, 2018. The Company is in the process of evaluating the impact of this standard on its financial statements.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2014, the FASB issued Update No. 2014-12, </w:t>
      </w:r>
      <w:r>
        <w:rPr>
          <w:rFonts w:ascii="Arial" w:cs="Arial" w:eastAsia="Arial" w:hAnsi="Arial"/>
          <w:sz w:val="16"/>
          <w:szCs w:val="16"/>
          <w:i w:val="1"/>
          <w:iCs w:val="1"/>
          <w:color w:val="auto"/>
        </w:rPr>
        <w:t>Accounting for Share-Based Payments When the Terms of an Award Provide That a Performance Target</w:t>
      </w:r>
      <w:r>
        <w:rPr>
          <w:rFonts w:ascii="Arial" w:cs="Arial" w:eastAsia="Arial" w:hAnsi="Arial"/>
          <w:sz w:val="16"/>
          <w:szCs w:val="16"/>
          <w:color w:val="auto"/>
        </w:rPr>
        <w:t xml:space="preserve"> </w:t>
      </w:r>
      <w:r>
        <w:rPr>
          <w:rFonts w:ascii="Arial" w:cs="Arial" w:eastAsia="Arial" w:hAnsi="Arial"/>
          <w:sz w:val="16"/>
          <w:szCs w:val="16"/>
          <w:i w:val="1"/>
          <w:iCs w:val="1"/>
          <w:color w:val="auto"/>
        </w:rPr>
        <w:t>Could Be Achieved after the Requisite Service Period (Topic 718)</w:t>
      </w:r>
      <w:r>
        <w:rPr>
          <w:rFonts w:ascii="Arial" w:cs="Arial" w:eastAsia="Arial" w:hAnsi="Arial"/>
          <w:sz w:val="16"/>
          <w:szCs w:val="16"/>
          <w:color w:val="auto"/>
        </w:rPr>
        <w:t>. The amendments require that a performance target that affects vesting and that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the Company's consolidated financial position or results of operations.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2014, the FASB issued Update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April 2015, the FASB issued Update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amendment requires that all costs incurred to issue debt be presented in the balance sheet as a direct deduction from the carrying value of the debt. The new standard is limited to the presentation of debt issuance costs and does not affect the recognition or measurement of debt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issuance costs. This update will become effective for all annual periods and interim reporting periods beginning after December 15, 2015. The implementation of the amended guidance is not expected to have a material impact on the consolidated results of operations and will result in a reclassification of the debt issuance costs from other long-term assets to long-term debt when adopted.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2015, the FASB issued Update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2015, the FASB issued Update No. 2015-15,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The amendment requires entities to present debt issuance costs related to a recognized debt liability as a direct deduction from the carrying amount of that debt liability.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would not object to an entity's deferring and presenting debt issuance costs as an asset and subsequently amortizing the deferred debt issuance costs ratably over the term of the line-of-credit arrangement, regardless of whether there are any outstanding borrowings on the line-of-credit arrangement. This update will become effective for all annual periods and interim reporting periods beginning after December 15, 2015. The implementation of the amended guidance is not expected to have a material impact on the consolidated financial position or results of operations.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September 2015, the FASB issued Update No.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will become effective for all annual periods and interim reporting periods beginning after December 15, 2015. The new standard must be applied prospectively to adjustments to provisional amounts that occur after the effective date. Early application is permitted for financial statements that have not been issued. The implementation of the amended guidance is not expected to have a material impact on the consolidated results of operations or disclosures in the financial statements.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2015, the FASB issued Update No. 2015-17, </w:t>
      </w:r>
      <w:r>
        <w:rPr>
          <w:rFonts w:ascii="Arial" w:cs="Arial" w:eastAsia="Arial" w:hAnsi="Arial"/>
          <w:sz w:val="18"/>
          <w:szCs w:val="18"/>
          <w:i w:val="1"/>
          <w:iCs w:val="1"/>
          <w:color w:val="auto"/>
        </w:rPr>
        <w:t>Income Taxes (Topic 740)</w:t>
      </w:r>
      <w:r>
        <w:rPr>
          <w:rFonts w:ascii="Arial" w:cs="Arial" w:eastAsia="Arial" w:hAnsi="Arial"/>
          <w:sz w:val="18"/>
          <w:szCs w:val="18"/>
          <w:color w:val="auto"/>
        </w:rPr>
        <w:t>. Under current accounting guidance an entity is required to separate deferred income tax liabilities and assets into current and non-current amounts in a classified statement of financial position. The amendment requires that an entity present all deferred tax assets and liabilities as non-current in a classified statement of financial position. This update will become effective for all annual periods and interim reporting periods beginning after December 15, 2016. The Company adopted this guidance effective December 31, 2015 on a prospective basis. As a result, the Company has not retrospectively adjusted the balance sheet classification and presentation for the deferred tax assets and liabilities for years prior to 2015.</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payment of accreted interest associated with the settlement of the 2016 Convertible Notes, cash paid for interest during the years ended December 31, 2015, 2014 and 2013 was $12.7 million (net of $1.7 million that was capitalized into construction in progress), $10.9 million (net of $2.6 million that was capitalized into construction in progress) and $9.5 million (net of $3.2 million that was capitalized into construction in progress),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Cash paid for income taxes for the years ended December 31, 2015, 2014 and 2013 was $21.3 million, $6.8 million and $3.7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purchases included in liabilities at December 31, 2015, 2014 and 2013 were $4.7 million, $3.3 million and $8.1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29, 2014, Integra's Board of Directors approved the announcement of a plan to separate SeaSpine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 shares to Integra stockholders is the most efficient manner to separate our business from Integra's other medical technology businesses. On November 3, 2014, the Company announced its intention to separate its spine business, which was previously a separate reportable segment. On July 1, 2015, the Company completed the distribution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100% of the outstanding common stock of SeaSpine to Integra stockholders, who received one share of SeaSpine common stock for every three shares of Integra common stock held as of the close of business on the record date, June 19, 2015. The Company and SeaSpine share three board members, including the chair of Integra’s board of directors who is lead director for SeaSpine. The separation agreement ensures that SeaSpine had approximately $47.0 million of total cash immediately following the distribution. No gain or loss was recognized on the part of the Company or shareholders as a result of the distribution resulting from the separation of the spine business.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historical results of operations, cash flows, and statement of financial position of SeaSpine have been presented as discontinued operations in the consolidated financial statements and prior periods have been revised. Discontinued operations include results of SeaSpine's business except for certain allocated corporate overhead costs and certain costs associated with transition services provided by Integra to SeaSpine. These allocated costs will remain part of continuing operations. Discontinued operations also include other costs incurred by Integra to separate SeaSpine from the fourth quarter of 2014 through the second quarter of 2015. These costs include transaction charges, advisory and consulting fees, and information system expenses. For the third quarter 2015 and going forward, SeaSpine is a stand-alone public company that will separately report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results from discontinued operations of SeaSpine included in the consolidated statement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40" w:type="dxa"/>
            <w:vAlign w:val="bottom"/>
            <w:gridSpan w:val="4"/>
          </w:tcPr>
          <w:p>
            <w:pPr>
              <w:jc w:val="center"/>
              <w:ind w:left="22"/>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7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r>
      <w:tr>
        <w:trPr>
          <w:trHeight w:val="250"/>
        </w:trPr>
        <w:tc>
          <w:tcPr>
            <w:tcW w:w="7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65,775</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137,808</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147,314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80,618</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140,124</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192,843</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(14,843)</w:t>
            </w: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w:t>
            </w: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(45,529)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(766)</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(4,559)</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before tax</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(15,609)</w:t>
            </w: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(5,239)</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(6,994)</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from discontinued operations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income or expense has been recorded for the SeaSpine business after the separation from Integra on July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Integra's spine business assets and liabilities presented as discontinued operations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50"/>
        </w:trPr>
        <w:tc>
          <w:tcPr>
            <w:tcW w:w="9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21,504</w:t>
            </w:r>
          </w:p>
        </w:tc>
        <w:tc>
          <w:tcPr>
            <w:tcW w:w="0" w:type="dxa"/>
            <w:vAlign w:val="bottom"/>
          </w:tcPr>
          <w:p>
            <w:pPr>
              <w:spacing w:after="0"/>
              <w:rPr>
                <w:sz w:val="1"/>
                <w:szCs w:val="1"/>
                <w:color w:val="auto"/>
              </w:rPr>
            </w:pP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47,981</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30,040</w:t>
            </w:r>
          </w:p>
        </w:tc>
        <w:tc>
          <w:tcPr>
            <w:tcW w:w="0" w:type="dxa"/>
            <w:vAlign w:val="bottom"/>
          </w:tcPr>
          <w:p>
            <w:pPr>
              <w:spacing w:after="0"/>
              <w:rPr>
                <w:sz w:val="1"/>
                <w:szCs w:val="1"/>
                <w:color w:val="auto"/>
              </w:rPr>
            </w:pP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Current assets of discontinued operations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99,785</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16,360</w:t>
            </w:r>
          </w:p>
        </w:tc>
        <w:tc>
          <w:tcPr>
            <w:tcW w:w="0" w:type="dxa"/>
            <w:vAlign w:val="bottom"/>
          </w:tcPr>
          <w:p>
            <w:pPr>
              <w:spacing w:after="0"/>
              <w:rPr>
                <w:sz w:val="1"/>
                <w:szCs w:val="1"/>
                <w:color w:val="auto"/>
              </w:rPr>
            </w:pP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46,891</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10,483</w:t>
            </w:r>
          </w:p>
        </w:tc>
        <w:tc>
          <w:tcPr>
            <w:tcW w:w="0" w:type="dxa"/>
            <w:vAlign w:val="bottom"/>
          </w:tcPr>
          <w:p>
            <w:pPr>
              <w:spacing w:after="0"/>
              <w:rPr>
                <w:sz w:val="1"/>
                <w:szCs w:val="1"/>
                <w:color w:val="auto"/>
              </w:rPr>
            </w:pP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73,734</w:t>
            </w:r>
          </w:p>
        </w:tc>
        <w:tc>
          <w:tcPr>
            <w:tcW w:w="0" w:type="dxa"/>
            <w:vAlign w:val="bottom"/>
          </w:tcPr>
          <w:p>
            <w:pPr>
              <w:spacing w:after="0"/>
              <w:rPr>
                <w:sz w:val="1"/>
                <w:szCs w:val="1"/>
                <w:color w:val="auto"/>
              </w:rPr>
            </w:pPr>
          </w:p>
        </w:tc>
      </w:tr>
      <w:tr>
        <w:trPr>
          <w:trHeight w:val="33"/>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173,519</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13,780</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33"/>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16,411</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Integra's spine business assets and liabilities removed from the consolidated balance sheet as of July 1,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July 1, 2015</w:t>
            </w:r>
          </w:p>
        </w:tc>
        <w:tc>
          <w:tcPr>
            <w:tcW w:w="0" w:type="dxa"/>
            <w:vAlign w:val="bottom"/>
          </w:tcPr>
          <w:p>
            <w:pPr>
              <w:spacing w:after="0"/>
              <w:rPr>
                <w:sz w:val="1"/>
                <w:szCs w:val="1"/>
                <w:color w:val="auto"/>
              </w:rPr>
            </w:pPr>
          </w:p>
        </w:tc>
      </w:tr>
      <w:tr>
        <w:trPr>
          <w:trHeight w:val="250"/>
        </w:trPr>
        <w:tc>
          <w:tcPr>
            <w:tcW w:w="9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Cash</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47,178</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20,856</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Inventory</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49,425</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13,411</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Current assets of discontinued operations</w:t>
            </w: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130,870</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21,093</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43,122</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68,680</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of discontinued operations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199,550</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0"/>
              <w:spacing w:after="0"/>
              <w:rPr>
                <w:sz w:val="20"/>
                <w:szCs w:val="20"/>
                <w:color w:val="auto"/>
              </w:rPr>
            </w:pPr>
            <w:r>
              <w:rPr>
                <w:rFonts w:ascii="Arial" w:cs="Arial" w:eastAsia="Arial" w:hAnsi="Arial"/>
                <w:sz w:val="16"/>
                <w:szCs w:val="16"/>
                <w:color w:val="auto"/>
              </w:rPr>
              <w:t>Liabilities:</w:t>
            </w: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7,072</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16,397</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13,331</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15,924</w:t>
            </w:r>
          </w:p>
        </w:tc>
        <w:tc>
          <w:tcPr>
            <w:tcW w:w="0" w:type="dxa"/>
            <w:vAlign w:val="bottom"/>
          </w:tcPr>
          <w:p>
            <w:pPr>
              <w:spacing w:after="0"/>
              <w:rPr>
                <w:sz w:val="1"/>
                <w:szCs w:val="1"/>
                <w:color w:val="auto"/>
              </w:rPr>
            </w:pPr>
          </w:p>
        </w:tc>
      </w:tr>
      <w:tr>
        <w:trPr>
          <w:trHeight w:val="244"/>
        </w:trPr>
        <w:tc>
          <w:tcPr>
            <w:tcW w:w="9160" w:type="dxa"/>
            <w:vAlign w:val="bottom"/>
          </w:tcPr>
          <w:p>
            <w:pPr>
              <w:ind w:left="40"/>
              <w:spacing w:after="0"/>
              <w:rPr>
                <w:sz w:val="20"/>
                <w:szCs w:val="20"/>
                <w:color w:val="auto"/>
              </w:rPr>
            </w:pPr>
            <w:r>
              <w:rPr>
                <w:rFonts w:ascii="Arial" w:cs="Arial" w:eastAsia="Arial" w:hAnsi="Arial"/>
                <w:sz w:val="16"/>
                <w:szCs w:val="16"/>
                <w:color w:val="auto"/>
              </w:rPr>
              <w:t>Total liabilities of discontinued operations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32,321</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removal of SeaSpine's net assets and unrealized accelerated currency translation adjustment is presented as a reduction in Integra's retained earnings and accumulated other comprehensive loss.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entered into several Supply Agreements in which SeaSpine engaged Integra to be the product supplier of Integra's former Integra Mozaik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product line ("Mozaik") for a three year period following the separation after which there will be no defined terms and this will be considered a normal purchase/sale arrangement. This product line has been licensed to SeaSpine in conjunction with the spin-off. Prior to the spin-off, the sale of Mozaik products from an Integra facility to a SeaSpine facility eliminated in Integra's historical consolidated financial results of operations. The revenue and cost of goods sold related to prior sales of Mozaik to SeaSpine have been restated and are presented in Integra's continuing operations results of operations. The Company has recorded $6.2 million, $6.2 million, and $7.9 million in revenue related to the sale of Mozaik products for the year-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December 31, 2015, 2014 and 2013, respectively and $3.8 million, $3.2 million and $5.6 million in cost of goods sold for the year-ended December 31, 2015, 2014 and 2013, respectively, in its continuing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 cost or cost-plus basis. The most significant components of the service income is the provision of IT and legal services which the Company anticipates will be largely completed by the end of the first quarter of 2016. In the year-ended December 31, 2015, other income (expense), net includes $2.7 million of income in respect of the provision of services to SeaSpine.</w:t>
      </w:r>
    </w:p>
    <w:p>
      <w:pPr>
        <w:spacing w:after="0" w:line="400" w:lineRule="exact"/>
        <w:rPr>
          <w:sz w:val="20"/>
          <w:szCs w:val="20"/>
          <w:color w:val="auto"/>
        </w:rPr>
      </w:pPr>
    </w:p>
    <w:p>
      <w:pPr>
        <w:ind w:right="7480" w:firstLine="8"/>
        <w:spacing w:after="0" w:line="346" w:lineRule="auto"/>
        <w:tabs>
          <w:tab w:leader="none" w:pos="17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PRO FORMA RESULTS </w:t>
      </w:r>
      <w:r>
        <w:rPr>
          <w:rFonts w:ascii="Arial" w:cs="Arial" w:eastAsia="Arial" w:hAnsi="Arial"/>
          <w:sz w:val="18"/>
          <w:szCs w:val="18"/>
          <w:i w:val="1"/>
          <w:iCs w:val="1"/>
          <w:u w:val="single" w:color="auto"/>
          <w:color w:val="auto"/>
        </w:rPr>
        <w:t>Tekmed</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15, 2015, the Company acquired the assets of Tekmed Instruments S.p.A ("Tekmed") for an aggregate purchase price of $14.2 million. Tekmed was a distributor of the Company's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the Company to support Specialty Surgical Solutions growth in Italy along with other key Integra franchises.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Tekmed of approximately $0.3 million in the consolidated statements of operations for the year-ended December 31, 2015.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December 31, 2015 based on the fair value of the assets acquired and liabilities assumed: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Preliminary Purchase Price</w:t>
            </w:r>
          </w:p>
        </w:tc>
        <w:tc>
          <w:tcPr>
            <w:tcW w:w="2160" w:type="dxa"/>
            <w:vAlign w:val="bottom"/>
          </w:tcPr>
          <w:p>
            <w:pPr>
              <w:spacing w:after="0"/>
              <w:rPr>
                <w:sz w:val="14"/>
                <w:szCs w:val="14"/>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Allocation</w:t>
            </w:r>
          </w:p>
        </w:tc>
        <w:tc>
          <w:tcPr>
            <w:tcW w:w="2160" w:type="dxa"/>
            <w:vAlign w:val="bottom"/>
            <w:tcBorders>
              <w:bottom w:val="single" w:sz="8" w:color="CCEEFF"/>
            </w:tcBorders>
          </w:tcPr>
          <w:p>
            <w:pPr>
              <w:spacing w:after="0"/>
              <w:rPr>
                <w:sz w:val="16"/>
                <w:szCs w:val="16"/>
                <w:color w:val="auto"/>
              </w:rPr>
            </w:pPr>
          </w:p>
        </w:tc>
      </w:tr>
      <w:tr>
        <w:trPr>
          <w:trHeight w:val="256"/>
        </w:trPr>
        <w:tc>
          <w:tcPr>
            <w:tcW w:w="7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0" w:type="dxa"/>
            <w:vAlign w:val="bottom"/>
            <w:shd w:val="clear" w:color="auto" w:fill="CCEEFF"/>
          </w:tcPr>
          <w:p>
            <w:pPr>
              <w:jc w:val="center"/>
              <w:ind w:right="74"/>
              <w:spacing w:after="0"/>
              <w:rPr>
                <w:sz w:val="20"/>
                <w:szCs w:val="20"/>
                <w:color w:val="auto"/>
              </w:rPr>
            </w:pPr>
            <w:r>
              <w:rPr>
                <w:rFonts w:ascii="Arial" w:cs="Arial" w:eastAsia="Arial" w:hAnsi="Arial"/>
                <w:sz w:val="14"/>
                <w:szCs w:val="14"/>
                <w:b w:val="1"/>
                <w:bCs w:val="1"/>
                <w:color w:val="auto"/>
                <w:w w:val="91"/>
              </w:rPr>
              <w:t>(Dollars in thousands)</w:t>
            </w:r>
          </w:p>
        </w:tc>
        <w:tc>
          <w:tcPr>
            <w:tcW w:w="2160" w:type="dxa"/>
            <w:vAlign w:val="bottom"/>
            <w:shd w:val="clear" w:color="auto" w:fill="CCEEFF"/>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1,143</w:t>
            </w:r>
          </w:p>
        </w:tc>
        <w:tc>
          <w:tcPr>
            <w:tcW w:w="2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PP&amp;E</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Wtd. Avg. Life:</w:t>
            </w:r>
          </w:p>
        </w:tc>
      </w:tr>
      <w:tr>
        <w:trPr>
          <w:trHeight w:val="237"/>
        </w:trPr>
        <w:tc>
          <w:tcPr>
            <w:tcW w:w="7080" w:type="dxa"/>
            <w:vAlign w:val="bottom"/>
          </w:tcPr>
          <w:p>
            <w:pPr>
              <w:ind w:left="260"/>
              <w:spacing w:after="0"/>
              <w:rPr>
                <w:sz w:val="20"/>
                <w:szCs w:val="20"/>
                <w:color w:val="auto"/>
              </w:rPr>
            </w:pPr>
            <w:r>
              <w:rPr>
                <w:rFonts w:ascii="Arial" w:cs="Arial" w:eastAsia="Arial" w:hAnsi="Arial"/>
                <w:sz w:val="18"/>
                <w:szCs w:val="18"/>
                <w:color w:val="auto"/>
              </w:rPr>
              <w:t>Supplier Contracts</w:t>
            </w:r>
          </w:p>
        </w:tc>
        <w:tc>
          <w:tcPr>
            <w:tcW w:w="180" w:type="dxa"/>
            <w:vAlign w:val="bottom"/>
          </w:tcPr>
          <w:p>
            <w:pPr>
              <w:spacing w:after="0"/>
              <w:rPr>
                <w:sz w:val="20"/>
                <w:szCs w:val="20"/>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4,981</w:t>
            </w:r>
          </w:p>
        </w:tc>
        <w:tc>
          <w:tcPr>
            <w:tcW w:w="2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2 - 13 Years</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9,665</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16,469</w:t>
            </w:r>
          </w:p>
        </w:tc>
        <w:tc>
          <w:tcPr>
            <w:tcW w:w="21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 acquired</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1,564</w:t>
            </w:r>
          </w:p>
        </w:tc>
        <w:tc>
          <w:tcPr>
            <w:tcW w:w="216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14,152</w:t>
            </w: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Tornier's United States Toe &amp; Ankle Business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October 2, 2015, the Company acquired the United States rights to Tornier's Salto Talaris® and Salto Talaris® XT ankle replacement products and Tornier's Futura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silastic toe replacement products (the "Salto and Futura") for $6.0 million in cash. The estimated fair value of the net assets acquired exceeded the purchase price for the Salto and Futura product lines and resulted in the Company recording a gain of $1.1 million for the year-ended December 31, 2015 in Other Income. The acquired toe and ankle products enhances the Company's lower extremities product offering and accelerates its entry into the U.S. total ankle replacement market.</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Salto and Futura of approximately $3.6 million in the consolidated statements of operations for the year-ended December 31, 2015.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December 31, 2015 based on the fair value of the assets acquired and liabilities assumed: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6680" w:type="dxa"/>
            <w:vAlign w:val="bottom"/>
            <w:gridSpan w:val="3"/>
          </w:tcPr>
          <w:p>
            <w:pPr>
              <w:jc w:val="right"/>
              <w:ind w:right="1155"/>
              <w:spacing w:after="0"/>
              <w:rPr>
                <w:sz w:val="20"/>
                <w:szCs w:val="20"/>
                <w:color w:val="auto"/>
              </w:rPr>
            </w:pPr>
            <w:r>
              <w:rPr>
                <w:rFonts w:ascii="Arial" w:cs="Arial" w:eastAsia="Arial" w:hAnsi="Arial"/>
                <w:sz w:val="18"/>
                <w:szCs w:val="18"/>
                <w:b w:val="1"/>
                <w:bCs w:val="1"/>
                <w:color w:val="auto"/>
              </w:rPr>
              <w:t>INTEGRA LIFESCIENCES HOLDINGS CORPORATION</w:t>
            </w:r>
          </w:p>
        </w:tc>
        <w:tc>
          <w:tcPr>
            <w:tcW w:w="216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6680" w:type="dxa"/>
            <w:vAlign w:val="bottom"/>
            <w:gridSpan w:val="3"/>
          </w:tcPr>
          <w:p>
            <w:pPr>
              <w:jc w:val="right"/>
              <w:ind w:right="635"/>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160" w:type="dxa"/>
            <w:vAlign w:val="bottom"/>
          </w:tcPr>
          <w:p>
            <w:pPr>
              <w:spacing w:after="0"/>
              <w:rPr>
                <w:sz w:val="20"/>
                <w:szCs w:val="20"/>
                <w:color w:val="auto"/>
              </w:rPr>
            </w:pPr>
          </w:p>
        </w:tc>
      </w:tr>
      <w:tr>
        <w:trPr>
          <w:trHeight w:val="828"/>
        </w:trPr>
        <w:tc>
          <w:tcPr>
            <w:tcW w:w="2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Preliminary Purchase Price</w:t>
            </w:r>
          </w:p>
        </w:tc>
        <w:tc>
          <w:tcPr>
            <w:tcW w:w="2160" w:type="dxa"/>
            <w:vAlign w:val="bottom"/>
          </w:tcPr>
          <w:p>
            <w:pPr>
              <w:spacing w:after="0"/>
              <w:rPr>
                <w:sz w:val="24"/>
                <w:szCs w:val="24"/>
                <w:color w:val="auto"/>
              </w:rPr>
            </w:pPr>
          </w:p>
        </w:tc>
      </w:tr>
      <w:tr>
        <w:trPr>
          <w:trHeight w:val="192"/>
        </w:trPr>
        <w:tc>
          <w:tcPr>
            <w:tcW w:w="258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Allocation</w:t>
            </w:r>
          </w:p>
        </w:tc>
        <w:tc>
          <w:tcPr>
            <w:tcW w:w="2160" w:type="dxa"/>
            <w:vAlign w:val="bottom"/>
            <w:tcBorders>
              <w:bottom w:val="single" w:sz="8" w:color="CCEEFF"/>
            </w:tcBorders>
          </w:tcPr>
          <w:p>
            <w:pPr>
              <w:spacing w:after="0"/>
              <w:rPr>
                <w:sz w:val="16"/>
                <w:szCs w:val="16"/>
                <w:color w:val="auto"/>
              </w:rPr>
            </w:pPr>
          </w:p>
        </w:tc>
      </w:tr>
      <w:tr>
        <w:trPr>
          <w:trHeight w:val="256"/>
        </w:trPr>
        <w:tc>
          <w:tcPr>
            <w:tcW w:w="2580" w:type="dxa"/>
            <w:vAlign w:val="bottom"/>
            <w:shd w:val="clear" w:color="auto" w:fill="CCEEFF"/>
          </w:tcPr>
          <w:p>
            <w:pPr>
              <w:spacing w:after="0"/>
              <w:rPr>
                <w:sz w:val="22"/>
                <w:szCs w:val="22"/>
                <w:color w:val="auto"/>
              </w:rPr>
            </w:pPr>
          </w:p>
        </w:tc>
        <w:tc>
          <w:tcPr>
            <w:tcW w:w="4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0" w:type="dxa"/>
            <w:vAlign w:val="bottom"/>
            <w:shd w:val="clear" w:color="auto" w:fill="CCEEFF"/>
          </w:tcPr>
          <w:p>
            <w:pPr>
              <w:jc w:val="center"/>
              <w:ind w:right="75"/>
              <w:spacing w:after="0"/>
              <w:rPr>
                <w:sz w:val="20"/>
                <w:szCs w:val="20"/>
                <w:color w:val="auto"/>
              </w:rPr>
            </w:pPr>
            <w:r>
              <w:rPr>
                <w:rFonts w:ascii="Arial" w:cs="Arial" w:eastAsia="Arial" w:hAnsi="Arial"/>
                <w:sz w:val="14"/>
                <w:szCs w:val="14"/>
                <w:b w:val="1"/>
                <w:bCs w:val="1"/>
                <w:color w:val="auto"/>
                <w:w w:val="91"/>
              </w:rPr>
              <w:t>(Dollars in thousands)</w:t>
            </w:r>
          </w:p>
        </w:tc>
        <w:tc>
          <w:tcPr>
            <w:tcW w:w="2160" w:type="dxa"/>
            <w:vAlign w:val="bottom"/>
            <w:shd w:val="clear" w:color="auto" w:fill="CCEEFF"/>
          </w:tcPr>
          <w:p>
            <w:pPr>
              <w:spacing w:after="0"/>
              <w:rPr>
                <w:sz w:val="22"/>
                <w:szCs w:val="22"/>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2,688</w:t>
            </w:r>
          </w:p>
        </w:tc>
        <w:tc>
          <w:tcPr>
            <w:tcW w:w="216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Life:</w:t>
            </w:r>
          </w:p>
        </w:tc>
      </w:tr>
      <w:tr>
        <w:trPr>
          <w:trHeight w:val="27"/>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Ankle product family</w:t>
            </w:r>
          </w:p>
        </w:tc>
        <w:tc>
          <w:tcPr>
            <w:tcW w:w="4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 years</w:t>
            </w:r>
          </w:p>
        </w:tc>
      </w:tr>
      <w:tr>
        <w:trPr>
          <w:trHeight w:val="243"/>
        </w:trPr>
        <w:tc>
          <w:tcPr>
            <w:tcW w:w="2580" w:type="dxa"/>
            <w:vAlign w:val="bottom"/>
          </w:tcPr>
          <w:p>
            <w:pPr>
              <w:ind w:left="260"/>
              <w:spacing w:after="0"/>
              <w:rPr>
                <w:sz w:val="20"/>
                <w:szCs w:val="20"/>
                <w:color w:val="auto"/>
              </w:rPr>
            </w:pPr>
            <w:r>
              <w:rPr>
                <w:rFonts w:ascii="Arial" w:cs="Arial" w:eastAsia="Arial" w:hAnsi="Arial"/>
                <w:sz w:val="18"/>
                <w:szCs w:val="18"/>
                <w:color w:val="auto"/>
              </w:rPr>
              <w:t>Toe product family</w:t>
            </w:r>
          </w:p>
        </w:tc>
        <w:tc>
          <w:tcPr>
            <w:tcW w:w="4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460</w:t>
            </w:r>
          </w:p>
        </w:tc>
        <w:tc>
          <w:tcPr>
            <w:tcW w:w="2160" w:type="dxa"/>
            <w:vAlign w:val="bottom"/>
          </w:tcPr>
          <w:p>
            <w:pPr>
              <w:ind w:left="20"/>
              <w:spacing w:after="0"/>
              <w:rPr>
                <w:sz w:val="20"/>
                <w:szCs w:val="20"/>
                <w:color w:val="auto"/>
              </w:rPr>
            </w:pPr>
            <w:r>
              <w:rPr>
                <w:rFonts w:ascii="Arial" w:cs="Arial" w:eastAsia="Arial" w:hAnsi="Arial"/>
                <w:sz w:val="18"/>
                <w:szCs w:val="18"/>
                <w:color w:val="auto"/>
              </w:rPr>
              <w:t>10 years</w:t>
            </w:r>
          </w:p>
        </w:tc>
      </w:tr>
      <w:tr>
        <w:trPr>
          <w:trHeight w:val="27"/>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4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7,811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4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700</w:t>
            </w:r>
          </w:p>
        </w:tc>
        <w:tc>
          <w:tcPr>
            <w:tcW w:w="2160" w:type="dxa"/>
            <w:vAlign w:val="bottom"/>
          </w:tcPr>
          <w:p>
            <w:pPr>
              <w:spacing w:after="0"/>
              <w:rPr>
                <w:sz w:val="21"/>
                <w:szCs w:val="2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7,111</w:t>
            </w:r>
          </w:p>
        </w:tc>
        <w:tc>
          <w:tcPr>
            <w:tcW w:w="2160" w:type="dxa"/>
            <w:vAlign w:val="bottom"/>
            <w:shd w:val="clear" w:color="auto" w:fill="CCEEFF"/>
          </w:tcPr>
          <w:p>
            <w:pPr>
              <w:spacing w:after="0"/>
              <w:rPr>
                <w:sz w:val="22"/>
                <w:szCs w:val="22"/>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$312.4 million ($210.4 million for TEI Bio and $102.0 million for TEI Med) subject in each case to purchase price adjustments for certain working capital changes. The purchase price consists of a cash payment to the former shareholders of TEI Bio and TEI Med of approximately $312.4 million upon the closing of the transaction, net of $1.2 million of acquired cash. The acquired assets includes a contingent receivable with a fair value of $0.4 million and will be paid to the Company if the sale of products used in breast surgery in the United States drops below $6.0 million in either 2016 or 2017. The fair value of this asset is based on future sales projections of the products under various potential scenarios and weighting the probability of these outcomes for the period ended December 31, 2015. At the date of the acquisition, the cash flow projection was discounted using an internal rate of return of 11.0%. These fair value measurements were based on significant inputs not observed in the market and thus represented a Level 3 measurement.</w:t>
      </w:r>
    </w:p>
    <w:p>
      <w:pPr>
        <w:spacing w:after="0" w:line="11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recorded revenue for TEI of approximately $27.0 million in the consolidated statements of operations for the year-ended December 31, 2015.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adjusted the preliminary purchase price allocation during the quarter ended December 31, 2015 to reduce deferred tax liabilities by $1.1 million. This adjustment offset goodwill and was the result of the Company analyzing and revising its deferred tax rate. The following summarizes the preliminary allocation of the purchase price as of December 31, 2015 based on the fair value of the assets acquired and liabilities assumed: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2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6880" w:type="dxa"/>
            <w:vAlign w:val="bottom"/>
            <w:gridSpan w:val="3"/>
          </w:tcPr>
          <w:p>
            <w:pPr>
              <w:jc w:val="right"/>
              <w:ind w:right="1613"/>
              <w:spacing w:after="0"/>
              <w:rPr>
                <w:sz w:val="20"/>
                <w:szCs w:val="20"/>
                <w:color w:val="auto"/>
              </w:rPr>
            </w:pPr>
            <w:r>
              <w:rPr>
                <w:rFonts w:ascii="Arial" w:cs="Arial" w:eastAsia="Arial" w:hAnsi="Arial"/>
                <w:sz w:val="18"/>
                <w:szCs w:val="18"/>
                <w:b w:val="1"/>
                <w:bCs w:val="1"/>
                <w:color w:val="auto"/>
              </w:rPr>
              <w:t>INTEGRA LIFESCIENCES HOLDINGS CORPORATION</w:t>
            </w:r>
          </w:p>
        </w:tc>
        <w:tc>
          <w:tcPr>
            <w:tcW w:w="17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6880" w:type="dxa"/>
            <w:vAlign w:val="bottom"/>
            <w:gridSpan w:val="3"/>
          </w:tcPr>
          <w:p>
            <w:pPr>
              <w:jc w:val="right"/>
              <w:ind w:right="1093"/>
              <w:spacing w:after="0"/>
              <w:rPr>
                <w:sz w:val="20"/>
                <w:szCs w:val="20"/>
                <w:color w:val="auto"/>
              </w:rPr>
            </w:pPr>
            <w:r>
              <w:rPr>
                <w:rFonts w:ascii="Arial" w:cs="Arial" w:eastAsia="Arial" w:hAnsi="Arial"/>
                <w:sz w:val="18"/>
                <w:szCs w:val="18"/>
                <w:b w:val="1"/>
                <w:bCs w:val="1"/>
                <w:color w:val="auto"/>
                <w:w w:val="99"/>
              </w:rPr>
              <w:t>NOTES TO CONSOLIDATED FINANCIAL STATEMENTS (continued)</w:t>
            </w:r>
          </w:p>
        </w:tc>
        <w:tc>
          <w:tcPr>
            <w:tcW w:w="1700" w:type="dxa"/>
            <w:vAlign w:val="bottom"/>
          </w:tcPr>
          <w:p>
            <w:pPr>
              <w:spacing w:after="0"/>
              <w:rPr>
                <w:sz w:val="20"/>
                <w:szCs w:val="20"/>
                <w:color w:val="auto"/>
              </w:rPr>
            </w:pPr>
          </w:p>
        </w:tc>
      </w:tr>
      <w:tr>
        <w:trPr>
          <w:trHeight w:val="828"/>
        </w:trPr>
        <w:tc>
          <w:tcPr>
            <w:tcW w:w="28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Preliminary Purchase Price</w:t>
            </w:r>
          </w:p>
        </w:tc>
        <w:tc>
          <w:tcPr>
            <w:tcW w:w="1700" w:type="dxa"/>
            <w:vAlign w:val="bottom"/>
          </w:tcPr>
          <w:p>
            <w:pPr>
              <w:spacing w:after="0"/>
              <w:rPr>
                <w:sz w:val="24"/>
                <w:szCs w:val="24"/>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Borders>
              <w:bottom w:val="single" w:sz="8" w:color="CCEEFF"/>
            </w:tcBorders>
          </w:tcPr>
          <w:p>
            <w:pPr>
              <w:spacing w:after="0"/>
              <w:rPr>
                <w:sz w:val="16"/>
                <w:szCs w:val="16"/>
                <w:color w:val="auto"/>
              </w:rPr>
            </w:pPr>
          </w:p>
        </w:tc>
      </w:tr>
      <w:tr>
        <w:trPr>
          <w:trHeight w:val="256"/>
        </w:trPr>
        <w:tc>
          <w:tcPr>
            <w:tcW w:w="284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shd w:val="clear" w:color="auto" w:fill="CCEEFF"/>
          </w:tcPr>
          <w:p>
            <w:pPr>
              <w:spacing w:after="0"/>
              <w:rPr>
                <w:sz w:val="22"/>
                <w:szCs w:val="22"/>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Cash</w:t>
            </w:r>
          </w:p>
        </w:tc>
        <w:tc>
          <w:tcPr>
            <w:tcW w:w="4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1,241</w:t>
            </w:r>
          </w:p>
        </w:tc>
        <w:tc>
          <w:tcPr>
            <w:tcW w:w="170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23,223</w:t>
            </w:r>
          </w:p>
        </w:tc>
        <w:tc>
          <w:tcPr>
            <w:tcW w:w="170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2,027</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5,135</w:t>
            </w:r>
          </w:p>
        </w:tc>
        <w:tc>
          <w:tcPr>
            <w:tcW w:w="170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2,670</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Wtd. Avg. Life:</w:t>
            </w:r>
          </w:p>
        </w:tc>
      </w:tr>
      <w:tr>
        <w:trPr>
          <w:trHeight w:val="27"/>
        </w:trPr>
        <w:tc>
          <w:tcPr>
            <w:tcW w:w="2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167,400</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14 - 16 Years</w:t>
            </w:r>
          </w:p>
        </w:tc>
      </w:tr>
      <w:tr>
        <w:trPr>
          <w:trHeight w:val="243"/>
        </w:trPr>
        <w:tc>
          <w:tcPr>
            <w:tcW w:w="2840" w:type="dxa"/>
            <w:vAlign w:val="bottom"/>
          </w:tcPr>
          <w:p>
            <w:pPr>
              <w:ind w:left="260"/>
              <w:spacing w:after="0"/>
              <w:rPr>
                <w:sz w:val="20"/>
                <w:szCs w:val="20"/>
                <w:color w:val="auto"/>
              </w:rPr>
            </w:pPr>
            <w:r>
              <w:rPr>
                <w:rFonts w:ascii="Arial" w:cs="Arial" w:eastAsia="Arial" w:hAnsi="Arial"/>
                <w:sz w:val="18"/>
                <w:szCs w:val="18"/>
                <w:color w:val="auto"/>
              </w:rPr>
              <w:t>Contractual relationships</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51,345</w:t>
            </w:r>
          </w:p>
        </w:tc>
        <w:tc>
          <w:tcPr>
            <w:tcW w:w="1700" w:type="dxa"/>
            <w:vAlign w:val="bottom"/>
          </w:tcPr>
          <w:p>
            <w:pPr>
              <w:ind w:left="20"/>
              <w:spacing w:after="0"/>
              <w:rPr>
                <w:sz w:val="20"/>
                <w:szCs w:val="20"/>
                <w:color w:val="auto"/>
              </w:rPr>
            </w:pPr>
            <w:r>
              <w:rPr>
                <w:rFonts w:ascii="Arial" w:cs="Arial" w:eastAsia="Arial" w:hAnsi="Arial"/>
                <w:sz w:val="18"/>
                <w:szCs w:val="18"/>
                <w:color w:val="auto"/>
              </w:rPr>
              <w:t>11 - 14 Years</w:t>
            </w:r>
          </w:p>
        </w:tc>
      </w:tr>
      <w:tr>
        <w:trPr>
          <w:trHeight w:val="27"/>
        </w:trPr>
        <w:tc>
          <w:tcPr>
            <w:tcW w:w="2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Leasehold interest</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147,878</w:t>
            </w:r>
          </w:p>
        </w:tc>
        <w:tc>
          <w:tcPr>
            <w:tcW w:w="1700" w:type="dxa"/>
            <w:vAlign w:val="bottom"/>
          </w:tcPr>
          <w:p>
            <w:pPr>
              <w:spacing w:after="0"/>
              <w:rPr>
                <w:sz w:val="21"/>
                <w:szCs w:val="2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409,999</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w w:val="91"/>
              </w:rPr>
              <w:t>Accrued expenses and other liabilities</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9,732</w:t>
            </w:r>
          </w:p>
        </w:tc>
        <w:tc>
          <w:tcPr>
            <w:tcW w:w="170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87,908</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2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4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312,359</w:t>
            </w:r>
          </w:p>
        </w:tc>
        <w:tc>
          <w:tcPr>
            <w:tcW w:w="1700" w:type="dxa"/>
            <w:vAlign w:val="bottom"/>
            <w:shd w:val="clear" w:color="auto" w:fill="CCEEFF"/>
          </w:tcPr>
          <w:p>
            <w:pPr>
              <w:spacing w:after="0"/>
              <w:rPr>
                <w:sz w:val="22"/>
                <w:szCs w:val="22"/>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Metasurg</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5, 2014, the Company acquired certain assets of Koby Ventures II, L.P. dba Metasurg ("Metasurg") for an aggregate purchase price of $27.2 million. The purchase price consists of an initial cash payment to Metasurg of $26.5 million and contingent consideration with an acquisition date fair value of $0.7 million. The potential maximum undiscounted contingent consideration of $38.5 million is based on reaching certain sales of acquired products. The fair value of this liability is based on future sales projections of the Metasurg product under various potential scenarios and weighting the probability of these outcomes for the period ended December 31, 2014. At the date of the acquisition, the cash flow projection was discounted using an internal rate of return of 19.9%. These fair value measurements were based on significant inputs not observed in the market and thus represented a Level 3 measurement. During the fourth quarter of 2015, the Company adjusted the fair value of the contingent consideration to zero as we no longer believe the achievement of the sales targets is probable. The adjustment was $0.7 million and was recorded in selling, general and administrative expenses.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Metasurg develops intuitive implant systems for the foot and ankle market and sells almost entirely in the U.S. market. The acquired foot and ankle products will enhance the Company's lower extremities market position.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June 30, 2015 to reflect the $0.4 million working capital and purchase price adjustment. The following summarizes the final allocation of the purchase price as of December 31, 2015 based on the fair value of the assets acquired and liabilities assumed:</w:t>
      </w:r>
    </w:p>
    <w:p>
      <w:pPr>
        <w:spacing w:after="0" w:line="281"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Final Purchase Price</w:t>
      </w:r>
    </w:p>
    <w:p>
      <w:pPr>
        <w:spacing w:after="0" w:line="4"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03"/>
        </w:trPr>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2"/>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7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Technology product rights</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20,590</w:t>
            </w:r>
          </w:p>
        </w:tc>
        <w:tc>
          <w:tcPr>
            <w:tcW w:w="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8 - 14 Years</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7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Indefinite</w:t>
            </w:r>
          </w:p>
        </w:tc>
      </w:tr>
      <w:tr>
        <w:trPr>
          <w:trHeight w:val="27"/>
        </w:trPr>
        <w:tc>
          <w:tcPr>
            <w:tcW w:w="7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27,558</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27, 2014, the Company acquired all outstanding shares of Medtronic Xomed Instrumentation, SAS ("MicroFrance") from Medtronic, Inc. ("Medtronic") as well as certain assets of Medtronic for $61.6 million in cash. MicroFrance specializes 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manual ear, nose, and throat ("ENT") instruments and designs, manufactures, and sells reusable handheld instruments to ENT and laparoscopy surgical specialists around the world. The acquired ENT instruments fill a portfolio gap for the Company with clear growth opportunities through market adjacencies and provides for increased scale and reach in the international market.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March 31, 2015 to reflect the $1.5 million working capital and purchase price adjustments. The following summarizes the final allocation of the purchase price as of December 31, 2015 based on the fair value of the assets acquired and liabilities assumed: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Final Purchase Price</w:t>
            </w:r>
          </w:p>
        </w:tc>
        <w:tc>
          <w:tcPr>
            <w:tcW w:w="2160" w:type="dxa"/>
            <w:vAlign w:val="bottom"/>
          </w:tcPr>
          <w:p>
            <w:pPr>
              <w:spacing w:after="0"/>
              <w:rPr>
                <w:sz w:val="14"/>
                <w:szCs w:val="14"/>
                <w:color w:val="auto"/>
              </w:rPr>
            </w:pPr>
          </w:p>
        </w:tc>
      </w:tr>
      <w:tr>
        <w:trPr>
          <w:trHeight w:val="192"/>
        </w:trPr>
        <w:tc>
          <w:tcPr>
            <w:tcW w:w="7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2160" w:type="dxa"/>
            <w:vAlign w:val="bottom"/>
            <w:tcBorders>
              <w:bottom w:val="single" w:sz="8" w:color="CCEEFF"/>
            </w:tcBorders>
          </w:tcPr>
          <w:p>
            <w:pPr>
              <w:spacing w:after="0"/>
              <w:rPr>
                <w:sz w:val="16"/>
                <w:szCs w:val="16"/>
                <w:color w:val="auto"/>
              </w:rPr>
            </w:pPr>
          </w:p>
        </w:tc>
      </w:tr>
      <w:tr>
        <w:trPr>
          <w:trHeight w:val="202"/>
        </w:trPr>
        <w:tc>
          <w:tcPr>
            <w:tcW w:w="7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2160" w:type="dxa"/>
            <w:vAlign w:val="bottom"/>
            <w:shd w:val="clear" w:color="auto" w:fill="CCEEFF"/>
          </w:tcPr>
          <w:p>
            <w:pPr>
              <w:spacing w:after="0"/>
              <w:rPr>
                <w:sz w:val="17"/>
                <w:szCs w:val="17"/>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2,195</w:t>
            </w:r>
          </w:p>
        </w:tc>
        <w:tc>
          <w:tcPr>
            <w:tcW w:w="2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3,155</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2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5,025</w:t>
            </w:r>
          </w:p>
        </w:tc>
        <w:tc>
          <w:tcPr>
            <w:tcW w:w="2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Wtd. Avg. Life:</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11,990</w:t>
            </w:r>
          </w:p>
        </w:tc>
        <w:tc>
          <w:tcPr>
            <w:tcW w:w="2160" w:type="dxa"/>
            <w:vAlign w:val="bottom"/>
          </w:tcPr>
          <w:p>
            <w:pPr>
              <w:ind w:left="20"/>
              <w:spacing w:after="0"/>
              <w:rPr>
                <w:sz w:val="20"/>
                <w:szCs w:val="20"/>
                <w:color w:val="auto"/>
              </w:rPr>
            </w:pPr>
            <w:r>
              <w:rPr>
                <w:rFonts w:ascii="Arial" w:cs="Arial" w:eastAsia="Arial" w:hAnsi="Arial"/>
                <w:sz w:val="18"/>
                <w:szCs w:val="18"/>
                <w:color w:val="auto"/>
              </w:rPr>
              <w:t>20 Years</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15 - 16 Years</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18,130</w:t>
            </w:r>
          </w:p>
        </w:tc>
        <w:tc>
          <w:tcPr>
            <w:tcW w:w="2160" w:type="dxa"/>
            <w:vAlign w:val="bottom"/>
          </w:tcPr>
          <w:p>
            <w:pPr>
              <w:ind w:left="20"/>
              <w:spacing w:after="0"/>
              <w:rPr>
                <w:sz w:val="20"/>
                <w:szCs w:val="20"/>
                <w:color w:val="auto"/>
              </w:rPr>
            </w:pPr>
            <w:r>
              <w:rPr>
                <w:rFonts w:ascii="Arial" w:cs="Arial" w:eastAsia="Arial" w:hAnsi="Arial"/>
                <w:sz w:val="18"/>
                <w:szCs w:val="18"/>
                <w:color w:val="auto"/>
              </w:rPr>
              <w:t>12 - 16 Years</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16,607</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37"/>
        </w:trPr>
        <w:tc>
          <w:tcPr>
            <w:tcW w:w="732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65,977</w:t>
            </w:r>
          </w:p>
        </w:tc>
        <w:tc>
          <w:tcPr>
            <w:tcW w:w="216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5,910</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60,067</w:t>
            </w:r>
          </w:p>
        </w:tc>
        <w:tc>
          <w:tcPr>
            <w:tcW w:w="216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Confluent Surgical of approximately $69.0 million in the consolidated statements of operations from the acquisition date through December 31, 2014.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following summarizes the final allocation of the purchase price as of December 31, 2015 based on the fair value of the assets acquired and liabilities assumed: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2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6560" w:type="dxa"/>
            <w:vAlign w:val="bottom"/>
            <w:gridSpan w:val="3"/>
          </w:tcPr>
          <w:p>
            <w:pPr>
              <w:jc w:val="right"/>
              <w:ind w:right="1154"/>
              <w:spacing w:after="0"/>
              <w:rPr>
                <w:sz w:val="20"/>
                <w:szCs w:val="20"/>
                <w:color w:val="auto"/>
              </w:rPr>
            </w:pPr>
            <w:r>
              <w:rPr>
                <w:rFonts w:ascii="Arial" w:cs="Arial" w:eastAsia="Arial" w:hAnsi="Arial"/>
                <w:sz w:val="18"/>
                <w:szCs w:val="18"/>
                <w:b w:val="1"/>
                <w:bCs w:val="1"/>
                <w:color w:val="auto"/>
              </w:rPr>
              <w:t>INTEGRA LIFESCIENCES HOLDINGS CORPORATION</w:t>
            </w:r>
          </w:p>
        </w:tc>
        <w:tc>
          <w:tcPr>
            <w:tcW w:w="21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6560" w:type="dxa"/>
            <w:vAlign w:val="bottom"/>
            <w:gridSpan w:val="3"/>
          </w:tcPr>
          <w:p>
            <w:pPr>
              <w:jc w:val="right"/>
              <w:ind w:right="634"/>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160" w:type="dxa"/>
            <w:vAlign w:val="bottom"/>
          </w:tcPr>
          <w:p>
            <w:pPr>
              <w:spacing w:after="0"/>
              <w:rPr>
                <w:sz w:val="20"/>
                <w:szCs w:val="20"/>
                <w:color w:val="auto"/>
              </w:rPr>
            </w:pPr>
          </w:p>
        </w:tc>
      </w:tr>
      <w:tr>
        <w:trPr>
          <w:trHeight w:val="828"/>
        </w:trPr>
        <w:tc>
          <w:tcPr>
            <w:tcW w:w="2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Final Purchase Price</w:t>
            </w:r>
          </w:p>
        </w:tc>
        <w:tc>
          <w:tcPr>
            <w:tcW w:w="2160" w:type="dxa"/>
            <w:vAlign w:val="bottom"/>
          </w:tcPr>
          <w:p>
            <w:pPr>
              <w:spacing w:after="0"/>
              <w:rPr>
                <w:sz w:val="24"/>
                <w:szCs w:val="24"/>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2160" w:type="dxa"/>
            <w:vAlign w:val="bottom"/>
            <w:tcBorders>
              <w:bottom w:val="single" w:sz="8" w:color="CCEEFF"/>
            </w:tcBorders>
          </w:tcPr>
          <w:p>
            <w:pPr>
              <w:spacing w:after="0"/>
              <w:rPr>
                <w:sz w:val="16"/>
                <w:szCs w:val="16"/>
                <w:color w:val="auto"/>
              </w:rPr>
            </w:pPr>
          </w:p>
        </w:tc>
      </w:tr>
      <w:tr>
        <w:trPr>
          <w:trHeight w:val="256"/>
        </w:trPr>
        <w:tc>
          <w:tcPr>
            <w:tcW w:w="270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2160" w:type="dxa"/>
            <w:vAlign w:val="bottom"/>
            <w:shd w:val="clear" w:color="auto" w:fill="CCEEFF"/>
          </w:tcPr>
          <w:p>
            <w:pPr>
              <w:spacing w:after="0"/>
              <w:rPr>
                <w:sz w:val="22"/>
                <w:szCs w:val="22"/>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Inventory deposit</w:t>
            </w:r>
          </w:p>
        </w:tc>
        <w:tc>
          <w:tcPr>
            <w:tcW w:w="4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4,000</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Wtd. Avg. Life:</w:t>
            </w: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Technology product rights</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239,800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3 - 20 Years</w:t>
            </w:r>
          </w:p>
        </w:tc>
      </w:tr>
      <w:tr>
        <w:trPr>
          <w:trHeight w:val="243"/>
        </w:trPr>
        <w:tc>
          <w:tcPr>
            <w:tcW w:w="2700" w:type="dxa"/>
            <w:vAlign w:val="bottom"/>
          </w:tcPr>
          <w:p>
            <w:pPr>
              <w:ind w:left="260"/>
              <w:spacing w:after="0"/>
              <w:rPr>
                <w:sz w:val="20"/>
                <w:szCs w:val="20"/>
                <w:color w:val="auto"/>
              </w:rPr>
            </w:pPr>
            <w:r>
              <w:rPr>
                <w:rFonts w:ascii="Arial" w:cs="Arial" w:eastAsia="Arial" w:hAnsi="Arial"/>
                <w:sz w:val="18"/>
                <w:szCs w:val="18"/>
                <w:color w:val="auto"/>
              </w:rPr>
              <w:t>Other</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 long term</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105,331</w:t>
            </w:r>
          </w:p>
        </w:tc>
        <w:tc>
          <w:tcPr>
            <w:tcW w:w="21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349,981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Contingent supply liability</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5,891</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Deferred tax liabilities - long term</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87,464</w:t>
            </w:r>
          </w:p>
        </w:tc>
        <w:tc>
          <w:tcPr>
            <w:tcW w:w="21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255,895</w:t>
            </w:r>
          </w:p>
        </w:tc>
        <w:tc>
          <w:tcPr>
            <w:tcW w:w="2160" w:type="dxa"/>
            <w:vAlign w:val="bottom"/>
            <w:shd w:val="clear" w:color="auto" w:fill="CCEEFF"/>
          </w:tcPr>
          <w:p>
            <w:pPr>
              <w:spacing w:after="0"/>
              <w:rPr>
                <w:sz w:val="22"/>
                <w:szCs w:val="22"/>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Tarsus Medical Inc.</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24, 2013, the Company acquired all outstanding preferred and common stock of Tarsus Medical, Inc. ("Tarsus") for a total of $4.7 million consisting of $3.1 million in cash (including working capital adjustments of $0.2 million) and contingent consideration with an estimated acquisition date fair value of approximately $1.6 million. The potential maximum undiscounted contingent consideration consists of a first milestone payment of up to $1.5 million and a second payment of up to $11.5 million. These payments are based on reaching certain sales thresholds of acquired products. During the second quarter of 2014, the Company adjusted the fair value of the contingent consideration to zero as it no longer believed the achievement of the sales targets was probable and the contingent consideration period ended December 31, 2015, with no payment being made. Tarsus is a podiatry device company addressing clinical needs associated with diseases and injuries of the foot and ankle.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Final Purchase Price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Wtd. Avg. Life:</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10 - 14 years</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Indefinite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asset - long term</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6,928</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4,665</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determined the preliminary fair value of net assets acquired during the first quarter of 2013 and finalized the working capital adjustment in the second quarter of 2013. The Company accounts for the contingent consideration by recording its fair value as a liability on the date of the acquisition and re-measuring the fair value at each reporting date until the contingency is resolved. Changes in fair value of the contingent consideration are recognized in earnings. Accordingly, on January 24, 2013 the Company recorded $1.6 million representing the initial fair value estimate of the contingent consideration that will be earned through December 31, 2015. The fair value of this liability is based on future sales projections of the Tarsus Medical product under various potential scenarios and weighting the probability of these outcomes for the period ended December 31, 2015. At the date of the acquisition, the first milestone cash flow projection was discounted using a rate of 4.3% based on an estimated after tax cost of debt; the second milestone cash flow projection was discounted using a weighted average cost of capital of 16.5%. These fair value measurements were based on significant inputs not observed in the market and thus represented a Level 3 measurement.</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these acquisitions is based on (i) expected cost savings, operating synergies and other benefits expected to result from the combined operations, (ii) the value of the going-concern element of the existing business (that is, the higher rate of return on the assembled net assets versus if the Company had acquired all of the net assets separately), and (iii) intangible assets that do not qualify for separate recognition such as an assembled workforce. The acquisitions generated a combination of deductible and non-deductible 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contingent consideration during the year-ended December 31, 2015 was increased to reflect current period acquisitions, and the change in the time value of money during the period. A reconciliation of the opening balances to the closing balances of these Level 3 measurements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Location in Statement of Operations</w:t>
            </w:r>
          </w:p>
        </w:tc>
      </w:tr>
      <w:tr>
        <w:trPr>
          <w:trHeight w:val="27"/>
        </w:trPr>
        <w:tc>
          <w:tcPr>
            <w:tcW w:w="5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Write-off of Metasurg contingent consideration</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5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decrease in fair value of contingent consideration liability</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Fair value at December 31, 2015</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21,831</w:t>
            </w:r>
          </w:p>
        </w:tc>
        <w:tc>
          <w:tcPr>
            <w:tcW w:w="12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0"/>
        </w:trPr>
        <w:tc>
          <w:tcPr>
            <w:tcW w:w="5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years ended December 31, 2015 and December 31, 2014 as if the acquisitions completed by the Company during 2015 and 2014 had been completed as of the beginning of the prior year. The pro forma results are based upon certain assumptions and estimates, and they give effect to actual operating results prior to the acquisitions and adjustments to reflect</w:t>
      </w:r>
    </w:p>
    <w:p>
      <w:pPr>
        <w:ind w:firstLine="8"/>
        <w:spacing w:after="0" w:line="323" w:lineRule="auto"/>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interest expense, depreciation expense, intangible asset amortization and fair value inventory step-up, (ii) timing of recognition for certain expenses that will not be recurring in the post-acquisition entity, and (iii) income taxes at a rate consistent with the Company’s statutory rate. No effect has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Tarsus acquisition is not material to the consolidated operating results of the Company; therefore, the pro-forma impact of the acquisition has not been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6"/>
        </w:trPr>
        <w:tc>
          <w:tcPr>
            <w:tcW w:w="59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196"/>
        </w:trPr>
        <w:tc>
          <w:tcPr>
            <w:tcW w:w="5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26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from continuing operations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940,005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921,998</w:t>
            </w:r>
          </w:p>
        </w:tc>
        <w:tc>
          <w:tcPr>
            <w:tcW w:w="6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803,073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40,721</w:t>
            </w:r>
          </w:p>
        </w:tc>
        <w:tc>
          <w:tcPr>
            <w:tcW w:w="6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35,796</w:t>
            </w:r>
          </w:p>
        </w:tc>
      </w:tr>
      <w:tr>
        <w:trPr>
          <w:trHeight w:val="27"/>
        </w:trPr>
        <w:tc>
          <w:tcPr>
            <w:tcW w:w="5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1.26</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2015, the Company entered into a second amendment (the "Second Amendment") to the certain Third Amended and Restated Credit Agreement, dated as of July 2, 2014 among the Company, a syndicate of lending banks, Bank of America, N.A., as Administrative Agent, Swing Line Lender and L/C Issuer, Wells Fargo Bank, National Association, as Syndication Agent, and HSBC Bank USA, National Association, Royal Bank of Canada, Citizens Bank, National Association, DNB Capital LLC, Crédit Agricole-Corporate and Investment Bank, and TD Bank, N.A., as Co-Documentation Agents.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Second Amendment creates an aggregate principal amount of up to $1.1 billion available to the Company through the following facilities:</w:t>
      </w:r>
    </w:p>
    <w:p>
      <w:pPr>
        <w:spacing w:after="0" w:line="90" w:lineRule="exact"/>
        <w:rPr>
          <w:sz w:val="20"/>
          <w:szCs w:val="20"/>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$750.0 million revolving credit facility which includes a $60.0 million sublimit for the issuance of standby letters of credit and a $60.0 million sublimit for swingline loans,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$350.0 million term loan facility.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Second Amendment, the Company borrowed $200.0 million of incremental term loans as permitted under the original terms of the Senior Credit Facility to repay a portion of the Company's outstanding revolving loans. Additionally, the Second Amendment (i) enables the Company to incur up to $200.0 million of incremental loans in the future and (ii) modifies the consolidated leverage ratio covenant in the Credit Agreement. The July 2014 amended and restated Senior Credit Facility extended the maturity date of the prior facility from June 8, 2016 to July 2,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2015 the Company was in compliance with all such covenants. The Company capitalized $1.4 million and $3.2 million of incremental financing costs in 2015 and 2014, respectively in connection with the modifications of the Senior Credit Facility and expensed $0.3 million in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2014 of previously capitalized financing costs. No previously capitalized financing costs were expensed in 2015 related to the modification.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2015 and 2014, there was $150.0 million and $266.9 million outstanding, respectively, under the revolving portion of the Senior Credit Facility at a weighted average interest rate of 1.9% and 1.7%, respectively. At December 31, 2015 and 2014 there was $346.2 million and $150.0 million, respectively, outstanding under the term loan component of the Senior Credit Facility at a weighted average interest rate of 1.8% and 1.7%, respectively. At December 31, 2015, there was approximately $600.0 million available for borrowing under the Senior Credit Facility.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components at December 31, 2015 was approximately $139.8 million and $324.9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are due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5860" w:type="dxa"/>
            <w:vAlign w:val="bottom"/>
            <w:gridSpan w:val="2"/>
          </w:tcPr>
          <w:p>
            <w:pPr>
              <w:jc w:val="center"/>
              <w:ind w:right="4060"/>
              <w:spacing w:after="0"/>
              <w:rPr>
                <w:sz w:val="20"/>
                <w:szCs w:val="20"/>
                <w:color w:val="auto"/>
              </w:rPr>
            </w:pPr>
            <w:r>
              <w:rPr>
                <w:rFonts w:ascii="Arial" w:cs="Arial" w:eastAsia="Arial" w:hAnsi="Arial"/>
                <w:sz w:val="16"/>
                <w:szCs w:val="16"/>
                <w:b w:val="1"/>
                <w:bCs w:val="1"/>
                <w:color w:val="auto"/>
                <w:w w:val="91"/>
              </w:rPr>
              <w:t>Year Ended December 31,</w:t>
            </w: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Principal Repayment</w:t>
            </w:r>
          </w:p>
        </w:tc>
      </w:tr>
      <w:tr>
        <w:trPr>
          <w:trHeight w:val="48"/>
        </w:trPr>
        <w:tc>
          <w:tcPr>
            <w:tcW w:w="36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6"/>
                <w:szCs w:val="16"/>
                <w:b w:val="1"/>
                <w:bCs w:val="1"/>
                <w:color w:val="auto"/>
                <w:w w:val="90"/>
              </w:rPr>
              <w:t>(In thousands)</w:t>
            </w:r>
          </w:p>
        </w:tc>
      </w:tr>
      <w:tr>
        <w:trPr>
          <w:trHeight w:val="243"/>
        </w:trPr>
        <w:tc>
          <w:tcPr>
            <w:tcW w:w="5480" w:type="dxa"/>
            <w:vAlign w:val="bottom"/>
            <w:gridSpan w:val="2"/>
          </w:tcPr>
          <w:p>
            <w:pPr>
              <w:jc w:val="center"/>
              <w:ind w:left="3590"/>
              <w:spacing w:after="0"/>
              <w:rPr>
                <w:sz w:val="20"/>
                <w:szCs w:val="20"/>
                <w:color w:val="auto"/>
              </w:rPr>
            </w:pPr>
            <w:r>
              <w:rPr>
                <w:rFonts w:ascii="Arial" w:cs="Arial" w:eastAsia="Arial" w:hAnsi="Arial"/>
                <w:sz w:val="18"/>
                <w:szCs w:val="18"/>
                <w:color w:val="auto"/>
                <w:w w:val="89"/>
              </w:rPr>
              <w:t>2016</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$14,375</w:t>
            </w:r>
          </w:p>
        </w:tc>
        <w:tc>
          <w:tcPr>
            <w:tcW w:w="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jc w:val="center"/>
              <w:ind w:left="3590"/>
              <w:spacing w:after="0"/>
              <w:rPr>
                <w:sz w:val="20"/>
                <w:szCs w:val="20"/>
                <w:color w:val="auto"/>
              </w:rPr>
            </w:pPr>
            <w:r>
              <w:rPr>
                <w:rFonts w:ascii="Arial" w:cs="Arial" w:eastAsia="Arial" w:hAnsi="Arial"/>
                <w:sz w:val="18"/>
                <w:szCs w:val="18"/>
                <w:color w:val="auto"/>
                <w:w w:val="89"/>
              </w:rPr>
              <w:t>2017</w:t>
            </w:r>
          </w:p>
        </w:tc>
        <w:tc>
          <w:tcPr>
            <w:tcW w:w="40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25,625</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jc w:val="center"/>
              <w:ind w:left="3590"/>
              <w:spacing w:after="0"/>
              <w:rPr>
                <w:sz w:val="20"/>
                <w:szCs w:val="20"/>
                <w:color w:val="auto"/>
              </w:rPr>
            </w:pPr>
            <w:r>
              <w:rPr>
                <w:rFonts w:ascii="Arial" w:cs="Arial" w:eastAsia="Arial" w:hAnsi="Arial"/>
                <w:sz w:val="18"/>
                <w:szCs w:val="18"/>
                <w:color w:val="auto"/>
                <w:w w:val="89"/>
              </w:rPr>
              <w:t>2018</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32,500</w:t>
            </w:r>
          </w:p>
        </w:tc>
        <w:tc>
          <w:tcPr>
            <w:tcW w:w="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jc w:val="center"/>
              <w:ind w:left="3590"/>
              <w:spacing w:after="0"/>
              <w:rPr>
                <w:sz w:val="20"/>
                <w:szCs w:val="20"/>
                <w:color w:val="auto"/>
              </w:rPr>
            </w:pPr>
            <w:r>
              <w:rPr>
                <w:rFonts w:ascii="Arial" w:cs="Arial" w:eastAsia="Arial" w:hAnsi="Arial"/>
                <w:sz w:val="18"/>
                <w:szCs w:val="18"/>
                <w:color w:val="auto"/>
                <w:w w:val="89"/>
              </w:rPr>
              <w:t>2019</w:t>
            </w:r>
          </w:p>
        </w:tc>
        <w:tc>
          <w:tcPr>
            <w:tcW w:w="40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273,750</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jc w:val="center"/>
              <w:ind w:left="3590"/>
              <w:spacing w:after="0"/>
              <w:rPr>
                <w:sz w:val="20"/>
                <w:szCs w:val="20"/>
                <w:color w:val="auto"/>
              </w:rPr>
            </w:pPr>
            <w:r>
              <w:rPr>
                <w:rFonts w:ascii="Arial" w:cs="Arial" w:eastAsia="Arial" w:hAnsi="Arial"/>
                <w:sz w:val="18"/>
                <w:szCs w:val="18"/>
                <w:color w:val="auto"/>
                <w:w w:val="89"/>
              </w:rPr>
              <w:t>2020</w:t>
            </w:r>
          </w:p>
        </w:tc>
        <w:tc>
          <w:tcPr>
            <w:tcW w:w="4060" w:type="dxa"/>
            <w:vAlign w:val="bottom"/>
          </w:tcPr>
          <w:p>
            <w:pPr>
              <w:spacing w:after="0"/>
              <w:rPr>
                <w:sz w:val="21"/>
                <w:szCs w:val="21"/>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the carrying amount of the liability component was $218.7 million, the remaining unamortized discount was $8.4 million, and the principal amount outstanding was $227.1 million. At December 31, 2014, the carrying amount of the liability component was $213.1 million, the remaining unamortized discount was $16.9 million and the principal amount outstanding was $230.0 million.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2016 Notes at December 31, 2015 was approximately $297.4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which included the spin-off of the spine business. The issue price of the 2016 Notes was equal to their face amount,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note holders provided notice to convert 2,903 notes. During the twelve months ended December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31, 2015, the Company paid $2.9 million in cash and issued 8,457 shares to to settle the obligation to the note holders that converted. As a result of the spin-off and pursuant to the indenture for the Company's 2016 Notes, the initial conversion price and rate was adjusted effective July 1, 2015. The conversion price on the 2016 Notes has been adjusted to $52.83 per share and the new conversion rate is 18.9287 shares per $1,000 principal amount of 2016 Notes. The Company considers the balance to be long term in nature based on its current intent and ability to refinance the borrowing within the next twelve-month period.</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 The strike price of the call transactions and warrant transactions has been adjusted similarly to the 2016 Notes as a result of the spin-off to $52.83 per share and $64.43 per share,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7,917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6,463</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11,347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9,681</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amortization of the discount on the liability component of the 2016 Notes is presented net of capitalized interest of $0.6 million, $0.9 million, and $1.0 million for the years ended December 31, 2015, 2014, and 2013, respectively.</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cash interest related to the contractual interest coupon on the 2016 Notes is presented net of capitalized interest of $0.3 million, $0.4 million, and $0.5 million for the years ended December 31, 2015, 2014, and 2013,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On August 10, 2015 the interest rate swap derivative instrument the Company entered into on August 20, 2010 with an effective date of December 31, 2010 expired. The interest rate swap was used to manage the Company's earnings and cash flow exposure to changes in interest rates by converting a portion of its floating-rate debt into fixed-rate debt. The Company did not enter into another interest rate swap derivative instruments.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expiration, the Company designated this derivative instrument as a cash flow hedge. The Company recorded the effective portion of any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reclassifed the amount of any gain or loss on the related cash flow hedge to interest expense at that time.</w:t>
      </w:r>
    </w:p>
    <w:p>
      <w:pPr>
        <w:spacing w:after="0" w:line="134" w:lineRule="exact"/>
        <w:rPr>
          <w:sz w:val="20"/>
          <w:szCs w:val="20"/>
          <w:color w:val="auto"/>
        </w:rPr>
      </w:pPr>
    </w:p>
    <w:p>
      <w:pPr>
        <w:ind w:right="180"/>
        <w:spacing w:after="0" w:line="344" w:lineRule="auto"/>
        <w:rPr>
          <w:sz w:val="20"/>
          <w:szCs w:val="20"/>
          <w:color w:val="auto"/>
        </w:rPr>
      </w:pPr>
      <w:r>
        <w:rPr>
          <w:rFonts w:ascii="Arial" w:cs="Arial" w:eastAsia="Arial" w:hAnsi="Arial"/>
          <w:sz w:val="18"/>
          <w:szCs w:val="18"/>
          <w:color w:val="auto"/>
        </w:rPr>
        <w:t xml:space="preserve">The Company reclassified $0.9 million of pre-tax losses recorded as net in AOCI related to the interest rate hedge to earnings prior to the date of expiration. </w:t>
      </w:r>
      <w:r>
        <w:rPr>
          <w:rFonts w:ascii="Arial" w:cs="Arial" w:eastAsia="Arial" w:hAnsi="Arial"/>
          <w:sz w:val="18"/>
          <w:szCs w:val="18"/>
          <w:b w:val="1"/>
          <w:bCs w:val="1"/>
          <w:i w:val="1"/>
          <w:iCs w:val="1"/>
          <w:color w:val="auto"/>
        </w:rPr>
        <w:t>Foreign Currency Hedging</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of the Company’s hedging program depends, in part, on forecasts of certain activity denominated in euros. The Company may experience unanticipated currency exchange gains or losses to the extent that there are differences between forecasted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actual activity during periods of currency volatility. In addition, changes in currency exchange rates related to any unhedged transactions may affect its earnings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 was developed using a market approach based on publicly available market yield curves and the terms of the swap. The Company performs ongoing assessments of counterparty credit risk.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 for derivatives designated as hedging instruments as of December 31, 2015 and December 31,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r>
      <w:tr>
        <w:trPr>
          <w:trHeight w:val="162"/>
        </w:trPr>
        <w:tc>
          <w:tcPr>
            <w:tcW w:w="82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14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82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tcPr>
          <w:p>
            <w:pPr>
              <w:spacing w:after="0"/>
              <w:rPr>
                <w:sz w:val="23"/>
                <w:szCs w:val="23"/>
                <w:color w:val="auto"/>
              </w:rPr>
            </w:pPr>
          </w:p>
        </w:tc>
      </w:tr>
      <w:tr>
        <w:trPr>
          <w:trHeight w:val="269"/>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14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right="20" w:hanging="332"/>
        <w:spacing w:after="0" w:line="208"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At December 31, 2015 and December 31, 2014, the notional amount related to the Company’s sole interest rate swap was $0.0 million and $97.5 million, respectively.</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years ended December 31, 2015 and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Balance in AOCI</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AOCI into</w:t>
            </w:r>
          </w:p>
        </w:tc>
        <w:tc>
          <w:tcPr>
            <w:tcW w:w="180" w:type="dxa"/>
            <w:vAlign w:val="bottom"/>
          </w:tcPr>
          <w:p>
            <w:pPr>
              <w:spacing w:after="0"/>
              <w:rPr>
                <w:sz w:val="12"/>
                <w:szCs w:val="12"/>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7"/>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40" w:type="dxa"/>
            <w:vAlign w:val="bottom"/>
          </w:tcPr>
          <w:p>
            <w:pPr>
              <w:jc w:val="right"/>
              <w:ind w:right="461"/>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Portion)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End of Year</w:t>
            </w:r>
          </w:p>
        </w:tc>
        <w:tc>
          <w:tcPr>
            <w:tcW w:w="2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541"/>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no gains or losses resulting from ineffectiveness of cash flow hedges during the years ended December 31, 2015 and 2014.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TREASURY STOCK</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28, 2014, the Board of Directors terminated the October 2012 authorization and authorized up to $75.0 million of its outstanding common stock through December 2016. As of December 31, 2015 there remained $75.0 million available for repurchases under this authorization.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years ended December 31, 2015 or December 31,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 all related to employees - recognized under the authoritative guidance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14,461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9,842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6,036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2015, 1.0 million shares remain available for purchase under the ESPP. During the years ended December 31, 2015, 2014 and 2013, the Company issued 6,020 shares, 3,889 shares and 4,855 shares under the ESPP for $0.4 million, $0.2 million and $0.2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2008 and May 2010, the stockholders of the Company approved amendments to the 2003 Plan to increase by 750,000 and 1,750,000, respectively, the number of shares of common stock that may be issued under the 2003 Plan. The Company has reserved 2,000,000 shares under each of the 2000 Plan and the 2001 Plan, and 6,500,000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ratably over specified periods, generally three years after the date of grant.</w:t>
      </w:r>
    </w:p>
    <w:p>
      <w:pPr>
        <w:spacing w:after="0" w:line="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for all employees holding outstanding awards to provide holders performance stock, restricted stock, and contract stock in the company that employs such employee following the separation. The adjustments to the Company's stock-based compensation awards resulted in an increase in incremental fair value of $4.4 million, of which $3.3 million was recorded during the year-ended December 31, 2015. The remaining $1.1 million will be recognized prospectively over the remaining term of outstanding awards, adjusted, as applicable, for forfeitures.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and vesting provisions in the valuation of employee stock options.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4"/>
              </w:rPr>
              <w:t>29%</w:t>
            </w:r>
          </w:p>
        </w:tc>
        <w:tc>
          <w:tcPr>
            <w:tcW w:w="1600" w:type="dxa"/>
            <w:vAlign w:val="bottom"/>
            <w:gridSpan w:val="3"/>
          </w:tcPr>
          <w:p>
            <w:pPr>
              <w:jc w:val="center"/>
              <w:ind w:left="33"/>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0"/>
              </w:rPr>
              <w:t>1.96%</w:t>
            </w:r>
          </w:p>
        </w:tc>
        <w:tc>
          <w:tcPr>
            <w:tcW w:w="1600" w:type="dxa"/>
            <w:vAlign w:val="bottom"/>
            <w:tcBorders>
              <w:bottom w:val="single" w:sz="8" w:color="CCEEFF"/>
            </w:tcBorders>
            <w:gridSpan w:val="3"/>
            <w:shd w:val="clear" w:color="auto" w:fill="CCEEFF"/>
          </w:tcPr>
          <w:p>
            <w:pPr>
              <w:jc w:val="center"/>
              <w:ind w:left="13"/>
              <w:spacing w:after="0"/>
              <w:rPr>
                <w:sz w:val="20"/>
                <w:szCs w:val="20"/>
                <w:color w:val="auto"/>
              </w:rPr>
            </w:pPr>
            <w:r>
              <w:rPr>
                <w:rFonts w:ascii="Arial" w:cs="Arial" w:eastAsia="Arial" w:hAnsi="Arial"/>
                <w:sz w:val="18"/>
                <w:szCs w:val="18"/>
                <w:color w:val="auto"/>
                <w:w w:val="90"/>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1.52%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Modification upon spin-off (1)</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1,193</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37.09</w:t>
            </w:r>
          </w:p>
        </w:tc>
        <w:tc>
          <w:tcPr>
            <w:tcW w:w="16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36,614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 or expected to vest at December 31, 2015</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Exercisable at December 31, 2015</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35.02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33,980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intrinsic value of options exercised for the years ended December 31, 2015, 2014 and 2013 were negligible. The weighted average grant date fair value of options granted during the years ended December 31, 2015, 2014 and 2013 was $17.17, $18.15 and $13.86, respectively. Cash received from option exercises was $7.3 million, $15.2 million and $2.3 million, for the years ended December 31, 2015, 2014 and 2013, respectively.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2015, there was approximately $2.3 million of total unrecognized compensation costs related to unvested stock options. These costs are expected to be recognized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57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2014</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Modification upon spin-off</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Surrendered upon spin-off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2015</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recognized $10.2 million, $13.1 million and $8.6 million in expense related to such awards during the years ended December 31, 2015, 2014 and 2013, respectively. The total fair market value of shares vested in 2015, 2014 and 2013 was $19.9 million, $9.4 million and $6.5 million, respectively.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2015, there was approximately $13.9 million of total unrecognized compensation costs related to unvested awards. These costs are expected to be recognized over a weighted-average period of approximately two years.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there are approximately 0.3 million additional vested Restricted Units held by various employees for which the related shares have not yet been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there were approximately 1.4 million shares available for grant under the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 defined benefit pension plan that covers employees in its manufacturing plant located in Tuttlingen, Germany (the “Germany Plan”). The Company closed the Tuttlingen, Germany plant in December 2005. The Company did not terminate the Germany Plan, and the Company remains obligated for the accrued pension benefits related to this plan.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completed the buy-out of its defined benefit pension plan in the U.K. which covered certain employees and retirees. All plan assets of the defined benefit pension plan were transferred to an independent financial services firm and the Company made cash contributions of approximately $1.8 million for the year-ended December 31, 2015. The Company recorded expenses totaling approximately $5.6 million in selling, general and administrative costs in conjunction with the buy-out of the plan. The buy-out of the U.K. pension plan eliminated future obligations of the Company under this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$3.7 million, $3.0 million and $2.9 million for the years ended December 31, 2015, 2014 and 2013,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administrative, manufacturing, research and distribution facilities and various manufacturing, office and transportation equipment through operating lease agreements. Future minimum lease payments under operating leases at December 31, 2015 were as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7,373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4,000</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18,963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22,460</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50,703</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rental expense for the years ended December 31, 2015, 2014 and 2013 and was $10.1 million, $10.2 million and $10.4 million, respectively, and included $0.3 million, in related party rental expense in each of the three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leases at December 31, 2015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Payments under</w:t>
            </w:r>
          </w:p>
        </w:tc>
      </w:tr>
      <w:tr>
        <w:trPr>
          <w:trHeight w:val="149"/>
        </w:trPr>
        <w:tc>
          <w:tcPr>
            <w:tcW w:w="10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capital leases</w:t>
            </w:r>
          </w:p>
        </w:tc>
      </w:tr>
      <w:tr>
        <w:trPr>
          <w:trHeight w:val="192"/>
        </w:trPr>
        <w:tc>
          <w:tcPr>
            <w:tcW w:w="10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672</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672</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representing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654</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leases certain production equipment from a corporation whose sole stockholder is a general partnership, of which the Company’s former Chairman (and current director) is a partner and the President. The term of the lease is through March 31, 2022, and the Company has an option to renew through March 31, 2032. Under the terms of the lease agreement, the Company pays $0.1 million per year to the related party lessor. The Company also leases its manufacturing facility in Plainsboro, New Jersey, from a general partnership that is 50% owned by a corporation whose shareholders are trusts, whose beneficiaries include family members of the Company’s former Chairman (and current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6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36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3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6,512</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24,217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12,274</w:t>
            </w:r>
          </w:p>
        </w:tc>
      </w:tr>
      <w:tr>
        <w:trPr>
          <w:trHeight w:val="27"/>
        </w:trPr>
        <w:tc>
          <w:tcPr>
            <w:tcW w:w="36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60,671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45,566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18,786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3480" w:type="dxa"/>
            <w:vAlign w:val="bottom"/>
            <w:gridSpan w:val="2"/>
          </w:tcPr>
          <w:p>
            <w:pPr>
              <w:jc w:val="right"/>
              <w:ind w:right="1200"/>
              <w:spacing w:after="0"/>
              <w:rPr>
                <w:sz w:val="20"/>
                <w:szCs w:val="20"/>
                <w:color w:val="auto"/>
              </w:rPr>
            </w:pPr>
            <w:r>
              <w:rPr>
                <w:rFonts w:ascii="Arial" w:cs="Arial" w:eastAsia="Arial" w:hAnsi="Arial"/>
                <w:sz w:val="18"/>
                <w:szCs w:val="18"/>
                <w:color w:val="auto"/>
              </w:rPr>
              <w:t>F - 34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392"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Spine valuation allowance</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61.1 %</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Charitable contributions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Domestic production activities deduction</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profit in inventory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facilitative costs</w:t>
            </w:r>
          </w:p>
        </w:tc>
        <w:tc>
          <w:tcPr>
            <w:tcW w:w="6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valuation allowances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Uncertain tax positions</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Return to provision</w:t>
            </w:r>
          </w:p>
        </w:tc>
        <w:tc>
          <w:tcPr>
            <w:tcW w:w="6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9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88.7 %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effective tax rate increased by 68.4% in 2015 compared with 2014 primarily due to recording a valuation allowance against net deferred tax assets for the SeaSpine spin-off. The Company recorded an income tax benefit of $0.4 million in the current year for the release of tax contingency reserves as compared to $2.1 million in the prior year. This current year benefit was offset by the establishment of $0.5 million of new tax contingency positions during the year.</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2015, the Company's foreign operations generated a $2.3 million increase in income tax expense as a result of, among other factors, the geographic and business mix of taxable earnings and losses. The 2015 foreign effective tax rate is 10.6%, an increase of approximately 5.7% over the rate in 2014. The Company's foreign tax rate is primarily based upon statutory rates and is not related to a tax holiday or negotiated tax rate.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Company's foreign operations generated a $1.2 million decrease in income tax expense as a result of, among other factors, the geographic and business mix of taxable earnings and losses and the re-establishment of an income tax benefit in France for half of the year related to intercompany interest. The 2014 foreign effective tax rate is 4.9%, a decrease of approximately 39.6% over the rate in 2013. The Company's foreign tax rate is primarily based upon statutory tax rates and is not related to a tax holiday or negotiated tax rate.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2013, the Company's foreign operations generated a $1.0 million increase in income tax expense as a result of, among other factors, the geographic and business mix of taxable earnings and losses and the change of an income tax benefit in France as a result of a French tax law change that occurred on December 30, 2013. The 2013 foreign effective tax rate is 44.5%, an increase of approximately 33.4% over the rate in 2012. The Company's foreign tax rate is primarily based upon statutory tax rates and is not related to a tax holiday or negotiated tax rate.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2015, the Company has not provided deferred U.S. income taxes or foreign withholding taxes on temporary differences of approximately $261.3 million resulting from earnings for certain non-U.S. subsidiaries which are permanently reinvested outside the U.S. The unrecognized deferred tax liability associated with these temporary differences was estimated to be $37.9 million at December 31, 2015.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46,665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10,330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54,171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53,820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4720" w:type="dxa"/>
            <w:vAlign w:val="bottom"/>
          </w:tcPr>
          <w:p>
            <w:pPr>
              <w:spacing w:after="0"/>
              <w:rPr>
                <w:sz w:val="22"/>
                <w:szCs w:val="22"/>
                <w:color w:val="auto"/>
              </w:rPr>
            </w:pPr>
          </w:p>
        </w:tc>
        <w:tc>
          <w:tcPr>
            <w:tcW w:w="4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47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21"/>
                <w:szCs w:val="2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46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1,727</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 items</w:t>
            </w:r>
          </w:p>
        </w:tc>
        <w:tc>
          <w:tcPr>
            <w:tcW w:w="3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30,017</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3,156</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3,310</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5,596</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Total current deferred tax assets</w:t>
            </w:r>
          </w:p>
        </w:tc>
        <w:tc>
          <w:tcPr>
            <w:tcW w:w="36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46,500</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97"/>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deferred tax assets after valuation allowance</w:t>
            </w:r>
          </w:p>
        </w:tc>
        <w:tc>
          <w:tcPr>
            <w:tcW w:w="36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45,972</w:t>
            </w: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47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deferred tax liabilities</w:t>
            </w:r>
          </w:p>
        </w:tc>
        <w:tc>
          <w:tcPr>
            <w:tcW w:w="3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4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20" w:type="dxa"/>
            <w:vAlign w:val="bottom"/>
          </w:tcPr>
          <w:p>
            <w:pPr>
              <w:ind w:left="180"/>
              <w:spacing w:after="0"/>
              <w:rPr>
                <w:sz w:val="20"/>
                <w:szCs w:val="20"/>
                <w:color w:val="auto"/>
              </w:rPr>
            </w:pPr>
            <w:r>
              <w:rPr>
                <w:rFonts w:ascii="Arial" w:cs="Arial" w:eastAsia="Arial" w:hAnsi="Arial"/>
                <w:sz w:val="18"/>
                <w:szCs w:val="18"/>
                <w:color w:val="auto"/>
              </w:rPr>
              <w:t>Net current deferred tax assets</w:t>
            </w:r>
          </w:p>
        </w:tc>
        <w:tc>
          <w:tcPr>
            <w:tcW w:w="46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45,489</w:t>
            </w:r>
          </w:p>
        </w:tc>
      </w:tr>
      <w:tr>
        <w:trPr>
          <w:trHeight w:val="20"/>
        </w:trPr>
        <w:tc>
          <w:tcPr>
            <w:tcW w:w="4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27"/>
        </w:trPr>
        <w:tc>
          <w:tcPr>
            <w:tcW w:w="4720" w:type="dxa"/>
            <w:vAlign w:val="bottom"/>
          </w:tcPr>
          <w:p>
            <w:pPr>
              <w:spacing w:after="0"/>
              <w:rPr>
                <w:sz w:val="24"/>
                <w:szCs w:val="24"/>
                <w:color w:val="auto"/>
              </w:rPr>
            </w:pPr>
          </w:p>
        </w:tc>
        <w:tc>
          <w:tcPr>
            <w:tcW w:w="4620" w:type="dxa"/>
            <w:vAlign w:val="bottom"/>
            <w:gridSpan w:val="2"/>
          </w:tcPr>
          <w:p>
            <w:pPr>
              <w:jc w:val="right"/>
              <w:ind w:right="3330"/>
              <w:spacing w:after="0"/>
              <w:rPr>
                <w:sz w:val="20"/>
                <w:szCs w:val="20"/>
                <w:color w:val="auto"/>
              </w:rPr>
            </w:pPr>
            <w:r>
              <w:rPr>
                <w:rFonts w:ascii="Arial" w:cs="Arial" w:eastAsia="Arial" w:hAnsi="Arial"/>
                <w:sz w:val="18"/>
                <w:szCs w:val="18"/>
                <w:color w:val="auto"/>
              </w:rPr>
              <w:t>F - 36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Federal &amp; state 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7"/>
        </w:trPr>
        <w:tc>
          <w:tcPr>
            <w:tcW w:w="8340" w:type="dxa"/>
            <w:vAlign w:val="bottom"/>
          </w:tcPr>
          <w:p>
            <w:pPr>
              <w:ind w:left="160"/>
              <w:spacing w:after="0"/>
              <w:rPr>
                <w:sz w:val="20"/>
                <w:szCs w:val="20"/>
                <w:color w:val="auto"/>
              </w:rPr>
            </w:pPr>
            <w:r>
              <w:rPr>
                <w:rFonts w:ascii="Arial" w:cs="Arial" w:eastAsia="Arial" w:hAnsi="Arial"/>
                <w:sz w:val="18"/>
                <w:szCs w:val="18"/>
                <w:color w:val="auto"/>
              </w:rPr>
              <w:t>Total non-current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82,481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deferred tax assets after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77,594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38,374</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&amp; fixed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(225,328)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(148,714)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97"/>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non-current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(225,553)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(149,379)</w:t>
            </w: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non-current deferred tax assets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net deferred tax assets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(147,959)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prospectively adopted Accounting Standards Update 2015-17 to classify all deferred tax assets and liabilities as non-current on the balance sheet. The Company has not retrospectively adjusted the balance sheet classification and presentation herein for the deferred tax assets and liabilities for years prior to 2015.</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the Company had net operating loss carryforwards of $34.4 million for federal income tax purposes, $21.7 million for foreign income tax purposes and $14.2 million for state income tax purposes to offset future taxable income. The federal net operating loss carryforwards expire through 2032, $2.9 million of the foreign net operating loss carryforwards expire through 2021 with the remaining $18.8 million having an indefinite carry forward period. The state net operating loss carryforwards expire through 2032.</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tax assets relating to tax benefits of employee stock option grants have been reduced to reflect exercises in 2015. Some exercises have resulted in tax deductions in excess of previously recorded benefits based on the option value at the time of grant (“windfalls”). Although these additional tax benefits are reflected in net operating tax loss carryforwards the additional tax benefit associated with the windfall is not recognized until the deduction reduces taxes payable. Accordingly, since the tax benefit does not reduce our current taxes payable in 2013 due to net operating loss carryforwards, these “windfall” tax benefits are not reflected in our net operating losses in deferred tax assets for 2013.</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valuation allowance of $4.9 million, $6.8 million and $7.3 million is recorded against the Company’s gross deferred tax assets of $82.5 million, $91.1 million, and $91.9 million recorded at December 31, 2015, 2014 and 2013, respectively.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valuation allowance decreased by $1.9 million, and $0.5 million in 2015 and 2014, respectively. The 2015 overall decrease in the valuation allowance was primarily due to expiring net operating losses in the Netherlands which is offset by a reduction in the related deferred tax asset.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Statute of limitations lapses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3,040</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Approximately $1.1 million of the balance at December 31, 2015 relates to uncertain tax positions that, if recognized, would affect the annual effective tax rate. Included in the balance of uncertain tax positions at December 31, 2015 is $0.5 million related to tax positions for which it is reasonably possible that the total amounts could be reduced during the twelve months following December 31, 2015, as a result of expiring statutes of limitations.</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 ended December 31, 2015 and a $0.2 million benefit, and a $0.8 million benefit for interest and penalties in the income statement during the years ended December 31, 2014 and 2013, respectively. The Company had minimal interest and penalties accrued at December 31, 2015 and$0.1 million, and $0.4 million of interest and penalties accrued at December 31, 2014 and 2013,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Federal income tax returns by the IRS through fiscal year 2011. All significant state and local matters have been concluded through fiscal 2011. All significant foreign matters have been settled through fiscal 2011.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INCOME PER SHARE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6"/>
          </w:tcPr>
          <w:p>
            <w:pPr>
              <w:jc w:val="center"/>
              <w:ind w:left="53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60" w:type="dxa"/>
            <w:vAlign w:val="bottom"/>
          </w:tcPr>
          <w:p>
            <w:pPr>
              <w:spacing w:after="0"/>
              <w:rPr>
                <w:sz w:val="21"/>
                <w:szCs w:val="21"/>
                <w:color w:val="auto"/>
              </w:rPr>
            </w:pPr>
          </w:p>
        </w:tc>
      </w:tr>
      <w:tr>
        <w:trPr>
          <w:trHeight w:val="209"/>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income per share: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9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6,851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36,295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22,027</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(43,094)</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34,004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(21,067)</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28,416</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net income per common share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0.78</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loss per common share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net (loss)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(43,094)</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28,416</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2016 Convertible notes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386</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28,802</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Diluted net income per common share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0.76</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net loss per common share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r>
    </w:tbl>
    <w:p>
      <w:pPr>
        <w:spacing w:after="0" w:line="3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$3.3 million was recorded during the year-ended December 31, 2015. The remaining $1.1 million will be recognized prospectively over the remaining term of outstanding awards, adjusted, as applicable, for forfeitures.</w:t>
      </w:r>
    </w:p>
    <w:p>
      <w:pPr>
        <w:spacing w:after="0" w:line="1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Common stock of approximately 0.1 million, 0.2 million and 0.7 million shares at December 31, 2015, 2014 and 2013, respectively, that are issuable through exercise or conversion of dilutive securities were not included in the computation of diluted net income per share because their effect would have been antidilutive. The Company also has warrants outstanding related to its 2016 Notes at December 31, 2015, 2014, and 2013 and the Company's 2016 Notes are convertible to common shares in certain circumstances (see Note 5). These warrants and the excess conversion value of the 2016 Notes are included in the diluted earnings per share calculation using the treasury stock method, unless the effect of including such items would be anti-dilutive.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year-ended December 31, 2015, the potential excess conversion value on the 2016 Notes was included in the Company's dilutive share calculation because the average stock price for the year-ended December 31, 2015 exceeded the conversion price. For the year-ended December 31, 2014, the potential excess conversion value of the 2016 Notes were anti-dilutive because the conversion price exceeded the Company's stock price; therefore, these amounts have been excluded from the diluted earnings per share calculation.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0.2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by component between December 31, 2015 and 2014 are presented in the table below, net of tax: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(25,841)</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Current period other comprehensive income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(25,841)</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(47,911)</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adjustments out of accumulated other comprehensive (loss) income during the years ended December 31, 2015 and 2014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Year Ended December 31, 2015</w:t>
            </w:r>
          </w:p>
        </w:tc>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9"/>
              </w:rPr>
              <w:t>(Loss) is Presented</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Year Ended December 31, 2014</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9"/>
              </w:rPr>
              <w:t>(Loss) is Presented</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14. COMMITMENTS AND CONTINGENCIES</w:t>
            </w: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9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220"/>
              <w:spacing w:after="0"/>
              <w:rPr>
                <w:sz w:val="20"/>
                <w:szCs w:val="20"/>
                <w:color w:val="auto"/>
              </w:rPr>
            </w:pPr>
            <w:r>
              <w:rPr>
                <w:rFonts w:ascii="Arial" w:cs="Arial" w:eastAsia="Arial" w:hAnsi="Arial"/>
                <w:sz w:val="18"/>
                <w:szCs w:val="18"/>
                <w:color w:val="auto"/>
                <w:w w:val="89"/>
              </w:rPr>
              <w:t>F - 40</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 recent acquisition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2015, the Company began to disclose three global reportable segments as a result of changes in how the Company internally manages and reports the results of its businesses to its chief operating decision maker. On July 1, 2015, the Company completed the separation of its spine business, which was a reportable segment. See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additional information. Following the separation, the Company is disclosing two reportable segments. The two reportable segments and their activities are described below:</w:t>
      </w:r>
    </w:p>
    <w:p>
      <w:pPr>
        <w:spacing w:after="0" w:line="241"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most notable change from the Company's financial statements for the year ended December 31, 2014 included in the Annual Report on Form 10-K is the integration of the former International reportable segment into the segments noted above as well as certain products from the Private Label segment into Orthopedics and Tissue Technologies. The Spine Private Label products were included in the separation of the spine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 Prior to the realignment, costs related to procurement, manufacturing operations and logistics for the Company's entire organization were not allocated to operating segments. In connection with the realignment, a portion of these costs have now been incorporated into the disclosed operating segments.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2015, 2014 and 2013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586,918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554,872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463,296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241,845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233,536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882,734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796,717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696,832</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242,479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210,146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145,108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72,264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330,323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295,403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217,372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(174,900)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79,587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and, therefore, no asset information is reported to the chief operating decision maker and disclosed in the financial information for each segment.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and long-lived assets (tangible) by major geographic area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United States*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Rest of the World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Consolidated</w:t>
            </w: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gridSpan w:val="3"/>
          </w:tcPr>
          <w:p>
            <w:pPr>
              <w:jc w:val="right"/>
              <w:ind w:right="1033"/>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680,824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103,057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98,853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882,734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596,303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99,207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101,207</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796,717</w:t>
            </w: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521,244</w:t>
            </w:r>
          </w:p>
        </w:tc>
        <w:tc>
          <w:tcPr>
            <w:tcW w:w="4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85,448</w:t>
            </w:r>
          </w:p>
        </w:tc>
        <w:tc>
          <w:tcPr>
            <w:tcW w:w="2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90,140</w:t>
            </w:r>
          </w:p>
        </w:tc>
        <w:tc>
          <w:tcPr>
            <w:tcW w:w="3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696,832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192,900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19,169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1,078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213,147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jc w:val="right"/>
              <w:ind w:right="443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197,897</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21,218</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1,239</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220,354</w:t>
            </w: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INFORMATION -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gridSpan w:val="8"/>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Continuing Operations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revenue, net</w:t>
            </w:r>
          </w:p>
        </w:tc>
        <w:tc>
          <w:tcPr>
            <w:tcW w:w="12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margin</w:t>
            </w:r>
          </w:p>
        </w:tc>
        <w:tc>
          <w:tcPr>
            <w:tcW w:w="160" w:type="dxa"/>
            <w:vAlign w:val="bottom"/>
          </w:tcPr>
          <w:p>
            <w:pPr>
              <w:spacing w:after="0"/>
              <w:rPr>
                <w:sz w:val="13"/>
                <w:szCs w:val="13"/>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Net income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 Share - Basic</w:t>
            </w:r>
          </w:p>
        </w:tc>
        <w:tc>
          <w:tcPr>
            <w:tcW w:w="14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Per Share -</w:t>
            </w:r>
          </w:p>
        </w:tc>
        <w:tc>
          <w:tcPr>
            <w:tcW w:w="160" w:type="dxa"/>
            <w:vAlign w:val="bottom"/>
          </w:tcPr>
          <w:p>
            <w:pPr>
              <w:spacing w:after="0"/>
              <w:rPr>
                <w:sz w:val="13"/>
                <w:szCs w:val="13"/>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Net income</w:t>
            </w:r>
          </w:p>
        </w:tc>
        <w:tc>
          <w:tcPr>
            <w:tcW w:w="120" w:type="dxa"/>
            <w:vAlign w:val="bottom"/>
          </w:tcPr>
          <w:p>
            <w:pPr>
              <w:spacing w:after="0"/>
              <w:rPr>
                <w:sz w:val="13"/>
                <w:szCs w:val="13"/>
                <w:color w:val="auto"/>
              </w:rPr>
            </w:pPr>
          </w:p>
        </w:tc>
        <w:tc>
          <w:tcPr>
            <w:tcW w:w="12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Per Share - Basic</w:t>
            </w:r>
          </w:p>
        </w:tc>
        <w:tc>
          <w:tcPr>
            <w:tcW w:w="160" w:type="dxa"/>
            <w:vAlign w:val="bottom"/>
          </w:tcPr>
          <w:p>
            <w:pPr>
              <w:spacing w:after="0"/>
              <w:rPr>
                <w:sz w:val="13"/>
                <w:szCs w:val="13"/>
                <w:color w:val="auto"/>
              </w:rPr>
            </w:pP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7"/>
              </w:rPr>
              <w:t>Per Share -</w:t>
            </w:r>
          </w:p>
        </w:tc>
        <w:tc>
          <w:tcPr>
            <w:tcW w:w="0" w:type="dxa"/>
            <w:vAlign w:val="bottom"/>
          </w:tcPr>
          <w:p>
            <w:pPr>
              <w:spacing w:after="0"/>
              <w:rPr>
                <w:sz w:val="1"/>
                <w:szCs w:val="1"/>
                <w:color w:val="auto"/>
              </w:rPr>
            </w:pPr>
          </w:p>
        </w:tc>
      </w:tr>
      <w:tr>
        <w:trPr>
          <w:trHeight w:val="158"/>
        </w:trPr>
        <w:tc>
          <w:tcPr>
            <w:tcW w:w="11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Diluted (1)</w:t>
            </w: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408"/>
              <w:spacing w:after="0" w:line="15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Diluted (1)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180" w:type="dxa"/>
            <w:vAlign w:val="bottom"/>
            <w:tcBorders>
              <w:top w:val="single" w:sz="8" w:color="CCEEFF"/>
            </w:tcBorders>
            <w:gridSpan w:val="3"/>
          </w:tcPr>
          <w:p>
            <w:pPr>
              <w:ind w:left="40"/>
              <w:spacing w:after="0"/>
              <w:rPr>
                <w:sz w:val="20"/>
                <w:szCs w:val="20"/>
                <w:color w:val="auto"/>
              </w:rPr>
            </w:pPr>
            <w:r>
              <w:rPr>
                <w:rFonts w:ascii="Arial" w:cs="Arial" w:eastAsia="Arial" w:hAnsi="Arial"/>
                <w:sz w:val="14"/>
                <w:szCs w:val="14"/>
                <w:color w:val="auto"/>
              </w:rPr>
              <w:t>First</w:t>
            </w:r>
          </w:p>
        </w:tc>
        <w:tc>
          <w:tcPr>
            <w:tcW w:w="640" w:type="dxa"/>
            <w:vAlign w:val="bottom"/>
            <w:tcBorders>
              <w:top w:val="single" w:sz="8" w:color="CCEEFF"/>
            </w:tcBorders>
            <w:gridSpan w:val="3"/>
          </w:tcPr>
          <w:p>
            <w:pPr>
              <w:ind w:left="3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202,534</w:t>
            </w: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127,313</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11,732</w:t>
            </w:r>
          </w:p>
        </w:tc>
        <w:tc>
          <w:tcPr>
            <w:tcW w:w="460" w:type="dxa"/>
            <w:vAlign w:val="bottom"/>
            <w:tcBorders>
              <w:top w:val="single" w:sz="8" w:color="CCEEFF"/>
            </w:tcBorders>
            <w:gridSpan w:val="3"/>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0.36</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0.35</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8,384</w:t>
            </w:r>
          </w:p>
        </w:tc>
        <w:tc>
          <w:tcPr>
            <w:tcW w:w="280" w:type="dxa"/>
            <w:vAlign w:val="bottom"/>
            <w:tcBorders>
              <w:top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76"/>
        </w:trPr>
        <w:tc>
          <w:tcPr>
            <w:tcW w:w="1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Second</w:t>
            </w: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137,422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12,020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64"/>
        </w:trPr>
        <w:tc>
          <w:tcPr>
            <w:tcW w:w="1180" w:type="dxa"/>
            <w:vAlign w:val="bottom"/>
            <w:gridSpan w:val="3"/>
          </w:tcPr>
          <w:p>
            <w:pPr>
              <w:ind w:left="40"/>
              <w:spacing w:after="0"/>
              <w:rPr>
                <w:sz w:val="20"/>
                <w:szCs w:val="20"/>
                <w:color w:val="auto"/>
              </w:rPr>
            </w:pPr>
            <w:r>
              <w:rPr>
                <w:rFonts w:ascii="Arial" w:cs="Arial" w:eastAsia="Arial" w:hAnsi="Arial"/>
                <w:sz w:val="14"/>
                <w:szCs w:val="14"/>
                <w:color w:val="auto"/>
              </w:rPr>
              <w:t>Third</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226,367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140,298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(31,881)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(31,881)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270"/>
        </w:trPr>
        <w:tc>
          <w:tcPr>
            <w:tcW w:w="1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Fourth</w:t>
            </w: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241,160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151,159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14,980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882,734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556,192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6,851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First</w:t>
            </w:r>
          </w:p>
        </w:tc>
        <w:tc>
          <w:tcPr>
            <w:tcW w:w="6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2,618</w:t>
            </w:r>
          </w:p>
        </w:tc>
        <w:tc>
          <w:tcPr>
            <w:tcW w:w="4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64"/>
        </w:trPr>
        <w:tc>
          <w:tcPr>
            <w:tcW w:w="1180" w:type="dxa"/>
            <w:vAlign w:val="bottom"/>
            <w:gridSpan w:val="3"/>
          </w:tcPr>
          <w:p>
            <w:pPr>
              <w:ind w:left="40"/>
              <w:spacing w:after="0"/>
              <w:rPr>
                <w:sz w:val="20"/>
                <w:szCs w:val="20"/>
                <w:color w:val="auto"/>
              </w:rPr>
            </w:pPr>
            <w:r>
              <w:rPr>
                <w:rFonts w:ascii="Arial" w:cs="Arial" w:eastAsia="Arial" w:hAnsi="Arial"/>
                <w:sz w:val="14"/>
                <w:szCs w:val="14"/>
                <w:color w:val="auto"/>
              </w:rPr>
              <w:t>Second</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197,043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4,282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76"/>
        </w:trPr>
        <w:tc>
          <w:tcPr>
            <w:tcW w:w="1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Third</w:t>
            </w: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197,523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64"/>
        </w:trPr>
        <w:tc>
          <w:tcPr>
            <w:tcW w:w="11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Fourth</w:t>
            </w:r>
          </w:p>
        </w:tc>
        <w:tc>
          <w:tcPr>
            <w:tcW w:w="2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219,074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134,050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20,405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796,717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493,771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36,295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580" w:hanging="248"/>
        <w:spacing w:after="0" w:line="264" w:lineRule="auto"/>
        <w:tabs>
          <w:tab w:leader="none" w:pos="5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4"/>
                <w:szCs w:val="14"/>
                <w:color w:val="auto"/>
              </w:rPr>
            </w:pPr>
          </w:p>
        </w:tc>
        <w:tc>
          <w:tcPr>
            <w:tcW w:w="9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Charged to</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9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Costs and</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42"/>
              <w:spacing w:after="0" w:line="125" w:lineRule="exact"/>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1"/>
                <w:szCs w:val="11"/>
                <w:color w:val="auto"/>
              </w:rPr>
            </w:pPr>
          </w:p>
        </w:tc>
        <w:tc>
          <w:tcPr>
            <w:tcW w:w="940" w:type="dxa"/>
            <w:vAlign w:val="bottom"/>
          </w:tcPr>
          <w:p>
            <w:pPr>
              <w:jc w:val="center"/>
              <w:ind w:right="102"/>
              <w:spacing w:after="0" w:line="125" w:lineRule="exact"/>
              <w:rPr>
                <w:sz w:val="20"/>
                <w:szCs w:val="20"/>
                <w:color w:val="auto"/>
              </w:rPr>
            </w:pPr>
            <w:r>
              <w:rPr>
                <w:rFonts w:ascii="Arial" w:cs="Arial" w:eastAsia="Arial" w:hAnsi="Arial"/>
                <w:sz w:val="14"/>
                <w:szCs w:val="14"/>
                <w:b w:val="1"/>
                <w:bCs w:val="1"/>
                <w:color w:val="auto"/>
                <w:w w:val="85"/>
              </w:rPr>
              <w:t>Expenses</w:t>
            </w:r>
          </w:p>
        </w:tc>
        <w:tc>
          <w:tcPr>
            <w:tcW w:w="1220" w:type="dxa"/>
            <w:vAlign w:val="bottom"/>
            <w:gridSpan w:val="2"/>
          </w:tcPr>
          <w:p>
            <w:pPr>
              <w:jc w:val="right"/>
              <w:ind w:right="19"/>
              <w:spacing w:after="0" w:line="125" w:lineRule="exact"/>
              <w:rPr>
                <w:sz w:val="20"/>
                <w:szCs w:val="20"/>
                <w:color w:val="auto"/>
              </w:rPr>
            </w:pPr>
            <w:r>
              <w:rPr>
                <w:rFonts w:ascii="Arial" w:cs="Arial" w:eastAsia="Arial" w:hAnsi="Arial"/>
                <w:sz w:val="14"/>
                <w:szCs w:val="14"/>
                <w:b w:val="1"/>
                <w:bCs w:val="1"/>
                <w:color w:val="auto"/>
              </w:rPr>
              <w:t>Other Accounts</w:t>
            </w:r>
          </w:p>
        </w:tc>
        <w:tc>
          <w:tcPr>
            <w:tcW w:w="220" w:type="dxa"/>
            <w:vAlign w:val="bottom"/>
          </w:tcPr>
          <w:p>
            <w:pPr>
              <w:spacing w:after="0"/>
              <w:rPr>
                <w:sz w:val="11"/>
                <w:szCs w:val="11"/>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1"/>
                <w:szCs w:val="11"/>
                <w:color w:val="auto"/>
              </w:rPr>
            </w:pPr>
          </w:p>
        </w:tc>
        <w:tc>
          <w:tcPr>
            <w:tcW w:w="860" w:type="dxa"/>
            <w:vAlign w:val="bottom"/>
          </w:tcPr>
          <w:p>
            <w:pPr>
              <w:jc w:val="right"/>
              <w:ind w:right="160"/>
              <w:spacing w:after="0" w:line="125"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9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5,659</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1,262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6,772</w:t>
            </w:r>
          </w:p>
        </w:tc>
        <w:tc>
          <w:tcPr>
            <w:tcW w:w="1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37"/>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Year ended December 31, 2014: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5,126</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2,211</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7,283</w:t>
            </w:r>
          </w:p>
        </w:tc>
        <w:tc>
          <w:tcPr>
            <w:tcW w:w="24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6,772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4,837</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1,292</w:t>
            </w:r>
          </w:p>
        </w:tc>
        <w:tc>
          <w:tcPr>
            <w:tcW w:w="24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5,126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12,213</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(5,326)</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7,283</w:t>
            </w: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ectPr>
          <w:pgSz w:w="11900" w:h="16838" w:orient="portrait"/>
          <w:cols w:equalWidth="0" w:num="1">
            <w:col w:w="11420"/>
          </w:cols>
          <w:pgMar w:left="240" w:top="12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40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526"/>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00" w:type="dxa"/>
            <w:vAlign w:val="bottom"/>
          </w:tcPr>
          <w:p>
            <w:pPr>
              <w:ind w:left="460"/>
              <w:spacing w:after="0"/>
              <w:rPr>
                <w:sz w:val="20"/>
                <w:szCs w:val="20"/>
                <w:color w:val="auto"/>
              </w:rPr>
            </w:pPr>
            <w:r>
              <w:rPr>
                <w:rFonts w:ascii="Arial" w:cs="Arial" w:eastAsia="Arial" w:hAnsi="Arial"/>
                <w:sz w:val="18"/>
                <w:szCs w:val="18"/>
                <w:color w:val="auto"/>
                <w:w w:val="98"/>
              </w:rPr>
              <w:t>Stock Purchase Agreement, dated as of October 25, 2013, by and between Covidien Group S.A.R.L. and Integra LifeSciences</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Corporation (Incorporated by Reference to Exhibit 10.1 to the Company’s Current Report on Form 8-K filed on January 15,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2.2</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Stock and Asset Purchase Agreement by and among Medtronic, Inc., Medtronic Xomed Instrumentation, SAS, and Integra LifeSciences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Corporation, dated as of September 12, 2014 (Incorporated by reference to Exhibit 2.1 to the Company's Current Report on Form 8-K</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filed on October 27,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Separation and Distribution Agreement between Integra LifeSciences Holdings Corporation and SeaSpine Holdings Corporation, dated</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as of June 30, 2015 (Incorporated by reference to Exhibit 2.1 to the Company’s Current Report on Form 8-K filed on July 7,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2.4</w:t>
            </w: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Agreement and Plan of Merger by and among Integra LifeSciences Corporation, Patriot S1, Inc., TEI Biosciences Inc. and Dr. Yiannis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Monovoukas, dated as of June 26, 2015 (Incorporated by reference to Exhibit 2.1 to the Company's Current Report on Form 8-K filed on</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July 20,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2.5</w:t>
            </w: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Agreement and Plan of Merger by and among Integra LifeSciences Corporation, Patriot S2, Inc., TEI Medical Inc. and Dr. Yiannis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Monovoukas, dated as of June 26, 2015 (Incorporated by reference to Exhibit 2.2 to the Company's Current Report on Form 8-K filed on</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July 20,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Amended and Restated Certificate of Incorporation of the Company dated February 16, 1993 (Incorporated by reference to Exhibit 3.1(a)</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to the 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Certificate of Amendment to Amended and Restated Certificate of Incorporation of the Company dated May 22, 1998 (Incorporated by</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3.1(c)</w:t>
            </w: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Certificate of Amendment to Amended and Restated Certificate of Incorporation of the Company dated May 17, 1999 (Incorporated by</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Amended and Restated Bylaws of the Company, effective as of May 17, 2012 (Incorporated by reference to Exhibit 3.2 to the Company’s</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Purchase Agreement, dated June 9, 2011, by and between Integra LifeSciences Holdings Corporation and J.P. Morgan Securities LLC,</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Merrill Lynch, Pierce, Fenner &amp; Smith Incorporated, Morgan Stanley &amp; Co. LLC, Deutsche Bank Securities Inc., RBC Capital Markets,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LLC and Wells Fargo Securities, LLC (Incorporated by reference to Exhibit 4.1 to the Company’s Current Report on Form 8-K filed on</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as trustee (Incorporated by reference to Exhibit 4.2 to the Company’s Current Report on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4.3(a)</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Credit Agreement, dated as of December 22, 2005,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to Exhibit 10.1 to the Company’s Current Report on Form 8-K filed on December 29,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4.3(b)</w:t>
            </w: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First Amendment, dated as of February 15, 2006,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to Exhibit 4.3(b) to the 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4.3(c)</w:t>
            </w:r>
          </w:p>
        </w:tc>
        <w:tc>
          <w:tcPr>
            <w:tcW w:w="10400" w:type="dxa"/>
            <w:vAlign w:val="bottom"/>
          </w:tcPr>
          <w:p>
            <w:pPr>
              <w:ind w:left="460"/>
              <w:spacing w:after="0"/>
              <w:rPr>
                <w:sz w:val="20"/>
                <w:szCs w:val="20"/>
                <w:color w:val="auto"/>
              </w:rPr>
            </w:pPr>
            <w:r>
              <w:rPr>
                <w:rFonts w:ascii="Arial" w:cs="Arial" w:eastAsia="Arial" w:hAnsi="Arial"/>
                <w:sz w:val="18"/>
                <w:szCs w:val="18"/>
                <w:color w:val="auto"/>
                <w:w w:val="90"/>
              </w:rPr>
              <w:t>Second Amendment, dated as of February 23,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to Exhibit 4.1 to the Company’s Current Report on Form 8-K filed on February 27,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4.3(d)</w:t>
            </w:r>
          </w:p>
        </w:tc>
        <w:tc>
          <w:tcPr>
            <w:tcW w:w="10400" w:type="dxa"/>
            <w:vAlign w:val="bottom"/>
          </w:tcPr>
          <w:p>
            <w:pPr>
              <w:ind w:left="460"/>
              <w:spacing w:after="0"/>
              <w:rPr>
                <w:sz w:val="20"/>
                <w:szCs w:val="20"/>
                <w:color w:val="auto"/>
              </w:rPr>
            </w:pPr>
            <w:r>
              <w:rPr>
                <w:rFonts w:ascii="Arial" w:cs="Arial" w:eastAsia="Arial" w:hAnsi="Arial"/>
                <w:sz w:val="18"/>
                <w:szCs w:val="18"/>
                <w:color w:val="auto"/>
                <w:w w:val="95"/>
              </w:rPr>
              <w:t>Third Amendment, dated as of June 4,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4"/>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5"/>
              </w:rPr>
              <w:t>Syndication Agent and JPMorgan Chase Bank, N.A., Deutsche Bank Trust Company Americas and Royal Bank of Canada, as Co-</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Documentation Agents (Incorporated by reference to Exhibit 4.1 to the Company’s Current Report on Form 8-K filed on June 6, 2007)</w:t>
            </w:r>
          </w:p>
        </w:tc>
      </w:tr>
    </w:tbl>
    <w:p>
      <w:pPr>
        <w:sectPr>
          <w:pgSz w:w="11900" w:h="16838" w:orient="portrait"/>
          <w:cols w:equalWidth="0" w:num="1">
            <w:col w:w="11300"/>
          </w:cols>
          <w:pgMar w:left="300" w:top="445" w:right="29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4.3(e)</w:t>
            </w:r>
          </w:p>
        </w:tc>
        <w:tc>
          <w:tcPr>
            <w:tcW w:w="10400" w:type="dxa"/>
            <w:vAlign w:val="bottom"/>
          </w:tcPr>
          <w:p>
            <w:pPr>
              <w:ind w:left="460"/>
              <w:spacing w:after="0"/>
              <w:rPr>
                <w:sz w:val="20"/>
                <w:szCs w:val="20"/>
                <w:color w:val="auto"/>
              </w:rPr>
            </w:pPr>
            <w:r>
              <w:rPr>
                <w:rFonts w:ascii="Arial" w:cs="Arial" w:eastAsia="Arial" w:hAnsi="Arial"/>
                <w:sz w:val="18"/>
                <w:szCs w:val="18"/>
                <w:color w:val="auto"/>
                <w:w w:val="90"/>
              </w:rPr>
              <w:t>Fourth Amendment, dated as of September 5,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4"/>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5"/>
              </w:rPr>
              <w:t>Syndication Agent and JPMorgan Chase Bank, N.A., Deutsche Bank Trust Company Americas and Royal Bank of Canada, as Co-</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Documentation Agents (Incorporated by reference to Exhibit 4.1 to the Company’s Current Report on Form 8-K filed on September 6,</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4.3(f)</w:t>
            </w: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Amended and Restated Credit Agreement, dated as of August 10, 2010, among Integra LifeSciences Holdings Corporation, the lenders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 Morgan Chase Bank,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Syndication Agent, and HSBC Bank USA, NA, RBC Capital Markets, Wells Fargo Bank, N.A., Fifth Third Bank, DNB NOR Bank ASA</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and TD Bank, N.A., as Co-Documentation Agents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8-K filed on August 10,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4.3(g)</w:t>
            </w:r>
          </w:p>
        </w:tc>
        <w:tc>
          <w:tcPr>
            <w:tcW w:w="10400" w:type="dxa"/>
            <w:vAlign w:val="bottom"/>
          </w:tcPr>
          <w:p>
            <w:pPr>
              <w:ind w:left="460"/>
              <w:spacing w:after="0"/>
              <w:rPr>
                <w:sz w:val="20"/>
                <w:szCs w:val="20"/>
                <w:color w:val="auto"/>
              </w:rPr>
            </w:pPr>
            <w:r>
              <w:rPr>
                <w:rFonts w:ascii="Arial" w:cs="Arial" w:eastAsia="Arial" w:hAnsi="Arial"/>
                <w:sz w:val="18"/>
                <w:szCs w:val="18"/>
                <w:color w:val="auto"/>
                <w:w w:val="94"/>
              </w:rPr>
              <w:t>Second Amended and Restated Credit Agreement, dated as of June 8, 2011, among Integra LifeSciences Holdings Corporation, the</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lenders party thereto, Bank of America, N.A. as Administrative Agent, Swing Line Lender and L/C Issuer, JPMorgan Chase Bank N.A.</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as Syndication Agent, and, HSBC Bank USA, NA, Royal Bank of Canada, Wells Fargo Bank, N.A., Fifth Third Bank, DNB NOR Bank</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ASA, and TD Bank, N.A., as Co-Documentation Agents (Incorporated by reference to Exhibit 4.3 to the Company’s Quarterly Report on</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Form 10-Q filed on July 29,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4.3(h)</w:t>
            </w:r>
          </w:p>
        </w:tc>
        <w:tc>
          <w:tcPr>
            <w:tcW w:w="10400" w:type="dxa"/>
            <w:vAlign w:val="bottom"/>
          </w:tcPr>
          <w:p>
            <w:pPr>
              <w:ind w:left="460"/>
              <w:spacing w:after="0"/>
              <w:rPr>
                <w:sz w:val="20"/>
                <w:szCs w:val="20"/>
                <w:color w:val="auto"/>
              </w:rPr>
            </w:pPr>
            <w:r>
              <w:rPr>
                <w:rFonts w:ascii="Arial" w:cs="Arial" w:eastAsia="Arial" w:hAnsi="Arial"/>
                <w:sz w:val="18"/>
                <w:szCs w:val="18"/>
                <w:color w:val="auto"/>
                <w:w w:val="94"/>
              </w:rPr>
              <w:t>First Amendment, dated as of May 11, 2012, to Second Amended and Restated Credit Agreement dated as of June 8, 2011, among</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Integra LifeSciences Holdings Corporation, the lenders party thereto, Bank of America, N.A., as Administrative Agent, Swing Line</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Lender and L/C Issuer, JPMorgan Chase Bank, N.A., as Syndication Agent, and HSBC Bank, NA, Royal Bank of Canada, Wells Fargo</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7"/>
              </w:rPr>
              <w:t>Bank, NA, Fifth Third Bank, DNB Nor Bank ASA and TD Bank, N.A., as Co-Documentation Agents (Incorporated by reference to</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Exhibit 4.1 to the Company’s Current Report on Form 8-K filed on May 14,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4.3(i)</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Second Amendment, dated as of June 21, 2013, to Second Amended and Restated Credit Agreement dated as of June 8, 2011, among</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Integra LifeSciences Holdings Corporation, the lenders party thereto, Bank of America, N.A., as Administrative Agent, Swing Line</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Lender and L/C Issuer, JPMorgan Chase Bank, N.A.,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Canada, Wells Fargo Bank, National Association, Fifth Third Bank, DNB Bank ASA and TD Bank, N.A., as Co-Documentation Agents</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24,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4.3(j)</w:t>
            </w: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Third Amended and Restated Credit Agreement, dated as of July 2, 2014, among Integra LifeSciences Holdings Corporation, the other</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lenders party hereto, Bank of America, N.A., as Administrative Agent, Swing Line Lender and L/C Issuer, Wells Fargo Bank, National</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8"/>
              </w:rPr>
              <w:t>Association, as Syndication Agent and HSBC Bank USA, National Association, Royal Bank of Canada, Citizens Bank, National</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Association, DNB Capital LLC, Credit Agricole-Corporate and Investment Bank and TD Bank, N.A., as Co-Documentation Agents</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(Incorporated by reference to Exhibit 4.1 to the Company's Current Report on Form 8-K filed on July 9,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4.3(k)</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First Amendment, dated as of December 19, 2014, to that Third Amended and Restated Credit Agreement, among Integra LifeSciences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7"/>
              </w:rPr>
              <w:t>Holdings Corporation, a syndicate of lending banks, Bank of America, N.A., as Administrative Agent, Swing Line Lender and L/C</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Issuer, Wells Fargo Bank, National Association,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3"/>
              </w:rPr>
              <w:t>Canada, Citizens Bank, National Association, DNB Capital LLC, Crédit Agricole-Corporate and Investment Bank, and TD Bank, N.A.,</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as Co-Documentation Agents (Incorporated by reference to Exhibit 4.1 to the Company's Current Report on Form 8-K filed on December</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29, 2014)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4.3(l)</w:t>
            </w:r>
          </w:p>
        </w:tc>
        <w:tc>
          <w:tcPr>
            <w:tcW w:w="10400" w:type="dxa"/>
            <w:vAlign w:val="bottom"/>
          </w:tcPr>
          <w:p>
            <w:pPr>
              <w:ind w:left="460"/>
              <w:spacing w:after="0"/>
              <w:rPr>
                <w:sz w:val="20"/>
                <w:szCs w:val="20"/>
                <w:color w:val="auto"/>
              </w:rPr>
            </w:pPr>
            <w:r>
              <w:rPr>
                <w:rFonts w:ascii="Arial" w:cs="Arial" w:eastAsia="Arial" w:hAnsi="Arial"/>
                <w:sz w:val="18"/>
                <w:szCs w:val="18"/>
                <w:color w:val="auto"/>
                <w:w w:val="95"/>
              </w:rPr>
              <w:t>Second Amendment, dated August 28, 2015, to that Third Amended and Restated Credit Agreement, among Integra LifeSciences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7"/>
              </w:rPr>
              <w:t>Holdings Corporation, a syndicate of lending banks, Bank of America, N.A., as Administrative Agent, Swing Line Lender and L/C</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6"/>
              </w:rPr>
              <w:t>Issuer, Wells Fargo Bank, National Association,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Canada, Citizens Bank, National Association, DNB Capital LLC, Crédit Agricole-Corporate and Investment Bank and TD Bank, N.A.,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2"/>
              </w:rPr>
              <w:t>Co-Documentation Agents (Incorporated by reference to Exhibit 4.1 to the Company’s Current Report on Form 8-K filed on September</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1, 2015)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10400" w:type="dxa"/>
            <w:vAlign w:val="bottom"/>
          </w:tcPr>
          <w:p>
            <w:pPr>
              <w:ind w:left="460"/>
              <w:spacing w:after="0"/>
              <w:rPr>
                <w:sz w:val="20"/>
                <w:szCs w:val="20"/>
                <w:color w:val="auto"/>
              </w:rPr>
            </w:pPr>
            <w:r>
              <w:rPr>
                <w:rFonts w:ascii="Arial" w:cs="Arial" w:eastAsia="Arial" w:hAnsi="Arial"/>
                <w:sz w:val="18"/>
                <w:szCs w:val="18"/>
                <w:color w:val="auto"/>
                <w:w w:val="90"/>
              </w:rPr>
              <w:t>Security Agreement, dated as of December 22, 2005, among Integra LifeSciences Holdings Corporation and the additional grantors party</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8"/>
              </w:rPr>
              <w:t>thereto in favor of Bank of America, N.A., as administrative and collateral agent (Incorporated by reference to Exhibit 4.4 to the</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4.5</w:t>
            </w:r>
          </w:p>
        </w:tc>
        <w:tc>
          <w:tcPr>
            <w:tcW w:w="10400" w:type="dxa"/>
            <w:vAlign w:val="bottom"/>
          </w:tcPr>
          <w:p>
            <w:pPr>
              <w:ind w:left="460"/>
              <w:spacing w:after="0"/>
              <w:rPr>
                <w:sz w:val="20"/>
                <w:szCs w:val="20"/>
                <w:color w:val="auto"/>
              </w:rPr>
            </w:pPr>
            <w:r>
              <w:rPr>
                <w:rFonts w:ascii="Arial" w:cs="Arial" w:eastAsia="Arial" w:hAnsi="Arial"/>
                <w:sz w:val="18"/>
                <w:szCs w:val="18"/>
                <w:color w:val="auto"/>
                <w:w w:val="91"/>
              </w:rPr>
              <w:t>Pledge Agreement, dated as of December 22, 2005, among Integra LifeSciences Holdings Corporation and the additional grantors party</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w w:val="98"/>
              </w:rPr>
              <w:t>thereto in favor of Bank of America, N.A., as administrative and collateral agent (Incorporated by reference to Exhibit 4.5 to the</w:t>
            </w:r>
          </w:p>
        </w:tc>
      </w:tr>
      <w:tr>
        <w:trPr>
          <w:trHeight w:val="230"/>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Arial" w:cs="Arial" w:eastAsia="Arial" w:hAnsi="Arial"/>
                <w:sz w:val="18"/>
                <w:szCs w:val="18"/>
                <w:color w:val="auto"/>
              </w:rPr>
              <w:t>Company’s Annual Report on Form 10-K for the year ended December 31, 2005)</w:t>
            </w:r>
          </w:p>
        </w:tc>
      </w:tr>
    </w:tbl>
    <w:p>
      <w:pPr>
        <w:sectPr>
          <w:pgSz w:w="11900" w:h="16838" w:orient="portrait"/>
          <w:cols w:equalWidth="0" w:num="1">
            <w:col w:w="11300"/>
          </w:cols>
          <w:pgMar w:left="300" w:top="773" w:right="29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10340" w:type="dxa"/>
            <w:vAlign w:val="bottom"/>
          </w:tcPr>
          <w:p>
            <w:pPr>
              <w:ind w:left="40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5"/>
              </w:rPr>
              <w:t>in favor of Bank of America, N.A., as administrative and collateral agent (Incorporated by reference to Exhibit 4.6 to the Company’s</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4.7</w:t>
            </w: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Indenture, dated June 11, 2007, among Integra LifeSciences Holdings Corporation, Integra LifeSciences Corporation and Wells Fargo</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Bank, N.A., as trustee (Incorporated by reference to Exhibit 4.1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4.8</w:t>
            </w: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Form of 2.75% Senior Convertible Note due 2010 (included in Exhibit 4.8) (Incorporated by reference to Exhibit B to Exhibit 4.1 to the</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4.9</w:t>
            </w: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Indenture, dated June 11, 2007, among Integra LifeSciences Holdings Corporation, Integra LifeSciences Corporation and Wells Fargo</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Bank, N.A., as trustee (Incorporated by reference to Exhibit 4.3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4.10</w:t>
            </w:r>
          </w:p>
        </w:tc>
        <w:tc>
          <w:tcPr>
            <w:tcW w:w="10340" w:type="dxa"/>
            <w:vAlign w:val="bottom"/>
          </w:tcPr>
          <w:p>
            <w:pPr>
              <w:ind w:left="400"/>
              <w:spacing w:after="0"/>
              <w:rPr>
                <w:sz w:val="20"/>
                <w:szCs w:val="20"/>
                <w:color w:val="auto"/>
              </w:rPr>
            </w:pPr>
            <w:r>
              <w:rPr>
                <w:rFonts w:ascii="Arial" w:cs="Arial" w:eastAsia="Arial" w:hAnsi="Arial"/>
                <w:sz w:val="18"/>
                <w:szCs w:val="18"/>
                <w:color w:val="auto"/>
                <w:w w:val="94"/>
              </w:rPr>
              <w:t>Form of 2.375% Senior Convertible Note due 2012 (included in Exhibit 4.10) (Incorporated by reference to Exhibit B to Exhibit 4.3 to</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4.11</w:t>
            </w:r>
          </w:p>
        </w:tc>
        <w:tc>
          <w:tcPr>
            <w:tcW w:w="10340" w:type="dxa"/>
            <w:vAlign w:val="bottom"/>
          </w:tcPr>
          <w:p>
            <w:pPr>
              <w:ind w:left="400"/>
              <w:spacing w:after="0"/>
              <w:rPr>
                <w:sz w:val="20"/>
                <w:szCs w:val="20"/>
                <w:color w:val="auto"/>
              </w:rPr>
            </w:pPr>
            <w:r>
              <w:rPr>
                <w:rFonts w:ascii="Arial" w:cs="Arial" w:eastAsia="Arial" w:hAnsi="Arial"/>
                <w:sz w:val="18"/>
                <w:szCs w:val="18"/>
                <w:color w:val="auto"/>
                <w:w w:val="94"/>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9"/>
              </w:rPr>
              <w:t>LLC, J.P. Morgan Securities Inc. and Morgan Stanley &amp; Co., Incorporated, as representatives of the several initial purchasers</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(Incorporated by reference to Exhibit 4.5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10340" w:type="dxa"/>
            <w:vAlign w:val="bottom"/>
          </w:tcPr>
          <w:p>
            <w:pPr>
              <w:ind w:left="400"/>
              <w:spacing w:after="0"/>
              <w:rPr>
                <w:sz w:val="20"/>
                <w:szCs w:val="20"/>
                <w:color w:val="auto"/>
              </w:rPr>
            </w:pPr>
            <w:r>
              <w:rPr>
                <w:rFonts w:ascii="Arial" w:cs="Arial" w:eastAsia="Arial" w:hAnsi="Arial"/>
                <w:sz w:val="18"/>
                <w:szCs w:val="18"/>
                <w:color w:val="auto"/>
                <w:w w:val="94"/>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9"/>
              </w:rPr>
              <w:t>LLC, J.P. Morgan Securities Inc. and Morgan Stanley &amp; Co., Incorporated, as representatives of the several initial purchasers</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(Incorporated by reference to Exhibit 4.6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10.1(a)</w:t>
            </w:r>
          </w:p>
        </w:tc>
        <w:tc>
          <w:tcPr>
            <w:tcW w:w="10340" w:type="dxa"/>
            <w:vAlign w:val="bottom"/>
          </w:tcPr>
          <w:p>
            <w:pPr>
              <w:ind w:left="400"/>
              <w:spacing w:after="0"/>
              <w:rPr>
                <w:sz w:val="20"/>
                <w:szCs w:val="20"/>
                <w:color w:val="auto"/>
              </w:rPr>
            </w:pPr>
            <w:r>
              <w:rPr>
                <w:rFonts w:ascii="Arial" w:cs="Arial" w:eastAsia="Arial" w:hAnsi="Arial"/>
                <w:sz w:val="18"/>
                <w:szCs w:val="18"/>
                <w:color w:val="auto"/>
                <w:w w:val="91"/>
              </w:rPr>
              <w:t>Lease between Plainsboro Associates and American Biomaterials Corporation dated as of April 16, 1985, as assigned to Colla-Tec, Inc.</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on September 30, 1988 and as amended on November 1, 1992 as Lease Modification #1 (Incorporated by reference to Exhibit 10.30 to</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the Company’s Registration Statement on Form 10/A (File No. 0-26224) which became effective on August 8, 1995)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10.1(b)</w:t>
            </w:r>
          </w:p>
        </w:tc>
        <w:tc>
          <w:tcPr>
            <w:tcW w:w="10340" w:type="dxa"/>
            <w:vAlign w:val="bottom"/>
          </w:tcPr>
          <w:p>
            <w:pPr>
              <w:ind w:left="400"/>
              <w:spacing w:after="0"/>
              <w:rPr>
                <w:sz w:val="20"/>
                <w:szCs w:val="20"/>
                <w:color w:val="auto"/>
              </w:rPr>
            </w:pPr>
            <w:r>
              <w:rPr>
                <w:rFonts w:ascii="Arial" w:cs="Arial" w:eastAsia="Arial" w:hAnsi="Arial"/>
                <w:sz w:val="18"/>
                <w:szCs w:val="18"/>
                <w:color w:val="auto"/>
                <w:w w:val="91"/>
              </w:rPr>
              <w:t>Lease Modification #2 entered into as of October 28, 2005, by and between Plainsboro Associates and Integra LifeSciences Corporation</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10.1(c)</w:t>
            </w:r>
          </w:p>
        </w:tc>
        <w:tc>
          <w:tcPr>
            <w:tcW w:w="10340" w:type="dxa"/>
            <w:vAlign w:val="bottom"/>
          </w:tcPr>
          <w:p>
            <w:pPr>
              <w:ind w:left="400"/>
              <w:spacing w:after="0"/>
              <w:rPr>
                <w:sz w:val="20"/>
                <w:szCs w:val="20"/>
                <w:color w:val="auto"/>
              </w:rPr>
            </w:pPr>
            <w:r>
              <w:rPr>
                <w:rFonts w:ascii="Arial" w:cs="Arial" w:eastAsia="Arial" w:hAnsi="Arial"/>
                <w:sz w:val="18"/>
                <w:szCs w:val="18"/>
                <w:color w:val="auto"/>
                <w:w w:val="93"/>
              </w:rPr>
              <w:t>Lease Modification #3 entered into as of March 2, 2011, by and between Plainsboro Associates and Integra LifeSciences Corporation</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 (a)</w:t>
            </w:r>
          </w:p>
        </w:tc>
        <w:tc>
          <w:tcPr>
            <w:tcW w:w="10340" w:type="dxa"/>
            <w:vAlign w:val="bottom"/>
          </w:tcPr>
          <w:p>
            <w:pPr>
              <w:ind w:left="400"/>
              <w:spacing w:after="0"/>
              <w:rPr>
                <w:sz w:val="20"/>
                <w:szCs w:val="20"/>
                <w:color w:val="auto"/>
              </w:rPr>
            </w:pPr>
            <w:r>
              <w:rPr>
                <w:rFonts w:ascii="Arial" w:cs="Arial" w:eastAsia="Arial" w:hAnsi="Arial"/>
                <w:sz w:val="18"/>
                <w:szCs w:val="18"/>
                <w:color w:val="auto"/>
                <w:w w:val="92"/>
              </w:rPr>
              <w:t>Equipment Lease Agreement between Medicus Corporation and the Company, dated as of June 1, 2000 (Incorporated by reference to</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Exhibit 10.1 to the Company’s Quarterly Report on Form 10-Q for the quarter ended June 30, 2000)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10.2(b)</w:t>
            </w:r>
          </w:p>
        </w:tc>
        <w:tc>
          <w:tcPr>
            <w:tcW w:w="10340" w:type="dxa"/>
            <w:vAlign w:val="bottom"/>
          </w:tcPr>
          <w:p>
            <w:pPr>
              <w:ind w:left="400"/>
              <w:spacing w:after="0"/>
              <w:rPr>
                <w:sz w:val="20"/>
                <w:szCs w:val="20"/>
                <w:color w:val="auto"/>
              </w:rPr>
            </w:pPr>
            <w:r>
              <w:rPr>
                <w:rFonts w:ascii="Arial" w:cs="Arial" w:eastAsia="Arial" w:hAnsi="Arial"/>
                <w:sz w:val="18"/>
                <w:szCs w:val="18"/>
                <w:color w:val="auto"/>
                <w:w w:val="98"/>
              </w:rPr>
              <w:t>First Amendment to Equipment Lease Agreement between Medicus Corporation and the Company, dated as of June 29, 2010</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6"/>
              </w:rPr>
              <w:t>(Incorporated by reference to Exhibit 10.2 to the Company’s Quarterly Report on Form 10-Q for the quarter ended June 30,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10.3(a)</w:t>
            </w:r>
          </w:p>
        </w:tc>
        <w:tc>
          <w:tcPr>
            <w:tcW w:w="10340" w:type="dxa"/>
            <w:vAlign w:val="bottom"/>
          </w:tcPr>
          <w:p>
            <w:pPr>
              <w:ind w:left="400"/>
              <w:spacing w:after="0"/>
              <w:rPr>
                <w:sz w:val="20"/>
                <w:szCs w:val="20"/>
                <w:color w:val="auto"/>
              </w:rPr>
            </w:pPr>
            <w:r>
              <w:rPr>
                <w:rFonts w:ascii="Arial" w:cs="Arial" w:eastAsia="Arial" w:hAnsi="Arial"/>
                <w:sz w:val="18"/>
                <w:szCs w:val="18"/>
                <w:color w:val="auto"/>
                <w:w w:val="99"/>
              </w:rPr>
              <w:t>Form of Indemnification Agreement between the Company and [ ] dated August 16, 1995, including a schedule identifying the</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w w:val="99"/>
              </w:rPr>
              <w:t>individuals that are a party to such Indemnification Agreements (Incorporated by reference to Exhibit 10.37 to the Company’s</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Registration Statement on Form S-1 (File No. 33-98698) which became effective on January 24, 1996)*</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10.3(b)</w:t>
            </w:r>
          </w:p>
        </w:tc>
        <w:tc>
          <w:tcPr>
            <w:tcW w:w="10340" w:type="dxa"/>
            <w:vAlign w:val="bottom"/>
          </w:tcPr>
          <w:p>
            <w:pPr>
              <w:ind w:left="400"/>
              <w:spacing w:after="0"/>
              <w:rPr>
                <w:sz w:val="20"/>
                <w:szCs w:val="20"/>
                <w:color w:val="auto"/>
              </w:rPr>
            </w:pPr>
            <w:r>
              <w:rPr>
                <w:rFonts w:ascii="Arial" w:cs="Arial" w:eastAsia="Arial" w:hAnsi="Arial"/>
                <w:sz w:val="18"/>
                <w:szCs w:val="18"/>
                <w:color w:val="auto"/>
                <w:w w:val="99"/>
              </w:rPr>
              <w:t>Form of Indemnification Agreement for Non-Employee Directors and Officers (Incorporated by reference to Exhibit 10.1 to the</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Company’s Current Report on Form 8-K filed on December 24, 2008)*</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Pr>
          <w:p>
            <w:pPr>
              <w:ind w:left="400"/>
              <w:spacing w:after="0"/>
              <w:rPr>
                <w:sz w:val="20"/>
                <w:szCs w:val="20"/>
                <w:color w:val="auto"/>
              </w:rPr>
            </w:pPr>
            <w:r>
              <w:rPr>
                <w:rFonts w:ascii="Arial" w:cs="Arial" w:eastAsia="Arial" w:hAnsi="Arial"/>
                <w:sz w:val="18"/>
                <w:szCs w:val="18"/>
                <w:color w:val="auto"/>
                <w:w w:val="91"/>
              </w:rPr>
              <w:t>1996 Incentive Stock Option and Non-Qualified Stock Option Plan (as amended through December 27, 1997) (Incorporated by reference</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to Exhibit 10.4 to the Company’s Current Report on Form 8-K filed on February 3, 1998)*</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10340" w:type="dxa"/>
            <w:vAlign w:val="bottom"/>
          </w:tcPr>
          <w:p>
            <w:pPr>
              <w:ind w:left="400"/>
              <w:spacing w:after="0"/>
              <w:rPr>
                <w:sz w:val="20"/>
                <w:szCs w:val="20"/>
                <w:color w:val="auto"/>
              </w:rPr>
            </w:pPr>
            <w:r>
              <w:rPr>
                <w:rFonts w:ascii="Arial" w:cs="Arial" w:eastAsia="Arial" w:hAnsi="Arial"/>
                <w:sz w:val="18"/>
                <w:szCs w:val="18"/>
                <w:color w:val="auto"/>
                <w:w w:val="96"/>
              </w:rPr>
              <w:t>1998 Stock Option Plan (amended and restated as of July 26, 2005) (Incorporated by reference to Exhibit 10.3 to the Company’s</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340" w:type="dxa"/>
            <w:vAlign w:val="bottom"/>
          </w:tcPr>
          <w:p>
            <w:pPr>
              <w:ind w:left="400"/>
              <w:spacing w:after="0"/>
              <w:rPr>
                <w:sz w:val="20"/>
                <w:szCs w:val="20"/>
                <w:color w:val="auto"/>
              </w:rPr>
            </w:pPr>
            <w:r>
              <w:rPr>
                <w:rFonts w:ascii="Arial" w:cs="Arial" w:eastAsia="Arial" w:hAnsi="Arial"/>
                <w:sz w:val="18"/>
                <w:szCs w:val="18"/>
                <w:color w:val="auto"/>
                <w:w w:val="96"/>
              </w:rPr>
              <w:t>1999 Stock Option Plan (amended and restated as of July 26, 2005) (Incorporated by reference to Exhibit 10.4 to the Company’s</w:t>
            </w:r>
          </w:p>
        </w:tc>
      </w:tr>
      <w:tr>
        <w:trPr>
          <w:trHeight w:val="230"/>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Quarterly Report on Form 10-Q for the quarter ended September 30, 2005)*</w:t>
            </w:r>
          </w:p>
        </w:tc>
      </w:tr>
    </w:tbl>
    <w:p>
      <w:pPr>
        <w:sectPr>
          <w:pgSz w:w="11900" w:h="16838" w:orient="portrait"/>
          <w:cols w:equalWidth="0" w:num="1">
            <w:col w:w="11300"/>
          </w:cols>
          <w:pgMar w:left="300" w:top="611" w:right="2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10.7(a)</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Employee Stock Purchase Plan (as amended on May 17, 2004) (Incorporated by reference to Exhibit 4.1 to the Company’s Registration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10.7(b)</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First Amendment to Employee Stock Purchase Plan, dated October 26, 2005 (Incorporated by reference to Exhibit 10.1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10.8(a)</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2000 Equity Incentive Plan (amended and restated as of July 26, 2005) (Incorporated by reference to Exhibit 10.5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10.8(b)</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Amendment to 2000 Equity Incentive Plan (effective as of May 17, 2012) (Incorporated by reference to Exhibit 10.7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10.8(c)</w:t>
            </w: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Amendment to 2000 Equity Incentive Plan (effective as of January 1, 2013) (Incorporated by reference to Exhibit 10.8(c)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10.9(a)</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2001 Equity Incentive Plan (amended and restated as of July 26, 2005) (Incorporated by reference to Exhibit 10.6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10.9(b)</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Amendment to 2001 Equity Incentive Plan (effective as of May 17, 2012) (Incorporated by reference to Exhibit 10.8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10.9(c)</w:t>
            </w: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Amendment to 2001 Equity Incentive Plan (effective as of January 1, 2013) (Incorporated by reference to Exhibit 10.9(c)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10.10(a)</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Second Amended and Restated 2003 Equity Incentive Plan effective May 19, 2010 (Incorporated by reference to Exhibit 10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May 21,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10.10(b)</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Amendment to the Second Amended and Restated 2003 Equity Incentive Plan effective May 17, 2012 (Incorporated by reference to</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Exhibit 10.9 to the Company’s 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10.10(c)</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Amendment to the Second Amended and Restated 2003 Equity Incentive Plan effective January 1, 2013 (Incorporated by reference to</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Exhibit 10.4 to the Company’s 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10.10(d)</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Third Amended and Restated 2003 Equity Incentive Plan effective May 22, 2015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May 29, 2015)*</w:t>
            </w:r>
          </w:p>
        </w:tc>
      </w:tr>
      <w:tr>
        <w:trPr>
          <w:trHeight w:val="634"/>
        </w:trPr>
        <w:tc>
          <w:tcPr>
            <w:tcW w:w="1000" w:type="dxa"/>
            <w:vAlign w:val="bottom"/>
          </w:tcPr>
          <w:p>
            <w:pPr>
              <w:spacing w:after="0"/>
              <w:rPr>
                <w:sz w:val="20"/>
                <w:szCs w:val="20"/>
                <w:color w:val="auto"/>
              </w:rPr>
            </w:pPr>
            <w:r>
              <w:rPr>
                <w:rFonts w:ascii="Arial" w:cs="Arial" w:eastAsia="Arial" w:hAnsi="Arial"/>
                <w:sz w:val="18"/>
                <w:szCs w:val="18"/>
                <w:color w:val="auto"/>
              </w:rPr>
              <w:t>10.11(a)</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Second Amended and Restated Employment Agreement dated July 27, 2004 between the Company and Stuart M. Essig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10.11(b)</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Amendment 2006-1, dated as of December 19, 2006, to the Second Amended and Restated Employment Agreement, between the</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Company and Stuart M. Essig (Incorporated by reference to Exhibit 10.1 to the Company’s Current Report on Form 8-K filed 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December 22,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10.11(c)</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Amendment 2008-1, dated as of March 6, 2008, to the Second Amended and Restated Employment Agreement, between the Company</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and Stuart M. Essig (Incorporated by reference to Exhibit 10.12(c) to the Company’s Annual Report on Form 10-K for the year ended</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December 31, 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10.11(d)</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Amendment 2008-2, dated as of August 6, 2008, to the Second Amended and Restated Employment Agreement between Stuart M. Essig</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and the Company (Incorporated by reference to Exhibit 10.7 to the Company’s Quarterly Report on Form 10-Q for the quarter ended June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10.11(e)</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Amendment 2009-1, dated as of April 13, 2009, to the Second Amended and Restated Employment Agreement between Stuart M. Essig</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and the Company (Incorporated by reference to Exhibit 10.2 to the Company’s Current Report on Form 8-K filed on April 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10.11(f)</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Letter Agreement dated May 17, 2011 between the Company and Stuart M. Essig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May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10.11(g)</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Letter dated December 20, 2011 from Stuart M. Essig to the Company (Incorporated by reference to Exhibit 10.3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10.11(h)</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Letter Agreement dated June 7, 2012 between Stuart M. Essig and the Company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7, 2012)*</w:t>
            </w:r>
          </w:p>
        </w:tc>
      </w:tr>
    </w:tbl>
    <w:p>
      <w:pPr>
        <w:sectPr>
          <w:pgSz w:w="11900" w:h="16838" w:orient="portrait"/>
          <w:cols w:equalWidth="0" w:num="1">
            <w:col w:w="11300"/>
          </w:cols>
          <w:pgMar w:left="300" w:top="611" w:right="29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Indemnity letter agreement dated December 27, 1997 from the Company to Stuart M. Essig (Incorporated by reference to Exhibit 10.5 to</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10.13(a)</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Registration Rights Provisions for Stuart M. Essig (Incorporated by reference to Exhibit B of Exhibit 10.1 to the Company’s Current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10.13(b)</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Registration Rights Provisions for Stuart M. Essig (Incorporated by reference to Exhibit 10.2 to the Company’s Current Report on Form</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10.13(c)</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Registration Rights Provisions for Stuart M. Essig (Incorporated by reference to Exhibit B of Exhibit 10.1 to the Company’s Quarterly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Report on Form 10-Q for the quarter ended September 30,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10.14(a)</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Amended and Restated 2005 Employment Agreement between John B. Henneman, III and the Company dated December 19, 2005</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10.16 to the Company’s Annual Report on Form 10-K for the year ended December 31,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10.14(b)</w:t>
            </w: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Amendment 2008-1, dated as of January 2,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Henneman, III and the Company (Incorporated by reference to Exhibit 10.15(b) to the Company’s Annual Report on Form 10-K for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year ended December 31, 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10.14(c)</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Amendment 2008-2, dated as of December 18,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Henneman, III and the Company (Incorporated by reference to Exhibit 10.2 to the Company’s Current Report on Form 8-K filed 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December 24,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10.14(d)</w:t>
            </w: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Amendment 2009-1, dated as of April 13, 2009,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Henneman, III and the Company (Incorporated by reference to Exhibit 10.5 to the Company’s Current Report on Form 8-K filed on April</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10.14(e)</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Amendment 2010-1, dated as of October 12, 2010,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Henneman, III and the Company (Incorporated by reference to Exhibit 10.3 to the Company’s Current Report on Form 8-K filed October</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10.14(f)</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Letter dated as of February 22, 2012 from John B. Henneman, III to the Company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10.14(g)</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Second Amended and Restated 2005 Employment Agreement between the Company and John B. Henneman, III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10.1 to the Company's Current Report on Form 8-K filed on May 23,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Consulting Agreement, dated October 12, 2010, between the Company and Inception Surgical (Incorporated by reference to Exhibit 10.1</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Severance Agreement between Richard D. Gorelick and the Company dated as of January 3, 2012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10.10 to the Company’s 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10.17(a)</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Severance Agreement between Judith O’Grady and the Company dated as of January 4, 2010 (Incorporated by reference to Exhibit 10.17</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to the Company’s Annual Report on Form 10-K for the year ended December 31,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10.17(b)</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Severance Agreement between Judith O’Grady and the Company dated as of January 3, 2011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10.17(a) to the Company’s Annual Report on Form 10-K for the year ended 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10.17(c)</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Severance Agreement between Judith O’Grady and the Company dated as of January 3, 2012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10.16(c) to the Company’s Annual Report on Form 10-K for the year ended December 31,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10.18(a)</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Employment Agreement, dated as of October 12, 2010, between Peter J. Arduini and the Company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10.18(b)</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Amended and Restated Employment Agreement dated December 20, 2011 between Peter J. Arduini and the Company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10.1 to the Company’s 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10.18(c)</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Second Amended and Restated Employment Agreement between the Company and Peter J. Arduini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June 20, 2014)*</w:t>
            </w:r>
          </w:p>
        </w:tc>
      </w:tr>
    </w:tbl>
    <w:p>
      <w:pPr>
        <w:sectPr>
          <w:pgSz w:w="11900" w:h="16838" w:orient="portrait"/>
          <w:cols w:equalWidth="0" w:num="1">
            <w:col w:w="11300"/>
          </w:cols>
          <w:pgMar w:left="300" w:top="611" w:right="29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Form of Notice of Stock Option Grant with Eight-Year Term for Peter J. Arduini (Incorporated by reference to Exhibit 10.2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Letter Agreement dated February 19, 2013 between Peter J. Arduini and Integra LifeSciences Holdings Corporation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10.21(a)</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Lease Contract, dated April 1, 2005, between the Puerto Rico Industrial Development Company and Integra CI, Inc. (executed 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September 15, 2006) (Incorporated by reference to Exhibit 10.3 to the Company’s Quarterly Report on Form 10-Q for the quarter ended</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September 30,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10.21(b)</w:t>
            </w: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Amendment to Lease Contract dated as of November 2, 2011, between Integra CI, Inc. and Puerto Rico Industrial Development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Company (Incorporated by reference to Exhibit 10.1 to the Company’s Current Report on Form 8-K filed on November 7,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10.21(c)</w:t>
            </w:r>
          </w:p>
        </w:tc>
        <w:tc>
          <w:tcPr>
            <w:tcW w:w="10300" w:type="dxa"/>
            <w:vAlign w:val="bottom"/>
          </w:tcPr>
          <w:p>
            <w:pPr>
              <w:ind w:left="360"/>
              <w:spacing w:after="0"/>
              <w:rPr>
                <w:sz w:val="20"/>
                <w:szCs w:val="20"/>
                <w:color w:val="auto"/>
              </w:rPr>
            </w:pPr>
            <w:r>
              <w:rPr>
                <w:rFonts w:ascii="Arial" w:cs="Arial" w:eastAsia="Arial" w:hAnsi="Arial"/>
                <w:sz w:val="18"/>
                <w:szCs w:val="18"/>
                <w:color w:val="auto"/>
              </w:rPr>
              <w:t>Termination of Amendment to Lease Contract, dated as of April 2, 2012, between Integra CI, Inc. and Puerto Rico Industrial</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Development Company (Incorporated by reference to Exhibit 10.2 to the Company’s Quarterly Report on Form 10-Q for the quarter</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ended March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Restricted Units Agreement dated December 27, 1997 between the Company and Stuart M. Essig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10.3 to 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Stock Option Grant and Agreement pursuant to 1999 Stock Option Plan dated December 22, 2000 between the Company and Stuart M.</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Essig (Incorporated by reference to Exhibit 4.1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Stock Option Grant and Agreement pursuant to 2000 Equity Incentive Plan dated December 22, 2000 between the Company and Stuart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10.25(a)</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Restricted Units Agreement dated December 22, 2000 between the Company and Stuart M. Essig (Incorporated by reference to Exhibit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4.3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10.25(b)</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Amendment 2006-1, dated as of October 30, 2006, to the Stuart M. Essig Restricted Units Agreement dated as of December 22, 2000</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Stock Option Grant and Agreement pursuant to 2003 Equity Incentive Plan dated July 27, 2004 between the Company and Stuart M.</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Essig (Incorporated by reference to Exhibit 10.30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10.27(a)</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Contract Stock/Restricted Units Agreement pursuant to 2003 Equity Incentive Plan dated July 27, 2004 between the Company and Stuart</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M. Essig (Incorporated by reference to Exhibit 10.31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10.27(b)</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Amendment 2006-1, dated as of October 30, 2006, to the Stuart M. Essig Contract Stock/Restricted Units Agreement dated as of July 27,</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10.27(c)</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Amendment 2008-1, dated as of March 6, 2008, to the Stuart M. Essig Contract Stock/Restricted Units Agreement dated as of July 27,</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2004 (Incorporated by reference to Exhibit 10.25(c)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10.27(d)</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Amendment 2011-1, dated as of May 17, 2011, to the Stuart M. Essig Contract Stock/Restricted Units Agreement dated as of July 24,</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2004 (Incorporated by reference to Exhibit 10.6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Contract Stock/Units Agreement dated as of May 17, 2011 between the Company and Stuart M. Essig (Incorporated by reference to</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Exhibit 10.2 to the Company’s Current Report on Form 8-K filed 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May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Form of Amendment 2011-1 to Contract Stock/Restricted Units Agreements between the Company and Mr. Essig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10.5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Form of Stock Option Grant and Agreement between the Company and Stuart M. Essig (Incorporated by reference to Exhibit 10.32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2004)*</w:t>
            </w:r>
          </w:p>
        </w:tc>
      </w:tr>
    </w:tbl>
    <w:p>
      <w:pPr>
        <w:sectPr>
          <w:pgSz w:w="11900" w:h="16838" w:orient="portrait"/>
          <w:cols w:equalWidth="0" w:num="1">
            <w:col w:w="11300"/>
          </w:cols>
          <w:pgMar w:left="300" w:top="611" w:right="29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10.31(a)</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Form of Contract Stock/Restricted Units Agreement for Stuart M. Essig (Incorporated by reference to Exhibit 10.8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10.31(b)</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New Form of Contract Stock/Restricted Units Agreement (for Annual Equity Awards) for Stuart M. Essig (Incorporated by reference to</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10.31(c)</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Form of Amendment 2011-1 to Contract Stock/Restricted Units Agreement between the Company and Mr. Essig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10.4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Form of Restricted Stock Agreement for Stuart M. Essig for 2009 (Incorporated by reference to Exhibit 10.3 to the Company’s Current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Report on Form 8-K filed April 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10.34</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Form of Performance Stock Agreement (Executive Officers) (Incorporated by reference to Exhibit 10.2 to the Company's Current Report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on Form 8-K filed on February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10.35</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Performance Incentive Compensation Plan effective January 1, 2013 (Incorporated by reference to Exhibit 10.3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10.36</w:t>
            </w: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New Form of Contract Stock/Restricted Units Agreement pursuant to 2003 Equity Incentive Plan (for 2011) Annual Equity Award for</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Stuart M. Essig) (Incorporated by reference to Exhibit 10.3 to the Company’s Quarterly Report on Form 10-Q for the quarter ended June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10.37</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Form of Notice of Grant of Stock Option and Stock Option Agreement (Incorporated by reference to Exhibit 10.1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Current Report on Form 8-K filed on July 29,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10.38</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Form of Non-Qualified Stock Option Agreement (Non-Directors) (Incorporated by reference to Exhibit 10.35 to the Company’s Annual</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10.39</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Form of Incentive Stock Option Agreement (Incorporated by reference to Exhibit 10.36 to the Company’s Annual Report on Form 10-K</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10.40</w:t>
            </w: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Form of Non-Qualified Stock Option Agreement (Directors) (Incorporated by reference to Exhibit 10.37 to the Company’s Annual</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Form of Stock Option Agreement (Executive Officers) (Incorporated by reference to Exhibit 10.1 to the Company’s Quarterly Report 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Form 10-Q for the quarter ended March 31,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10.42</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Form of Stock Option Agreement for Glenn Coleman (Incorporated by reference to Exhibit 10.2 to the Company’s Quarterly Report 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Form 10-Q for the quarter ended March 31,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10.43</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Agreement and General Release by and between Robert Paltridge and Integra LifeSciences Corporation (Incorporated by reference to</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Exhibit 10.1 to the Company’s Quarterly Report on Form 10-Q for the quarter ended March 31,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10.44(a)</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Form of Change in Control Severance Agreement (Incorporated by reference to Exhibit 10.1 to the Company's Current Report on Form</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8-K filed on May 1,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10.44(b)</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Form of Change in Control Severance Agreement (Incorporated by reference to Exhibit 10.1 to the Company's Current Report on Form</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8-K filed on January 30,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10.45(a)</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Compensation of Directors of the Company effective May 17, 2011 (Incorporated by reference to Exhibit 10.1 to the Company’s Current</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10.45(b)</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Compensation of Non-Employee Directors of the Company effective May 17, 2012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10.45(c)</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Compensation of Non-Employee Directors of the Company effective May 22, 2013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10.45(d)</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Compensation of Non-Employee Directors of the Company effective July 24, 2013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10.45(e)</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Compensation of Non-Employee Directors of the Company effective May 22, 2015 (Incorporated by reference to Exhibit 10.1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December 18, 2014)*</w:t>
            </w:r>
          </w:p>
        </w:tc>
      </w:tr>
    </w:tbl>
    <w:p>
      <w:pPr>
        <w:sectPr>
          <w:pgSz w:w="11900" w:h="16838" w:orient="portrait"/>
          <w:cols w:equalWidth="0" w:num="1">
            <w:col w:w="11300"/>
          </w:cols>
          <w:pgMar w:left="300" w:top="611" w:right="29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10.45(f)</w:t>
            </w:r>
          </w:p>
        </w:tc>
        <w:tc>
          <w:tcPr>
            <w:tcW w:w="10280" w:type="dxa"/>
            <w:vAlign w:val="bottom"/>
          </w:tcPr>
          <w:p>
            <w:pPr>
              <w:ind w:left="340"/>
              <w:spacing w:after="0"/>
              <w:rPr>
                <w:sz w:val="20"/>
                <w:szCs w:val="20"/>
                <w:color w:val="auto"/>
              </w:rPr>
            </w:pPr>
            <w:r>
              <w:rPr>
                <w:rFonts w:ascii="Arial" w:cs="Arial" w:eastAsia="Arial" w:hAnsi="Arial"/>
                <w:sz w:val="18"/>
                <w:szCs w:val="18"/>
                <w:color w:val="auto"/>
                <w:w w:val="95"/>
              </w:rPr>
              <w:t>Compensation of Non-Employee Directors of the Company effective May 24, 2016 (Incorporated by reference to Exhibit 10.1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December 17, 2015)*</w:t>
            </w:r>
          </w:p>
        </w:tc>
      </w:tr>
      <w:tr>
        <w:trPr>
          <w:trHeight w:val="634"/>
        </w:trPr>
        <w:tc>
          <w:tcPr>
            <w:tcW w:w="1020" w:type="dxa"/>
            <w:vAlign w:val="bottom"/>
          </w:tcPr>
          <w:p>
            <w:pPr>
              <w:spacing w:after="0"/>
              <w:rPr>
                <w:sz w:val="20"/>
                <w:szCs w:val="20"/>
                <w:color w:val="auto"/>
              </w:rPr>
            </w:pPr>
            <w:r>
              <w:rPr>
                <w:rFonts w:ascii="Arial" w:cs="Arial" w:eastAsia="Arial" w:hAnsi="Arial"/>
                <w:sz w:val="18"/>
                <w:szCs w:val="18"/>
                <w:color w:val="auto"/>
              </w:rPr>
              <w:t>10.46(a)</w:t>
            </w:r>
          </w:p>
        </w:tc>
        <w:tc>
          <w:tcPr>
            <w:tcW w:w="10280" w:type="dxa"/>
            <w:vAlign w:val="bottom"/>
          </w:tcPr>
          <w:p>
            <w:pPr>
              <w:ind w:left="340"/>
              <w:spacing w:after="0"/>
              <w:rPr>
                <w:sz w:val="20"/>
                <w:szCs w:val="20"/>
                <w:color w:val="auto"/>
              </w:rPr>
            </w:pPr>
            <w:r>
              <w:rPr>
                <w:rFonts w:ascii="Arial" w:cs="Arial" w:eastAsia="Arial" w:hAnsi="Arial"/>
                <w:sz w:val="18"/>
                <w:szCs w:val="18"/>
                <w:color w:val="auto"/>
                <w:w w:val="94"/>
              </w:rPr>
              <w:t>Form of Restricted Stock Agreement for Non-Employee Directors under the 2003 Equity Incentive Plan (Incorporated by reference to</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10.46(b)</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New Form of Restricted Stock Agreement for Non-Employee Directors under the 2003 Equity Incentive Plan (Incorporated by reference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to Exhibit 10.38(b) to the Company’s Annual Report on Form 10-K for the year ended December 31,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10.46(c)</w:t>
            </w:r>
          </w:p>
        </w:tc>
        <w:tc>
          <w:tcPr>
            <w:tcW w:w="10280" w:type="dxa"/>
            <w:vAlign w:val="bottom"/>
          </w:tcPr>
          <w:p>
            <w:pPr>
              <w:ind w:left="340"/>
              <w:spacing w:after="0"/>
              <w:rPr>
                <w:sz w:val="20"/>
                <w:szCs w:val="20"/>
                <w:color w:val="auto"/>
              </w:rPr>
            </w:pPr>
            <w:r>
              <w:rPr>
                <w:rFonts w:ascii="Arial" w:cs="Arial" w:eastAsia="Arial" w:hAnsi="Arial"/>
                <w:sz w:val="18"/>
                <w:szCs w:val="18"/>
                <w:color w:val="auto"/>
              </w:rPr>
              <w:t>Form of Restricted Stock Agreement for Executive Officers - Annual Vesting (Incorporated by reference to Exhibit 10.1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February 25,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10.46(d)</w:t>
            </w:r>
          </w:p>
        </w:tc>
        <w:tc>
          <w:tcPr>
            <w:tcW w:w="10280" w:type="dxa"/>
            <w:vAlign w:val="bottom"/>
          </w:tcPr>
          <w:p>
            <w:pPr>
              <w:ind w:left="340"/>
              <w:spacing w:after="0"/>
              <w:rPr>
                <w:sz w:val="20"/>
                <w:szCs w:val="20"/>
                <w:color w:val="auto"/>
              </w:rPr>
            </w:pPr>
            <w:r>
              <w:rPr>
                <w:rFonts w:ascii="Arial" w:cs="Arial" w:eastAsia="Arial" w:hAnsi="Arial"/>
                <w:sz w:val="18"/>
                <w:szCs w:val="18"/>
                <w:color w:val="auto"/>
              </w:rPr>
              <w:t>Form of Restricted Stock Agreement for Executive Officers - Annual Vesting (Incorporated by reference to Exhibit 10.5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10.46(e)</w:t>
            </w:r>
          </w:p>
        </w:tc>
        <w:tc>
          <w:tcPr>
            <w:tcW w:w="10280" w:type="dxa"/>
            <w:vAlign w:val="bottom"/>
          </w:tcPr>
          <w:p>
            <w:pPr>
              <w:ind w:left="340"/>
              <w:spacing w:after="0"/>
              <w:rPr>
                <w:sz w:val="20"/>
                <w:szCs w:val="20"/>
                <w:color w:val="auto"/>
              </w:rPr>
            </w:pPr>
            <w:r>
              <w:rPr>
                <w:rFonts w:ascii="Arial" w:cs="Arial" w:eastAsia="Arial" w:hAnsi="Arial"/>
                <w:sz w:val="18"/>
                <w:szCs w:val="18"/>
                <w:color w:val="auto"/>
                <w:w w:val="93"/>
              </w:rPr>
              <w:t>New Form of Restricted Stock Agreement for Executive Officers - Annual Vesting (Incorporated by reference to Exhibit 10.38(e)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10.46(f)</w:t>
            </w:r>
          </w:p>
        </w:tc>
        <w:tc>
          <w:tcPr>
            <w:tcW w:w="10280" w:type="dxa"/>
            <w:vAlign w:val="bottom"/>
          </w:tcPr>
          <w:p>
            <w:pPr>
              <w:ind w:left="340"/>
              <w:spacing w:after="0"/>
              <w:rPr>
                <w:sz w:val="20"/>
                <w:szCs w:val="20"/>
                <w:color w:val="auto"/>
              </w:rPr>
            </w:pPr>
            <w:r>
              <w:rPr>
                <w:rFonts w:ascii="Arial" w:cs="Arial" w:eastAsia="Arial" w:hAnsi="Arial"/>
                <w:sz w:val="18"/>
                <w:szCs w:val="18"/>
                <w:color w:val="auto"/>
                <w:w w:val="93"/>
              </w:rPr>
              <w:t>Form of Restricted Stock Agreement for Executive Officers - Cliff Vesting (Incorporated by reference to Exhibit 10.8 to the Company’s</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10.46(g)</w:t>
            </w:r>
          </w:p>
        </w:tc>
        <w:tc>
          <w:tcPr>
            <w:tcW w:w="10280" w:type="dxa"/>
            <w:vAlign w:val="bottom"/>
          </w:tcPr>
          <w:p>
            <w:pPr>
              <w:ind w:left="340"/>
              <w:spacing w:after="0"/>
              <w:rPr>
                <w:sz w:val="20"/>
                <w:szCs w:val="20"/>
                <w:color w:val="auto"/>
              </w:rPr>
            </w:pPr>
            <w:r>
              <w:rPr>
                <w:rFonts w:ascii="Arial" w:cs="Arial" w:eastAsia="Arial" w:hAnsi="Arial"/>
                <w:sz w:val="18"/>
                <w:szCs w:val="18"/>
                <w:color w:val="auto"/>
                <w:w w:val="93"/>
              </w:rPr>
              <w:t>Form of Restricted Stock Agreement for Executive Officers - Cliff Vesting (Incorporated by reference to Exhibit 10.6 to the Company’s</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10.46(h)</w:t>
            </w:r>
          </w:p>
        </w:tc>
        <w:tc>
          <w:tcPr>
            <w:tcW w:w="10280" w:type="dxa"/>
            <w:vAlign w:val="bottom"/>
          </w:tcPr>
          <w:p>
            <w:pPr>
              <w:ind w:left="340"/>
              <w:spacing w:after="0"/>
              <w:rPr>
                <w:sz w:val="20"/>
                <w:szCs w:val="20"/>
                <w:color w:val="auto"/>
              </w:rPr>
            </w:pPr>
            <w:r>
              <w:rPr>
                <w:rFonts w:ascii="Arial" w:cs="Arial" w:eastAsia="Arial" w:hAnsi="Arial"/>
                <w:sz w:val="18"/>
                <w:szCs w:val="18"/>
                <w:color w:val="auto"/>
                <w:w w:val="95"/>
              </w:rPr>
              <w:t>New Form of Restricted Stock Agreement for Executive Officers - Cliff Vesting (Incorporated by reference to Exhibit 10.38(h)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10.46(i)</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Form of Restricted Stock Agreement for Mr. Henneman for 2008 and 2009 (Incorporated by reference to Exhibit 10.6 to the Company’s</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10.46(j)</w:t>
            </w:r>
          </w:p>
        </w:tc>
        <w:tc>
          <w:tcPr>
            <w:tcW w:w="10280" w:type="dxa"/>
            <w:vAlign w:val="bottom"/>
          </w:tcPr>
          <w:p>
            <w:pPr>
              <w:ind w:left="340"/>
              <w:spacing w:after="0"/>
              <w:rPr>
                <w:sz w:val="20"/>
                <w:szCs w:val="20"/>
                <w:color w:val="auto"/>
              </w:rPr>
            </w:pPr>
            <w:r>
              <w:rPr>
                <w:rFonts w:ascii="Arial" w:cs="Arial" w:eastAsia="Arial" w:hAnsi="Arial"/>
                <w:sz w:val="18"/>
                <w:szCs w:val="18"/>
                <w:color w:val="auto"/>
                <w:w w:val="98"/>
              </w:rPr>
              <w:t>Form of Contract Stock/Restricted Units Agreement pursuant to 2003 Equity Incentive Plan for Mr. Henneman (Incorporated by</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reference to Exhibit 10.4 to the Company’s Current Report on Form 8-K filed on December 24, 2008)*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10.46(k)</w:t>
            </w:r>
          </w:p>
        </w:tc>
        <w:tc>
          <w:tcPr>
            <w:tcW w:w="10280" w:type="dxa"/>
            <w:vAlign w:val="bottom"/>
          </w:tcPr>
          <w:p>
            <w:pPr>
              <w:ind w:left="340"/>
              <w:spacing w:after="0"/>
              <w:rPr>
                <w:sz w:val="20"/>
                <w:szCs w:val="20"/>
                <w:color w:val="auto"/>
              </w:rPr>
            </w:pPr>
            <w:r>
              <w:rPr>
                <w:rFonts w:ascii="Arial" w:cs="Arial" w:eastAsia="Arial" w:hAnsi="Arial"/>
                <w:sz w:val="18"/>
                <w:szCs w:val="18"/>
                <w:color w:val="auto"/>
                <w:w w:val="94"/>
              </w:rPr>
              <w:t>Form of Option Agreement for John B. Henneman, III (Incorporated by reference to Exhibit 10.1 to the Company’s Current Report on</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Form 8-K filed on June 6, 2008)*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10.46(l)</w:t>
            </w:r>
          </w:p>
        </w:tc>
        <w:tc>
          <w:tcPr>
            <w:tcW w:w="10280" w:type="dxa"/>
            <w:vAlign w:val="bottom"/>
          </w:tcPr>
          <w:p>
            <w:pPr>
              <w:ind w:left="340"/>
              <w:spacing w:after="0"/>
              <w:rPr>
                <w:sz w:val="20"/>
                <w:szCs w:val="20"/>
                <w:color w:val="auto"/>
              </w:rPr>
            </w:pPr>
            <w:r>
              <w:rPr>
                <w:rFonts w:ascii="Arial" w:cs="Arial" w:eastAsia="Arial" w:hAnsi="Arial"/>
                <w:sz w:val="18"/>
                <w:szCs w:val="18"/>
                <w:color w:val="auto"/>
                <w:w w:val="95"/>
              </w:rPr>
              <w:t>Form of Performance Stock Agreement for John B. Henneman, III (Incorporated by reference to Exhibit 10.37(b) to the Company’s</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Annual Report on Form 10-K for the year ended December 31,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10.46(m)</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Form of Contract Stock/Restricted Units Agreement (for Signing Grant) for Mr. Arduini (Incorporated by reference to Exhibit 10.4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10.46(n)</w:t>
            </w:r>
          </w:p>
        </w:tc>
        <w:tc>
          <w:tcPr>
            <w:tcW w:w="10280" w:type="dxa"/>
            <w:vAlign w:val="bottom"/>
          </w:tcPr>
          <w:p>
            <w:pPr>
              <w:ind w:left="340"/>
              <w:spacing w:after="0"/>
              <w:rPr>
                <w:sz w:val="20"/>
                <w:szCs w:val="20"/>
                <w:color w:val="auto"/>
              </w:rPr>
            </w:pPr>
            <w:r>
              <w:rPr>
                <w:rFonts w:ascii="Arial" w:cs="Arial" w:eastAsia="Arial" w:hAnsi="Arial"/>
                <w:sz w:val="18"/>
                <w:szCs w:val="18"/>
                <w:color w:val="auto"/>
                <w:w w:val="95"/>
              </w:rPr>
              <w:t>Form of Contract Stock/Restricted Units Agreement (for Annual Equity Awards) for Mr. Arduini (Incorporated by reference to Exhibit</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10.5 to the Company’s Current 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10.46(o)</w:t>
            </w:r>
          </w:p>
        </w:tc>
        <w:tc>
          <w:tcPr>
            <w:tcW w:w="10280" w:type="dxa"/>
            <w:vAlign w:val="bottom"/>
          </w:tcPr>
          <w:p>
            <w:pPr>
              <w:ind w:left="340"/>
              <w:spacing w:after="0"/>
              <w:rPr>
                <w:sz w:val="20"/>
                <w:szCs w:val="20"/>
                <w:color w:val="auto"/>
              </w:rPr>
            </w:pPr>
            <w:r>
              <w:rPr>
                <w:rFonts w:ascii="Arial" w:cs="Arial" w:eastAsia="Arial" w:hAnsi="Arial"/>
                <w:sz w:val="18"/>
                <w:szCs w:val="18"/>
                <w:color w:val="auto"/>
                <w:w w:val="95"/>
              </w:rPr>
              <w:t>Form of Non-Qualified Stock Option Agreement for Mr. Arduini (Incorporated by reference to Exhibit 10.6 to the Company’s Current</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10.46(p)</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Form of Restricted Stock Agreement for Mr. Henneman (Incorporated by reference to Exhibit 10.7 to the Company’s Current Report on</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10.46(q)</w:t>
            </w:r>
          </w:p>
        </w:tc>
        <w:tc>
          <w:tcPr>
            <w:tcW w:w="10280" w:type="dxa"/>
            <w:vAlign w:val="bottom"/>
          </w:tcPr>
          <w:p>
            <w:pPr>
              <w:ind w:left="340"/>
              <w:spacing w:after="0"/>
              <w:rPr>
                <w:sz w:val="20"/>
                <w:szCs w:val="20"/>
                <w:color w:val="auto"/>
              </w:rPr>
            </w:pPr>
            <w:r>
              <w:rPr>
                <w:rFonts w:ascii="Arial" w:cs="Arial" w:eastAsia="Arial" w:hAnsi="Arial"/>
                <w:sz w:val="18"/>
                <w:szCs w:val="18"/>
                <w:color w:val="auto"/>
                <w:w w:val="99"/>
              </w:rPr>
              <w:t>Form of Restricted Stock Agreement (Annual Vesting) for Mr. Henneman (Incorporated by reference to Exhibit 10.39(n) to the</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Company’s Annual Report on Form 10-K for the year ended December 31, 2011)*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10.47</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Annual Executive Physical Medical Exam Arrangement (Incorporated by reference to the Exhibit 10.2 to the Company’s Current Report</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on Form 8-K filed on July 29,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10.48</w:t>
            </w:r>
          </w:p>
        </w:tc>
        <w:tc>
          <w:tcPr>
            <w:tcW w:w="10280" w:type="dxa"/>
            <w:vAlign w:val="bottom"/>
          </w:tcPr>
          <w:p>
            <w:pPr>
              <w:ind w:left="340"/>
              <w:spacing w:after="0"/>
              <w:rPr>
                <w:sz w:val="20"/>
                <w:szCs w:val="20"/>
                <w:color w:val="auto"/>
              </w:rPr>
            </w:pPr>
            <w:r>
              <w:rPr>
                <w:rFonts w:ascii="Arial" w:cs="Arial" w:eastAsia="Arial" w:hAnsi="Arial"/>
                <w:sz w:val="18"/>
                <w:szCs w:val="18"/>
                <w:color w:val="auto"/>
                <w:w w:val="94"/>
              </w:rPr>
              <w:t>Reimbursement of Legal Fees Arrangement for CFO (Incorporated by reference to Exhibit 10.3 to the Company’s Current Report on</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Form 8-K filed on July 29, 2013)*</w:t>
            </w: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10.49</w:t>
            </w:r>
          </w:p>
        </w:tc>
        <w:tc>
          <w:tcPr>
            <w:tcW w:w="10280" w:type="dxa"/>
            <w:vAlign w:val="bottom"/>
          </w:tcPr>
          <w:p>
            <w:pPr>
              <w:ind w:left="34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to the Company’s Annual Report on Form 10-K for the year ended December 31, 2007)*</w:t>
            </w:r>
          </w:p>
        </w:tc>
      </w:tr>
    </w:tbl>
    <w:p>
      <w:pPr>
        <w:sectPr>
          <w:pgSz w:w="11900" w:h="16838" w:orient="portrait"/>
          <w:cols w:equalWidth="0" w:num="1">
            <w:col w:w="11300"/>
          </w:cols>
          <w:pgMar w:left="300" w:top="611" w:right="29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10.50</w:t>
            </w:r>
          </w:p>
        </w:tc>
        <w:tc>
          <w:tcPr>
            <w:tcW w:w="10420" w:type="dxa"/>
            <w:vAlign w:val="bottom"/>
          </w:tcPr>
          <w:p>
            <w:pPr>
              <w:ind w:left="480"/>
              <w:spacing w:after="0"/>
              <w:rPr>
                <w:sz w:val="20"/>
                <w:szCs w:val="20"/>
                <w:color w:val="auto"/>
              </w:rPr>
            </w:pPr>
            <w:r>
              <w:rPr>
                <w:rFonts w:ascii="Arial" w:cs="Arial" w:eastAsia="Arial" w:hAnsi="Arial"/>
                <w:sz w:val="18"/>
                <w:szCs w:val="18"/>
                <w:color w:val="auto"/>
                <w:w w:val="99"/>
              </w:rPr>
              <w:t>Form of 2010 Convertible Bond Hedge Transaction Confirmation, dated June 6, 2007, between Integra LifeSciences Holdings</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1"/>
              </w:rPr>
              <w:t>Corporation and dealer (Incorporated by reference to Exhibit 10.1 to the Company’s Current Report on Form 8-K filed on June 12, 2007)</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10.51</w:t>
            </w:r>
          </w:p>
        </w:tc>
        <w:tc>
          <w:tcPr>
            <w:tcW w:w="10420" w:type="dxa"/>
            <w:vAlign w:val="bottom"/>
          </w:tcPr>
          <w:p>
            <w:pPr>
              <w:ind w:left="480"/>
              <w:spacing w:after="0"/>
              <w:rPr>
                <w:sz w:val="20"/>
                <w:szCs w:val="20"/>
                <w:color w:val="auto"/>
              </w:rPr>
            </w:pPr>
            <w:r>
              <w:rPr>
                <w:rFonts w:ascii="Arial" w:cs="Arial" w:eastAsia="Arial" w:hAnsi="Arial"/>
                <w:sz w:val="18"/>
                <w:szCs w:val="18"/>
                <w:color w:val="auto"/>
                <w:w w:val="99"/>
              </w:rPr>
              <w:t>Form of 2012 Convertible Bond Hedge Transaction Confirmation, dated June 6, 2007, between Integra LifeSciences Holdings</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1"/>
              </w:rPr>
              <w:t>Corporation and dealer (Incorporated by reference to Exhibit 10.2 to the Company’s Current Report on Form 8-K filed on June 12, 2007)</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10.52</w:t>
            </w:r>
          </w:p>
        </w:tc>
        <w:tc>
          <w:tcPr>
            <w:tcW w:w="10420" w:type="dxa"/>
            <w:vAlign w:val="bottom"/>
          </w:tcPr>
          <w:p>
            <w:pPr>
              <w:ind w:left="480"/>
              <w:spacing w:after="0"/>
              <w:rPr>
                <w:sz w:val="20"/>
                <w:szCs w:val="20"/>
                <w:color w:val="auto"/>
              </w:rPr>
            </w:pPr>
            <w:r>
              <w:rPr>
                <w:rFonts w:ascii="Arial" w:cs="Arial" w:eastAsia="Arial" w:hAnsi="Arial"/>
                <w:sz w:val="18"/>
                <w:szCs w:val="18"/>
                <w:color w:val="auto"/>
                <w:w w:val="95"/>
              </w:rPr>
              <w:t>Form of 2010 Amended and Restated Issuer Warrant Transaction Confirmation, dated June 6, 2007, between Integra LifeSciences</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2"/>
              </w:rPr>
              <w:t>Holdings Corporation and dealer (Incorporated by reference to Exhibit 10.3 to the Company’s Current Report on Form 8-K filed on June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12, 2007)</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10.53</w:t>
            </w:r>
          </w:p>
        </w:tc>
        <w:tc>
          <w:tcPr>
            <w:tcW w:w="10420" w:type="dxa"/>
            <w:vAlign w:val="bottom"/>
          </w:tcPr>
          <w:p>
            <w:pPr>
              <w:ind w:left="480"/>
              <w:spacing w:after="0"/>
              <w:rPr>
                <w:sz w:val="20"/>
                <w:szCs w:val="20"/>
                <w:color w:val="auto"/>
              </w:rPr>
            </w:pPr>
            <w:r>
              <w:rPr>
                <w:rFonts w:ascii="Arial" w:cs="Arial" w:eastAsia="Arial" w:hAnsi="Arial"/>
                <w:sz w:val="18"/>
                <w:szCs w:val="18"/>
                <w:color w:val="auto"/>
                <w:w w:val="95"/>
              </w:rPr>
              <w:t>Form of 2012 Amended and Restated Issuer Warrant Transaction Confirmation, dated June 6, 2007, between Integra LifeSciences</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2"/>
              </w:rPr>
              <w:t>Holdings Corporation and dealer (Incorporated by reference to Exhibit 10.4 to the Company’s Current Report on Form 8-K filed on June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12, 2007)</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10.54</w:t>
            </w:r>
          </w:p>
        </w:tc>
        <w:tc>
          <w:tcPr>
            <w:tcW w:w="10420" w:type="dxa"/>
            <w:vAlign w:val="bottom"/>
          </w:tcPr>
          <w:p>
            <w:pPr>
              <w:ind w:left="48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5"/>
              </w:rPr>
              <w:t>regarding the Base Call Option Transaction (Incorporated by reference to Exhibit 10.4 to the Company’s Form 8-K filed on June 15,</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10.55</w:t>
            </w: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Letter Agreement, dated June 9,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Base Call Option Transaction (Incorporated by reference to Exhibit 10.8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10.56</w:t>
            </w:r>
          </w:p>
        </w:tc>
        <w:tc>
          <w:tcPr>
            <w:tcW w:w="10420" w:type="dxa"/>
            <w:vAlign w:val="bottom"/>
          </w:tcPr>
          <w:p>
            <w:pPr>
              <w:ind w:left="480"/>
              <w:spacing w:after="0"/>
              <w:rPr>
                <w:sz w:val="20"/>
                <w:szCs w:val="20"/>
                <w:color w:val="auto"/>
              </w:rPr>
            </w:pPr>
            <w:r>
              <w:rPr>
                <w:rFonts w:ascii="Arial" w:cs="Arial" w:eastAsia="Arial" w:hAnsi="Arial"/>
                <w:sz w:val="18"/>
                <w:szCs w:val="18"/>
                <w:color w:val="auto"/>
                <w:w w:val="97"/>
              </w:rPr>
              <w:t>Letter Agreement, dated June 9,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5"/>
              </w:rPr>
              <w:t>regarding the Base Call Option Transaction (Incorporated by reference to Exhibit 10.6 to the Company’s Form 8-K filed on June 15,</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10.57</w:t>
            </w:r>
          </w:p>
        </w:tc>
        <w:tc>
          <w:tcPr>
            <w:tcW w:w="10420" w:type="dxa"/>
            <w:vAlign w:val="bottom"/>
          </w:tcPr>
          <w:p>
            <w:pPr>
              <w:ind w:left="480"/>
              <w:spacing w:after="0"/>
              <w:rPr>
                <w:sz w:val="20"/>
                <w:szCs w:val="20"/>
                <w:color w:val="auto"/>
              </w:rPr>
            </w:pPr>
            <w:r>
              <w:rPr>
                <w:rFonts w:ascii="Arial" w:cs="Arial" w:eastAsia="Arial" w:hAnsi="Arial"/>
                <w:sz w:val="18"/>
                <w:szCs w:val="18"/>
                <w:color w:val="auto"/>
                <w:w w:val="91"/>
              </w:rPr>
              <w:t>Letter Agreement, dated June 9,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5"/>
              </w:rPr>
              <w:t>regarding the Base Call Option Transaction (Incorporated by reference to Exhibit 10.2 to the Company’s Form 8-K filed on June 15,</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10.58</w:t>
            </w:r>
          </w:p>
        </w:tc>
        <w:tc>
          <w:tcPr>
            <w:tcW w:w="10420" w:type="dxa"/>
            <w:vAlign w:val="bottom"/>
          </w:tcPr>
          <w:p>
            <w:pPr>
              <w:ind w:left="48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2"/>
              </w:rPr>
              <w:t>regarding the Base Warrant Transaction (Incorporated by reference to Exhibit 10.3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10.59</w:t>
            </w: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Letter Agreement, dated June 9,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Base Warrant Transaction (Incorporated by reference to Exhibit 10.7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10.60</w:t>
            </w:r>
          </w:p>
        </w:tc>
        <w:tc>
          <w:tcPr>
            <w:tcW w:w="10420" w:type="dxa"/>
            <w:vAlign w:val="bottom"/>
          </w:tcPr>
          <w:p>
            <w:pPr>
              <w:ind w:left="480"/>
              <w:spacing w:after="0"/>
              <w:rPr>
                <w:sz w:val="20"/>
                <w:szCs w:val="20"/>
                <w:color w:val="auto"/>
              </w:rPr>
            </w:pPr>
            <w:r>
              <w:rPr>
                <w:rFonts w:ascii="Arial" w:cs="Arial" w:eastAsia="Arial" w:hAnsi="Arial"/>
                <w:sz w:val="18"/>
                <w:szCs w:val="18"/>
                <w:color w:val="auto"/>
                <w:w w:val="97"/>
              </w:rPr>
              <w:t>Letter Agreement, dated June 9, 2011, between The Royal Bank of Scotland plc and Integra LifeSciences Holdings Corporation,</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2"/>
              </w:rPr>
              <w:t>regarding the Base Warrant Transaction (Incorporated by reference to Exhibit 10.5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10.61</w:t>
            </w:r>
          </w:p>
        </w:tc>
        <w:tc>
          <w:tcPr>
            <w:tcW w:w="10420" w:type="dxa"/>
            <w:vAlign w:val="bottom"/>
          </w:tcPr>
          <w:p>
            <w:pPr>
              <w:ind w:left="480"/>
              <w:spacing w:after="0"/>
              <w:rPr>
                <w:sz w:val="20"/>
                <w:szCs w:val="20"/>
                <w:color w:val="auto"/>
              </w:rPr>
            </w:pPr>
            <w:r>
              <w:rPr>
                <w:rFonts w:ascii="Arial" w:cs="Arial" w:eastAsia="Arial" w:hAnsi="Arial"/>
                <w:sz w:val="18"/>
                <w:szCs w:val="18"/>
                <w:color w:val="auto"/>
                <w:w w:val="91"/>
              </w:rPr>
              <w:t>Letter Agreement, dated June 9, 2011, between Wells Fargo Bank, National Association and Integra LifeSciences Holdings Corporation,</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2"/>
              </w:rPr>
              <w:t>regarding the Base Warrant Transaction (Incorporated by reference to Exhibit 10.1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10.62</w:t>
            </w: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8"/>
              </w:rPr>
              <w:t>regarding the Additional Call Option Transaction (Incorporated by reference to Exhibit 10.9 to the Company’s Form 8-K filed on</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10.63</w:t>
            </w:r>
          </w:p>
        </w:tc>
        <w:tc>
          <w:tcPr>
            <w:tcW w:w="10420" w:type="dxa"/>
            <w:vAlign w:val="bottom"/>
          </w:tcPr>
          <w:p>
            <w:pPr>
              <w:ind w:left="480"/>
              <w:spacing w:after="0"/>
              <w:rPr>
                <w:sz w:val="20"/>
                <w:szCs w:val="20"/>
                <w:color w:val="auto"/>
              </w:rPr>
            </w:pPr>
            <w:r>
              <w:rPr>
                <w:rFonts w:ascii="Arial" w:cs="Arial" w:eastAsia="Arial" w:hAnsi="Arial"/>
                <w:sz w:val="18"/>
                <w:szCs w:val="18"/>
                <w:color w:val="auto"/>
                <w:w w:val="92"/>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6"/>
              </w:rPr>
              <w:t>Additional Call Option Transaction (Incorporated by reference to Exhibit 10.10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10.64</w:t>
            </w:r>
          </w:p>
        </w:tc>
        <w:tc>
          <w:tcPr>
            <w:tcW w:w="10420" w:type="dxa"/>
            <w:vAlign w:val="bottom"/>
          </w:tcPr>
          <w:p>
            <w:pPr>
              <w:ind w:left="480"/>
              <w:spacing w:after="0"/>
              <w:rPr>
                <w:sz w:val="20"/>
                <w:szCs w:val="20"/>
                <w:color w:val="auto"/>
              </w:rPr>
            </w:pPr>
            <w:r>
              <w:rPr>
                <w:rFonts w:ascii="Arial" w:cs="Arial" w:eastAsia="Arial" w:hAnsi="Arial"/>
                <w:sz w:val="18"/>
                <w:szCs w:val="18"/>
                <w:color w:val="auto"/>
                <w:w w:val="96"/>
              </w:rPr>
              <w:t>Letter Agreement, dated June 14,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10.11 to the Company’s Form 8-K filed on June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10.65</w:t>
            </w:r>
          </w:p>
        </w:tc>
        <w:tc>
          <w:tcPr>
            <w:tcW w:w="10420" w:type="dxa"/>
            <w:vAlign w:val="bottom"/>
          </w:tcPr>
          <w:p>
            <w:pPr>
              <w:ind w:left="480"/>
              <w:spacing w:after="0"/>
              <w:rPr>
                <w:sz w:val="20"/>
                <w:szCs w:val="20"/>
                <w:color w:val="auto"/>
              </w:rPr>
            </w:pPr>
            <w:r>
              <w:rPr>
                <w:rFonts w:ascii="Arial" w:cs="Arial" w:eastAsia="Arial" w:hAnsi="Arial"/>
                <w:sz w:val="18"/>
                <w:szCs w:val="18"/>
                <w:color w:val="auto"/>
                <w:w w:val="90"/>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10.12 to the Company’s Form 8-K filed on June</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10.66</w:t>
            </w: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10.13 to the Company’s Form 8-K filed on June 15,</w:t>
            </w:r>
          </w:p>
        </w:tc>
      </w:tr>
      <w:tr>
        <w:trPr>
          <w:trHeight w:val="230"/>
        </w:trPr>
        <w:tc>
          <w:tcPr>
            <w:tcW w:w="880" w:type="dxa"/>
            <w:vAlign w:val="bottom"/>
          </w:tcPr>
          <w:p>
            <w:pPr>
              <w:spacing w:after="0"/>
              <w:rPr>
                <w:sz w:val="20"/>
                <w:szCs w:val="20"/>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2011)</w:t>
            </w:r>
          </w:p>
        </w:tc>
      </w:tr>
    </w:tbl>
    <w:p>
      <w:pPr>
        <w:sectPr>
          <w:pgSz w:w="11900" w:h="16838" w:orient="portrait"/>
          <w:cols w:equalWidth="0" w:num="1">
            <w:col w:w="11300"/>
          </w:cols>
          <w:pgMar w:left="300" w:top="611" w:right="29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10.67</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Letter Agreement, dated June 14, 2011, between Royal Bank of Canada and Integra LifeSciences Holdings Corporation, regarding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Additional Warrant Transaction (Incorporated by reference to Exhibit 10.14 to the Company’s Form 8-K filed on June 15,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10.68</w:t>
            </w: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Letter Agreement, dated June 14, 2011, between The Royal Bank of Scotland plc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10.15 to the Company’s Form 8-K filed on June 15,</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10.69</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Letter Agreement, dated June 14, 2011, between Wells Fargo Bank, National Association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10.16 to the Company’s Form 8-K filed on June 15,</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10.70</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Piggyback Registration Rights Agreement dated December 22, 2008 between Integra LifeSciences Holdings Corporation and George</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Heenan, Thomas Gilliam and Michael Evers, as trustees of The Bruce A. LeVahn 2008 Trust and Steven M. LeVahn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10.71(a)</w:t>
            </w:r>
          </w:p>
        </w:tc>
        <w:tc>
          <w:tcPr>
            <w:tcW w:w="10300" w:type="dxa"/>
            <w:vAlign w:val="bottom"/>
          </w:tcPr>
          <w:p>
            <w:pPr>
              <w:ind w:left="360"/>
              <w:spacing w:after="0"/>
              <w:rPr>
                <w:sz w:val="20"/>
                <w:szCs w:val="20"/>
                <w:color w:val="auto"/>
              </w:rPr>
            </w:pPr>
            <w:r>
              <w:rPr>
                <w:rFonts w:ascii="Arial" w:cs="Arial" w:eastAsia="Arial" w:hAnsi="Arial"/>
                <w:sz w:val="18"/>
                <w:szCs w:val="18"/>
                <w:color w:val="auto"/>
                <w:w w:val="90"/>
              </w:rPr>
              <w:t>Lease Agreement between 109 Morgan Lane, LLC and Integra LifeSciences Corporation, dated May 15, 2008 (Incorporated by reference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to Exhibit 10.10 to the Company’s Quarterly Report 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10.71(b)</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First Amendment to Lease Agreement between 109 Morgan Lane, LLC and Integra LifeSciences Corporation, dated March 9, 2009</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(Incorporated by reference to Exhibit 10.9 to the Company’s Quarterly Report on Form 10-Q for the quarter ended March 31, 2009)</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10.71(c)</w:t>
            </w:r>
          </w:p>
        </w:tc>
        <w:tc>
          <w:tcPr>
            <w:tcW w:w="10300" w:type="dxa"/>
            <w:vAlign w:val="bottom"/>
          </w:tcPr>
          <w:p>
            <w:pPr>
              <w:ind w:left="360"/>
              <w:spacing w:after="0"/>
              <w:rPr>
                <w:sz w:val="20"/>
                <w:szCs w:val="20"/>
                <w:color w:val="auto"/>
              </w:rPr>
            </w:pPr>
            <w:r>
              <w:rPr>
                <w:rFonts w:ascii="Arial" w:cs="Arial" w:eastAsia="Arial" w:hAnsi="Arial"/>
                <w:sz w:val="18"/>
                <w:szCs w:val="18"/>
                <w:color w:val="auto"/>
                <w:w w:val="95"/>
              </w:rPr>
              <w:t>Lease Agreement dated as of July 1, 2013, between 109 Morgan Lane, LLC and Integra LifeSciences Corporation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10.1 to the Company's Current Report on Form 8-K filed on July 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10.72</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Offer Letter between Glenn Coleman and the Company (Incorporated by reference to Exhibit 10.1 to the Company's Current Report 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Form 8-K filed on April 29,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12.1</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Statement Regarding the Computation of Ratio of Earnings to Fixed Charges and Preferred Share Dividends for the Years Ended 2008,</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2009, 2010, 2011 and 2012, and the Nine Months Ended September 30, 2013 (Incorporated by reference to Exhibit 12.1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Registration Statement on Form S-3 ASR filed November 4,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18.1</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Preferability letter of Independent Public Accounting Firm dated May 1, 2014 (Incorporated by reference to Exhibit 18 to the Company's</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March 31,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18.2</w:t>
            </w: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Preferability Letter of Independent Public Accounting Firm dated July 31, 2012 (Incorporated by reference to Exhibit 18.1 to the</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tcPr>
          <w:p>
            <w:pPr>
              <w:ind w:left="36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23</w:t>
            </w:r>
          </w:p>
        </w:tc>
        <w:tc>
          <w:tcPr>
            <w:tcW w:w="10300" w:type="dxa"/>
            <w:vAlign w:val="bottom"/>
          </w:tcPr>
          <w:p>
            <w:pPr>
              <w:ind w:left="36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10300" w:type="dxa"/>
            <w:vAlign w:val="bottom"/>
          </w:tcPr>
          <w:p>
            <w:pPr>
              <w:ind w:left="360"/>
              <w:spacing w:after="0"/>
              <w:rPr>
                <w:sz w:val="20"/>
                <w:szCs w:val="20"/>
                <w:color w:val="auto"/>
              </w:rPr>
            </w:pPr>
            <w:r>
              <w:rPr>
                <w:rFonts w:ascii="Arial" w:cs="Arial" w:eastAsia="Arial" w:hAnsi="Arial"/>
                <w:sz w:val="18"/>
                <w:szCs w:val="18"/>
                <w:color w:val="auto"/>
              </w:rPr>
              <w:t>Letter, dated December 21, 2011, from the United States Food and Drug Administration to Integra LifeSciences Corporation</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(Incorporated by reference to Exhibit 99.1 to the Company’s Current Report on Form 8-K filed on January 5,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(Incorporated by reference to Exhibit 99.1 to the Company’s 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99.3</w:t>
            </w: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Letter, dated November 1, 2012, from the United States Food and Drug Administration to Integra NeuroSciences Ltd. (Incorporated by</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99.4</w:t>
            </w: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Letter, dated February 13, 2013, from the United States Federal Drug Administration to Integra LifeSciences Corporation (Incorporated</w:t>
            </w:r>
          </w:p>
        </w:tc>
      </w:tr>
      <w:tr>
        <w:trPr>
          <w:trHeight w:val="230"/>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February 19, 2013)</w:t>
            </w:r>
          </w:p>
        </w:tc>
      </w:tr>
    </w:tbl>
    <w:p>
      <w:pPr>
        <w:sectPr>
          <w:pgSz w:w="11900" w:h="16838" w:orient="portrait"/>
          <w:cols w:equalWidth="0" w:num="1">
            <w:col w:w="11300"/>
          </w:cols>
          <w:pgMar w:left="300" w:top="611" w:right="299" w:bottom="1440" w:gutter="0" w:footer="0" w:header="0"/>
        </w:sectPr>
      </w:pPr>
    </w:p>
    <w:bookmarkStart w:id="116" w:name="page117"/>
    <w:bookmarkEnd w:id="116"/>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99.5</w:t>
            </w:r>
          </w:p>
        </w:tc>
        <w:tc>
          <w:tcPr>
            <w:tcW w:w="10280" w:type="dxa"/>
            <w:vAlign w:val="bottom"/>
          </w:tcPr>
          <w:p>
            <w:pPr>
              <w:ind w:left="340"/>
              <w:spacing w:after="0"/>
              <w:rPr>
                <w:sz w:val="20"/>
                <w:szCs w:val="20"/>
                <w:color w:val="auto"/>
              </w:rPr>
            </w:pPr>
            <w:r>
              <w:rPr>
                <w:rFonts w:ascii="Arial" w:cs="Arial" w:eastAsia="Arial" w:hAnsi="Arial"/>
                <w:sz w:val="18"/>
                <w:szCs w:val="18"/>
                <w:color w:val="auto"/>
                <w:w w:val="91"/>
              </w:rPr>
              <w:t>Letter, dated September 24, 2013, from the United States Federal Drug Administration to Integra LifeSciences Corporation (Incorporated</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by reference to Exhibit 99.1 to the Company’s Current Report on Form 8-K filed on September 27,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99.6</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Food and Drug Administration Form FDA-483, dated November 26, 2013, relating to the inspection of the Añasco Facility (Incorporated</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by reference to Exhibit 99.1 to the Company’s Current Report on Form 8-K filed on December 3,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99.7</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Letter, dated January 14, 2015, from the United States Food and Drug Administration to Integra LifeSciences Corporation (Incorporated</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by reference to Exhibit 99.1 to the Company’s Current Report on Form 8-K filed on January 20,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99.8</w:t>
            </w:r>
          </w:p>
        </w:tc>
        <w:tc>
          <w:tcPr>
            <w:tcW w:w="10280" w:type="dxa"/>
            <w:vAlign w:val="bottom"/>
          </w:tcPr>
          <w:p>
            <w:pPr>
              <w:ind w:left="340"/>
              <w:spacing w:after="0"/>
              <w:rPr>
                <w:sz w:val="20"/>
                <w:szCs w:val="20"/>
                <w:color w:val="auto"/>
              </w:rPr>
            </w:pPr>
            <w:r>
              <w:rPr>
                <w:rFonts w:ascii="Arial" w:cs="Arial" w:eastAsia="Arial" w:hAnsi="Arial"/>
                <w:sz w:val="18"/>
                <w:szCs w:val="18"/>
                <w:color w:val="auto"/>
                <w:w w:val="92"/>
              </w:rPr>
              <w:t>Letter, dated May 29, 2015, from the United States Food and Drug Administration to TEI Biosciences Inc. (Incorporated by reference to</w:t>
            </w:r>
          </w:p>
        </w:tc>
      </w:tr>
      <w:tr>
        <w:trPr>
          <w:trHeight w:val="230"/>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Arial" w:cs="Arial" w:eastAsia="Arial" w:hAnsi="Arial"/>
                <w:sz w:val="18"/>
                <w:szCs w:val="18"/>
                <w:color w:val="auto"/>
              </w:rPr>
              <w:t>Exhibit 99.1 to the Company’s Quarterly Report on Form 10-Q for the quarter ended June 30,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99.9</w:t>
            </w:r>
          </w:p>
        </w:tc>
        <w:tc>
          <w:tcPr>
            <w:tcW w:w="10280" w:type="dxa"/>
            <w:vAlign w:val="bottom"/>
          </w:tcPr>
          <w:p>
            <w:pPr>
              <w:ind w:left="340"/>
              <w:spacing w:after="0"/>
              <w:rPr>
                <w:sz w:val="20"/>
                <w:szCs w:val="20"/>
                <w:color w:val="auto"/>
              </w:rPr>
            </w:pPr>
            <w:r>
              <w:rPr>
                <w:rFonts w:ascii="Arial" w:cs="Arial" w:eastAsia="Arial" w:hAnsi="Arial"/>
                <w:sz w:val="18"/>
                <w:szCs w:val="18"/>
                <w:color w:val="auto"/>
              </w:rPr>
              <w:t>Letter, dated June 30, 2015, from the United States Food and Drug Administration to Integra LifeSciences (Ireland) Limited</w:t>
            </w:r>
          </w:p>
        </w:tc>
      </w:tr>
      <w:tr>
        <w:trPr>
          <w:trHeight w:val="230"/>
        </w:trPr>
        <w:tc>
          <w:tcPr>
            <w:tcW w:w="102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w w:val="95"/>
              </w:rPr>
              <w:t>(Incorporated by reference to Exhibit 99.2 to the Company’s Quarterly Report on Form 10-Q for the quarter ended June 30, 2015)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3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40" w:right="5960" w:hanging="5"/>
        <w:spacing w:after="0" w:line="497" w:lineRule="auto"/>
        <w:tabs>
          <w:tab w:leader="none" w:pos="2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hanging="225"/>
        <w:spacing w:after="0" w:line="25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2015 filed on February 26, 2016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ectPr>
          <w:pgSz w:w="11900" w:h="16838" w:orient="portrait"/>
          <w:cols w:equalWidth="0" w:num="1">
            <w:col w:w="11380"/>
          </w:cols>
          <w:pgMar w:left="240" w:top="611" w:right="2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 of Subsidiary</w:t>
            </w:r>
          </w:p>
        </w:tc>
        <w:tc>
          <w:tcPr>
            <w:tcW w:w="4220" w:type="dxa"/>
            <w:vAlign w:val="bottom"/>
          </w:tcPr>
          <w:p>
            <w:pPr>
              <w:ind w:left="40"/>
              <w:spacing w:after="0"/>
              <w:rPr>
                <w:sz w:val="20"/>
                <w:szCs w:val="20"/>
                <w:color w:val="auto"/>
              </w:rPr>
            </w:pPr>
            <w:r>
              <w:rPr>
                <w:rFonts w:ascii="Arial" w:cs="Arial" w:eastAsia="Arial" w:hAnsi="Arial"/>
                <w:sz w:val="13"/>
                <w:szCs w:val="13"/>
                <w:b w:val="1"/>
                <w:bCs w:val="1"/>
                <w:color w:val="auto"/>
              </w:rPr>
              <w:t>State or Country of Incorporation or Organization</w:t>
            </w:r>
          </w:p>
        </w:tc>
      </w:tr>
      <w:tr>
        <w:trPr>
          <w:trHeight w:val="57"/>
        </w:trPr>
        <w:tc>
          <w:tcPr>
            <w:tcW w:w="6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Ltd.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Bimeco, Inc.</w:t>
            </w:r>
          </w:p>
        </w:tc>
        <w:tc>
          <w:tcPr>
            <w:tcW w:w="4220" w:type="dxa"/>
            <w:vAlign w:val="bottom"/>
          </w:tcPr>
          <w:p>
            <w:pPr>
              <w:ind w:left="40"/>
              <w:spacing w:after="0"/>
              <w:rPr>
                <w:sz w:val="20"/>
                <w:szCs w:val="20"/>
                <w:color w:val="auto"/>
              </w:rPr>
            </w:pPr>
            <w:r>
              <w:rPr>
                <w:rFonts w:ascii="Arial" w:cs="Arial" w:eastAsia="Arial" w:hAnsi="Arial"/>
                <w:sz w:val="18"/>
                <w:szCs w:val="18"/>
                <w:color w:val="auto"/>
              </w:rPr>
              <w:t>Florida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CardioDyne,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Cathtec, Incorporated</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Caveangle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Confluent Surgical,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EndoSolutions,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Fiber Imaging Technologies,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GMS, Gesellschaft für medizinische Sondentechnik 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Financing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Services Switzerland Ltd.</w:t>
            </w:r>
          </w:p>
        </w:tc>
        <w:tc>
          <w:tcPr>
            <w:tcW w:w="422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Burlington MA, Inc. (formerly known as Integra Radionics,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Canada ULC (formerly known as Canada Microsurgical ULC)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CI, Inc.</w:t>
            </w:r>
          </w:p>
        </w:tc>
        <w:tc>
          <w:tcPr>
            <w:tcW w:w="4220" w:type="dxa"/>
            <w:vAlign w:val="bottom"/>
          </w:tcPr>
          <w:p>
            <w:pPr>
              <w:ind w:left="40"/>
              <w:spacing w:after="0"/>
              <w:rPr>
                <w:sz w:val="20"/>
                <w:szCs w:val="20"/>
                <w:color w:val="auto"/>
              </w:rPr>
            </w:pPr>
            <w:r>
              <w:rPr>
                <w:rFonts w:ascii="Arial" w:cs="Arial" w:eastAsia="Arial" w:hAnsi="Arial"/>
                <w:sz w:val="18"/>
                <w:szCs w:val="18"/>
                <w:color w:val="auto"/>
              </w:rPr>
              <w:t>Cayman Islands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Euro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France Holdings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German Holdings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Japan K.K.</w:t>
            </w:r>
          </w:p>
        </w:tc>
        <w:tc>
          <w:tcPr>
            <w:tcW w:w="422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(Canada)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Italy S.r.l.</w:t>
            </w:r>
          </w:p>
        </w:tc>
        <w:tc>
          <w:tcPr>
            <w:tcW w:w="422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 Sciences Ltda.</w:t>
            </w:r>
          </w:p>
        </w:tc>
        <w:tc>
          <w:tcPr>
            <w:tcW w:w="422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NR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LLC (f/k/a Integra Healthcare Products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Services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Shared Services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Singapore Pte. Ltd.</w:t>
            </w:r>
          </w:p>
        </w:tc>
        <w:tc>
          <w:tcPr>
            <w:tcW w:w="422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LS (Benelux) NV</w:t>
            </w:r>
          </w:p>
        </w:tc>
        <w:tc>
          <w:tcPr>
            <w:tcW w:w="4220" w:type="dxa"/>
            <w:vAlign w:val="bottom"/>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Luxtec,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ME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MicroFrance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(International),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Holdings (UK)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Holdings B.V.</w:t>
            </w:r>
          </w:p>
        </w:tc>
        <w:tc>
          <w:tcPr>
            <w:tcW w:w="4220" w:type="dxa"/>
            <w:vAlign w:val="bottom"/>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Implants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580"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Integra Neurosciences Pty Ltd. (AUS)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Pty Ltd. (NZ)</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Sales,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Selector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Integra (Shanghai) Distribution Consulting Co. Ltd.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Integra York PA, Inc. (formerly known as Miltex,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IsoTis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Jarit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LXU Healthcare, Inc. - Medical Specialty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Miltex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680" w:space="720"/>
            <w:col w:w="3779"/>
          </w:cols>
          <w:pgMar w:left="280" w:top="746" w:right="1440" w:bottom="1440" w:gutter="0" w:footer="0" w:header="0"/>
        </w:sectPr>
      </w:pPr>
    </w:p>
    <w:bookmarkStart w:id="119" w:name="page120"/>
    <w:bookmarkEnd w:id="119"/>
    <w:p>
      <w:pPr>
        <w:ind w:left="714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333-46024, 333-82233, 333-58235, 333-06577, 333-73512, 333-109042, 333-127488, 333-155263 and 333-170210) and Form S-3 (File No. 333-192079) of Integra LifeSciences Holdings Corporation and its subsidiaries of our report dated February 26, 2016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68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20"/>
        <w:spacing w:after="0"/>
        <w:tabs>
          <w:tab w:leader="none" w:pos="1040" w:val="left"/>
          <w:tab w:leader="none" w:pos="5940" w:val="left"/>
        </w:tabs>
        <w:rPr>
          <w:sz w:val="20"/>
          <w:szCs w:val="20"/>
          <w:color w:val="auto"/>
        </w:rPr>
      </w:pPr>
      <w:r>
        <w:rPr>
          <w:rFonts w:ascii="Arial" w:cs="Arial" w:eastAsia="Arial" w:hAnsi="Arial"/>
          <w:sz w:val="18"/>
          <w:szCs w:val="18"/>
          <w:color w:val="auto"/>
        </w:rPr>
        <w:t>Date:</w:t>
        <w:tab/>
        <w:t>February 26, 2016</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241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20"/>
        <w:spacing w:after="0"/>
        <w:tabs>
          <w:tab w:leader="none" w:pos="8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07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320"/>
        <w:spacing w:after="0"/>
        <w:tabs>
          <w:tab w:leader="none" w:pos="960" w:val="left"/>
          <w:tab w:leader="none" w:pos="5840" w:val="left"/>
        </w:tabs>
        <w:rPr>
          <w:sz w:val="20"/>
          <w:szCs w:val="20"/>
          <w:color w:val="auto"/>
        </w:rPr>
      </w:pPr>
      <w:r>
        <w:rPr>
          <w:rFonts w:ascii="Arial" w:cs="Arial" w:eastAsia="Arial" w:hAnsi="Arial"/>
          <w:sz w:val="18"/>
          <w:szCs w:val="18"/>
          <w:color w:val="auto"/>
        </w:rPr>
        <w:t>Date:</w:t>
        <w:tab/>
        <w:t>February 26, 2016</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361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120"/>
        <w:spacing w:after="0"/>
        <w:tabs>
          <w:tab w:leader="none" w:pos="7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360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7"/>
    </w:lvl>
  </w:abstractNum>
  <w:abstractNum w:abstractNumId="12">
    <w:nsid w:val="189A769B"/>
    <w:multiLevelType w:val="hybridMultilevel"/>
    <w:lvl w:ilvl="0">
      <w:lvlJc w:val="left"/>
      <w:lvlText w:val="%1"/>
      <w:numFmt w:val="decimal"/>
      <w:start w:val="1"/>
    </w:lvl>
    <w:lvl w:ilvl="1">
      <w:lvlJc w:val="left"/>
      <w:lvlText w:val="(%2)"/>
      <w:numFmt w:val="decimal"/>
      <w:start w:val="1"/>
    </w:lvl>
  </w:abstractNum>
  <w:abstractNum w:abstractNumId="13">
    <w:nsid w:val="54E49EB4"/>
    <w:multiLevelType w:val="hybridMultilevel"/>
    <w:lvl w:ilvl="0">
      <w:lvlJc w:val="left"/>
      <w:lvlText w:val="(%1)"/>
      <w:numFmt w:val="decimal"/>
      <w:start w:val="2"/>
    </w:lvl>
    <w:lvl w:ilvl="1">
      <w:lvlJc w:val="left"/>
      <w:lvlText w:val="%2"/>
      <w:numFmt w:val="decimal"/>
      <w:start w:val="1"/>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lowerRoman"/>
      <w:start w:val="1"/>
    </w:lvl>
  </w:abstractNum>
  <w:abstractNum w:abstractNumId="18">
    <w:nsid w:val="3A95F874"/>
    <w:multiLevelType w:val="hybridMultilevel"/>
    <w:lvl w:ilvl="0">
      <w:lvlJc w:val="left"/>
      <w:lvlText w:val="%1."/>
      <w:numFmt w:val="lowerRoman"/>
      <w:start w:val="1"/>
    </w:lvl>
    <w:lvl w:ilvl="1">
      <w:lvlJc w:val="left"/>
      <w:lvlText w:val="%2."/>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4"/>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1."/>
      <w:numFmt w:val="lowerRoman"/>
      <w:start w:val="1"/>
    </w:lvl>
  </w:abstractNum>
  <w:abstractNum w:abstractNumId="29">
    <w:nsid w:val="5577F8E1"/>
    <w:multiLevelType w:val="hybridMultilevel"/>
    <w:lvl w:ilvl="0">
      <w:lvlJc w:val="left"/>
      <w:lvlText w:val="%1."/>
      <w:numFmt w:val="lowerRoman"/>
      <w:start w:val="1"/>
    </w:lvl>
    <w:lvl w:ilvl="1">
      <w:lvlJc w:val="left"/>
      <w:lvlText w:val="%2."/>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2019-12-29T13:13:28Z</dcterms:created>
  <dcterms:modified xsi:type="dcterms:W3CDTF">2019-12-29T13:13:28Z</dcterms:modified>
</cp:coreProperties>
</file>