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28, 2011</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Integra LifeSciences Holdings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932"/>
              <w:spacing w:after="0"/>
              <w:rPr>
                <w:sz w:val="20"/>
                <w:szCs w:val="20"/>
                <w:color w:val="auto"/>
              </w:rPr>
            </w:pPr>
            <w:r>
              <w:rPr>
                <w:rFonts w:ascii="Arial" w:cs="Arial" w:eastAsia="Arial" w:hAnsi="Arial"/>
                <w:sz w:val="18"/>
                <w:szCs w:val="18"/>
                <w:color w:val="auto"/>
              </w:rPr>
              <w:t>000-26244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510317849</w:t>
            </w:r>
          </w:p>
        </w:tc>
      </w:tr>
      <w:tr>
        <w:trPr>
          <w:trHeight w:val="216"/>
        </w:trPr>
        <w:tc>
          <w:tcPr>
            <w:tcW w:w="3280" w:type="dxa"/>
            <w:vAlign w:val="bottom"/>
          </w:tcPr>
          <w:p>
            <w:pPr>
              <w:jc w:val="right"/>
              <w:ind w:right="65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80" w:type="dxa"/>
            <w:vAlign w:val="bottom"/>
          </w:tcPr>
          <w:p>
            <w:pPr>
              <w:jc w:val="center"/>
              <w:spacing w:after="0"/>
              <w:rPr>
                <w:sz w:val="20"/>
                <w:szCs w:val="20"/>
                <w:color w:val="auto"/>
              </w:rPr>
            </w:pPr>
            <w:r>
              <w:rPr>
                <w:rFonts w:ascii="Arial" w:cs="Arial" w:eastAsia="Arial" w:hAnsi="Arial"/>
                <w:sz w:val="18"/>
                <w:szCs w:val="18"/>
                <w:color w:val="auto"/>
                <w:w w:val="88"/>
              </w:rPr>
              <w:t>311 Enterprise Drive, Plainsboro, New Jersey</w:t>
            </w:r>
          </w:p>
        </w:tc>
        <w:tc>
          <w:tcPr>
            <w:tcW w:w="456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08536</w:t>
            </w:r>
          </w:p>
        </w:tc>
      </w:tr>
      <w:tr>
        <w:trPr>
          <w:trHeight w:val="216"/>
        </w:trPr>
        <w:tc>
          <w:tcPr>
            <w:tcW w:w="3280" w:type="dxa"/>
            <w:vAlign w:val="bottom"/>
          </w:tcPr>
          <w:p>
            <w:pPr>
              <w:jc w:val="right"/>
              <w:ind w:right="132"/>
              <w:spacing w:after="0"/>
              <w:rPr>
                <w:sz w:val="20"/>
                <w:szCs w:val="20"/>
                <w:color w:val="auto"/>
              </w:rPr>
            </w:pPr>
            <w:r>
              <w:rPr>
                <w:rFonts w:ascii="Arial" w:cs="Arial" w:eastAsia="Arial" w:hAnsi="Arial"/>
                <w:sz w:val="18"/>
                <w:szCs w:val="18"/>
                <w:color w:val="auto"/>
                <w:w w:val="92"/>
              </w:rPr>
              <w:t>_________________________________</w:t>
            </w:r>
          </w:p>
        </w:tc>
        <w:tc>
          <w:tcPr>
            <w:tcW w:w="456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40" w:type="dxa"/>
            <w:vAlign w:val="bottom"/>
            <w:gridSpan w:val="2"/>
          </w:tcPr>
          <w:p>
            <w:pPr>
              <w:ind w:left="8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609-275-0500</w:t>
            </w:r>
          </w:p>
        </w:tc>
      </w:tr>
      <w:tr>
        <w:trPr>
          <w:trHeight w:val="426"/>
        </w:trPr>
        <w:tc>
          <w:tcPr>
            <w:tcW w:w="3280" w:type="dxa"/>
            <w:vAlign w:val="bottom"/>
          </w:tcPr>
          <w:p>
            <w:pPr>
              <w:spacing w:after="0"/>
              <w:rPr>
                <w:sz w:val="24"/>
                <w:szCs w:val="24"/>
                <w:color w:val="auto"/>
              </w:rPr>
            </w:pPr>
          </w:p>
        </w:tc>
        <w:tc>
          <w:tcPr>
            <w:tcW w:w="4560" w:type="dxa"/>
            <w:vAlign w:val="bottom"/>
          </w:tcPr>
          <w:p>
            <w:pPr>
              <w:ind w:left="160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April 28, 2011, Integra LifeSciences Holdings Corporation (the "Company") issued a press release announcing financial results for the quarter ended March 31, 2011 (the "Press Release"). A copy of the Press Release is attached as Exhibit 99.1 to this Current Report on Form 8-K and is incorporated by reference into this Item. In the financial statements portion of the Press Release, the Company has included a reconciliation of GAAP revenues to adjusted revenues for the quarter ended March 31, 2011, and GAAP net income to adjusted earnings before interest, taxes, depreciation and amortization ("EBITDA") and adjusted EBITDA excluding stock-based compensation, GAAP net income to adjusted net income, and GAAP earnings per diluted share to adjusted earnings per diluted share used by management for the quarters ended March 31, 2011 and 2010, as well as GAAP net income to adjusted net income and GAAP earnings per diluted share to adjusted earnings per diluted share used by management for guidance for the year ending December 31, 2011.</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Adjusted Financial Measures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our GAAP results, we provide adjusted revenues, adjusted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certain employee termination and related charges; (iii) intangible asset impairment charges; (iv) charges associated with discontinued or withdrawn product lines; (v) systems implementation charges; (vi) facility consolidation, manufacturing and distribution transfer charges; (vii) charges relating to restructuring our European entities; (viii) expenses relating to our Chief Operating Officer joining the Company; (ix) non-cash amortization of imputed interest for convertible debt; (x) intangible asset amortization expense; and (xi) income tax expense related to the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March 31, 2011 and GAAP net income to adjusted EBITDA, adjusted EBITDA excluding stock-based compensation and adjusted net income, and GAAP earnings per diluted share to adjusted earnings per diluted share for the quarters ended March 31, 2011 and 2010 appear in the financial tables in the Press Release.</w:t>
      </w:r>
    </w:p>
    <w:p>
      <w:pPr>
        <w:spacing w:after="0" w:line="18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Management uses non-GAAP financial measures in the form of adjusted revenues, adjusted EBITDA, adjusted EBITDA excluding stock-based compensation, adjusted net income and adjusted earnings per diluted share when evaluating operating performance because we believe that the inclusion or exclusion of the items described below, for which the amounts and/or timing may vary significantly depending upon the Company’s acquisition, integration, and restructuring activities, for which the amounts are non-cash in nature, provides a supplemental measure of our operating results that facilitates comparability of our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revenues, adjusted EBITDA, adjusted EBITDA excluding stock-based compensation, adjusted net income and adjusted earnings per diluted share are significant measures used by management for purposes of:</w:t>
      </w:r>
    </w:p>
    <w:p>
      <w:pPr>
        <w:spacing w:after="0" w:line="18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comparability from period to period;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measure of adjusted revenues that we report reflects the growth in total revenues for the quarter ended March 31, 2011 adjusted for the effects of currency exchange rates on current period revenues. We provide this measure because changes in foreign currency exchange rates can distort our revenue growth favorably or unfavorably, depending upon the strength of the U.S. dollar in relation to the various foreign currencies in which we generate revenues. We generate significant revenues outside the United States in multiple foreign currencies including euros, British pounds, Swiss francs and Australian and Canadian dollars. We believe this measure provides useful information to determine the success of our international selling organizations in increasing sales of products in their local currencies without regard to fluctuations in currency exchanges rates, for which we have no control over.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25" w:lineRule="exact"/>
        <w:rPr>
          <w:sz w:val="20"/>
          <w:szCs w:val="20"/>
          <w:color w:val="auto"/>
        </w:rPr>
      </w:pPr>
    </w:p>
    <w:p>
      <w:pPr>
        <w:ind w:firstLine="8"/>
        <w:spacing w:after="0" w:line="287" w:lineRule="auto"/>
        <w:tabs>
          <w:tab w:leader="none" w:pos="10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Acquisition-related charges. Acquisition-related charges include up-front fees and milestone payments that are expensed as incurred in connection with acquiring licenses or rights to technology for which no product has been approved for sale by regulatory authorities and such approval is not reasonably assured at the time such up-front fees or milestone payments are made, and in-process research and development charges when accounting rules require them to be expensed, inventory fair value purchase accounting adjustments, impairments to existing intangible assets in connection with a subsequent acquisition, and legal, accounting and other outside consultants expenses directly related to acquisitions. Inventory fair value purchase accounting adjustments consist of the increase to cost of goods sold that occur as a result of expensing the "step up" in the fair value of inventory that we purchased in connection with acquisitions as that inventory is sold during the financial period. Although recurring given the ongoing character of our development and acquisition programs, these acquisition and in-licensing related charges are not factored into the evaluation of our performance by management after completion of development programs or acquisitions because they are of a temporary nature, they are not related to our core operating performance and the frequency and amount of such charges vary significantly based on the timing and magnitude of our development and acquisition transactions as well as the level of inventory on hand at the time of acquisition.</w:t>
      </w:r>
    </w:p>
    <w:p>
      <w:pPr>
        <w:sectPr>
          <w:pgSz w:w="11900" w:h="16838" w:orient="portrait"/>
          <w:cols w:equalWidth="0" w:num="1">
            <w:col w:w="11420"/>
          </w:cols>
          <w:pgMar w:left="240" w:top="125" w:right="239" w:bottom="0" w:gutter="0" w:footer="0" w:header="0"/>
        </w:sectPr>
      </w:pPr>
    </w:p>
    <w:bookmarkStart w:id="2" w:name="page3"/>
    <w:bookmarkEnd w:id="2"/>
    <w:p>
      <w:pPr>
        <w:ind w:right="160" w:firstLine="8"/>
        <w:spacing w:after="0" w:line="256"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employee termination and related charges. Certain employee termination and related charges consist of charges related to certain significant reductions in force that are not initiated in connection with facility consolidations or manufacturing transfers and senior management level terminations. Management excludes these items when evaluating the Company’s operating performance because these amounts do not affect our core operations and because of the infrequent and/or large scale nature of these activities.</w:t>
      </w:r>
    </w:p>
    <w:p>
      <w:pPr>
        <w:spacing w:after="0" w:line="197" w:lineRule="exact"/>
        <w:rPr>
          <w:rFonts w:ascii="Arial" w:cs="Arial" w:eastAsia="Arial" w:hAnsi="Arial"/>
          <w:sz w:val="18"/>
          <w:szCs w:val="18"/>
          <w:color w:val="auto"/>
        </w:rPr>
      </w:pPr>
    </w:p>
    <w:p>
      <w:pPr>
        <w:ind w:right="60"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Intangible asset impairment charges. This represents impairment charges recorded against various intangible assets, including completed or core technology, customer relationships, and tradenames. Such impairments result primarily from management decisions to discontinue or significantly reduce promoting certain product lines or tradenames, the inability to incorporate existing product technologies into product development programs, and other circumstances. Management excludes this item when evaluating the Company’s operating performance because of the infrequent and non-cash nature of this activity.</w:t>
      </w:r>
    </w:p>
    <w:p>
      <w:pPr>
        <w:spacing w:after="0" w:line="166" w:lineRule="exact"/>
        <w:rPr>
          <w:rFonts w:ascii="Arial" w:cs="Arial" w:eastAsia="Arial" w:hAnsi="Arial"/>
          <w:sz w:val="16"/>
          <w:szCs w:val="16"/>
          <w:color w:val="auto"/>
        </w:rPr>
      </w:pPr>
    </w:p>
    <w:p>
      <w:pPr>
        <w:ind w:right="20" w:firstLine="8"/>
        <w:spacing w:after="0" w:line="306"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associated with discontinued or withdrawn product lines. These charges represent charges taken and reductions in revenue recorded in connection with product lines that the Company discontinues or withdraws. Management excludes this item when evaluating the Company’s operating performance because of the infrequent nature of this activity or because many such product discontinuations are related to recent acquisitions.</w:t>
      </w:r>
    </w:p>
    <w:p>
      <w:pPr>
        <w:spacing w:after="0" w:line="160" w:lineRule="exact"/>
        <w:rPr>
          <w:rFonts w:ascii="Arial" w:cs="Arial" w:eastAsia="Arial" w:hAnsi="Arial"/>
          <w:sz w:val="16"/>
          <w:szCs w:val="16"/>
          <w:color w:val="auto"/>
        </w:rPr>
      </w:pPr>
    </w:p>
    <w:p>
      <w:pPr>
        <w:ind w:right="40" w:firstLine="8"/>
        <w:spacing w:after="0" w:line="290"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Systems implementation charges. Systems implementation charges consist of the non-capitalizable portion of internal labor and outside consulting costs related to the implementation of a global enterprise resource planning system. We have inherited many diverse business processes and different information systems through our numerous acquisitions. Accordingly, we are undertaking this initiative in order to standardize business processes globally and to better integrate all of our existing and acquired operations using one information system. Although recurring in nature given the expected timeframe to complete the implementation for our existing operations and our expectation to continue to acquire new businesses and operations, management excludes these charges when evaluating the operating performance of the Company because the frequency and amount of such charges vary significantly based on the timing and magnitude of the Company’s implementation activities.</w:t>
      </w:r>
    </w:p>
    <w:p>
      <w:pPr>
        <w:spacing w:after="0" w:line="172" w:lineRule="exact"/>
        <w:rPr>
          <w:rFonts w:ascii="Arial" w:cs="Arial" w:eastAsia="Arial" w:hAnsi="Arial"/>
          <w:sz w:val="16"/>
          <w:szCs w:val="16"/>
          <w:color w:val="auto"/>
        </w:rPr>
      </w:pPr>
    </w:p>
    <w:p>
      <w:pPr>
        <w:ind w:firstLine="8"/>
        <w:spacing w:after="0" w:line="289"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Facility consolidation, manufacturing and distribution transfer charges. These charges, which include employee termination and other costs associated with exit or disposal activities, costs related to transferring manufacturing and/or distribution activities to different locations, and costs associated with the worldwide implementation of a single enterprise resource planning system, result from rationalizing and enhancing our existing manufacturing, distribution and administrative infrastructure. Many of these cost-saving and efficiency-driven activities are identified as opportunities in connection with acquisitions that provide the Company with additional capacity or economies of scale. Although recurring in nature given management’s ongoing review of the efficiency of our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jc w:val="both"/>
        <w:ind w:right="20"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related to restructuring our European entities. These amounts represent charges recorded in operating or non-operating expenses such as levies and fees paid to government authorities, legal, tax, accounting and consulting fees, and foreign currency gains and losses related to intercompany loan agreements incurred directly as a result of reorganizing our European entities and transfers of business assets between these legal entities. Management excludes this item when evaluating the Company’s operating performance because of the infrequent nature of this activity.</w:t>
      </w:r>
    </w:p>
    <w:p>
      <w:pPr>
        <w:spacing w:after="0" w:line="166" w:lineRule="exact"/>
        <w:rPr>
          <w:rFonts w:ascii="Arial" w:cs="Arial" w:eastAsia="Arial" w:hAnsi="Arial"/>
          <w:sz w:val="16"/>
          <w:szCs w:val="16"/>
          <w:color w:val="auto"/>
        </w:rPr>
      </w:pPr>
    </w:p>
    <w:p>
      <w:pPr>
        <w:ind w:right="400" w:firstLine="8"/>
        <w:spacing w:after="0" w:line="370"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Charges related to our Chief Operating Officer joining the Company. These amounts represent expenses incurred in connection with the hiring of our Chief Operating Officer. Management excludes this item when evaluating the Company‘s operating performance because of the infrequent nature of this activity.</w:t>
      </w:r>
    </w:p>
    <w:p>
      <w:pPr>
        <w:spacing w:after="0" w:line="116" w:lineRule="exact"/>
        <w:rPr>
          <w:rFonts w:ascii="Arial" w:cs="Arial" w:eastAsia="Arial" w:hAnsi="Arial"/>
          <w:sz w:val="15"/>
          <w:szCs w:val="15"/>
          <w:color w:val="auto"/>
        </w:rPr>
      </w:pPr>
    </w:p>
    <w:p>
      <w:pPr>
        <w:ind w:right="60" w:firstLine="8"/>
        <w:spacing w:after="0" w:line="255"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amortization of imputed interest for convertible debt. The convertible debt accounting requires separate accounting for the liability and equity components of the Company’s convertible debt instruments, which may be settled in cash upon conversion, in a manner that reflects an applicable nonconvertible debt borrowing rate at the time that we issued such convertible debt instruments. Management excludes this item when evaluating the Company’s operating performance because of the non-cash nature of this activity and because it resulted from a change in accounting principles that were not applicable at the time such convertible notes were issued.</w:t>
      </w:r>
    </w:p>
    <w:p>
      <w:pPr>
        <w:spacing w:after="0" w:line="196"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Intangible asset amortization expense. Management excludes this item when evaluating the Company’s operating performance because it is a non-cash expense.</w:t>
      </w:r>
    </w:p>
    <w:p>
      <w:pPr>
        <w:spacing w:after="0" w:line="259" w:lineRule="exact"/>
        <w:rPr>
          <w:rFonts w:ascii="Arial" w:cs="Arial" w:eastAsia="Arial" w:hAnsi="Arial"/>
          <w:sz w:val="15"/>
          <w:szCs w:val="15"/>
          <w:color w:val="auto"/>
        </w:rPr>
      </w:pPr>
    </w:p>
    <w:p>
      <w:pPr>
        <w:ind w:right="380"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related to (i) the above adjustments and (ii) quarterly adjustments to income tax expense related to the cumulative impact of changes in estimated tax rates and certain infrequently occurring items that affected the reported tax rate.</w:t>
      </w:r>
    </w:p>
    <w:p>
      <w:pPr>
        <w:spacing w:after="0" w:line="186" w:lineRule="exact"/>
        <w:rPr>
          <w:sz w:val="20"/>
          <w:szCs w:val="20"/>
          <w:color w:val="auto"/>
        </w:rPr>
      </w:pPr>
    </w:p>
    <w:p>
      <w:pPr>
        <w:ind w:right="20" w:firstLine="8"/>
        <w:spacing w:after="0" w:line="332"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Income tax expense is adjusted by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139" w:lineRule="exact"/>
        <w:rPr>
          <w:rFonts w:ascii="Arial" w:cs="Arial" w:eastAsia="Arial" w:hAnsi="Arial"/>
          <w:sz w:val="16"/>
          <w:szCs w:val="16"/>
          <w:color w:val="auto"/>
        </w:rPr>
      </w:pPr>
    </w:p>
    <w:p>
      <w:pPr>
        <w:ind w:right="140" w:firstLine="8"/>
        <w:spacing w:after="0" w:line="254"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expense in the current quarter is adjusted by the cumulative impacts in that quarter of changes in income tax rates (statutory and estimated effective tax rates) and certain other infrequently occurring items (such as penalties, interest, and settlements with government tax authorities) that relate to prior periods. Management excludes these items when evaluating the Company’s current quarter operating performance because the cumulative impact in the current quarter of these items applies to prior periods and thus distorts the Company’s adjusted income tax rate in the current quarter. The year-to-date adjusted net income and adjusted diluted earnings per share measures are not adjusted by these items, as the cumulative impacts are properly reflected in the year-to-date adjusted results.</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Adjusted revenues, adjusted EBITDA, adjusted EBITDA excluding stock-based compensation, adjusted net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172" w:lineRule="exact"/>
        <w:rPr>
          <w:sz w:val="20"/>
          <w:szCs w:val="20"/>
          <w:color w:val="auto"/>
        </w:rPr>
      </w:pPr>
    </w:p>
    <w:p>
      <w:pPr>
        <w:ind w:right="20"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194" w:lineRule="exact"/>
        <w:rPr>
          <w:rFonts w:ascii="Arial" w:cs="Arial" w:eastAsia="Arial" w:hAnsi="Arial"/>
          <w:sz w:val="18"/>
          <w:szCs w:val="18"/>
          <w:color w:val="auto"/>
        </w:rPr>
      </w:pPr>
    </w:p>
    <w:p>
      <w:pPr>
        <w:ind w:right="100" w:firstLine="8"/>
        <w:spacing w:after="0" w:line="259"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initiated a long term effort to implement a global enterprise resource planning system, and we expect to continue to incur significant systems implementation charges until that effort is completed. These costs can directly impact the amount of the Company’s available funds and reduce GAAP net income.</w:t>
      </w:r>
    </w:p>
    <w:p>
      <w:pPr>
        <w:sectPr>
          <w:pgSz w:w="11900" w:h="16838" w:orient="portrait"/>
          <w:cols w:equalWidth="0" w:num="1">
            <w:col w:w="11420"/>
          </w:cols>
          <w:pgMar w:left="240" w:top="131" w:right="239" w:bottom="0" w:gutter="0" w:footer="0" w:header="0"/>
        </w:sectPr>
      </w:pPr>
    </w:p>
    <w:bookmarkStart w:id="3" w:name="page4"/>
    <w:bookmarkEnd w:id="3"/>
    <w:p>
      <w:pPr>
        <w:jc w:val="both"/>
        <w:ind w:right="260" w:firstLine="8"/>
        <w:spacing w:after="0" w:line="259" w:lineRule="auto"/>
        <w:tabs>
          <w:tab w:leader="none" w:pos="1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financial tables portion of the Press Release, the Company has included a reconciliation of GAAP reported revenues to adjusted revenues for the quarter ended March 31, 2011 and GAAP net income to adjusted EBITDA and adjusted EBITDA excluding stock-based compensation, GAAP net income to adjusted net income, and GAAP earnings per diluted share to adjusted earnings per diluted share used by management for the quarters ended March 31, 2011 and 2010. Also included are reconciliations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99.1, and incorporated into this Item 7.01 by reference, is the Press Release issued on April 28, 2011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Press release with attachments, dated April 28, 2011, issued by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Integra LifeSciences Holdings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28, 2011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B. Henneman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Vice President, Finance &amp; Administration, and Chief</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86"/>
              </w:rPr>
              <w:t>Press release with attachments, dated April 28, 2011, issued by Integra</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LifeSciences Holdings Corporation</w:t>
            </w:r>
          </w:p>
        </w:tc>
      </w:tr>
    </w:tbl>
    <w:p>
      <w:pPr>
        <w:sectPr>
          <w:pgSz w:w="11900" w:h="16838" w:orient="portrait"/>
          <w:cols w:equalWidth="0" w:num="1">
            <w:col w:w="10219"/>
          </w:cols>
          <w:pgMar w:left="240" w:top="125"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i w:val="1"/>
          <w:iCs w:val="1"/>
          <w:color w:val="auto"/>
        </w:rPr>
        <w:t>News Release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Contacts:</w:t>
            </w:r>
          </w:p>
        </w:tc>
        <w:tc>
          <w:tcPr>
            <w:tcW w:w="56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527"/>
        </w:trPr>
        <w:tc>
          <w:tcPr>
            <w:tcW w:w="5500" w:type="dxa"/>
            <w:vAlign w:val="bottom"/>
            <w:gridSpan w:val="2"/>
          </w:tcPr>
          <w:p>
            <w:pPr>
              <w:spacing w:after="0"/>
              <w:rPr>
                <w:sz w:val="20"/>
                <w:szCs w:val="20"/>
                <w:color w:val="auto"/>
              </w:rPr>
            </w:pPr>
            <w:r>
              <w:rPr>
                <w:rFonts w:ascii="Arial" w:cs="Arial" w:eastAsia="Arial" w:hAnsi="Arial"/>
                <w:sz w:val="20"/>
                <w:szCs w:val="20"/>
                <w:color w:val="auto"/>
              </w:rPr>
              <w:t>Integra LifeSciences Holdings Corporation</w:t>
            </w: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627"/>
        </w:trPr>
        <w:tc>
          <w:tcPr>
            <w:tcW w:w="3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John B. Henneman, III</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Investor Relations:</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Executive Vice President,</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 Steinway</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Finance and Administration,</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and Chief Financial Officer</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5500" w:type="dxa"/>
            <w:vAlign w:val="bottom"/>
            <w:gridSpan w:val="2"/>
          </w:tcPr>
          <w:p>
            <w:pPr>
              <w:ind w:left="300"/>
              <w:spacing w:after="0"/>
              <w:rPr>
                <w:sz w:val="20"/>
                <w:szCs w:val="20"/>
                <w:color w:val="auto"/>
              </w:rPr>
            </w:pPr>
            <w:r>
              <w:rPr>
                <w:rFonts w:ascii="Arial" w:cs="Arial" w:eastAsia="Arial" w:hAnsi="Arial"/>
                <w:sz w:val="20"/>
                <w:szCs w:val="20"/>
                <w:color w:val="auto"/>
              </w:rPr>
              <w:t>(609) 275-0500</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(609) 936-2268</w:t>
            </w:r>
          </w:p>
        </w:tc>
      </w:tr>
      <w:tr>
        <w:trPr>
          <w:trHeight w:val="246"/>
        </w:trPr>
        <w:tc>
          <w:tcPr>
            <w:tcW w:w="3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jack.henneman@integralife.com</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angela.steinway@integralife.com</w:t>
            </w:r>
          </w:p>
        </w:tc>
      </w:tr>
      <w:tr>
        <w:trPr>
          <w:trHeight w:val="20"/>
        </w:trPr>
        <w:tc>
          <w:tcPr>
            <w:tcW w:w="30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5"/>
          <w:szCs w:val="25"/>
          <w:i w:val="1"/>
          <w:iCs w:val="1"/>
          <w:color w:val="auto"/>
        </w:rPr>
        <w:t>Integra LifeSciences Reports First Quarter 2011 Financial Results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3"/>
          <w:szCs w:val="23"/>
          <w:i w:val="1"/>
          <w:iCs w:val="1"/>
          <w:color w:val="auto"/>
        </w:rPr>
        <w:t>Revenues for the first quarter increased to $181 million</w:t>
      </w:r>
    </w:p>
    <w:p>
      <w:pPr>
        <w:spacing w:after="0" w:line="258"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Plainsboro, New Jersey, April 28, 2011 – Integra LifeSciences Holdings Corporation (NASDAQ: IART) today reported its financial results for the first quarter ending March 31, 2011. Total revenues for the first quarter were $181.0 million, reflecting an increase of $8.3 million, or 5%, over the first quarter of 2010. Excluding the impact of currency exchange rates, revenues increased 4.4% over the first quarter of 2010. We present revenues by product category in a table at the end of this press release.</w:t>
      </w:r>
    </w:p>
    <w:p>
      <w:pPr>
        <w:spacing w:after="0" w:line="204"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“In the first quarter, we achieved another period of solid results in a challenging environment. We expect that our growth-driving investments will propel our business forward, including faster revenue growth in the second half of 2011,” said Stuart Essig, Integra’s Chief Executive Officer.</w:t>
      </w:r>
    </w:p>
    <w:p>
      <w:pPr>
        <w:spacing w:after="0" w:line="15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The Company reported GAAP net income of $11.5 million, or $0.38 per diluted share, for the first quarter of 2011, compared to GAAP net income of $15.2 million, or $0.50 per diluted share, for the first quarter of 2010.</w:t>
      </w:r>
    </w:p>
    <w:p>
      <w:pPr>
        <w:spacing w:after="0" w:line="163"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Adjusted net income for the first quarter of 2011, computed with the adjustments to GAAP reporting set forth in the attached reconciliation, was $20.0 million, or $0.66 per diluted share, compared to $19.0 million, or $0.63 per diluted share, in the first quarter of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Integra generated $21.3 million in cash flows from operations and used $5.9 million of cash on capital expenditures in the first quarter of 2011.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During the quarter, Integra used $40 million of cash to pay down its revolving line of credit.</w:t>
      </w:r>
    </w:p>
    <w:p>
      <w:pPr>
        <w:spacing w:after="0" w:line="17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Adjusted EBITDA for the first quarter of 2011, computed with the adjustments to GAAP reporting set forth in the attached reconciliation, was $36.6 million, an increase of 8% compared to the first quarter last year.</w:t>
      </w:r>
    </w:p>
    <w:p>
      <w:pPr>
        <w:spacing w:after="0" w:line="163"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Adjusted EBITDA excluding stock-based compensation for the first quarter of 2011, computed with the adjustments to GAAP reporting set forth in the attached reconciliation, was $40.7 million, also an increase of 8% compared to the first quarter last year.</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Outlook for 2011</w:t>
      </w:r>
    </w:p>
    <w:p>
      <w:pPr>
        <w:spacing w:after="0" w:line="189" w:lineRule="exact"/>
        <w:rPr>
          <w:sz w:val="20"/>
          <w:szCs w:val="20"/>
          <w:color w:val="auto"/>
        </w:rPr>
      </w:pPr>
    </w:p>
    <w:p>
      <w:pPr>
        <w:ind w:right="360"/>
        <w:spacing w:after="0" w:line="263" w:lineRule="auto"/>
        <w:rPr>
          <w:sz w:val="20"/>
          <w:szCs w:val="20"/>
          <w:color w:val="auto"/>
        </w:rPr>
      </w:pPr>
      <w:r>
        <w:rPr>
          <w:rFonts w:ascii="Arial" w:cs="Arial" w:eastAsia="Arial" w:hAnsi="Arial"/>
          <w:sz w:val="19"/>
          <w:szCs w:val="19"/>
          <w:color w:val="auto"/>
        </w:rPr>
        <w:t>The Company is reiterating its revenue and earnings per share guidance for the full year 2011. The Company anticipates revenues between $765 million and $780 million. The Company is guiding to GAAP earnings per diluted share of between $1.97 and $2.12 and to adjusted earnings per diluted share of between $2.87 and $3.02. In accordance with our usual practice, expectations for financial performance do not include the impact of acquisitions or other strategic corporate transactions that have not yet closed.</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the future, the Company may record, or expects to record, certain additional revenues, gains, expenses or charges as described in the Discussion of Adjusted Financial measures below that it will exclude in the calculation of adjusted EBITDA and adjusted earnings per share for historical periods and in providing adjusted earnings per share guidance.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Conference Call</w:t>
      </w:r>
    </w:p>
    <w:p>
      <w:pPr>
        <w:spacing w:after="0" w:line="189"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Integra has scheduled a conference call for 8:30 AM ET on Thursday, April 28, 2011 to discuss financial results for the first quarter and forward-looking financial guidance. The conference call will be hosted by Integra’s senior management team and will be open to all listeners. Additional forward-looking information may be discussed in a question and answer session following the call.</w:t>
      </w:r>
    </w:p>
    <w:p>
      <w:pPr>
        <w:spacing w:after="0" w:line="157"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Access to the live call is available by dialing 719-325-2138 and using the passcode 8305582. The call can also be accessed through a webcast via a link provided on the Investor Relations homepage of Integra’s website at www.integralife.com. Access to the replay is available through May 12, 2011 by dialing 719-457-0820 and using the passcode 8305582. The webcast will also be archived on the website.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Integra LifeSciences, a world leader in medical devices, is dedicated to limiting uncertainty for surgeons, so they can concentrate on providing the best patient care. Integra offers innovative solutions in orthopedics, neurosurgery, spine, reconstructive and general surgery. For more information, please visit www.integralife.com.</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This news release contains forward-looking statements within the meaning of the Private Securities Litigation Reform Act of 1995 that involve risks, uncertainties and reflect the Company’s judgment as of the date of this release. Forward-looking statements include, but are not limited to, statements concerning future financial performance, including projections for revenues, GAAP and adjusted net income, GAAP and</w:t>
      </w:r>
    </w:p>
    <w:p>
      <w:pPr>
        <w:sectPr>
          <w:pgSz w:w="11900" w:h="16838" w:orient="portrait"/>
          <w:cols w:equalWidth="0" w:num="1">
            <w:col w:w="11420"/>
          </w:cols>
          <w:pgMar w:left="240" w:top="115" w:right="239" w:bottom="0" w:gutter="0" w:footer="0" w:header="0"/>
        </w:sectPr>
      </w:pPr>
    </w:p>
    <w:bookmarkStart w:id="7" w:name="page8"/>
    <w:bookmarkEnd w:id="7"/>
    <w:p>
      <w:pPr>
        <w:spacing w:after="0" w:line="269" w:lineRule="auto"/>
        <w:rPr>
          <w:sz w:val="20"/>
          <w:szCs w:val="20"/>
          <w:color w:val="auto"/>
        </w:rPr>
      </w:pPr>
      <w:r>
        <w:rPr>
          <w:rFonts w:ascii="Arial" w:cs="Arial" w:eastAsia="Arial" w:hAnsi="Arial"/>
          <w:sz w:val="18"/>
          <w:szCs w:val="18"/>
          <w:color w:val="auto"/>
        </w:rPr>
        <w:t>adjusted earnings per diluted share, non-GAAP adjustments such as system implementations charges, acquisition-related charges, non-cash amortization of imputed interest for convertible debt, intangible asset amortization, and income tax expense (benefit) related to non-GAAP adjustments. Such forward-looking statements involve risks and uncertainties that could cause actual results to differ materially from predicted or expected results. Such risks and uncertainties include, but are not limited to: the Company’s ability to maintain relationships with customers of acquired entities; physicians’ willingness to adopt and third-party payors’ willingness to provide reimbursement for the Company’s recently launched and planned products; the Company’s ability to manufacture sufficient quantities of its products to meet its customers’ demand; initiatives launched by the Company’s competitors; the Company’s ability to secure regulatory approval for products in development; fluctuations in hospital spending for capital equipment; the Company’s ability to comply with and obtain approvals for products of human origin and comply with recently enacted regulations regarding products containing materials derived from animal sources; difficulties in controlling expenses, including costs to procure and manufacture our products; the impact of changes in management or staff levels; the Company’s ability to integrate acquired businesses; the Company’s ability to leverage its existing selling organizations and administrative infrastructure; the Company’s ability to increase product sales and gross margins, and control non-product costs; the amount and timing of acquisition and integration related costs; the geographic distribution of where the Company generates its taxable income; the effect of legislation effecting healthcare reform in the United States; fluctuations in foreign currency exchange rates; the amount of our convertible notes and bank borrowings outstanding, and the economic, competitive, governmental, technological and other risk factors and uncertainties identified under the heading “Risk Factors” included in Item 1A of Integra’s Annual Report on Form 10-K for the year ended December 31, 2010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Discussion of Adjusted Financial Measures</w:t>
      </w:r>
    </w:p>
    <w:p>
      <w:pPr>
        <w:spacing w:after="0" w:line="189"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In addition to our GAAP results, we provide adjusted revenues, adjusted earnings before interest, taxes, depreciation and amortization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w:t>
      </w:r>
    </w:p>
    <w:p>
      <w:pPr>
        <w:spacing w:after="0" w:line="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income and expense, (iv) income taxes, (v) those operating expenses also excluded from adjusted net income and, as appropriate</w:t>
      </w:r>
    </w:p>
    <w:p>
      <w:pPr>
        <w:spacing w:after="0" w:line="22" w:lineRule="exact"/>
        <w:rPr>
          <w:rFonts w:ascii="Arial" w:cs="Arial" w:eastAsia="Arial" w:hAnsi="Arial"/>
          <w:sz w:val="18"/>
          <w:szCs w:val="18"/>
          <w:color w:val="auto"/>
        </w:rPr>
      </w:pPr>
    </w:p>
    <w:p>
      <w:pPr>
        <w:ind w:firstLine="8"/>
        <w:spacing w:after="0" w:line="26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expense. The measure of adjusted net income consists of GAAP net income, excluding: (i) acquisition-related charges; (ii) certain employee termination and related charges; (iii) intangible asset impairment charges; (iv) charges associated with discontinued or withdrawn product lines; (v) systems implementation charges; (vi) facility consolidation, manufacturing and distribution transfer charges; (vii) charges related to restructuring European entities; (viii) expenses related to our Chief Operating Officer joining the Company; (ix) non-cash amortization of imputed interest for convertible debt; (x) intangible asset amortization expense; and (xi) income tax expense related to above adjustments, quarterly adjustments to income tax expense related to the cumulative impact of changes in estimated tax rates and certain infrequently occurring items that affected the reported tax rate. The adjusted earnings per diluted share measure is calculated by dividing adjusted net income attributable to diluted shares by diluted weighted average shares outstanding. Reconciliations of GAAP revenues to adjusted revenues for the quarter ended March 31, 2011 and GAAP net income to adjusted EBITDA, adjusted EBITDA excluding stock-based compensation and adjusted net income, and GAAP earnings per diluted share to adjusted earnings per diluted share for the quarters ended March 31, 2011 and 2010 appear in the financial tables in this release.</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Integra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or on our website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www.integralife.com</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March 31,</w:t>
            </w: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60" w:type="dxa"/>
            <w:vAlign w:val="bottom"/>
            <w:vMerge w:val="continue"/>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w w:val="86"/>
              </w:rPr>
              <w:t>181,041</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6"/>
              </w:rPr>
              <w:t>172,698</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64,921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63,224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11,301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80,084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72,511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Intangible asset amortization</w:t>
            </w:r>
          </w:p>
        </w:tc>
        <w:tc>
          <w:tcPr>
            <w:tcW w:w="5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560"/>
              <w:spacing w:after="0"/>
              <w:rPr>
                <w:sz w:val="20"/>
                <w:szCs w:val="20"/>
                <w:color w:val="auto"/>
              </w:rPr>
            </w:pPr>
            <w:r>
              <w:rPr>
                <w:rFonts w:ascii="Arial" w:cs="Arial" w:eastAsia="Arial" w:hAnsi="Arial"/>
                <w:sz w:val="18"/>
                <w:szCs w:val="18"/>
                <w:color w:val="auto"/>
              </w:rPr>
              <w:t>Total costs and expenses</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160,169</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150,055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20,872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22,643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(5,469)</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1,146</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30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15,222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Diluted net income per share *</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Arial" w:cs="Arial" w:eastAsia="Arial" w:hAnsi="Arial"/>
          <w:sz w:val="18"/>
          <w:szCs w:val="18"/>
          <w:color w:val="auto"/>
        </w:rPr>
        <w:t>Weighted average common shares</w:t>
      </w:r>
    </w:p>
    <w:p>
      <w:pPr>
        <w:sectPr>
          <w:pgSz w:w="11900" w:h="16838" w:orient="portrait"/>
          <w:cols w:equalWidth="0" w:num="1">
            <w:col w:w="11380"/>
          </w:cols>
          <w:pgMar w:left="240" w:top="121" w:right="279" w:bottom="0" w:gutter="0" w:footer="0" w:header="0"/>
        </w:sectPr>
      </w:pPr>
    </w:p>
    <w:bookmarkStart w:id="8" w:name="page9"/>
    <w:bookmarkEnd w:id="8"/>
    <w:tbl>
      <w:tblPr>
        <w:tblLayout w:type="fixed"/>
        <w:tblInd w:w="44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outstanding for diluted net</w:t>
            </w:r>
          </w:p>
        </w:tc>
        <w:tc>
          <w:tcPr>
            <w:tcW w:w="4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per share</w:t>
            </w:r>
          </w:p>
        </w:tc>
        <w:tc>
          <w:tcPr>
            <w:tcW w:w="4100" w:type="dxa"/>
            <w:vAlign w:val="bottom"/>
          </w:tcPr>
          <w:p>
            <w:pPr>
              <w:jc w:val="right"/>
              <w:ind w:right="770"/>
              <w:spacing w:after="0"/>
              <w:rPr>
                <w:sz w:val="20"/>
                <w:szCs w:val="20"/>
                <w:color w:val="auto"/>
              </w:rPr>
            </w:pPr>
            <w:r>
              <w:rPr>
                <w:rFonts w:ascii="Arial" w:cs="Arial" w:eastAsia="Arial" w:hAnsi="Arial"/>
                <w:sz w:val="18"/>
                <w:szCs w:val="18"/>
                <w:color w:val="auto"/>
              </w:rPr>
              <w:t>30,185</w:t>
            </w:r>
          </w:p>
        </w:tc>
        <w:tc>
          <w:tcPr>
            <w:tcW w:w="1340" w:type="dxa"/>
            <w:vAlign w:val="bottom"/>
          </w:tcPr>
          <w:p>
            <w:pPr>
              <w:jc w:val="right"/>
              <w:spacing w:after="0"/>
              <w:rPr>
                <w:sz w:val="20"/>
                <w:szCs w:val="20"/>
                <w:color w:val="auto"/>
              </w:rPr>
            </w:pPr>
            <w:r>
              <w:rPr>
                <w:rFonts w:ascii="Arial" w:cs="Arial" w:eastAsia="Arial" w:hAnsi="Arial"/>
                <w:sz w:val="18"/>
                <w:szCs w:val="18"/>
                <w:color w:val="auto"/>
              </w:rPr>
              <w:t>29,982</w:t>
            </w:r>
          </w:p>
        </w:tc>
      </w:tr>
    </w:tbl>
    <w:p>
      <w:pPr>
        <w:spacing w:after="0" w:line="202" w:lineRule="exact"/>
        <w:rPr>
          <w:sz w:val="20"/>
          <w:szCs w:val="20"/>
          <w:color w:val="auto"/>
        </w:rPr>
      </w:pPr>
    </w:p>
    <w:p>
      <w:pPr>
        <w:ind w:left="220" w:hanging="194"/>
        <w:spacing w:after="0" w:line="297" w:lineRule="auto"/>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diluted net income per share for all periods shown above.</w:t>
      </w:r>
    </w:p>
    <w:p>
      <w:pPr>
        <w:spacing w:after="0" w:line="3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Listed below are the items included in GAAP revenues and GAAP net income that management excludes in computing the adjusted financial measures referred to in the text of this press release and further described under Discussion of Adjusted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Growth in total revenues excluding the effects of currency exchange rates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jc w:val="right"/>
              <w:ind w:right="92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60" w:type="dxa"/>
            <w:vAlign w:val="bottom"/>
            <w:vMerge w:val="restart"/>
          </w:tcPr>
          <w:p>
            <w:pPr>
              <w:spacing w:after="0"/>
              <w:rPr>
                <w:sz w:val="20"/>
                <w:szCs w:val="20"/>
                <w:color w:val="auto"/>
              </w:rPr>
            </w:pPr>
            <w:r>
              <w:rPr>
                <w:rFonts w:ascii="Arial" w:cs="Arial" w:eastAsia="Arial" w:hAnsi="Arial"/>
                <w:sz w:val="18"/>
                <w:szCs w:val="18"/>
                <w:color w:val="auto"/>
              </w:rPr>
              <w:t>Orthopedics</w:t>
            </w:r>
          </w:p>
        </w:tc>
        <w:tc>
          <w:tcPr>
            <w:tcW w:w="6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2010</w:t>
            </w:r>
          </w:p>
        </w:tc>
        <w:tc>
          <w:tcPr>
            <w:tcW w:w="6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60" w:type="dxa"/>
            <w:vAlign w:val="bottom"/>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72,234</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70,187</w:t>
            </w:r>
          </w:p>
        </w:tc>
        <w:tc>
          <w:tcPr>
            <w:tcW w:w="6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Borders>
              <w:top w:val="single" w:sz="8" w:color="auto"/>
            </w:tcBorders>
            <w:gridSpan w:val="3"/>
          </w:tcPr>
          <w:p>
            <w:pPr>
              <w:jc w:val="right"/>
              <w:ind w:right="40"/>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Neurosurgery</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68,358</w:t>
            </w:r>
          </w:p>
        </w:tc>
        <w:tc>
          <w:tcPr>
            <w:tcW w:w="3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64,774</w:t>
            </w:r>
          </w:p>
        </w:tc>
        <w:tc>
          <w:tcPr>
            <w:tcW w:w="68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Instruments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40,449</w:t>
            </w:r>
          </w:p>
        </w:tc>
        <w:tc>
          <w:tcPr>
            <w:tcW w:w="3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37,737</w:t>
            </w:r>
          </w:p>
        </w:tc>
        <w:tc>
          <w:tcPr>
            <w:tcW w:w="6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181,041</w:t>
            </w:r>
          </w:p>
        </w:tc>
        <w:tc>
          <w:tcPr>
            <w:tcW w:w="34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172,698</w:t>
            </w:r>
          </w:p>
        </w:tc>
        <w:tc>
          <w:tcPr>
            <w:tcW w:w="6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Impact of changes in</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currency exchange rates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(772)</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Total revenues excluding</w:t>
            </w:r>
          </w:p>
        </w:tc>
        <w:tc>
          <w:tcPr>
            <w:tcW w:w="6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the effects of currency</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exchange rates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180,269</w:t>
            </w:r>
          </w:p>
        </w:tc>
        <w:tc>
          <w:tcPr>
            <w:tcW w:w="3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172,698</w:t>
            </w:r>
          </w:p>
        </w:tc>
        <w:tc>
          <w:tcPr>
            <w:tcW w:w="680" w:type="dxa"/>
            <w:vAlign w:val="bottom"/>
          </w:tcPr>
          <w:p>
            <w:pPr>
              <w:spacing w:after="0"/>
              <w:rPr>
                <w:sz w:val="20"/>
                <w:szCs w:val="20"/>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500" w:firstLine="228"/>
        <w:spacing w:after="0" w:line="461" w:lineRule="auto"/>
        <w:rPr>
          <w:sz w:val="20"/>
          <w:szCs w:val="20"/>
          <w:color w:val="auto"/>
        </w:rPr>
      </w:pPr>
      <w:r>
        <w:rPr>
          <w:rFonts w:ascii="Arial" w:cs="Arial" w:eastAsia="Arial" w:hAnsi="Arial"/>
          <w:sz w:val="18"/>
          <w:szCs w:val="18"/>
          <w:color w:val="auto"/>
        </w:rPr>
        <w:t>Items included in GAAP net income and location where each item is recorded (In thousands)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Three Months Ended March 31, 2011</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440" w:type="dxa"/>
            <w:vAlign w:val="bottom"/>
          </w:tcPr>
          <w:p>
            <w:pPr>
              <w:spacing w:after="0"/>
              <w:rPr>
                <w:sz w:val="20"/>
                <w:szCs w:val="20"/>
                <w:color w:val="auto"/>
              </w:rPr>
            </w:pPr>
            <w:r>
              <w:rPr>
                <w:rFonts w:ascii="Arial" w:cs="Arial" w:eastAsia="Arial" w:hAnsi="Arial"/>
                <w:sz w:val="14"/>
                <w:szCs w:val="14"/>
                <w:color w:val="auto"/>
              </w:rPr>
              <w:t>Item</w:t>
            </w:r>
          </w:p>
        </w:tc>
        <w:tc>
          <w:tcPr>
            <w:tcW w:w="160" w:type="dxa"/>
            <w:vAlign w:val="bottom"/>
          </w:tcPr>
          <w:p>
            <w:pPr>
              <w:spacing w:after="0"/>
              <w:rPr>
                <w:sz w:val="14"/>
                <w:szCs w:val="14"/>
                <w:color w:val="auto"/>
              </w:rPr>
            </w:pPr>
          </w:p>
        </w:tc>
        <w:tc>
          <w:tcPr>
            <w:tcW w:w="1140" w:type="dxa"/>
            <w:vAlign w:val="bottom"/>
          </w:tcPr>
          <w:p>
            <w:pPr>
              <w:jc w:val="right"/>
              <w:ind w:right="99"/>
              <w:spacing w:after="0"/>
              <w:rPr>
                <w:sz w:val="20"/>
                <w:szCs w:val="20"/>
                <w:color w:val="auto"/>
              </w:rPr>
            </w:pPr>
            <w:r>
              <w:rPr>
                <w:rFonts w:ascii="Arial" w:cs="Arial" w:eastAsia="Arial" w:hAnsi="Arial"/>
                <w:sz w:val="14"/>
                <w:szCs w:val="14"/>
                <w:color w:val="auto"/>
              </w:rPr>
              <w:t>Total Amount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7"/>
              </w:rPr>
              <w:t>COPR(a)</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R&amp;D(b)</w:t>
            </w:r>
          </w:p>
        </w:tc>
        <w:tc>
          <w:tcPr>
            <w:tcW w:w="160" w:type="dxa"/>
            <w:vAlign w:val="bottom"/>
          </w:tcPr>
          <w:p>
            <w:pPr>
              <w:spacing w:after="0"/>
              <w:rPr>
                <w:sz w:val="14"/>
                <w:szCs w:val="14"/>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SG&amp;A(c)</w:t>
            </w:r>
          </w:p>
        </w:tc>
        <w:tc>
          <w:tcPr>
            <w:tcW w:w="16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Amort.(d)</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w w:val="96"/>
              </w:rPr>
              <w:t>Interest Exp(Inc)(e)</w:t>
            </w: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w w:val="95"/>
              </w:rPr>
              <w:t>Other Exp(Inc)(f)</w:t>
            </w:r>
          </w:p>
        </w:tc>
        <w:tc>
          <w:tcPr>
            <w:tcW w:w="16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Tax(g)</w:t>
            </w:r>
          </w:p>
        </w:tc>
      </w:tr>
      <w:tr>
        <w:trPr>
          <w:trHeight w:val="195"/>
        </w:trPr>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Acquisition-related charges</w:t>
            </w:r>
          </w:p>
        </w:tc>
        <w:tc>
          <w:tcPr>
            <w:tcW w:w="160" w:type="dxa"/>
            <w:vAlign w:val="bottom"/>
          </w:tcPr>
          <w:p>
            <w:pPr>
              <w:spacing w:after="0"/>
              <w:rPr>
                <w:sz w:val="16"/>
                <w:szCs w:val="16"/>
                <w:color w:val="auto"/>
              </w:rPr>
            </w:pPr>
          </w:p>
        </w:tc>
        <w:tc>
          <w:tcPr>
            <w:tcW w:w="1140" w:type="dxa"/>
            <w:vAlign w:val="bottom"/>
            <w:tcBorders>
              <w:top w:val="single" w:sz="8" w:color="auto"/>
            </w:tcBorders>
          </w:tcPr>
          <w:p>
            <w:pPr>
              <w:jc w:val="right"/>
              <w:ind w:right="259"/>
              <w:spacing w:after="0" w:line="195" w:lineRule="exact"/>
              <w:rPr>
                <w:sz w:val="20"/>
                <w:szCs w:val="20"/>
                <w:color w:val="auto"/>
              </w:rPr>
            </w:pPr>
            <w:r>
              <w:rPr>
                <w:rFonts w:ascii="Arial" w:cs="Arial" w:eastAsia="Arial" w:hAnsi="Arial"/>
                <w:sz w:val="18"/>
                <w:szCs w:val="18"/>
                <w:color w:val="auto"/>
              </w:rPr>
              <w:t>$  942</w:t>
            </w:r>
          </w:p>
        </w:tc>
        <w:tc>
          <w:tcPr>
            <w:tcW w:w="160" w:type="dxa"/>
            <w:vAlign w:val="bottom"/>
          </w:tcPr>
          <w:p>
            <w:pPr>
              <w:spacing w:after="0"/>
              <w:rPr>
                <w:sz w:val="16"/>
                <w:szCs w:val="16"/>
                <w:color w:val="auto"/>
              </w:rPr>
            </w:pPr>
          </w:p>
        </w:tc>
        <w:tc>
          <w:tcPr>
            <w:tcW w:w="640" w:type="dxa"/>
            <w:vAlign w:val="bottom"/>
            <w:tcBorders>
              <w:top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w w:val="99"/>
              </w:rPr>
              <w:t>$  285</w:t>
            </w:r>
          </w:p>
        </w:tc>
        <w:tc>
          <w:tcPr>
            <w:tcW w:w="160" w:type="dxa"/>
            <w:vAlign w:val="bottom"/>
          </w:tcPr>
          <w:p>
            <w:pPr>
              <w:spacing w:after="0"/>
              <w:rPr>
                <w:sz w:val="16"/>
                <w:szCs w:val="16"/>
                <w:color w:val="auto"/>
              </w:rPr>
            </w:pPr>
          </w:p>
        </w:tc>
        <w:tc>
          <w:tcPr>
            <w:tcW w:w="600" w:type="dxa"/>
            <w:vAlign w:val="bottom"/>
            <w:tcBorders>
              <w:top w:val="single" w:sz="8" w:color="auto"/>
            </w:tcBorders>
          </w:tcPr>
          <w:p>
            <w:pPr>
              <w:jc w:val="right"/>
              <w:ind w:right="72"/>
              <w:spacing w:after="0" w:line="195" w:lineRule="exact"/>
              <w:rPr>
                <w:sz w:val="20"/>
                <w:szCs w:val="20"/>
                <w:color w:val="auto"/>
              </w:rPr>
            </w:pPr>
            <w:r>
              <w:rPr>
                <w:rFonts w:ascii="Arial" w:cs="Arial" w:eastAsia="Arial" w:hAnsi="Arial"/>
                <w:sz w:val="18"/>
                <w:szCs w:val="18"/>
                <w:color w:val="auto"/>
              </w:rPr>
              <w:t>$300</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ind w:right="192"/>
              <w:spacing w:after="0" w:line="195" w:lineRule="exact"/>
              <w:rPr>
                <w:sz w:val="20"/>
                <w:szCs w:val="20"/>
                <w:color w:val="auto"/>
              </w:rPr>
            </w:pPr>
            <w:r>
              <w:rPr>
                <w:rFonts w:ascii="Arial" w:cs="Arial" w:eastAsia="Arial" w:hAnsi="Arial"/>
                <w:sz w:val="18"/>
                <w:szCs w:val="18"/>
                <w:color w:val="auto"/>
              </w:rPr>
              <w:t>$  357</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ind w:right="212"/>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40" w:type="dxa"/>
            <w:vAlign w:val="bottom"/>
            <w:tcBorders>
              <w:top w:val="single" w:sz="8" w:color="auto"/>
            </w:tcBorders>
          </w:tcPr>
          <w:p>
            <w:pPr>
              <w:jc w:val="right"/>
              <w:ind w:right="472"/>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right"/>
              <w:ind w:right="92"/>
              <w:spacing w:after="0" w:line="195" w:lineRule="exact"/>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Certain employee termination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and related charges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34</w:t>
            </w:r>
          </w:p>
        </w:tc>
        <w:tc>
          <w:tcPr>
            <w:tcW w:w="800" w:type="dxa"/>
            <w:vAlign w:val="bottom"/>
            <w:gridSpan w:val="2"/>
          </w:tcPr>
          <w:p>
            <w:pPr>
              <w:jc w:val="right"/>
              <w:ind w:right="33"/>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248</w:t>
            </w:r>
          </w:p>
        </w:tc>
        <w:tc>
          <w:tcPr>
            <w:tcW w:w="800" w:type="dxa"/>
            <w:vAlign w:val="bottom"/>
            <w:gridSpan w:val="2"/>
          </w:tcPr>
          <w:p>
            <w:pPr>
              <w:jc w:val="right"/>
              <w:ind w:right="33"/>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2"/>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Charges associated with</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discontinued or withdrawn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33"/>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1"/>
              </w:rPr>
              <w:t>Systems implementation charges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2,655</w:t>
            </w:r>
          </w:p>
        </w:tc>
        <w:tc>
          <w:tcPr>
            <w:tcW w:w="16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92"/>
              <w:spacing w:after="0"/>
              <w:rPr>
                <w:sz w:val="20"/>
                <w:szCs w:val="20"/>
                <w:color w:val="auto"/>
              </w:rPr>
            </w:pPr>
            <w:r>
              <w:rPr>
                <w:rFonts w:ascii="Arial" w:cs="Arial" w:eastAsia="Arial" w:hAnsi="Arial"/>
                <w:sz w:val="18"/>
                <w:szCs w:val="18"/>
                <w:color w:val="auto"/>
              </w:rPr>
              <w:t>2,655</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Facility consolidation,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4"/>
              </w:rPr>
              <w:t>manufacturing and distribution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transfer charges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1,822</w:t>
            </w:r>
          </w:p>
        </w:tc>
        <w:tc>
          <w:tcPr>
            <w:tcW w:w="800" w:type="dxa"/>
            <w:vAlign w:val="bottom"/>
            <w:gridSpan w:val="2"/>
          </w:tcPr>
          <w:p>
            <w:pPr>
              <w:jc w:val="right"/>
              <w:ind w:right="33"/>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92"/>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5"/>
              </w:rPr>
              <w:t>Charges related to restructuring</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European entities</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92"/>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Non-cash amortization of</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2"/>
              </w:rPr>
              <w:t>imputed interest for convertible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debt</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1,634</w:t>
            </w:r>
          </w:p>
        </w:tc>
        <w:tc>
          <w:tcPr>
            <w:tcW w:w="16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4,242</w:t>
            </w:r>
          </w:p>
        </w:tc>
        <w:tc>
          <w:tcPr>
            <w:tcW w:w="800" w:type="dxa"/>
            <w:vAlign w:val="bottom"/>
            <w:gridSpan w:val="2"/>
          </w:tcPr>
          <w:p>
            <w:pPr>
              <w:jc w:val="right"/>
              <w:ind w:right="33"/>
              <w:spacing w:after="0"/>
              <w:rPr>
                <w:sz w:val="20"/>
                <w:szCs w:val="20"/>
                <w:color w:val="auto"/>
              </w:rPr>
            </w:pPr>
            <w:r>
              <w:rPr>
                <w:rFonts w:ascii="Arial" w:cs="Arial" w:eastAsia="Arial" w:hAnsi="Arial"/>
                <w:sz w:val="18"/>
                <w:szCs w:val="18"/>
                <w:color w:val="auto"/>
              </w:rPr>
              <w:t>1,382</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2"/>
              <w:spacing w:after="0"/>
              <w:rPr>
                <w:sz w:val="20"/>
                <w:szCs w:val="20"/>
                <w:color w:val="auto"/>
              </w:rPr>
            </w:pPr>
            <w:r>
              <w:rPr>
                <w:rFonts w:ascii="Arial" w:cs="Arial" w:eastAsia="Arial" w:hAnsi="Arial"/>
                <w:sz w:val="18"/>
                <w:szCs w:val="18"/>
                <w:color w:val="auto"/>
              </w:rPr>
              <w:t>2,860</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Income tax expense related to</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8"/>
              </w:rPr>
              <w:t>above adjustments, quarterly</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adjustments to income tax</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expense related to the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6"/>
              </w:rPr>
              <w:t>cumulative impact of changes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in estimated tax rates and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8"/>
              </w:rPr>
              <w:t>certain infrequently occurring</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1"/>
              </w:rPr>
              <w:t>items that affected the reported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tax rate</w:t>
            </w:r>
          </w:p>
        </w:tc>
        <w:tc>
          <w:tcPr>
            <w:tcW w:w="1300" w:type="dxa"/>
            <w:vAlign w:val="bottom"/>
            <w:gridSpan w:val="2"/>
          </w:tcPr>
          <w:p>
            <w:pPr>
              <w:jc w:val="right"/>
              <w:ind w:right="199"/>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(3,414)</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Depreciation expense</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300" w:type="dxa"/>
            <w:vAlign w:val="bottom"/>
            <w:gridSpan w:val="2"/>
          </w:tcPr>
          <w:p>
            <w:pPr>
              <w:jc w:val="right"/>
              <w:ind w:right="259"/>
              <w:spacing w:after="0"/>
              <w:rPr>
                <w:sz w:val="20"/>
                <w:szCs w:val="20"/>
                <w:color w:val="auto"/>
              </w:rPr>
            </w:pPr>
            <w:r>
              <w:rPr>
                <w:rFonts w:ascii="Arial" w:cs="Arial" w:eastAsia="Arial" w:hAnsi="Arial"/>
                <w:sz w:val="18"/>
                <w:szCs w:val="18"/>
                <w:color w:val="auto"/>
              </w:rPr>
              <w:t>4,034</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6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color w:val="auto"/>
        </w:rPr>
        <w:t>*For the period ending March 31, 2011, “Intangible asset amortization expense” excludes $248 already included in “Intangible asset impairment charges”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ectPr>
          <w:pgSz w:w="11900" w:h="16838" w:orient="portrait"/>
          <w:cols w:equalWidth="0" w:num="1">
            <w:col w:w="11360"/>
          </w:cols>
          <w:pgMar w:left="240" w:top="125" w:right="299" w:bottom="235" w:gutter="0" w:footer="0" w:header="0"/>
        </w:sectPr>
      </w:pPr>
    </w:p>
    <w:bookmarkStart w:id="9" w:name="page10"/>
    <w:bookmarkEnd w:id="9"/>
    <w:p>
      <w:pPr>
        <w:ind w:left="700"/>
        <w:spacing w:after="0"/>
        <w:rPr>
          <w:sz w:val="20"/>
          <w:szCs w:val="20"/>
          <w:color w:val="auto"/>
        </w:rPr>
      </w:pPr>
      <w:r>
        <w:rPr>
          <w:rFonts w:ascii="Arial" w:cs="Arial" w:eastAsia="Arial" w:hAnsi="Arial"/>
          <w:sz w:val="18"/>
          <w:szCs w:val="18"/>
          <w:color w:val="auto"/>
        </w:rPr>
        <w:t>COPR – Cost of product revenues</w:t>
      </w:r>
    </w:p>
    <w:p>
      <w:pPr>
        <w:spacing w:after="0" w:line="225" w:lineRule="exact"/>
        <w:rPr>
          <w:sz w:val="20"/>
          <w:szCs w:val="20"/>
          <w:color w:val="auto"/>
        </w:rPr>
      </w:pPr>
    </w:p>
    <w:p>
      <w:pPr>
        <w:ind w:left="720" w:hanging="254"/>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R&amp;D – Research and development</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SG&amp;A – Selling, general and administrative</w:t>
      </w:r>
    </w:p>
    <w:p>
      <w:pPr>
        <w:spacing w:after="0" w:line="225" w:lineRule="exact"/>
        <w:rPr>
          <w:rFonts w:ascii="Arial" w:cs="Arial" w:eastAsia="Arial" w:hAnsi="Arial"/>
          <w:sz w:val="18"/>
          <w:szCs w:val="18"/>
          <w:color w:val="auto"/>
        </w:rPr>
      </w:pPr>
    </w:p>
    <w:p>
      <w:pPr>
        <w:ind w:left="720" w:hanging="254"/>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Amort. – Intangible asset amortization</w:t>
      </w:r>
    </w:p>
    <w:p>
      <w:pPr>
        <w:spacing w:after="0" w:line="225" w:lineRule="exact"/>
        <w:rPr>
          <w:rFonts w:ascii="Arial" w:cs="Arial" w:eastAsia="Arial" w:hAnsi="Arial"/>
          <w:sz w:val="18"/>
          <w:szCs w:val="18"/>
          <w:color w:val="auto"/>
        </w:rPr>
      </w:pPr>
    </w:p>
    <w:p>
      <w:pPr>
        <w:ind w:left="720" w:hanging="257"/>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Interest Inc(Exp) – Interest income (expense), net</w:t>
      </w:r>
    </w:p>
    <w:p>
      <w:pPr>
        <w:spacing w:after="0" w:line="225" w:lineRule="exact"/>
        <w:rPr>
          <w:rFonts w:ascii="Arial" w:cs="Arial" w:eastAsia="Arial" w:hAnsi="Arial"/>
          <w:sz w:val="18"/>
          <w:szCs w:val="18"/>
          <w:color w:val="auto"/>
        </w:rPr>
      </w:pPr>
    </w:p>
    <w:p>
      <w:pPr>
        <w:ind w:left="680" w:hanging="22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Inc(Exp) – Other income (expense), net</w:t>
      </w:r>
    </w:p>
    <w:p>
      <w:pPr>
        <w:spacing w:after="0" w:line="225" w:lineRule="exact"/>
        <w:rPr>
          <w:rFonts w:ascii="Arial" w:cs="Arial" w:eastAsia="Arial" w:hAnsi="Arial"/>
          <w:sz w:val="18"/>
          <w:szCs w:val="18"/>
          <w:color w:val="auto"/>
        </w:rPr>
      </w:pPr>
    </w:p>
    <w:p>
      <w:pPr>
        <w:ind w:left="720" w:hanging="25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Tax – Income tax expense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Three Months Ended March 31, 2010</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960" w:type="dxa"/>
            <w:vAlign w:val="bottom"/>
          </w:tcPr>
          <w:p>
            <w:pPr>
              <w:spacing w:after="0"/>
              <w:rPr>
                <w:sz w:val="20"/>
                <w:szCs w:val="20"/>
                <w:color w:val="auto"/>
              </w:rPr>
            </w:pPr>
            <w:r>
              <w:rPr>
                <w:rFonts w:ascii="Arial" w:cs="Arial" w:eastAsia="Arial" w:hAnsi="Arial"/>
                <w:sz w:val="14"/>
                <w:szCs w:val="14"/>
                <w:color w:val="auto"/>
              </w:rPr>
              <w:t>Item</w:t>
            </w:r>
          </w:p>
        </w:tc>
        <w:tc>
          <w:tcPr>
            <w:tcW w:w="200" w:type="dxa"/>
            <w:vAlign w:val="bottom"/>
          </w:tcPr>
          <w:p>
            <w:pPr>
              <w:spacing w:after="0"/>
              <w:rPr>
                <w:sz w:val="14"/>
                <w:szCs w:val="1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color w:val="auto"/>
              </w:rPr>
              <w:t>Total Amount</w:t>
            </w:r>
          </w:p>
        </w:tc>
        <w:tc>
          <w:tcPr>
            <w:tcW w:w="20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COPR</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R&amp;D</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SG&amp;A</w:t>
            </w:r>
          </w:p>
        </w:tc>
        <w:tc>
          <w:tcPr>
            <w:tcW w:w="20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Amort.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9"/>
              </w:rPr>
              <w:t>Interest Exp(Inc)</w:t>
            </w:r>
          </w:p>
        </w:tc>
        <w:tc>
          <w:tcPr>
            <w:tcW w:w="1300" w:type="dxa"/>
            <w:vAlign w:val="bottom"/>
            <w:gridSpan w:val="3"/>
          </w:tcPr>
          <w:p>
            <w:pPr>
              <w:ind w:left="220"/>
              <w:spacing w:after="0"/>
              <w:rPr>
                <w:sz w:val="20"/>
                <w:szCs w:val="20"/>
                <w:color w:val="auto"/>
              </w:rPr>
            </w:pPr>
            <w:r>
              <w:rPr>
                <w:rFonts w:ascii="Arial" w:cs="Arial" w:eastAsia="Arial" w:hAnsi="Arial"/>
                <w:sz w:val="14"/>
                <w:szCs w:val="14"/>
                <w:color w:val="auto"/>
              </w:rPr>
              <w:t>Other Exp(Inc)</w:t>
            </w:r>
          </w:p>
        </w:tc>
        <w:tc>
          <w:tcPr>
            <w:tcW w:w="900" w:type="dxa"/>
            <w:vAlign w:val="bottom"/>
          </w:tcPr>
          <w:p>
            <w:pPr>
              <w:jc w:val="right"/>
              <w:ind w:right="272"/>
              <w:spacing w:after="0"/>
              <w:rPr>
                <w:sz w:val="20"/>
                <w:szCs w:val="20"/>
                <w:color w:val="auto"/>
              </w:rPr>
            </w:pPr>
            <w:r>
              <w:rPr>
                <w:rFonts w:ascii="Arial" w:cs="Arial" w:eastAsia="Arial" w:hAnsi="Arial"/>
                <w:sz w:val="14"/>
                <w:szCs w:val="14"/>
                <w:color w:val="auto"/>
              </w:rPr>
              <w:t>Tax</w:t>
            </w:r>
          </w:p>
        </w:tc>
      </w:tr>
      <w:tr>
        <w:trPr>
          <w:trHeight w:val="195"/>
        </w:trPr>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Acquisition-related charges</w:t>
            </w: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ind w:right="279"/>
              <w:spacing w:after="0" w:line="195" w:lineRule="exact"/>
              <w:rPr>
                <w:sz w:val="20"/>
                <w:szCs w:val="20"/>
                <w:color w:val="auto"/>
              </w:rPr>
            </w:pPr>
            <w:r>
              <w:rPr>
                <w:rFonts w:ascii="Arial" w:cs="Arial" w:eastAsia="Arial" w:hAnsi="Arial"/>
                <w:sz w:val="18"/>
                <w:szCs w:val="18"/>
                <w:color w:val="auto"/>
              </w:rPr>
              <w:t>$  555</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ind w:right="73"/>
              <w:spacing w:after="0" w:line="195" w:lineRule="exact"/>
              <w:rPr>
                <w:sz w:val="20"/>
                <w:szCs w:val="20"/>
                <w:color w:val="auto"/>
              </w:rPr>
            </w:pPr>
            <w:r>
              <w:rPr>
                <w:rFonts w:ascii="Arial" w:cs="Arial" w:eastAsia="Arial" w:hAnsi="Arial"/>
                <w:sz w:val="18"/>
                <w:szCs w:val="18"/>
                <w:color w:val="auto"/>
                <w:w w:val="95"/>
              </w:rPr>
              <w:t>$  406</w:t>
            </w:r>
          </w:p>
        </w:tc>
        <w:tc>
          <w:tcPr>
            <w:tcW w:w="200" w:type="dxa"/>
            <w:vAlign w:val="bottom"/>
          </w:tcPr>
          <w:p>
            <w:pPr>
              <w:spacing w:after="0"/>
              <w:rPr>
                <w:sz w:val="16"/>
                <w:szCs w:val="16"/>
                <w:color w:val="auto"/>
              </w:rPr>
            </w:pPr>
          </w:p>
        </w:tc>
        <w:tc>
          <w:tcPr>
            <w:tcW w:w="400" w:type="dxa"/>
            <w:vAlign w:val="bottom"/>
            <w:tcBorders>
              <w:top w:val="single" w:sz="8" w:color="auto"/>
            </w:tcBorders>
          </w:tcPr>
          <w:p>
            <w:pPr>
              <w:jc w:val="right"/>
              <w:ind w:right="12"/>
              <w:spacing w:after="0" w:line="195" w:lineRule="exact"/>
              <w:rPr>
                <w:sz w:val="20"/>
                <w:szCs w:val="20"/>
                <w:color w:val="auto"/>
              </w:rPr>
            </w:pPr>
            <w:r>
              <w:rPr>
                <w:rFonts w:ascii="Arial" w:cs="Arial" w:eastAsia="Arial" w:hAnsi="Arial"/>
                <w:sz w:val="18"/>
                <w:szCs w:val="18"/>
                <w:color w:val="auto"/>
                <w:w w:val="93"/>
              </w:rPr>
              <w:t>$28</w:t>
            </w:r>
          </w:p>
        </w:tc>
        <w:tc>
          <w:tcPr>
            <w:tcW w:w="200" w:type="dxa"/>
            <w:vAlign w:val="bottom"/>
          </w:tcPr>
          <w:p>
            <w:pPr>
              <w:spacing w:after="0"/>
              <w:rPr>
                <w:sz w:val="16"/>
                <w:szCs w:val="16"/>
                <w:color w:val="auto"/>
              </w:rPr>
            </w:pPr>
          </w:p>
        </w:tc>
        <w:tc>
          <w:tcPr>
            <w:tcW w:w="460" w:type="dxa"/>
            <w:vAlign w:val="bottom"/>
            <w:tcBorders>
              <w:top w:val="single" w:sz="8" w:color="auto"/>
            </w:tcBorders>
          </w:tcPr>
          <w:p>
            <w:pPr>
              <w:jc w:val="right"/>
              <w:ind w:right="13"/>
              <w:spacing w:after="0" w:line="195" w:lineRule="exact"/>
              <w:rPr>
                <w:sz w:val="20"/>
                <w:szCs w:val="20"/>
                <w:color w:val="auto"/>
              </w:rPr>
            </w:pPr>
            <w:r>
              <w:rPr>
                <w:rFonts w:ascii="Arial" w:cs="Arial" w:eastAsia="Arial" w:hAnsi="Arial"/>
                <w:sz w:val="18"/>
                <w:szCs w:val="18"/>
                <w:color w:val="auto"/>
                <w:w w:val="84"/>
              </w:rPr>
              <w:t>$121</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ind w:right="72"/>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392"/>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6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ind w:right="132"/>
              <w:spacing w:after="0" w:line="195" w:lineRule="exact"/>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Certain employee termination and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related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3"/>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0"/>
              </w:rPr>
              <w:t>Charges associated with discontinued 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withdrawn product lines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74</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3"/>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and distribution transfer charges</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326</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256</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26</w:t>
            </w:r>
          </w:p>
        </w:tc>
        <w:tc>
          <w:tcPr>
            <w:tcW w:w="660" w:type="dxa"/>
            <w:vAlign w:val="bottom"/>
            <w:gridSpan w:val="2"/>
          </w:tcPr>
          <w:p>
            <w:pPr>
              <w:jc w:val="right"/>
              <w:ind w:right="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Non-cash amortization of imputed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interest for convertible debt</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2,053</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92"/>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7"/>
              </w:rPr>
              <w:t>Intangible asset amortization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4,482</w:t>
            </w:r>
          </w:p>
        </w:tc>
        <w:tc>
          <w:tcPr>
            <w:tcW w:w="860" w:type="dxa"/>
            <w:vAlign w:val="bottom"/>
            <w:gridSpan w:val="2"/>
          </w:tcPr>
          <w:p>
            <w:pPr>
              <w:jc w:val="right"/>
              <w:ind w:right="73"/>
              <w:spacing w:after="0"/>
              <w:rPr>
                <w:sz w:val="20"/>
                <w:szCs w:val="20"/>
                <w:color w:val="auto"/>
              </w:rPr>
            </w:pPr>
            <w:r>
              <w:rPr>
                <w:rFonts w:ascii="Arial" w:cs="Arial" w:eastAsia="Arial" w:hAnsi="Arial"/>
                <w:sz w:val="18"/>
                <w:szCs w:val="18"/>
                <w:color w:val="auto"/>
              </w:rPr>
              <w:t>1,463</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3,019</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9"/>
              </w:rPr>
              <w:t>Income tax expense related to above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w w:val="93"/>
              </w:rPr>
              <w:t>adjustments, quarterly adjustments to</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income tax expense related to the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cumulative impact of changes in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estimated tax rates and certain</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infrequently occurring items that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960" w:type="dxa"/>
            <w:vAlign w:val="bottom"/>
          </w:tcPr>
          <w:p>
            <w:pPr>
              <w:ind w:left="140"/>
              <w:spacing w:after="0"/>
              <w:rPr>
                <w:sz w:val="20"/>
                <w:szCs w:val="20"/>
                <w:color w:val="auto"/>
              </w:rPr>
            </w:pPr>
            <w:r>
              <w:rPr>
                <w:rFonts w:ascii="Arial" w:cs="Arial" w:eastAsia="Arial" w:hAnsi="Arial"/>
                <w:sz w:val="18"/>
                <w:szCs w:val="18"/>
                <w:color w:val="auto"/>
              </w:rPr>
              <w:t>affected the reported tax rate</w:t>
            </w:r>
          </w:p>
        </w:tc>
        <w:tc>
          <w:tcPr>
            <w:tcW w:w="1360" w:type="dxa"/>
            <w:vAlign w:val="bottom"/>
            <w:gridSpan w:val="2"/>
          </w:tcPr>
          <w:p>
            <w:pPr>
              <w:jc w:val="right"/>
              <w:ind w:right="219"/>
              <w:spacing w:after="0"/>
              <w:rPr>
                <w:sz w:val="20"/>
                <w:szCs w:val="20"/>
                <w:color w:val="auto"/>
              </w:rPr>
            </w:pPr>
            <w:r>
              <w:rPr>
                <w:rFonts w:ascii="Arial" w:cs="Arial" w:eastAsia="Arial" w:hAnsi="Arial"/>
                <w:sz w:val="18"/>
                <w:szCs w:val="18"/>
                <w:color w:val="auto"/>
              </w:rPr>
              <w:t>(4,458)</w:t>
            </w:r>
          </w:p>
        </w:tc>
        <w:tc>
          <w:tcPr>
            <w:tcW w:w="20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(4,458)</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4,949</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279"/>
              <w:spacing w:after="0"/>
              <w:rPr>
                <w:sz w:val="20"/>
                <w:szCs w:val="20"/>
                <w:color w:val="auto"/>
              </w:rPr>
            </w:pPr>
            <w:r>
              <w:rPr>
                <w:rFonts w:ascii="Arial" w:cs="Arial" w:eastAsia="Arial" w:hAnsi="Arial"/>
                <w:sz w:val="18"/>
                <w:szCs w:val="18"/>
                <w:color w:val="auto"/>
              </w:rPr>
              <w:t>3,843</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GAAP NET INCOME TO ADJUSTED EBITDA AND ADJUSTED EBITDA</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EXCLUDING STOCK BASED COMPENSATION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10"/>
        </w:trPr>
        <w:tc>
          <w:tcPr>
            <w:tcW w:w="80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82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$11,487</w:t>
            </w:r>
          </w:p>
        </w:tc>
        <w:tc>
          <w:tcPr>
            <w:tcW w:w="3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$15,222</w:t>
            </w: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Depreciation and intangible asset amortization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9,710</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9,431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643</w:t>
            </w:r>
          </w:p>
        </w:tc>
        <w:tc>
          <w:tcPr>
            <w:tcW w:w="2000" w:type="dxa"/>
            <w:vAlign w:val="bottom"/>
            <w:gridSpan w:val="5"/>
          </w:tcPr>
          <w:p>
            <w:pPr>
              <w:jc w:val="right"/>
              <w:ind w:right="28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5,396</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4,480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3,346</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4,087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942</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Certain employee termination and related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2,655</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1,822</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Charges related to restructuring European entities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25,158</w:t>
            </w:r>
          </w:p>
        </w:tc>
        <w:tc>
          <w:tcPr>
            <w:tcW w:w="1180" w:type="dxa"/>
            <w:vAlign w:val="bottom"/>
            <w:gridSpan w:val="3"/>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18,571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36,645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33,793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4,034</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3,843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20" w:type="dxa"/>
            <w:vAlign w:val="bottom"/>
          </w:tcPr>
          <w:p>
            <w:pPr>
              <w:spacing w:after="0"/>
              <w:rPr>
                <w:sz w:val="20"/>
                <w:szCs w:val="20"/>
                <w:color w:val="auto"/>
              </w:rPr>
            </w:pPr>
            <w:r>
              <w:rPr>
                <w:rFonts w:ascii="Arial" w:cs="Arial" w:eastAsia="Arial" w:hAnsi="Arial"/>
                <w:sz w:val="18"/>
                <w:szCs w:val="18"/>
                <w:color w:val="auto"/>
              </w:rPr>
              <w:t>Adjusted EBITDA excluding stock-based compensation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40,679</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37,636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GAAP NET INCOME TO MEASURES OF ADJUSTED NET INCOME AND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ADJUSTED EARNINGS PER SHARE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140"/>
          </w:cols>
          <w:pgMar w:left="240" w:top="125" w:right="51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8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8"/>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9"/>
              </w:rPr>
              <w:t>March 31,</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20" w:type="dxa"/>
            <w:vAlign w:val="bottom"/>
            <w:vMerge w:val="restart"/>
          </w:tcPr>
          <w:p>
            <w:pPr>
              <w:ind w:left="300"/>
              <w:spacing w:after="0"/>
              <w:rPr>
                <w:sz w:val="20"/>
                <w:szCs w:val="20"/>
                <w:color w:val="auto"/>
              </w:rPr>
            </w:pPr>
            <w:r>
              <w:rPr>
                <w:rFonts w:ascii="Arial" w:cs="Arial" w:eastAsia="Arial" w:hAnsi="Arial"/>
                <w:sz w:val="18"/>
                <w:szCs w:val="18"/>
                <w:color w:val="auto"/>
              </w:rPr>
              <w:t>GAAP net income</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20" w:type="dxa"/>
            <w:vAlign w:val="bottom"/>
            <w:vMerge w:val="continue"/>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11,487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7"/>
              </w:rPr>
              <w:t>15,222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Acquisition-related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Certain employee termination and related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Intangible asset impairment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Charges associated with discontinued or withdrawn</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product lines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Systems implementation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distribution transfer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Charges related to restructuring</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European entities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Non-cash amortization of imputed interest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560"/>
              <w:spacing w:after="0"/>
              <w:rPr>
                <w:sz w:val="20"/>
                <w:szCs w:val="20"/>
                <w:color w:val="auto"/>
              </w:rPr>
            </w:pPr>
            <w:r>
              <w:rPr>
                <w:rFonts w:ascii="Arial" w:cs="Arial" w:eastAsia="Arial" w:hAnsi="Arial"/>
                <w:sz w:val="18"/>
                <w:szCs w:val="18"/>
                <w:color w:val="auto"/>
              </w:rPr>
              <w:t>for convertible debt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4,482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00"/>
              <w:spacing w:after="0"/>
              <w:rPr>
                <w:sz w:val="20"/>
                <w:szCs w:val="20"/>
                <w:color w:val="auto"/>
              </w:rPr>
            </w:pPr>
            <w:r>
              <w:rPr>
                <w:rFonts w:ascii="Arial" w:cs="Arial" w:eastAsia="Arial" w:hAnsi="Arial"/>
                <w:sz w:val="18"/>
                <w:szCs w:val="18"/>
                <w:color w:val="auto"/>
              </w:rPr>
              <w:t>Income tax expense related to</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above adjustments, quarterly adjustments to</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income tax expense related to the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cumulative impact of changes in estimated tax</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rates and certain infrequently occurring items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40"/>
              <w:spacing w:after="0"/>
              <w:rPr>
                <w:sz w:val="20"/>
                <w:szCs w:val="20"/>
                <w:color w:val="auto"/>
              </w:rPr>
            </w:pPr>
            <w:r>
              <w:rPr>
                <w:rFonts w:ascii="Arial" w:cs="Arial" w:eastAsia="Arial" w:hAnsi="Arial"/>
                <w:sz w:val="18"/>
                <w:szCs w:val="18"/>
                <w:color w:val="auto"/>
              </w:rPr>
              <w:t>that affected the reported tax rate</w:t>
            </w:r>
          </w:p>
        </w:tc>
        <w:tc>
          <w:tcPr>
            <w:tcW w:w="3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(3,414)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(4,458)</w:t>
            </w:r>
          </w:p>
        </w:tc>
        <w:tc>
          <w:tcPr>
            <w:tcW w:w="0" w:type="dxa"/>
            <w:vAlign w:val="bottom"/>
          </w:tcPr>
          <w:p>
            <w:pPr>
              <w:spacing w:after="0"/>
              <w:rPr>
                <w:sz w:val="1"/>
                <w:szCs w:val="1"/>
                <w:color w:val="auto"/>
              </w:rPr>
            </w:pPr>
          </w:p>
        </w:tc>
      </w:tr>
      <w:tr>
        <w:trPr>
          <w:trHeight w:val="223"/>
        </w:trPr>
        <w:tc>
          <w:tcPr>
            <w:tcW w:w="8320" w:type="dxa"/>
            <w:vAlign w:val="bottom"/>
          </w:tcPr>
          <w:p>
            <w:pPr>
              <w:ind w:left="440"/>
              <w:spacing w:after="0"/>
              <w:rPr>
                <w:sz w:val="20"/>
                <w:szCs w:val="20"/>
                <w:color w:val="auto"/>
              </w:rPr>
            </w:pPr>
            <w:r>
              <w:rPr>
                <w:rFonts w:ascii="Arial" w:cs="Arial" w:eastAsia="Arial" w:hAnsi="Arial"/>
                <w:sz w:val="18"/>
                <w:szCs w:val="18"/>
                <w:color w:val="auto"/>
              </w:rPr>
              <w:t>Total of non-GAAP adjustments</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tcPr>
          <w:p>
            <w:pPr>
              <w:ind w:left="300"/>
              <w:spacing w:after="0"/>
              <w:rPr>
                <w:sz w:val="20"/>
                <w:szCs w:val="20"/>
                <w:color w:val="auto"/>
              </w:rPr>
            </w:pPr>
            <w:r>
              <w:rPr>
                <w:rFonts w:ascii="Arial" w:cs="Arial" w:eastAsia="Arial" w:hAnsi="Arial"/>
                <w:sz w:val="18"/>
                <w:szCs w:val="18"/>
                <w:color w:val="auto"/>
              </w:rPr>
              <w:t>Adjusted 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20,012</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19,018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00"/>
              <w:spacing w:after="0"/>
              <w:rPr>
                <w:sz w:val="20"/>
                <w:szCs w:val="20"/>
                <w:color w:val="auto"/>
              </w:rPr>
            </w:pPr>
            <w:r>
              <w:rPr>
                <w:rFonts w:ascii="Arial" w:cs="Arial" w:eastAsia="Arial" w:hAnsi="Arial"/>
                <w:sz w:val="18"/>
                <w:szCs w:val="18"/>
                <w:color w:val="auto"/>
              </w:rPr>
              <w:t>Adjusted diluted net income per share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ind w:left="300"/>
              <w:spacing w:after="0"/>
              <w:rPr>
                <w:sz w:val="20"/>
                <w:szCs w:val="20"/>
                <w:color w:val="auto"/>
              </w:rPr>
            </w:pPr>
            <w:r>
              <w:rPr>
                <w:rFonts w:ascii="Arial" w:cs="Arial" w:eastAsia="Arial" w:hAnsi="Arial"/>
                <w:sz w:val="18"/>
                <w:szCs w:val="18"/>
                <w:color w:val="auto"/>
              </w:rPr>
              <w:t>Weighted average common shares outstanding for</w:t>
            </w: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40"/>
              <w:spacing w:after="0"/>
              <w:rPr>
                <w:sz w:val="20"/>
                <w:szCs w:val="20"/>
                <w:color w:val="auto"/>
              </w:rPr>
            </w:pPr>
            <w:r>
              <w:rPr>
                <w:rFonts w:ascii="Arial" w:cs="Arial" w:eastAsia="Arial" w:hAnsi="Arial"/>
                <w:sz w:val="18"/>
                <w:szCs w:val="18"/>
                <w:color w:val="auto"/>
              </w:rPr>
              <w:t>diluted net income per share</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29,982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hanging="194"/>
        <w:spacing w:after="0" w:line="297"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accordance with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calculation of earnings per share for common stock shown above excludes the income attributable to the unvested restricted share units with dividend rights from the numerator and excludes the dilutive impact of those units from the denominator. This had an insignificant impact (less than $0.01 per share) on adjusted diluted net income per share for all periods shown above.</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BALANCE SHEET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(In thousands)</w:t>
            </w: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6460" w:type="dxa"/>
            <w:vAlign w:val="bottom"/>
          </w:tcPr>
          <w:p>
            <w:pPr>
              <w:spacing w:after="0"/>
              <w:rPr>
                <w:sz w:val="24"/>
                <w:szCs w:val="24"/>
                <w:color w:val="auto"/>
              </w:rPr>
            </w:pPr>
          </w:p>
        </w:tc>
        <w:tc>
          <w:tcPr>
            <w:tcW w:w="2040" w:type="dxa"/>
            <w:vAlign w:val="bottom"/>
          </w:tcPr>
          <w:p>
            <w:pPr>
              <w:jc w:val="right"/>
              <w:ind w:right="570"/>
              <w:spacing w:after="0"/>
              <w:rPr>
                <w:sz w:val="20"/>
                <w:szCs w:val="20"/>
                <w:color w:val="auto"/>
              </w:rPr>
            </w:pPr>
            <w:r>
              <w:rPr>
                <w:rFonts w:ascii="Arial" w:cs="Arial" w:eastAsia="Arial" w:hAnsi="Arial"/>
                <w:sz w:val="18"/>
                <w:szCs w:val="18"/>
                <w:color w:val="auto"/>
              </w:rPr>
              <w:t>March 31,</w:t>
            </w:r>
          </w:p>
        </w:tc>
        <w:tc>
          <w:tcPr>
            <w:tcW w:w="480" w:type="dxa"/>
            <w:vAlign w:val="bottom"/>
          </w:tcPr>
          <w:p>
            <w:pPr>
              <w:spacing w:after="0"/>
              <w:rPr>
                <w:sz w:val="24"/>
                <w:szCs w:val="24"/>
                <w:color w:val="auto"/>
              </w:rPr>
            </w:pPr>
          </w:p>
        </w:tc>
        <w:tc>
          <w:tcPr>
            <w:tcW w:w="2160" w:type="dxa"/>
            <w:vAlign w:val="bottom"/>
          </w:tcPr>
          <w:p>
            <w:pPr>
              <w:jc w:val="right"/>
              <w:ind w:right="4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460" w:type="dxa"/>
            <w:vAlign w:val="bottom"/>
            <w:vMerge w:val="restart"/>
          </w:tcPr>
          <w:p>
            <w:pPr>
              <w:ind w:left="30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770"/>
              <w:spacing w:after="0"/>
              <w:rPr>
                <w:sz w:val="20"/>
                <w:szCs w:val="20"/>
                <w:color w:val="auto"/>
              </w:rPr>
            </w:pPr>
            <w:r>
              <w:rPr>
                <w:rFonts w:ascii="Arial" w:cs="Arial" w:eastAsia="Arial" w:hAnsi="Arial"/>
                <w:sz w:val="18"/>
                <w:szCs w:val="18"/>
                <w:color w:val="auto"/>
              </w:rPr>
              <w:t>2011</w:t>
            </w:r>
          </w:p>
        </w:tc>
        <w:tc>
          <w:tcPr>
            <w:tcW w:w="2640" w:type="dxa"/>
            <w:vAlign w:val="bottom"/>
            <w:gridSpan w:val="2"/>
          </w:tcPr>
          <w:p>
            <w:pPr>
              <w:jc w:val="right"/>
              <w:ind w:right="8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195"/>
        </w:trPr>
        <w:tc>
          <w:tcPr>
            <w:tcW w:w="6460" w:type="dxa"/>
            <w:vAlign w:val="bottom"/>
            <w:vMerge w:val="continue"/>
          </w:tcPr>
          <w:p>
            <w:pPr>
              <w:spacing w:after="0"/>
              <w:rPr>
                <w:sz w:val="16"/>
                <w:szCs w:val="16"/>
                <w:color w:val="auto"/>
              </w:rPr>
            </w:pPr>
          </w:p>
        </w:tc>
        <w:tc>
          <w:tcPr>
            <w:tcW w:w="2040" w:type="dxa"/>
            <w:vAlign w:val="bottom"/>
            <w:tcBorders>
              <w:top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$104,354</w:t>
            </w:r>
          </w:p>
        </w:tc>
        <w:tc>
          <w:tcPr>
            <w:tcW w:w="480" w:type="dxa"/>
            <w:vAlign w:val="bottom"/>
          </w:tcPr>
          <w:p>
            <w:pPr>
              <w:spacing w:after="0"/>
              <w:rPr>
                <w:sz w:val="16"/>
                <w:szCs w:val="16"/>
                <w:color w:val="auto"/>
              </w:rPr>
            </w:pPr>
          </w:p>
        </w:tc>
        <w:tc>
          <w:tcPr>
            <w:tcW w:w="216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106,117</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Inventory, net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154,601</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Term loan</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146,250</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148,126</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Bank line of credit</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60,000</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460" w:type="dxa"/>
            <w:vAlign w:val="bottom"/>
          </w:tcPr>
          <w:p>
            <w:pPr>
              <w:ind w:left="300"/>
              <w:spacing w:after="0"/>
              <w:rPr>
                <w:sz w:val="20"/>
                <w:szCs w:val="20"/>
                <w:color w:val="auto"/>
              </w:rPr>
            </w:pPr>
            <w:r>
              <w:rPr>
                <w:rFonts w:ascii="Arial" w:cs="Arial" w:eastAsia="Arial" w:hAnsi="Arial"/>
                <w:sz w:val="18"/>
                <w:szCs w:val="18"/>
                <w:color w:val="auto"/>
              </w:rPr>
              <w:t>Convertible securities</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156,824</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155,154</w:t>
            </w:r>
          </w:p>
        </w:tc>
        <w:tc>
          <w:tcPr>
            <w:tcW w:w="0" w:type="dxa"/>
            <w:vAlign w:val="bottom"/>
          </w:tcPr>
          <w:p>
            <w:pPr>
              <w:spacing w:after="0"/>
              <w:rPr>
                <w:sz w:val="1"/>
                <w:szCs w:val="1"/>
                <w:color w:val="auto"/>
              </w:rPr>
            </w:pPr>
          </w:p>
        </w:tc>
      </w:tr>
      <w:tr>
        <w:trPr>
          <w:trHeight w:val="230"/>
        </w:trPr>
        <w:tc>
          <w:tcPr>
            <w:tcW w:w="6460" w:type="dxa"/>
            <w:vAlign w:val="bottom"/>
          </w:tcPr>
          <w:p>
            <w:pPr>
              <w:ind w:left="300"/>
              <w:spacing w:after="0"/>
              <w:rPr>
                <w:sz w:val="20"/>
                <w:szCs w:val="20"/>
                <w:color w:val="auto"/>
              </w:rPr>
            </w:pPr>
            <w:r>
              <w:rPr>
                <w:rFonts w:ascii="Arial" w:cs="Arial" w:eastAsia="Arial" w:hAnsi="Arial"/>
                <w:sz w:val="18"/>
                <w:szCs w:val="18"/>
                <w:color w:val="auto"/>
              </w:rPr>
              <w:t>Stockholders’ equity</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527,586</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499,963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RECONCILIATION OF NON-GAAP ADJUSTMENTS – GUIDANCE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100" w:type="dxa"/>
            <w:vAlign w:val="bottom"/>
            <w:gridSpan w:val="3"/>
          </w:tcPr>
          <w:p>
            <w:pPr>
              <w:jc w:val="center"/>
              <w:ind w:left="450"/>
              <w:spacing w:after="0"/>
              <w:rPr>
                <w:sz w:val="20"/>
                <w:szCs w:val="20"/>
                <w:color w:val="auto"/>
              </w:rPr>
            </w:pPr>
            <w:r>
              <w:rPr>
                <w:rFonts w:ascii="Arial" w:cs="Arial" w:eastAsia="Arial" w:hAnsi="Arial"/>
                <w:sz w:val="18"/>
                <w:szCs w:val="18"/>
                <w:color w:val="auto"/>
                <w:w w:val="87"/>
              </w:rPr>
              <w:t>Recorded Year to</w:t>
            </w:r>
          </w:p>
        </w:tc>
        <w:tc>
          <w:tcPr>
            <w:tcW w:w="300" w:type="dxa"/>
            <w:vAlign w:val="bottom"/>
          </w:tcPr>
          <w:p>
            <w:pPr>
              <w:spacing w:after="0"/>
              <w:rPr>
                <w:sz w:val="18"/>
                <w:szCs w:val="18"/>
                <w:color w:val="auto"/>
              </w:rPr>
            </w:pPr>
          </w:p>
        </w:tc>
        <w:tc>
          <w:tcPr>
            <w:tcW w:w="2900" w:type="dxa"/>
            <w:vAlign w:val="bottom"/>
            <w:gridSpan w:val="3"/>
          </w:tcPr>
          <w:p>
            <w:pPr>
              <w:jc w:val="right"/>
              <w:ind w:right="730"/>
              <w:spacing w:after="0"/>
              <w:rPr>
                <w:sz w:val="20"/>
                <w:szCs w:val="20"/>
                <w:color w:val="auto"/>
              </w:rPr>
            </w:pPr>
            <w:r>
              <w:rPr>
                <w:rFonts w:ascii="Arial" w:cs="Arial" w:eastAsia="Arial" w:hAnsi="Arial"/>
                <w:sz w:val="18"/>
                <w:szCs w:val="18"/>
                <w:color w:val="auto"/>
              </w:rPr>
              <w:t>Projected Year Ended</w:t>
            </w:r>
          </w:p>
        </w:tc>
      </w:tr>
      <w:tr>
        <w:trPr>
          <w:trHeight w:val="216"/>
        </w:trPr>
        <w:tc>
          <w:tcPr>
            <w:tcW w:w="4540" w:type="dxa"/>
            <w:vAlign w:val="bottom"/>
          </w:tcPr>
          <w:p>
            <w:pPr>
              <w:spacing w:after="0"/>
              <w:rPr>
                <w:sz w:val="18"/>
                <w:szCs w:val="18"/>
                <w:color w:val="auto"/>
              </w:rPr>
            </w:pPr>
          </w:p>
        </w:tc>
        <w:tc>
          <w:tcPr>
            <w:tcW w:w="3100" w:type="dxa"/>
            <w:vAlign w:val="bottom"/>
            <w:gridSpan w:val="3"/>
          </w:tcPr>
          <w:p>
            <w:pPr>
              <w:ind w:left="840"/>
              <w:spacing w:after="0"/>
              <w:rPr>
                <w:sz w:val="20"/>
                <w:szCs w:val="20"/>
                <w:color w:val="auto"/>
              </w:rPr>
            </w:pPr>
            <w:r>
              <w:rPr>
                <w:rFonts w:ascii="Arial" w:cs="Arial" w:eastAsia="Arial" w:hAnsi="Arial"/>
                <w:sz w:val="18"/>
                <w:szCs w:val="18"/>
                <w:color w:val="auto"/>
              </w:rPr>
              <w:t>Date</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540" w:type="dxa"/>
            <w:vAlign w:val="bottom"/>
          </w:tcPr>
          <w:p>
            <w:pPr>
              <w:spacing w:after="0"/>
              <w:rPr>
                <w:sz w:val="20"/>
                <w:szCs w:val="20"/>
                <w:color w:val="auto"/>
              </w:rPr>
            </w:pPr>
          </w:p>
        </w:tc>
        <w:tc>
          <w:tcPr>
            <w:tcW w:w="310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March 31, 2011</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40" w:type="dxa"/>
            <w:vAlign w:val="bottom"/>
            <w:gridSpan w:val="2"/>
          </w:tcPr>
          <w:p>
            <w:pPr>
              <w:jc w:val="right"/>
              <w:ind w:right="810"/>
              <w:spacing w:after="0"/>
              <w:rPr>
                <w:sz w:val="20"/>
                <w:szCs w:val="20"/>
                <w:color w:val="auto"/>
              </w:rPr>
            </w:pPr>
            <w:r>
              <w:rPr>
                <w:rFonts w:ascii="Arial" w:cs="Arial" w:eastAsia="Arial" w:hAnsi="Arial"/>
                <w:sz w:val="18"/>
                <w:szCs w:val="18"/>
                <w:color w:val="auto"/>
                <w:w w:val="89"/>
              </w:rPr>
              <w:t>December 31, 2011</w:t>
            </w:r>
          </w:p>
        </w:tc>
      </w:tr>
      <w:tr>
        <w:trPr>
          <w:trHeight w:val="223"/>
        </w:trPr>
        <w:tc>
          <w:tcPr>
            <w:tcW w:w="4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6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High</w:t>
            </w: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GAAP net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$11,487</w:t>
            </w: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59,708</w:t>
            </w:r>
          </w:p>
        </w:tc>
        <w:tc>
          <w:tcPr>
            <w:tcW w:w="66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$64,208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Non-GAAP adjustments:</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10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3,240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Certain employee termination and related charges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340" w:type="dxa"/>
            <w:vAlign w:val="bottom"/>
            <w:gridSpan w:val="2"/>
          </w:tcPr>
          <w:p>
            <w:pPr>
              <w:jc w:val="right"/>
              <w:ind w:right="1290"/>
              <w:spacing w:after="0"/>
              <w:rPr>
                <w:sz w:val="20"/>
                <w:szCs w:val="20"/>
                <w:color w:val="auto"/>
              </w:rPr>
            </w:pPr>
            <w:r>
              <w:rPr>
                <w:rFonts w:ascii="Arial" w:cs="Arial" w:eastAsia="Arial" w:hAnsi="Arial"/>
                <w:sz w:val="18"/>
                <w:szCs w:val="18"/>
                <w:color w:val="auto"/>
              </w:rPr>
              <w:t>34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product lines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2,655</w:t>
            </w:r>
          </w:p>
        </w:tc>
        <w:tc>
          <w:tcPr>
            <w:tcW w:w="10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13,000</w:t>
            </w:r>
          </w:p>
        </w:tc>
      </w:tr>
    </w:tbl>
    <w:p>
      <w:pPr>
        <w:sectPr>
          <w:pgSz w:w="11900" w:h="16838" w:orient="portrait"/>
          <w:cols w:equalWidth="0" w:num="1">
            <w:col w:w="11360"/>
          </w:cols>
          <w:pgMar w:left="240" w:top="125" w:right="299" w:bottom="0" w:gutter="0" w:footer="0" w:header="0"/>
        </w:sectPr>
      </w:pPr>
    </w:p>
    <w:bookmarkStart w:id="11" w:name="page12"/>
    <w:bookmarkEnd w:id="11"/>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and distribution transfer charges</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1,822</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2,190</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Charges related to restructuring European entities</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Expenses related to our Chief Operating</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Officer joining the Company</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Non-cash amortization of imputed interest</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for convertible debt</w:t>
            </w:r>
          </w:p>
        </w:tc>
        <w:tc>
          <w:tcPr>
            <w:tcW w:w="1280" w:type="dxa"/>
            <w:vAlign w:val="bottom"/>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1,634</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6,710</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4,242</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16,950</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16,950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to above adjustments and certain</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infrequently occurring items</w:t>
            </w:r>
          </w:p>
        </w:tc>
        <w:tc>
          <w:tcPr>
            <w:tcW w:w="12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(3,414)</w:t>
            </w:r>
          </w:p>
        </w:tc>
        <w:tc>
          <w:tcPr>
            <w:tcW w:w="7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(16,100)</w:t>
            </w:r>
          </w:p>
        </w:tc>
        <w:tc>
          <w:tcPr>
            <w:tcW w:w="88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of non-GAAP adjustments</w:t>
            </w:r>
          </w:p>
        </w:tc>
        <w:tc>
          <w:tcPr>
            <w:tcW w:w="1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27,292</w:t>
            </w:r>
          </w:p>
        </w:tc>
        <w:tc>
          <w:tcPr>
            <w:tcW w:w="6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27,292</w:t>
            </w:r>
          </w:p>
        </w:tc>
        <w:tc>
          <w:tcPr>
            <w:tcW w:w="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Adjusted 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20,012</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87,000</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91,500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GAAP diluted net income per share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0.38</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Non-GAAP adjustments detailed above</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6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6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Adjusted diluted net income per share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6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1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1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30,185</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30,300</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30,300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Items included in GAAP net income guidance and location where each item is expected to be recorded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Projected Year Ended December 31, 2011</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2440" w:type="dxa"/>
            <w:vAlign w:val="bottom"/>
          </w:tcPr>
          <w:p>
            <w:pPr>
              <w:spacing w:after="0"/>
              <w:rPr>
                <w:sz w:val="20"/>
                <w:szCs w:val="20"/>
                <w:color w:val="auto"/>
              </w:rPr>
            </w:pPr>
            <w:r>
              <w:rPr>
                <w:rFonts w:ascii="Arial" w:cs="Arial" w:eastAsia="Arial" w:hAnsi="Arial"/>
                <w:sz w:val="14"/>
                <w:szCs w:val="14"/>
                <w:color w:val="auto"/>
              </w:rPr>
              <w:t>Item</w:t>
            </w:r>
          </w:p>
        </w:tc>
        <w:tc>
          <w:tcPr>
            <w:tcW w:w="180" w:type="dxa"/>
            <w:vAlign w:val="bottom"/>
          </w:tcPr>
          <w:p>
            <w:pPr>
              <w:spacing w:after="0"/>
              <w:rPr>
                <w:sz w:val="14"/>
                <w:szCs w:val="14"/>
                <w:color w:val="auto"/>
              </w:rPr>
            </w:pPr>
          </w:p>
        </w:tc>
        <w:tc>
          <w:tcPr>
            <w:tcW w:w="1280" w:type="dxa"/>
            <w:vAlign w:val="bottom"/>
          </w:tcPr>
          <w:p>
            <w:pPr>
              <w:jc w:val="right"/>
              <w:ind w:right="159"/>
              <w:spacing w:after="0"/>
              <w:rPr>
                <w:sz w:val="20"/>
                <w:szCs w:val="20"/>
                <w:color w:val="auto"/>
              </w:rPr>
            </w:pPr>
            <w:r>
              <w:rPr>
                <w:rFonts w:ascii="Arial" w:cs="Arial" w:eastAsia="Arial" w:hAnsi="Arial"/>
                <w:sz w:val="14"/>
                <w:szCs w:val="14"/>
                <w:color w:val="auto"/>
              </w:rPr>
              <w:t>Total Amount</w:t>
            </w:r>
          </w:p>
        </w:tc>
        <w:tc>
          <w:tcPr>
            <w:tcW w:w="18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COPR</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R&amp;D</w:t>
            </w:r>
          </w:p>
        </w:tc>
        <w:tc>
          <w:tcPr>
            <w:tcW w:w="180" w:type="dxa"/>
            <w:vAlign w:val="bottom"/>
          </w:tcPr>
          <w:p>
            <w:pPr>
              <w:spacing w:after="0"/>
              <w:rPr>
                <w:sz w:val="14"/>
                <w:szCs w:val="14"/>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SG&amp;A</w:t>
            </w:r>
          </w:p>
        </w:tc>
        <w:tc>
          <w:tcPr>
            <w:tcW w:w="18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Amort.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Interest Exp(Inc)</w:t>
            </w:r>
          </w:p>
        </w:tc>
        <w:tc>
          <w:tcPr>
            <w:tcW w:w="1240" w:type="dxa"/>
            <w:vAlign w:val="bottom"/>
            <w:gridSpan w:val="3"/>
          </w:tcPr>
          <w:p>
            <w:pPr>
              <w:ind w:left="180"/>
              <w:spacing w:after="0"/>
              <w:rPr>
                <w:sz w:val="20"/>
                <w:szCs w:val="20"/>
                <w:color w:val="auto"/>
              </w:rPr>
            </w:pPr>
            <w:r>
              <w:rPr>
                <w:rFonts w:ascii="Arial" w:cs="Arial" w:eastAsia="Arial" w:hAnsi="Arial"/>
                <w:sz w:val="14"/>
                <w:szCs w:val="14"/>
                <w:color w:val="auto"/>
              </w:rPr>
              <w:t>Other Exp(Inc)</w:t>
            </w:r>
          </w:p>
        </w:tc>
        <w:tc>
          <w:tcPr>
            <w:tcW w:w="980" w:type="dxa"/>
            <w:vAlign w:val="bottom"/>
          </w:tcPr>
          <w:p>
            <w:pPr>
              <w:jc w:val="right"/>
              <w:ind w:right="311"/>
              <w:spacing w:after="0"/>
              <w:rPr>
                <w:sz w:val="20"/>
                <w:szCs w:val="20"/>
                <w:color w:val="auto"/>
              </w:rPr>
            </w:pPr>
            <w:r>
              <w:rPr>
                <w:rFonts w:ascii="Arial" w:cs="Arial" w:eastAsia="Arial" w:hAnsi="Arial"/>
                <w:sz w:val="14"/>
                <w:szCs w:val="14"/>
                <w:color w:val="auto"/>
              </w:rPr>
              <w:t>Tax</w:t>
            </w:r>
          </w:p>
        </w:tc>
      </w:tr>
      <w:tr>
        <w:trPr>
          <w:trHeight w:val="195"/>
        </w:trPr>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Acquisition-related charges</w:t>
            </w:r>
          </w:p>
        </w:tc>
        <w:tc>
          <w:tcPr>
            <w:tcW w:w="180" w:type="dxa"/>
            <w:vAlign w:val="bottom"/>
          </w:tcPr>
          <w:p>
            <w:pPr>
              <w:spacing w:after="0"/>
              <w:rPr>
                <w:sz w:val="16"/>
                <w:szCs w:val="16"/>
                <w:color w:val="auto"/>
              </w:rPr>
            </w:pPr>
          </w:p>
        </w:tc>
        <w:tc>
          <w:tcPr>
            <w:tcW w:w="1280" w:type="dxa"/>
            <w:vAlign w:val="bottom"/>
            <w:tcBorders>
              <w:top w:val="single" w:sz="8" w:color="auto"/>
            </w:tcBorders>
          </w:tcPr>
          <w:p>
            <w:pPr>
              <w:jc w:val="right"/>
              <w:ind w:right="339"/>
              <w:spacing w:after="0" w:line="195" w:lineRule="exact"/>
              <w:rPr>
                <w:sz w:val="20"/>
                <w:szCs w:val="20"/>
                <w:color w:val="auto"/>
              </w:rPr>
            </w:pPr>
            <w:r>
              <w:rPr>
                <w:rFonts w:ascii="Arial" w:cs="Arial" w:eastAsia="Arial" w:hAnsi="Arial"/>
                <w:sz w:val="18"/>
                <w:szCs w:val="18"/>
                <w:color w:val="auto"/>
              </w:rPr>
              <w:t>$  3,240</w:t>
            </w:r>
          </w:p>
        </w:tc>
        <w:tc>
          <w:tcPr>
            <w:tcW w:w="180" w:type="dxa"/>
            <w:vAlign w:val="bottom"/>
          </w:tcPr>
          <w:p>
            <w:pPr>
              <w:spacing w:after="0"/>
              <w:rPr>
                <w:sz w:val="16"/>
                <w:szCs w:val="16"/>
                <w:color w:val="auto"/>
              </w:rPr>
            </w:pPr>
          </w:p>
        </w:tc>
        <w:tc>
          <w:tcPr>
            <w:tcW w:w="640" w:type="dxa"/>
            <w:vAlign w:val="bottom"/>
            <w:tcBorders>
              <w:top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w w:val="99"/>
              </w:rPr>
              <w:t>$  780</w:t>
            </w:r>
          </w:p>
        </w:tc>
        <w:tc>
          <w:tcPr>
            <w:tcW w:w="180" w:type="dxa"/>
            <w:vAlign w:val="bottom"/>
          </w:tcPr>
          <w:p>
            <w:pPr>
              <w:spacing w:after="0"/>
              <w:rPr>
                <w:sz w:val="16"/>
                <w:szCs w:val="16"/>
                <w:color w:val="auto"/>
              </w:rPr>
            </w:pPr>
          </w:p>
        </w:tc>
        <w:tc>
          <w:tcPr>
            <w:tcW w:w="460" w:type="dxa"/>
            <w:vAlign w:val="bottom"/>
            <w:tcBorders>
              <w:top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w w:val="84"/>
              </w:rPr>
              <w:t>$300</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ind w:right="52"/>
              <w:spacing w:after="0" w:line="195" w:lineRule="exact"/>
              <w:rPr>
                <w:sz w:val="20"/>
                <w:szCs w:val="20"/>
                <w:color w:val="auto"/>
              </w:rPr>
            </w:pPr>
            <w:r>
              <w:rPr>
                <w:rFonts w:ascii="Arial" w:cs="Arial" w:eastAsia="Arial" w:hAnsi="Arial"/>
                <w:sz w:val="18"/>
                <w:szCs w:val="18"/>
                <w:color w:val="auto"/>
              </w:rPr>
              <w:t>$ 2,160</w:t>
            </w:r>
          </w:p>
        </w:tc>
        <w:tc>
          <w:tcPr>
            <w:tcW w:w="180" w:type="dxa"/>
            <w:vAlign w:val="bottom"/>
          </w:tcPr>
          <w:p>
            <w:pPr>
              <w:spacing w:after="0"/>
              <w:rPr>
                <w:sz w:val="16"/>
                <w:szCs w:val="16"/>
                <w:color w:val="auto"/>
              </w:rPr>
            </w:pPr>
          </w:p>
        </w:tc>
        <w:tc>
          <w:tcPr>
            <w:tcW w:w="780" w:type="dxa"/>
            <w:vAlign w:val="bottom"/>
            <w:tcBorders>
              <w:top w:val="single" w:sz="8" w:color="auto"/>
            </w:tcBorders>
          </w:tcPr>
          <w:p>
            <w:pPr>
              <w:jc w:val="right"/>
              <w:ind w:right="52"/>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140" w:type="dxa"/>
            <w:vAlign w:val="bottom"/>
            <w:tcBorders>
              <w:top w:val="single" w:sz="8" w:color="auto"/>
            </w:tcBorders>
          </w:tcPr>
          <w:p>
            <w:pPr>
              <w:jc w:val="right"/>
              <w:ind w:right="412"/>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ind w:right="171"/>
              <w:spacing w:after="0" w:line="195" w:lineRule="exact"/>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Certain employee termination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and related 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248</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Charges associated with</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discontinued or withdrawn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1"/>
              </w:rPr>
              <w:t>Systems implementation 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13,000</w:t>
            </w:r>
          </w:p>
        </w:tc>
        <w:tc>
          <w:tcPr>
            <w:tcW w:w="18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13,000</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Facility consolidation,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4"/>
              </w:rPr>
              <w:t>manufacturing and distribution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transfer charges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2,190</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1,120</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5"/>
              </w:rPr>
              <w:t>Charges related to restructuring</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European entities</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720</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Expenses related to our Chief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Operating Officer joining the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Company</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2"/>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Non-cash amortization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2"/>
              </w:rPr>
              <w:t>imputed interest for convertible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debt</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6,710</w:t>
            </w:r>
          </w:p>
        </w:tc>
        <w:tc>
          <w:tcPr>
            <w:tcW w:w="180" w:type="dxa"/>
            <w:vAlign w:val="bottom"/>
          </w:tcPr>
          <w:p>
            <w:pPr>
              <w:spacing w:after="0"/>
              <w:rPr>
                <w:sz w:val="18"/>
                <w:szCs w:val="18"/>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12"/>
              <w:spacing w:after="0"/>
              <w:rPr>
                <w:sz w:val="20"/>
                <w:szCs w:val="20"/>
                <w:color w:val="auto"/>
              </w:rPr>
            </w:pPr>
            <w:r>
              <w:rPr>
                <w:rFonts w:ascii="Arial" w:cs="Arial" w:eastAsia="Arial" w:hAnsi="Arial"/>
                <w:sz w:val="18"/>
                <w:szCs w:val="18"/>
                <w:color w:val="auto"/>
              </w:rPr>
              <w:t>6,710</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expense</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16,950</w:t>
            </w:r>
          </w:p>
        </w:tc>
        <w:tc>
          <w:tcPr>
            <w:tcW w:w="820" w:type="dxa"/>
            <w:vAlign w:val="bottom"/>
            <w:gridSpan w:val="2"/>
          </w:tcPr>
          <w:p>
            <w:pPr>
              <w:jc w:val="right"/>
              <w:ind w:right="33"/>
              <w:spacing w:after="0"/>
              <w:rPr>
                <w:sz w:val="20"/>
                <w:szCs w:val="20"/>
                <w:color w:val="auto"/>
              </w:rPr>
            </w:pPr>
            <w:r>
              <w:rPr>
                <w:rFonts w:ascii="Arial" w:cs="Arial" w:eastAsia="Arial" w:hAnsi="Arial"/>
                <w:sz w:val="18"/>
                <w:szCs w:val="18"/>
                <w:color w:val="auto"/>
              </w:rPr>
              <w:t>5,980</w:t>
            </w:r>
          </w:p>
        </w:tc>
        <w:tc>
          <w:tcPr>
            <w:tcW w:w="180" w:type="dxa"/>
            <w:vAlign w:val="bottom"/>
          </w:tcPr>
          <w:p>
            <w:pPr>
              <w:spacing w:after="0"/>
              <w:rPr>
                <w:sz w:val="18"/>
                <w:szCs w:val="18"/>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
              <w:spacing w:after="0"/>
              <w:rPr>
                <w:sz w:val="20"/>
                <w:szCs w:val="20"/>
                <w:color w:val="auto"/>
              </w:rPr>
            </w:pPr>
            <w:r>
              <w:rPr>
                <w:rFonts w:ascii="Arial" w:cs="Arial" w:eastAsia="Arial" w:hAnsi="Arial"/>
                <w:sz w:val="18"/>
                <w:szCs w:val="18"/>
                <w:color w:val="auto"/>
              </w:rPr>
              <w:t>10,970</w:t>
            </w:r>
          </w:p>
        </w:tc>
        <w:tc>
          <w:tcPr>
            <w:tcW w:w="18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Income tax expense related to</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8"/>
              </w:rPr>
              <w:t>above adjustments, quarterly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adjustments to income tax</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expense related to the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6"/>
              </w:rPr>
              <w:t>cumulative impact of changes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rPr>
              <w:t>in estimated tax rates and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8"/>
              </w:rPr>
              <w:t>certain infrequently occurring</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440" w:type="dxa"/>
            <w:vAlign w:val="bottom"/>
          </w:tcPr>
          <w:p>
            <w:pPr>
              <w:ind w:left="140"/>
              <w:spacing w:after="0"/>
              <w:rPr>
                <w:sz w:val="20"/>
                <w:szCs w:val="20"/>
                <w:color w:val="auto"/>
              </w:rPr>
            </w:pPr>
            <w:r>
              <w:rPr>
                <w:rFonts w:ascii="Arial" w:cs="Arial" w:eastAsia="Arial" w:hAnsi="Arial"/>
                <w:sz w:val="18"/>
                <w:szCs w:val="18"/>
                <w:color w:val="auto"/>
                <w:w w:val="91"/>
              </w:rPr>
              <w:t>items that affected the reported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tax rate</w:t>
            </w:r>
          </w:p>
        </w:tc>
        <w:tc>
          <w:tcPr>
            <w:tcW w:w="1460" w:type="dxa"/>
            <w:vAlign w:val="bottom"/>
            <w:gridSpan w:val="2"/>
          </w:tcPr>
          <w:p>
            <w:pPr>
              <w:jc w:val="right"/>
              <w:ind w:right="279"/>
              <w:spacing w:after="0"/>
              <w:rPr>
                <w:sz w:val="20"/>
                <w:szCs w:val="20"/>
                <w:color w:val="auto"/>
              </w:rPr>
            </w:pPr>
            <w:r>
              <w:rPr>
                <w:rFonts w:ascii="Arial" w:cs="Arial" w:eastAsia="Arial" w:hAnsi="Arial"/>
                <w:sz w:val="18"/>
                <w:szCs w:val="18"/>
                <w:color w:val="auto"/>
              </w:rPr>
              <w:t>(16,100)</w:t>
            </w:r>
          </w:p>
        </w:tc>
        <w:tc>
          <w:tcPr>
            <w:tcW w:w="180" w:type="dxa"/>
            <w:vAlign w:val="bottom"/>
          </w:tcPr>
          <w:p>
            <w:pPr>
              <w:spacing w:after="0"/>
              <w:rPr>
                <w:sz w:val="20"/>
                <w:szCs w:val="20"/>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(16,100)</w:t>
            </w:r>
          </w:p>
        </w:tc>
      </w:tr>
    </w:tbl>
    <w:p>
      <w:pPr>
        <w:spacing w:after="0" w:line="175" w:lineRule="exact"/>
        <w:rPr>
          <w:sz w:val="20"/>
          <w:szCs w:val="20"/>
          <w:color w:val="auto"/>
        </w:rPr>
      </w:pPr>
    </w:p>
    <w:p>
      <w:pPr>
        <w:sectPr>
          <w:pgSz w:w="11900" w:h="16838" w:orient="portrait"/>
          <w:cols w:equalWidth="0" w:num="1">
            <w:col w:w="11140"/>
          </w:cols>
          <w:pgMar w:left="240" w:top="125" w:right="519" w:bottom="1440" w:gutter="0" w:footer="0" w:header="0"/>
        </w:sectPr>
      </w:pPr>
    </w:p>
    <w:p>
      <w:pPr>
        <w:spacing w:after="0"/>
        <w:rPr>
          <w:sz w:val="20"/>
          <w:szCs w:val="20"/>
          <w:color w:val="auto"/>
        </w:rPr>
      </w:pPr>
      <w:r>
        <w:rPr>
          <w:rFonts w:ascii="Arial" w:cs="Arial" w:eastAsia="Arial" w:hAnsi="Arial"/>
          <w:sz w:val="16"/>
          <w:szCs w:val="16"/>
          <w:i w:val="1"/>
          <w:iCs w:val="1"/>
          <w:color w:val="auto"/>
        </w:rPr>
        <w:t>Source: Integra LifeSciences Holdings Corporation</w:t>
      </w:r>
    </w:p>
    <w:sectPr>
      <w:pgSz w:w="11900" w:h="16838" w:orient="portrait"/>
      <w:cols w:equalWidth="0" w:num="1">
        <w:col w:w="11140"/>
      </w:cols>
      <w:pgMar w:left="24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Roman"/>
      <w:start w:val="3"/>
    </w:lvl>
  </w:abstractNum>
  <w:abstractNum w:abstractNumId="8">
    <w:nsid w:val="1F16E9E8"/>
    <w:multiLevelType w:val="hybridMultilevel"/>
    <w:lvl w:ilvl="0">
      <w:lvlJc w:val="left"/>
      <w:lvlText w:val="(%1)"/>
      <w:numFmt w:val="lowerRoman"/>
      <w:start w:val="6"/>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Letter"/>
      <w:start w:val="2"/>
    </w:lvl>
  </w:abstractNum>
  <w:abstractNum w:abstractNumId="11">
    <w:nsid w:val="140E0F76"/>
    <w:multiLevelType w:val="hybridMultilevel"/>
    <w:lvl w:ilvl="0">
      <w:lvlJc w:val="left"/>
      <w:lvlText w:val="%1)"/>
      <w:numFmt w:val="lowerLetter"/>
      <w:start w:val="6"/>
    </w:lvl>
    <w:lvl w:ilvl="1">
      <w:lvlJc w:val="left"/>
      <w:lvlText w:val="%2)"/>
      <w:numFmt w:val="lowerLetter"/>
      <w:start w:val="7"/>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2019-12-10T13:08:38Z</dcterms:created>
  <dcterms:modified xsi:type="dcterms:W3CDTF">2019-12-10T13:08:38Z</dcterms:modified>
</cp:coreProperties>
</file>