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911860</wp:posOffset>
            </wp:positionV>
            <wp:extent cx="6677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937895</wp:posOffset>
            </wp:positionV>
            <wp:extent cx="6677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8"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ectPr>
          <w:pgSz w:w="11900" w:h="16838" w:orient="portrait"/>
          <w:cols w:equalWidth="0" w:num="1">
            <w:col w:w="10700"/>
          </w:cols>
          <w:pgMar w:left="320" w:top="1440" w:right="879" w:bottom="1440" w:gutter="0" w:footer="0" w:header="0"/>
        </w:sectPr>
      </w:pPr>
    </w:p>
    <w:p>
      <w:pPr>
        <w:spacing w:after="0" w:line="147" w:lineRule="exact"/>
        <w:rPr>
          <w:sz w:val="24"/>
          <w:szCs w:val="24"/>
          <w:color w:val="auto"/>
        </w:rPr>
      </w:pPr>
    </w:p>
    <w:p>
      <w:pPr>
        <w:ind w:left="3020" w:firstLine="53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Proxy Statement Pursuant to Section 14(a) of the Securities Exchange Act of 1934 (Amendment No. </w:t>
      </w:r>
      <w:r>
        <w:rPr>
          <w:rFonts w:ascii="Times New Roman" w:cs="Times New Roman" w:eastAsia="Times New Roman" w:hAnsi="Times New Roman"/>
          <w:sz w:val="22"/>
          <w:szCs w:val="22"/>
          <w:color w:val="auto"/>
        </w:rPr>
        <w:t>_____________________</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385" w:lineRule="exact"/>
        <w:rPr>
          <w:sz w:val="24"/>
          <w:szCs w:val="24"/>
          <w:color w:val="auto"/>
        </w:rPr>
      </w:pPr>
    </w:p>
    <w:p>
      <w:pPr>
        <w:sectPr>
          <w:pgSz w:w="11900" w:h="16838" w:orient="portrait"/>
          <w:cols w:equalWidth="0" w:num="2">
            <w:col w:w="7940" w:space="220"/>
            <w:col w:w="2540"/>
          </w:cols>
          <w:pgMar w:left="320" w:top="1440" w:right="8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 xml:space="preserve">Filed by the Registrant </w:t>
      </w: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5"/>
          <w:szCs w:val="15"/>
          <w:b w:val="1"/>
          <w:bCs w:val="1"/>
          <w:color w:val="auto"/>
        </w:rPr>
        <w:t>o</w:t>
      </w:r>
    </w:p>
    <w:p>
      <w:pPr>
        <w:spacing w:after="0" w:line="113" w:lineRule="exact"/>
        <w:rPr>
          <w:sz w:val="24"/>
          <w:szCs w:val="24"/>
          <w:color w:val="auto"/>
        </w:rPr>
      </w:pPr>
    </w:p>
    <w:p>
      <w:pPr>
        <w:sectPr>
          <w:pgSz w:w="11900" w:h="16838" w:orient="portrait"/>
          <w:cols w:equalWidth="0" w:num="3">
            <w:col w:w="2160" w:space="720"/>
            <w:col w:w="2660" w:space="80"/>
            <w:col w:w="5080"/>
          </w:cols>
          <w:pgMar w:left="320" w:top="1440" w:right="8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ectPr>
          <w:pgSz w:w="11900" w:h="16838" w:orient="portrait"/>
          <w:cols w:equalWidth="0" w:num="1">
            <w:col w:w="10700"/>
          </w:cols>
          <w:pgMar w:left="320" w:top="1440" w:right="879" w:bottom="1440" w:gutter="0" w:footer="0" w:header="0"/>
          <w:type w:val="continuous"/>
        </w:sectPr>
      </w:pPr>
    </w:p>
    <w:p>
      <w:pPr>
        <w:spacing w:after="0" w:line="181"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Preliminary Proxy Statement</w:t>
      </w:r>
    </w:p>
    <w:p>
      <w:pPr>
        <w:spacing w:after="0" w:line="57" w:lineRule="exact"/>
        <w:rPr>
          <w:rFonts w:ascii="Wingdings" w:cs="Wingdings" w:eastAsia="Wingdings" w:hAnsi="Wingdings"/>
          <w:sz w:val="16"/>
          <w:szCs w:val="16"/>
          <w:b w:val="1"/>
          <w:bCs w:val="1"/>
          <w:color w:val="auto"/>
        </w:rPr>
      </w:pPr>
    </w:p>
    <w:p>
      <w:pPr>
        <w:ind w:left="20" w:right="4700" w:firstLine="6"/>
        <w:spacing w:after="0" w:line="318" w:lineRule="auto"/>
        <w:tabs>
          <w:tab w:leader="none" w:pos="452"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 xml:space="preserve">Confidential, for Use of the Commission Only (as permitted by Rule 14a-6(e)(2)) </w:t>
      </w:r>
      <w:r>
        <w:rPr>
          <w:rFonts w:ascii="Wingdings" w:cs="Wingdings" w:eastAsia="Wingdings" w:hAnsi="Wingdings"/>
          <w:sz w:val="16"/>
          <w:szCs w:val="16"/>
          <w:b w:val="1"/>
          <w:bCs w:val="1"/>
          <w:color w:val="auto"/>
        </w:rPr>
        <w:t xml:space="preserve">x </w:t>
      </w:r>
      <w:r>
        <w:rPr>
          <w:rFonts w:ascii="Times New Roman" w:cs="Times New Roman" w:eastAsia="Times New Roman" w:hAnsi="Times New Roman"/>
          <w:sz w:val="16"/>
          <w:szCs w:val="16"/>
          <w:color w:val="auto"/>
        </w:rPr>
        <w:t>Definitive Proxy Statement</w:t>
      </w:r>
    </w:p>
    <w:p>
      <w:pPr>
        <w:ind w:left="460" w:hanging="434"/>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Definitive Additional Materials</w:t>
      </w:r>
    </w:p>
    <w:p>
      <w:pPr>
        <w:spacing w:after="0" w:line="59" w:lineRule="exact"/>
        <w:rPr>
          <w:rFonts w:ascii="Wingdings" w:cs="Wingdings" w:eastAsia="Wingdings" w:hAnsi="Wingdings"/>
          <w:sz w:val="16"/>
          <w:szCs w:val="16"/>
          <w:b w:val="1"/>
          <w:bCs w:val="1"/>
          <w:color w:val="auto"/>
        </w:rPr>
      </w:pPr>
    </w:p>
    <w:p>
      <w:pPr>
        <w:ind w:left="460" w:hanging="434"/>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Soliciting Material under §240.14a-12</w:t>
      </w:r>
    </w:p>
    <w:p>
      <w:pPr>
        <w:spacing w:after="0" w:line="195"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9"/>
          <w:szCs w:val="39"/>
          <w:b w:val="1"/>
          <w:bCs w:val="1"/>
          <w:color w:val="auto"/>
        </w:rPr>
        <w:t>INTEGRA LIFESCIENCES HOLDINGS CORPORATION</w:t>
      </w:r>
    </w:p>
    <w:p>
      <w:pPr>
        <w:spacing w:after="0" w:line="6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9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67"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No fee required.</w:t>
      </w:r>
    </w:p>
    <w:p>
      <w:pPr>
        <w:spacing w:after="0" w:line="149" w:lineRule="exact"/>
        <w:rPr>
          <w:sz w:val="24"/>
          <w:szCs w:val="24"/>
          <w:color w:val="auto"/>
        </w:rPr>
      </w:pPr>
    </w:p>
    <w:p>
      <w:pPr>
        <w:ind w:left="360" w:hanging="334"/>
        <w:spacing w:after="0"/>
        <w:tabs>
          <w:tab w:leader="none" w:pos="360" w:val="left"/>
        </w:tabs>
        <w:numPr>
          <w:ilvl w:val="0"/>
          <w:numId w:val="3"/>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Wingdings" w:cs="Wingdings" w:eastAsia="Wingdings" w:hAnsi="Wingdings"/>
          <w:sz w:val="16"/>
          <w:szCs w:val="16"/>
          <w:b w:val="1"/>
          <w:bCs w:val="1"/>
          <w:color w:val="auto"/>
        </w:rPr>
      </w:pPr>
    </w:p>
    <w:p>
      <w:pPr>
        <w:ind w:left="360" w:hanging="334"/>
        <w:spacing w:after="0"/>
        <w:tabs>
          <w:tab w:leader="none" w:pos="360" w:val="left"/>
        </w:tabs>
        <w:numPr>
          <w:ilvl w:val="0"/>
          <w:numId w:val="3"/>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819150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6755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6755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ectPr>
          <w:pgSz w:w="11900" w:h="16838" w:orient="portrait"/>
          <w:cols w:equalWidth="0" w:num="1">
            <w:col w:w="10700"/>
          </w:cols>
          <w:pgMar w:left="320" w:top="1440" w:right="879" w:bottom="1440" w:gutter="0" w:footer="0" w:header="0"/>
          <w:type w:val="continuous"/>
        </w:sectPr>
      </w:pPr>
    </w:p>
    <w:bookmarkStart w:id="1" w:name="page2"/>
    <w:bookmarkEnd w:id="1"/>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6182995</wp:posOffset>
            </wp:positionH>
            <wp:positionV relativeFrom="page">
              <wp:posOffset>997585</wp:posOffset>
            </wp:positionV>
            <wp:extent cx="1148715" cy="488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488315"/>
                    </a:xfrm>
                    <a:prstGeom prst="rect">
                      <a:avLst/>
                    </a:prstGeom>
                    <a:noFill/>
                  </pic:spPr>
                </pic:pic>
              </a:graphicData>
            </a:graphic>
          </wp:anchor>
        </w:drawing>
      </w:r>
    </w:p>
    <w:p>
      <w:pPr>
        <w:ind w:right="6240"/>
        <w:spacing w:after="0" w:line="302" w:lineRule="auto"/>
        <w:rPr>
          <w:sz w:val="20"/>
          <w:szCs w:val="20"/>
          <w:color w:val="auto"/>
        </w:rPr>
      </w:pPr>
      <w:r>
        <w:rPr>
          <w:rFonts w:ascii="Arial" w:cs="Arial" w:eastAsia="Arial" w:hAnsi="Arial"/>
          <w:sz w:val="35"/>
          <w:szCs w:val="35"/>
          <w:color w:val="009845"/>
        </w:rPr>
        <w:t>MESSAGE FROM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32320" cy="1825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82562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Dear Shareholders,</w:t>
      </w:r>
    </w:p>
    <w:p>
      <w:pPr>
        <w:spacing w:after="0" w:line="72" w:lineRule="exact"/>
        <w:rPr>
          <w:sz w:val="20"/>
          <w:szCs w:val="20"/>
          <w:color w:val="auto"/>
        </w:rPr>
      </w:pPr>
    </w:p>
    <w:p>
      <w:pPr>
        <w:ind w:right="3320"/>
        <w:spacing w:after="0" w:line="312" w:lineRule="auto"/>
        <w:rPr>
          <w:sz w:val="20"/>
          <w:szCs w:val="20"/>
          <w:color w:val="auto"/>
        </w:rPr>
      </w:pPr>
      <w:r>
        <w:rPr>
          <w:rFonts w:ascii="Arial" w:cs="Arial" w:eastAsia="Arial" w:hAnsi="Arial"/>
          <w:sz w:val="16"/>
          <w:szCs w:val="16"/>
          <w:color w:val="58595B"/>
        </w:rPr>
        <w:t>In 2025, Integra LifeSciences advanced our transformation agenda and executed with discipline despite a challenging operating environment. I want to acknowledge the dedication and resilience demonstrated by our teams across Integra, who remained focused on our mission. Their efforts accelerated the momentum behind our enterprise-wide transformation and reinforced our confidence in the road ahead.</w:t>
      </w:r>
    </w:p>
    <w:p>
      <w:pPr>
        <w:spacing w:after="0" w:line="83" w:lineRule="exact"/>
        <w:rPr>
          <w:sz w:val="20"/>
          <w:szCs w:val="20"/>
          <w:color w:val="auto"/>
        </w:rPr>
      </w:pPr>
    </w:p>
    <w:p>
      <w:pPr>
        <w:jc w:val="both"/>
        <w:ind w:right="3580"/>
        <w:spacing w:after="0" w:line="310" w:lineRule="auto"/>
        <w:rPr>
          <w:sz w:val="20"/>
          <w:szCs w:val="20"/>
          <w:color w:val="auto"/>
        </w:rPr>
      </w:pPr>
      <w:r>
        <w:rPr>
          <w:rFonts w:ascii="Arial" w:cs="Arial" w:eastAsia="Arial" w:hAnsi="Arial"/>
          <w:sz w:val="16"/>
          <w:szCs w:val="16"/>
          <w:color w:val="58595B"/>
        </w:rPr>
        <w:t>Throughout the year, we advanced initiatives that strengthened operational reliability, improved customer confidence, and supported profitable growth. Full-year 2025 revenue reached $1.64 billion, an increase of 1.5% on a reported basis, reflecting stable demand across our portfolio despite operational headwinds.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58595B"/>
        </w:rPr>
        <w:t>We initiated a multi-year enterprise transformation designed to sharpen our focus, strengthen execution, and advance a culture of quality and performance. To achieve this, we developed a plan structured across two horizons. The first horizon focuses on building a sustainable foundation – quality management system enhancements, supply chain reliability, and rigorous execution. The second horizon centers on accelerating growth. These priorities are not sequential; rather, they run in parallel as we continue investing in high-priority innovation and clinical evidence programs that support long-term growth.</w:t>
      </w:r>
    </w:p>
    <w:p>
      <w:pPr>
        <w:spacing w:after="0" w:line="101"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58595B"/>
        </w:rPr>
        <w:t>Our work on the first horizon is intentional and disciplined. We have invested heavily in strengthening our quality management system, improving supply chain planning and manufacturing excellence, and embedding continuous improvement across the organization. These enhancements translate into better customer service, improved inventory and working capital management, productivity and yield gains, and ultimately stronger margins and profitability. The second horizon builds on this foundation, expanding our growth trajectory and bringing new technology and solutions to the market faster and more effectively.</w:t>
      </w:r>
    </w:p>
    <w:p>
      <w:pPr>
        <w:spacing w:after="0" w:line="90" w:lineRule="exact"/>
        <w:rPr>
          <w:sz w:val="20"/>
          <w:szCs w:val="20"/>
          <w:color w:val="auto"/>
        </w:rPr>
      </w:pPr>
    </w:p>
    <w:p>
      <w:pPr>
        <w:spacing w:after="0" w:line="304" w:lineRule="auto"/>
        <w:rPr>
          <w:sz w:val="20"/>
          <w:szCs w:val="20"/>
          <w:color w:val="auto"/>
        </w:rPr>
      </w:pPr>
      <w:r>
        <w:rPr>
          <w:rFonts w:ascii="Arial" w:cs="Arial" w:eastAsia="Arial" w:hAnsi="Arial"/>
          <w:sz w:val="16"/>
          <w:szCs w:val="16"/>
          <w:color w:val="58595B"/>
        </w:rPr>
        <w:t>This focused execution in 2025 enabled us to relaunch key products (PriMatrix® and Durepair®) ahead of schedule, improve manufacturing yields, and maintain progress on major milestones, including the Braintree facility build-out and our in-China-for-China strategy. At the same time, we advanced impactful innovation through new product introductions in neurosurgery and surgical portfolios. We launched the Mayfield® Ghost Base Unit and Post in the U.S., achieved 510(k) clearance for expanded surgical applications of CUSA® Clarity, and initiated the first patient enrollment in the AERA Pediatric Registry to advance treatment options for pediatric ear nose and throat conditions.</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6"/>
          <w:szCs w:val="16"/>
          <w:color w:val="58595B"/>
        </w:rPr>
        <w:t>As I reflect on my first year at Integra, my confidence in our purpose, our differentiated portfolio in attractive markets, and the resilience of our people has only deepened. We serve attractive, high-value markets where innovation and clinical differentiation matter – areas where we will continue to invest. We are addressing past challenges through systemic improvements and have laid the groundwork for a stronger, more efficient organization, which positions us for delivering sustainable growth, profitability, and value-creation well into the future.</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58595B"/>
        </w:rPr>
        <w:t>We have a clear purpose and vision: to restore lives and advance transformational care and deliver impactful innovation across the highly specialized markets we serve. Our portfolio continues to be trusted and relied upon by healthcare providers worldwide, supported by decades of clinical use and strong partnerships. Our products are essential components in critical procedures – from neurosurgery and the treatment of brain injuries, to burn care and complex wound reconstruction – positioning us well to uniquely deliver meaningful value for patients, customers and shareholders.</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Thank you for your continued trust and support.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899795" cy="402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9979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9845"/>
        </w:rPr>
        <w:t>Mojdeh Poul</w:t>
      </w:r>
    </w:p>
    <w:p>
      <w:pPr>
        <w:sectPr>
          <w:pgSz w:w="11900" w:h="16838" w:orient="portrait"/>
          <w:cols w:equalWidth="0" w:num="1">
            <w:col w:w="11140"/>
          </w:cols>
          <w:pgMar w:left="340" w:top="1440" w:right="419" w:bottom="1440" w:gutter="0" w:footer="0" w:header="0"/>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58595B"/>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495300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440" w:right="419" w:bottom="1440" w:gutter="0" w:footer="0" w:header="0"/>
          <w:type w:val="continuous"/>
        </w:sectPr>
      </w:pPr>
    </w:p>
    <w:bookmarkStart w:id="2" w:name="page3"/>
    <w:bookmarkEnd w:id="2"/>
    <w:p>
      <w:pPr>
        <w:ind w:right="5940"/>
        <w:spacing w:after="0" w:line="302" w:lineRule="auto"/>
        <w:rPr>
          <w:sz w:val="20"/>
          <w:szCs w:val="20"/>
          <w:color w:val="auto"/>
        </w:rPr>
      </w:pPr>
      <w:r>
        <w:rPr>
          <w:rFonts w:ascii="Arial" w:cs="Arial" w:eastAsia="Arial" w:hAnsi="Arial"/>
          <w:sz w:val="35"/>
          <w:szCs w:val="35"/>
          <w:color w:val="009845"/>
        </w:rPr>
        <w:drawing>
          <wp:anchor simplePos="0" relativeHeight="251657728" behindDoc="1" locked="0" layoutInCell="0" allowOverlap="1">
            <wp:simplePos x="0" y="0"/>
            <wp:positionH relativeFrom="page">
              <wp:posOffset>6182995</wp:posOffset>
            </wp:positionH>
            <wp:positionV relativeFrom="page">
              <wp:posOffset>517525</wp:posOffset>
            </wp:positionV>
            <wp:extent cx="1148715"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48715" cy="488950"/>
                    </a:xfrm>
                    <a:prstGeom prst="rect">
                      <a:avLst/>
                    </a:prstGeom>
                    <a:noFill/>
                  </pic:spPr>
                </pic:pic>
              </a:graphicData>
            </a:graphic>
          </wp:anchor>
        </w:drawing>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817" w:right="35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Time &amp; Date </w:t>
      </w:r>
      <w:r>
        <w:rPr>
          <w:sz w:val="1"/>
          <w:szCs w:val="1"/>
          <w:color w:val="auto"/>
        </w:rPr>
        <w:drawing>
          <wp:inline distT="0" distB="0" distL="0" distR="0">
            <wp:extent cx="145415" cy="1543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p>
    <w:p>
      <w:pPr>
        <w:spacing w:after="0" w:line="101" w:lineRule="exact"/>
        <w:rPr>
          <w:sz w:val="20"/>
          <w:szCs w:val="20"/>
          <w:color w:val="auto"/>
        </w:rPr>
      </w:pPr>
    </w:p>
    <w:p>
      <w:pPr>
        <w:ind w:right="340"/>
        <w:spacing w:after="0" w:line="367" w:lineRule="auto"/>
        <w:rPr>
          <w:sz w:val="20"/>
          <w:szCs w:val="20"/>
          <w:color w:val="auto"/>
        </w:rPr>
      </w:pPr>
      <w:r>
        <w:rPr>
          <w:rFonts w:ascii="Arial" w:cs="Arial" w:eastAsia="Arial" w:hAnsi="Arial"/>
          <w:sz w:val="16"/>
          <w:szCs w:val="16"/>
          <w:b w:val="1"/>
          <w:bCs w:val="1"/>
          <w:color w:val="009845"/>
        </w:rPr>
        <w:t>Thursday, May 7, 2026 9:00 a.m. local time</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Place </w:t>
      </w:r>
      <w:r>
        <w:rPr>
          <w:sz w:val="1"/>
          <w:szCs w:val="1"/>
          <w:color w:val="auto"/>
        </w:rPr>
        <w:drawing>
          <wp:inline distT="0" distB="0" distL="0" distR="0">
            <wp:extent cx="128905" cy="1543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54305"/>
                    </a:xfrm>
                    <a:prstGeom prst="rect">
                      <a:avLst/>
                    </a:prstGeom>
                    <a:noFill/>
                    <a:ln>
                      <a:noFill/>
                    </a:ln>
                  </pic:spPr>
                </pic:pic>
              </a:graphicData>
            </a:graphic>
          </wp:inline>
        </w:drawing>
      </w:r>
    </w:p>
    <w:p>
      <w:pPr>
        <w:spacing w:after="0" w:line="101" w:lineRule="exact"/>
        <w:rPr>
          <w:sz w:val="20"/>
          <w:szCs w:val="20"/>
          <w:color w:val="auto"/>
        </w:rPr>
      </w:pPr>
    </w:p>
    <w:p>
      <w:pPr>
        <w:ind w:right="480"/>
        <w:spacing w:after="0" w:line="290" w:lineRule="auto"/>
        <w:rPr>
          <w:sz w:val="20"/>
          <w:szCs w:val="20"/>
          <w:color w:val="auto"/>
        </w:rPr>
      </w:pPr>
      <w:r>
        <w:rPr>
          <w:rFonts w:ascii="Arial" w:cs="Arial" w:eastAsia="Arial" w:hAnsi="Arial"/>
          <w:sz w:val="16"/>
          <w:szCs w:val="16"/>
          <w:b w:val="1"/>
          <w:bCs w:val="1"/>
          <w:color w:val="009845"/>
        </w:rPr>
        <w:t>Integra LifeSciences Headquarters</w:t>
      </w:r>
    </w:p>
    <w:p>
      <w:pPr>
        <w:spacing w:after="0" w:line="1" w:lineRule="exact"/>
        <w:rPr>
          <w:sz w:val="20"/>
          <w:szCs w:val="20"/>
          <w:color w:val="auto"/>
        </w:rPr>
      </w:pPr>
    </w:p>
    <w:p>
      <w:pPr>
        <w:ind w:right="320"/>
        <w:spacing w:after="0" w:line="271" w:lineRule="auto"/>
        <w:rPr>
          <w:sz w:val="20"/>
          <w:szCs w:val="20"/>
          <w:color w:val="auto"/>
        </w:rPr>
      </w:pPr>
      <w:r>
        <w:rPr>
          <w:rFonts w:ascii="Arial" w:cs="Arial" w:eastAsia="Arial" w:hAnsi="Arial"/>
          <w:sz w:val="16"/>
          <w:szCs w:val="16"/>
          <w:b w:val="1"/>
          <w:bCs w:val="1"/>
          <w:color w:val="009845"/>
        </w:rPr>
        <w:t>1100 Campus Road, Princeton, New Jersey 08540</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Record Date</w:t>
      </w:r>
    </w:p>
    <w:p>
      <w:pPr>
        <w:spacing w:after="0" w:line="72" w:lineRule="exact"/>
        <w:rPr>
          <w:sz w:val="20"/>
          <w:szCs w:val="20"/>
          <w:color w:val="auto"/>
        </w:rPr>
      </w:pPr>
    </w:p>
    <w:p>
      <w:pPr>
        <w:spacing w:after="0" w:line="320" w:lineRule="auto"/>
        <w:rPr>
          <w:sz w:val="20"/>
          <w:szCs w:val="20"/>
          <w:color w:val="auto"/>
        </w:rPr>
      </w:pPr>
      <w:r>
        <w:rPr>
          <w:rFonts w:ascii="Arial" w:cs="Arial" w:eastAsia="Arial" w:hAnsi="Arial"/>
          <w:sz w:val="16"/>
          <w:szCs w:val="16"/>
          <w:b w:val="1"/>
          <w:bCs w:val="1"/>
          <w:color w:val="009845"/>
        </w:rPr>
        <w:t>Holders of record as of the close of business on March 13, 2026 are entitled to vote at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Annual Report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The 2025 Annual Report of</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Integra LifeSciences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Holdings Corporation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being mailed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simultaneously herewith.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The Annual Report is not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to be considered part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the proxy solicitation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materials.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To the Stockholders of Integra LifeSciences Holdings Corporation:</w:t>
      </w:r>
    </w:p>
    <w:p>
      <w:pPr>
        <w:spacing w:after="0" w:line="72" w:lineRule="exact"/>
        <w:rPr>
          <w:sz w:val="20"/>
          <w:szCs w:val="20"/>
          <w:color w:val="auto"/>
        </w:rPr>
      </w:pPr>
    </w:p>
    <w:p>
      <w:pPr>
        <w:ind w:right="160"/>
        <w:spacing w:after="0" w:line="318" w:lineRule="auto"/>
        <w:rPr>
          <w:sz w:val="20"/>
          <w:szCs w:val="20"/>
          <w:color w:val="auto"/>
        </w:rPr>
      </w:pPr>
      <w:r>
        <w:rPr>
          <w:rFonts w:ascii="Arial" w:cs="Arial" w:eastAsia="Arial" w:hAnsi="Arial"/>
          <w:sz w:val="16"/>
          <w:szCs w:val="16"/>
          <w:color w:val="58595B"/>
        </w:rPr>
        <w:t>NOTICE IS HEREBY GIVEN that the 2026 Annual Meeting of Stockholders (the “Annual Meeting”) of Integra LifeSciences Holdings Corporation (the “Company”) will be held at the Company's corporate headquarters, 1100 Campus Road, Princeton, New Jersey 08540, on May 7, 2026 at 9:00 a.m. local time for the following purposes as set forth in the proxy statement:</w:t>
      </w:r>
    </w:p>
    <w:p>
      <w:pPr>
        <w:spacing w:after="0" w:line="132" w:lineRule="exact"/>
        <w:rPr>
          <w:sz w:val="20"/>
          <w:szCs w:val="20"/>
          <w:color w:val="auto"/>
        </w:rPr>
      </w:pPr>
    </w:p>
    <w:p>
      <w:pPr>
        <w:ind w:left="320" w:right="600" w:hanging="235"/>
        <w:spacing w:after="0" w:line="339" w:lineRule="auto"/>
        <w:tabs>
          <w:tab w:leader="none" w:pos="320" w:val="left"/>
        </w:tabs>
        <w:numPr>
          <w:ilvl w:val="0"/>
          <w:numId w:val="4"/>
        </w:numPr>
        <w:rPr>
          <w:rFonts w:ascii="Arial" w:cs="Arial" w:eastAsia="Arial" w:hAnsi="Arial"/>
          <w:sz w:val="16"/>
          <w:szCs w:val="16"/>
          <w:color w:val="58595B"/>
        </w:rPr>
      </w:pPr>
      <w:r>
        <w:rPr>
          <w:rFonts w:ascii="Arial" w:cs="Arial" w:eastAsia="Arial" w:hAnsi="Arial"/>
          <w:sz w:val="16"/>
          <w:szCs w:val="16"/>
          <w:color w:val="58595B"/>
        </w:rPr>
        <w:t>To elect eight directors of the Company to serve until the next annual meeting of stockholders and until their successors are duly elected and qualified.</w:t>
      </w:r>
    </w:p>
    <w:p>
      <w:pPr>
        <w:spacing w:after="0" w:line="114" w:lineRule="exact"/>
        <w:rPr>
          <w:rFonts w:ascii="Arial" w:cs="Arial" w:eastAsia="Arial" w:hAnsi="Arial"/>
          <w:sz w:val="16"/>
          <w:szCs w:val="16"/>
          <w:color w:val="58595B"/>
        </w:rPr>
      </w:pPr>
    </w:p>
    <w:p>
      <w:pPr>
        <w:ind w:left="320" w:right="640" w:hanging="235"/>
        <w:spacing w:after="0" w:line="339" w:lineRule="auto"/>
        <w:tabs>
          <w:tab w:leader="none" w:pos="320" w:val="left"/>
        </w:tabs>
        <w:numPr>
          <w:ilvl w:val="0"/>
          <w:numId w:val="4"/>
        </w:numPr>
        <w:rPr>
          <w:rFonts w:ascii="Arial" w:cs="Arial" w:eastAsia="Arial" w:hAnsi="Arial"/>
          <w:sz w:val="16"/>
          <w:szCs w:val="16"/>
          <w:color w:val="58595B"/>
        </w:rPr>
      </w:pPr>
      <w:r>
        <w:rPr>
          <w:rFonts w:ascii="Arial" w:cs="Arial" w:eastAsia="Arial" w:hAnsi="Arial"/>
          <w:sz w:val="16"/>
          <w:szCs w:val="16"/>
          <w:color w:val="58595B"/>
        </w:rPr>
        <w:t>To ratify the appointment of PricewaterhouseCoopers LLP as the Company’s independent registered public accounting firm for the fiscal year 2026.</w:t>
      </w:r>
    </w:p>
    <w:p>
      <w:pPr>
        <w:spacing w:after="0" w:line="101" w:lineRule="exact"/>
        <w:rPr>
          <w:rFonts w:ascii="Arial" w:cs="Arial" w:eastAsia="Arial" w:hAnsi="Arial"/>
          <w:sz w:val="16"/>
          <w:szCs w:val="16"/>
          <w:color w:val="58595B"/>
        </w:rPr>
      </w:pPr>
    </w:p>
    <w:p>
      <w:pPr>
        <w:ind w:left="320" w:hanging="235"/>
        <w:spacing w:after="0"/>
        <w:tabs>
          <w:tab w:leader="none" w:pos="320" w:val="left"/>
        </w:tabs>
        <w:numPr>
          <w:ilvl w:val="0"/>
          <w:numId w:val="4"/>
        </w:numPr>
        <w:rPr>
          <w:rFonts w:ascii="Arial" w:cs="Arial" w:eastAsia="Arial" w:hAnsi="Arial"/>
          <w:sz w:val="16"/>
          <w:szCs w:val="16"/>
          <w:color w:val="58595B"/>
        </w:rPr>
      </w:pPr>
      <w:r>
        <w:rPr>
          <w:rFonts w:ascii="Arial" w:cs="Arial" w:eastAsia="Arial" w:hAnsi="Arial"/>
          <w:sz w:val="16"/>
          <w:szCs w:val="16"/>
          <w:color w:val="58595B"/>
        </w:rPr>
        <w:t>To approve, on an advisory basis, the compensation of our named executive officers.</w:t>
      </w:r>
    </w:p>
    <w:p>
      <w:pPr>
        <w:spacing w:after="0" w:line="221" w:lineRule="exact"/>
        <w:rPr>
          <w:rFonts w:ascii="Arial" w:cs="Arial" w:eastAsia="Arial" w:hAnsi="Arial"/>
          <w:sz w:val="16"/>
          <w:szCs w:val="16"/>
          <w:color w:val="58595B"/>
        </w:rPr>
      </w:pPr>
    </w:p>
    <w:p>
      <w:pPr>
        <w:ind w:left="320" w:right="100" w:hanging="235"/>
        <w:spacing w:after="0" w:line="339" w:lineRule="auto"/>
        <w:tabs>
          <w:tab w:leader="none" w:pos="320" w:val="left"/>
        </w:tabs>
        <w:numPr>
          <w:ilvl w:val="0"/>
          <w:numId w:val="4"/>
        </w:numPr>
        <w:rPr>
          <w:rFonts w:ascii="Arial" w:cs="Arial" w:eastAsia="Arial" w:hAnsi="Arial"/>
          <w:sz w:val="16"/>
          <w:szCs w:val="16"/>
          <w:color w:val="58595B"/>
        </w:rPr>
      </w:pPr>
      <w:r>
        <w:rPr>
          <w:rFonts w:ascii="Arial" w:cs="Arial" w:eastAsia="Arial" w:hAnsi="Arial"/>
          <w:sz w:val="16"/>
          <w:szCs w:val="16"/>
          <w:color w:val="58595B"/>
        </w:rPr>
        <w:t>To approve Amendment No. 3 to the Integra LifeSciences Holdings Corporation Fifth Amended and Restated 2003 Equity Incentive Plan.</w:t>
      </w:r>
    </w:p>
    <w:p>
      <w:pPr>
        <w:spacing w:after="0" w:line="115" w:lineRule="exact"/>
        <w:rPr>
          <w:sz w:val="20"/>
          <w:szCs w:val="20"/>
          <w:color w:val="auto"/>
        </w:rPr>
      </w:pPr>
    </w:p>
    <w:p>
      <w:pPr>
        <w:ind w:right="840"/>
        <w:spacing w:after="0" w:line="339" w:lineRule="auto"/>
        <w:rPr>
          <w:sz w:val="20"/>
          <w:szCs w:val="20"/>
          <w:color w:val="auto"/>
        </w:rPr>
      </w:pPr>
      <w:r>
        <w:rPr>
          <w:rFonts w:ascii="Arial" w:cs="Arial" w:eastAsia="Arial" w:hAnsi="Arial"/>
          <w:sz w:val="16"/>
          <w:szCs w:val="16"/>
          <w:color w:val="58595B"/>
        </w:rPr>
        <w:t>Stockholders will also transact such other business as may properly come before the Annual Meeting, or any adjournment or postponement thereof.</w:t>
      </w:r>
    </w:p>
    <w:p>
      <w:pPr>
        <w:spacing w:after="0" w:line="101"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If your shares are held in “street name,” meaning that they are held for your account by a broker, bank or other nominee, your broker, bank or other nominee will not be able to vote your shares with respect to any of the matters presented at the Annual Meeting, other than the ratification of the appointment of our independent registered public accounting firm, unless you give your broker, bank or other nominee specific voting instructions.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58595B"/>
        </w:rPr>
        <w:t>Therefore, it is very important that you vote your shares for all proposals.</w:t>
      </w:r>
    </w:p>
    <w:p>
      <w:pPr>
        <w:spacing w:after="0" w:line="20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color w:val="009845"/>
        </w:rPr>
        <w:t>Your vote is important</w:t>
      </w:r>
      <w:r>
        <w:rPr>
          <w:rFonts w:ascii="Arial" w:cs="Arial" w:eastAsia="Arial" w:hAnsi="Arial"/>
          <w:sz w:val="16"/>
          <w:szCs w:val="16"/>
          <w:color w:val="58595B"/>
        </w:rPr>
        <w:t>. Whether or not you plan to attend the Annual Meeting, we encourage you to review the proxy</w:t>
      </w:r>
      <w:r>
        <w:rPr>
          <w:rFonts w:ascii="Arial" w:cs="Arial" w:eastAsia="Arial" w:hAnsi="Arial"/>
          <w:sz w:val="16"/>
          <w:szCs w:val="16"/>
          <w:b w:val="1"/>
          <w:bCs w:val="1"/>
          <w:color w:val="009845"/>
        </w:rPr>
        <w:t xml:space="preserve"> </w:t>
      </w:r>
      <w:r>
        <w:rPr>
          <w:rFonts w:ascii="Arial" w:cs="Arial" w:eastAsia="Arial" w:hAnsi="Arial"/>
          <w:sz w:val="16"/>
          <w:szCs w:val="16"/>
          <w:color w:val="58595B"/>
        </w:rPr>
        <w:t>materials and vote as soon as possible. You may vote by proxy over the Internet at www.proxyvote.com by using the instructions provided in the notice or proxy card. Alternatively, as you have received your proxy materials by mail, you can also vote by mail by following the instructions on the proxy card. Voting over the Internet or by written proxy will ensure your representation at the Annual Meeting regardless of whether you attend. Instructions regarding the two methods of voting are contained in the notice or proxy card. If you attend the Annual Meeting, you may vote during the Annual Meeting via the Internet even if you have previously returned your proxy card or voting instruction card or voted by the Internet.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58595B"/>
        </w:rPr>
        <w:t>By order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58595B"/>
        </w:rPr>
        <w:t>/s/ Michael Hutchinson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Michael Hutchinson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Executive Vice President, Chief Legal Officer and Secretary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58595B"/>
        </w:rPr>
        <w:t>Princeton, New Jersey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April 6, 2026</w:t>
      </w:r>
    </w:p>
    <w:p>
      <w:pPr>
        <w:spacing w:after="0" w:line="223" w:lineRule="exact"/>
        <w:rPr>
          <w:sz w:val="20"/>
          <w:szCs w:val="20"/>
          <w:color w:val="auto"/>
        </w:rPr>
      </w:pPr>
    </w:p>
    <w:p>
      <w:pPr>
        <w:ind w:right="200"/>
        <w:spacing w:after="0" w:line="336" w:lineRule="auto"/>
        <w:rPr>
          <w:sz w:val="20"/>
          <w:szCs w:val="20"/>
          <w:color w:val="auto"/>
        </w:rPr>
      </w:pPr>
      <w:r>
        <w:rPr>
          <w:rFonts w:ascii="Arial" w:cs="Arial" w:eastAsia="Arial" w:hAnsi="Arial"/>
          <w:sz w:val="16"/>
          <w:szCs w:val="16"/>
          <w:i w:val="1"/>
          <w:iCs w:val="1"/>
          <w:color w:val="58595B"/>
        </w:rPr>
        <w:t>This Notice of Annual Meeting, the proxy statement, the proxy card and the 2025 Annual Report are first being sent to stockholders on or about April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1039495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60" w:space="520"/>
            <w:col w:w="8620"/>
          </w:cols>
          <w:pgMar w:left="340" w:top="817" w:right="359" w:bottom="1440" w:gutter="0" w:footer="0" w:header="0"/>
          <w:type w:val="continuous"/>
        </w:sectPr>
      </w:pPr>
    </w:p>
    <w:bookmarkStart w:id="3" w:name="page4"/>
    <w:bookmarkEnd w:id="3"/>
    <w:p>
      <w:pPr>
        <w:spacing w:after="0" w:line="134" w:lineRule="exact"/>
        <w:rPr>
          <w:sz w:val="20"/>
          <w:szCs w:val="20"/>
          <w:color w:val="auto"/>
        </w:rPr>
      </w:pPr>
    </w:p>
    <w:p>
      <w:pPr>
        <w:spacing w:after="0"/>
        <w:rPr>
          <w:sz w:val="20"/>
          <w:szCs w:val="20"/>
          <w:color w:val="auto"/>
        </w:rPr>
      </w:pPr>
      <w:r>
        <w:rPr>
          <w:rFonts w:ascii="Arial" w:cs="Arial" w:eastAsia="Arial" w:hAnsi="Arial"/>
          <w:sz w:val="36"/>
          <w:szCs w:val="36"/>
          <w:color w:val="009845"/>
        </w:rPr>
        <w:t>TABLE OF CONTENTS</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600" w:type="dxa"/>
            <w:vAlign w:val="bottom"/>
          </w:tcPr>
          <w:p>
            <w:pPr>
              <w:spacing w:after="0"/>
              <w:rPr>
                <w:sz w:val="20"/>
                <w:szCs w:val="20"/>
                <w:color w:val="auto"/>
              </w:rPr>
            </w:pPr>
            <w:r>
              <w:rPr>
                <w:rFonts w:ascii="Arial" w:cs="Arial" w:eastAsia="Arial" w:hAnsi="Arial"/>
                <w:sz w:val="16"/>
                <w:szCs w:val="16"/>
                <w:b w:val="1"/>
                <w:bCs w:val="1"/>
                <w:color w:val="009845"/>
              </w:rPr>
              <w:t>Proxy Summary</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1</w:t>
            </w:r>
          </w:p>
        </w:tc>
      </w:tr>
      <w:tr>
        <w:trPr>
          <w:trHeight w:val="446"/>
        </w:trPr>
        <w:tc>
          <w:tcPr>
            <w:tcW w:w="8600" w:type="dxa"/>
            <w:vAlign w:val="bottom"/>
          </w:tcPr>
          <w:p>
            <w:pPr>
              <w:spacing w:after="0"/>
              <w:rPr>
                <w:sz w:val="20"/>
                <w:szCs w:val="20"/>
                <w:color w:val="auto"/>
              </w:rPr>
            </w:pPr>
            <w:r>
              <w:rPr>
                <w:rFonts w:ascii="Arial" w:cs="Arial" w:eastAsia="Arial" w:hAnsi="Arial"/>
                <w:sz w:val="16"/>
                <w:szCs w:val="16"/>
                <w:b w:val="1"/>
                <w:bCs w:val="1"/>
                <w:color w:val="009845"/>
              </w:rPr>
              <w:t>Additional Information</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6</w:t>
            </w:r>
          </w:p>
        </w:tc>
      </w:tr>
      <w:tr>
        <w:trPr>
          <w:trHeight w:val="445"/>
        </w:trPr>
        <w:tc>
          <w:tcPr>
            <w:tcW w:w="8600" w:type="dxa"/>
            <w:vAlign w:val="bottom"/>
          </w:tcPr>
          <w:p>
            <w:pPr>
              <w:spacing w:after="0"/>
              <w:rPr>
                <w:sz w:val="20"/>
                <w:szCs w:val="20"/>
                <w:color w:val="auto"/>
              </w:rPr>
            </w:pPr>
            <w:r>
              <w:rPr>
                <w:rFonts w:ascii="Arial" w:cs="Arial" w:eastAsia="Arial" w:hAnsi="Arial"/>
                <w:sz w:val="16"/>
                <w:szCs w:val="16"/>
                <w:b w:val="1"/>
                <w:bCs w:val="1"/>
                <w:color w:val="009845"/>
              </w:rPr>
              <w:t>Cautionary Note Regarding Forward-Looking Statements</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7</w:t>
            </w:r>
          </w:p>
        </w:tc>
      </w:tr>
      <w:tr>
        <w:trPr>
          <w:trHeight w:val="446"/>
        </w:trPr>
        <w:tc>
          <w:tcPr>
            <w:tcW w:w="8600" w:type="dxa"/>
            <w:vAlign w:val="bottom"/>
          </w:tcPr>
          <w:p>
            <w:pPr>
              <w:spacing w:after="0"/>
              <w:rPr>
                <w:sz w:val="20"/>
                <w:szCs w:val="20"/>
                <w:color w:val="auto"/>
              </w:rPr>
            </w:pPr>
            <w:r>
              <w:rPr>
                <w:rFonts w:ascii="Arial" w:cs="Arial" w:eastAsia="Arial" w:hAnsi="Arial"/>
                <w:sz w:val="16"/>
                <w:szCs w:val="16"/>
                <w:b w:val="1"/>
                <w:bCs w:val="1"/>
                <w:color w:val="009845"/>
              </w:rPr>
              <w:t>Proposal 1: Election of Directors</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8</w:t>
            </w:r>
          </w:p>
        </w:tc>
      </w:tr>
      <w:tr>
        <w:trPr>
          <w:trHeight w:val="437"/>
        </w:trPr>
        <w:tc>
          <w:tcPr>
            <w:tcW w:w="8600" w:type="dxa"/>
            <w:vAlign w:val="bottom"/>
          </w:tcPr>
          <w:p>
            <w:pPr>
              <w:ind w:left="500"/>
              <w:spacing w:after="0"/>
              <w:rPr>
                <w:sz w:val="20"/>
                <w:szCs w:val="20"/>
                <w:color w:val="auto"/>
              </w:rPr>
            </w:pPr>
            <w:r>
              <w:rPr>
                <w:rFonts w:ascii="Arial" w:cs="Arial" w:eastAsia="Arial" w:hAnsi="Arial"/>
                <w:sz w:val="16"/>
                <w:szCs w:val="16"/>
                <w:color w:val="58595B"/>
              </w:rPr>
              <w:t>2026 Director Nominees</w:t>
            </w:r>
          </w:p>
        </w:tc>
        <w:tc>
          <w:tcPr>
            <w:tcW w:w="2600" w:type="dxa"/>
            <w:vAlign w:val="bottom"/>
          </w:tcPr>
          <w:p>
            <w:pPr>
              <w:jc w:val="right"/>
              <w:spacing w:after="0"/>
              <w:rPr>
                <w:sz w:val="20"/>
                <w:szCs w:val="20"/>
                <w:color w:val="auto"/>
              </w:rPr>
            </w:pPr>
            <w:r>
              <w:rPr>
                <w:rFonts w:ascii="Arial" w:cs="Arial" w:eastAsia="Arial" w:hAnsi="Arial"/>
                <w:sz w:val="16"/>
                <w:szCs w:val="16"/>
                <w:color w:val="58595B"/>
              </w:rPr>
              <w:t>8</w:t>
            </w: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Criteria for Board Membership and Director Qualifications</w:t>
            </w:r>
          </w:p>
        </w:tc>
        <w:tc>
          <w:tcPr>
            <w:tcW w:w="2600" w:type="dxa"/>
            <w:vAlign w:val="bottom"/>
          </w:tcPr>
          <w:p>
            <w:pPr>
              <w:jc w:val="right"/>
              <w:spacing w:after="0"/>
              <w:rPr>
                <w:sz w:val="20"/>
                <w:szCs w:val="20"/>
                <w:color w:val="auto"/>
              </w:rPr>
            </w:pPr>
            <w:r>
              <w:rPr>
                <w:rFonts w:ascii="Arial" w:cs="Arial" w:eastAsia="Arial" w:hAnsi="Arial"/>
                <w:sz w:val="16"/>
                <w:szCs w:val="16"/>
                <w:color w:val="58595B"/>
              </w:rPr>
              <w:t>8</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Director Nominees</w:t>
            </w:r>
          </w:p>
        </w:tc>
        <w:tc>
          <w:tcPr>
            <w:tcW w:w="2600" w:type="dxa"/>
            <w:vAlign w:val="bottom"/>
          </w:tcPr>
          <w:p>
            <w:pPr>
              <w:jc w:val="right"/>
              <w:spacing w:after="0"/>
              <w:rPr>
                <w:sz w:val="20"/>
                <w:szCs w:val="20"/>
                <w:color w:val="auto"/>
              </w:rPr>
            </w:pPr>
            <w:r>
              <w:rPr>
                <w:rFonts w:ascii="Arial" w:cs="Arial" w:eastAsia="Arial" w:hAnsi="Arial"/>
                <w:sz w:val="16"/>
                <w:szCs w:val="16"/>
                <w:color w:val="58595B"/>
              </w:rPr>
              <w:t>11</w:t>
            </w: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Information Concerning Meetings, Executive Sessions and Certain Committees</w:t>
            </w:r>
          </w:p>
        </w:tc>
        <w:tc>
          <w:tcPr>
            <w:tcW w:w="2600" w:type="dxa"/>
            <w:vAlign w:val="bottom"/>
          </w:tcPr>
          <w:p>
            <w:pPr>
              <w:jc w:val="right"/>
              <w:spacing w:after="0"/>
              <w:rPr>
                <w:sz w:val="20"/>
                <w:szCs w:val="20"/>
                <w:color w:val="auto"/>
              </w:rPr>
            </w:pPr>
            <w:r>
              <w:rPr>
                <w:rFonts w:ascii="Arial" w:cs="Arial" w:eastAsia="Arial" w:hAnsi="Arial"/>
                <w:sz w:val="16"/>
                <w:szCs w:val="16"/>
                <w:color w:val="58595B"/>
              </w:rPr>
              <w:t>16</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Board Leadership Structure</w:t>
            </w:r>
          </w:p>
        </w:tc>
        <w:tc>
          <w:tcPr>
            <w:tcW w:w="2600" w:type="dxa"/>
            <w:vAlign w:val="bottom"/>
          </w:tcPr>
          <w:p>
            <w:pPr>
              <w:jc w:val="right"/>
              <w:spacing w:after="0"/>
              <w:rPr>
                <w:sz w:val="20"/>
                <w:szCs w:val="20"/>
                <w:color w:val="auto"/>
              </w:rPr>
            </w:pPr>
            <w:r>
              <w:rPr>
                <w:rFonts w:ascii="Arial" w:cs="Arial" w:eastAsia="Arial" w:hAnsi="Arial"/>
                <w:sz w:val="16"/>
                <w:szCs w:val="16"/>
                <w:color w:val="58595B"/>
              </w:rPr>
              <w:t>20</w:t>
            </w: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The Board’s Role in Risk Oversight</w:t>
            </w:r>
          </w:p>
        </w:tc>
        <w:tc>
          <w:tcPr>
            <w:tcW w:w="2600" w:type="dxa"/>
            <w:vAlign w:val="bottom"/>
          </w:tcPr>
          <w:p>
            <w:pPr>
              <w:jc w:val="right"/>
              <w:spacing w:after="0"/>
              <w:rPr>
                <w:sz w:val="20"/>
                <w:szCs w:val="20"/>
                <w:color w:val="auto"/>
              </w:rPr>
            </w:pPr>
            <w:r>
              <w:rPr>
                <w:rFonts w:ascii="Arial" w:cs="Arial" w:eastAsia="Arial" w:hAnsi="Arial"/>
                <w:sz w:val="16"/>
                <w:szCs w:val="16"/>
                <w:color w:val="58595B"/>
              </w:rPr>
              <w:t>21</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Compensation Committee Interlocks and Insider Participation</w:t>
            </w:r>
          </w:p>
        </w:tc>
        <w:tc>
          <w:tcPr>
            <w:tcW w:w="2600" w:type="dxa"/>
            <w:vAlign w:val="bottom"/>
          </w:tcPr>
          <w:p>
            <w:pPr>
              <w:jc w:val="right"/>
              <w:spacing w:after="0"/>
              <w:rPr>
                <w:sz w:val="20"/>
                <w:szCs w:val="20"/>
                <w:color w:val="auto"/>
              </w:rPr>
            </w:pPr>
            <w:r>
              <w:rPr>
                <w:rFonts w:ascii="Arial" w:cs="Arial" w:eastAsia="Arial" w:hAnsi="Arial"/>
                <w:sz w:val="16"/>
                <w:szCs w:val="16"/>
                <w:color w:val="58595B"/>
              </w:rPr>
              <w:t>23</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Corporate Sustainability Strategy</w:t>
            </w:r>
          </w:p>
        </w:tc>
        <w:tc>
          <w:tcPr>
            <w:tcW w:w="2600" w:type="dxa"/>
            <w:vAlign w:val="bottom"/>
          </w:tcPr>
          <w:p>
            <w:pPr>
              <w:jc w:val="right"/>
              <w:spacing w:after="0"/>
              <w:rPr>
                <w:sz w:val="20"/>
                <w:szCs w:val="20"/>
                <w:color w:val="auto"/>
              </w:rPr>
            </w:pPr>
            <w:r>
              <w:rPr>
                <w:rFonts w:ascii="Arial" w:cs="Arial" w:eastAsia="Arial" w:hAnsi="Arial"/>
                <w:sz w:val="16"/>
                <w:szCs w:val="16"/>
                <w:color w:val="58595B"/>
              </w:rPr>
              <w:t>23</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Risk Assessment Regarding Compensation Policies and Practices</w:t>
            </w:r>
          </w:p>
        </w:tc>
        <w:tc>
          <w:tcPr>
            <w:tcW w:w="2600" w:type="dxa"/>
            <w:vAlign w:val="bottom"/>
          </w:tcPr>
          <w:p>
            <w:pPr>
              <w:jc w:val="right"/>
              <w:spacing w:after="0"/>
              <w:rPr>
                <w:sz w:val="20"/>
                <w:szCs w:val="20"/>
                <w:color w:val="auto"/>
              </w:rPr>
            </w:pPr>
            <w:r>
              <w:rPr>
                <w:rFonts w:ascii="Arial" w:cs="Arial" w:eastAsia="Arial" w:hAnsi="Arial"/>
                <w:sz w:val="16"/>
                <w:szCs w:val="16"/>
                <w:color w:val="58595B"/>
              </w:rPr>
              <w:t>26</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Director Attendance at Annual Meetings</w:t>
            </w:r>
          </w:p>
        </w:tc>
        <w:tc>
          <w:tcPr>
            <w:tcW w:w="2600" w:type="dxa"/>
            <w:vAlign w:val="bottom"/>
          </w:tcPr>
          <w:p>
            <w:pPr>
              <w:jc w:val="right"/>
              <w:spacing w:after="0"/>
              <w:rPr>
                <w:sz w:val="20"/>
                <w:szCs w:val="20"/>
                <w:color w:val="auto"/>
              </w:rPr>
            </w:pPr>
            <w:r>
              <w:rPr>
                <w:rFonts w:ascii="Arial" w:cs="Arial" w:eastAsia="Arial" w:hAnsi="Arial"/>
                <w:sz w:val="16"/>
                <w:szCs w:val="16"/>
                <w:color w:val="58595B"/>
              </w:rPr>
              <w:t>27</w:t>
            </w: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Communications With the Board</w:t>
            </w:r>
          </w:p>
        </w:tc>
        <w:tc>
          <w:tcPr>
            <w:tcW w:w="2600" w:type="dxa"/>
            <w:vAlign w:val="bottom"/>
          </w:tcPr>
          <w:p>
            <w:pPr>
              <w:jc w:val="right"/>
              <w:spacing w:after="0"/>
              <w:rPr>
                <w:sz w:val="20"/>
                <w:szCs w:val="20"/>
                <w:color w:val="auto"/>
              </w:rPr>
            </w:pPr>
            <w:r>
              <w:rPr>
                <w:rFonts w:ascii="Arial" w:cs="Arial" w:eastAsia="Arial" w:hAnsi="Arial"/>
                <w:sz w:val="16"/>
                <w:szCs w:val="16"/>
                <w:color w:val="58595B"/>
              </w:rPr>
              <w:t>27</w:t>
            </w:r>
          </w:p>
        </w:tc>
      </w:tr>
      <w:tr>
        <w:trPr>
          <w:trHeight w:val="453"/>
        </w:trPr>
        <w:tc>
          <w:tcPr>
            <w:tcW w:w="8600" w:type="dxa"/>
            <w:vAlign w:val="bottom"/>
          </w:tcPr>
          <w:p>
            <w:pPr>
              <w:spacing w:after="0"/>
              <w:rPr>
                <w:sz w:val="20"/>
                <w:szCs w:val="20"/>
                <w:color w:val="auto"/>
              </w:rPr>
            </w:pPr>
            <w:r>
              <w:rPr>
                <w:rFonts w:ascii="Arial" w:cs="Arial" w:eastAsia="Arial" w:hAnsi="Arial"/>
                <w:sz w:val="16"/>
                <w:szCs w:val="16"/>
                <w:b w:val="1"/>
                <w:bCs w:val="1"/>
                <w:color w:val="009845"/>
              </w:rPr>
              <w:t>Director Compensation</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28</w:t>
            </w:r>
          </w:p>
        </w:tc>
      </w:tr>
      <w:tr>
        <w:trPr>
          <w:trHeight w:val="445"/>
        </w:trPr>
        <w:tc>
          <w:tcPr>
            <w:tcW w:w="8600" w:type="dxa"/>
            <w:vAlign w:val="bottom"/>
          </w:tcPr>
          <w:p>
            <w:pPr>
              <w:spacing w:after="0"/>
              <w:rPr>
                <w:sz w:val="20"/>
                <w:szCs w:val="20"/>
                <w:color w:val="auto"/>
              </w:rPr>
            </w:pPr>
            <w:r>
              <w:rPr>
                <w:rFonts w:ascii="Arial" w:cs="Arial" w:eastAsia="Arial" w:hAnsi="Arial"/>
                <w:sz w:val="16"/>
                <w:szCs w:val="16"/>
                <w:b w:val="1"/>
                <w:bCs w:val="1"/>
                <w:color w:val="009845"/>
              </w:rPr>
              <w:t>Information About Executive Officers</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30</w:t>
            </w:r>
          </w:p>
        </w:tc>
      </w:tr>
      <w:tr>
        <w:trPr>
          <w:trHeight w:val="445"/>
        </w:trPr>
        <w:tc>
          <w:tcPr>
            <w:tcW w:w="8600" w:type="dxa"/>
            <w:vAlign w:val="bottom"/>
          </w:tcPr>
          <w:p>
            <w:pPr>
              <w:spacing w:after="0"/>
              <w:rPr>
                <w:sz w:val="20"/>
                <w:szCs w:val="20"/>
                <w:color w:val="auto"/>
              </w:rPr>
            </w:pPr>
            <w:r>
              <w:rPr>
                <w:rFonts w:ascii="Arial" w:cs="Arial" w:eastAsia="Arial" w:hAnsi="Arial"/>
                <w:sz w:val="16"/>
                <w:szCs w:val="16"/>
                <w:b w:val="1"/>
                <w:bCs w:val="1"/>
                <w:color w:val="009845"/>
              </w:rPr>
              <w:t>Compensation Discussion and Analysis</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34</w:t>
            </w:r>
          </w:p>
        </w:tc>
      </w:tr>
      <w:tr>
        <w:trPr>
          <w:trHeight w:val="438"/>
        </w:trPr>
        <w:tc>
          <w:tcPr>
            <w:tcW w:w="8600" w:type="dxa"/>
            <w:vAlign w:val="bottom"/>
          </w:tcPr>
          <w:p>
            <w:pPr>
              <w:ind w:left="500"/>
              <w:spacing w:after="0"/>
              <w:rPr>
                <w:sz w:val="20"/>
                <w:szCs w:val="20"/>
                <w:color w:val="auto"/>
              </w:rPr>
            </w:pPr>
            <w:r>
              <w:rPr>
                <w:rFonts w:ascii="Arial" w:cs="Arial" w:eastAsia="Arial" w:hAnsi="Arial"/>
                <w:sz w:val="16"/>
                <w:szCs w:val="16"/>
                <w:color w:val="58595B"/>
              </w:rPr>
              <w:t>Our Executive Compensation Philosophy</w:t>
            </w:r>
          </w:p>
        </w:tc>
        <w:tc>
          <w:tcPr>
            <w:tcW w:w="2600" w:type="dxa"/>
            <w:vAlign w:val="bottom"/>
          </w:tcPr>
          <w:p>
            <w:pPr>
              <w:jc w:val="right"/>
              <w:spacing w:after="0"/>
              <w:rPr>
                <w:sz w:val="20"/>
                <w:szCs w:val="20"/>
                <w:color w:val="auto"/>
              </w:rPr>
            </w:pPr>
            <w:r>
              <w:rPr>
                <w:rFonts w:ascii="Arial" w:cs="Arial" w:eastAsia="Arial" w:hAnsi="Arial"/>
                <w:sz w:val="16"/>
                <w:szCs w:val="16"/>
                <w:color w:val="58595B"/>
              </w:rPr>
              <w:t>34</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Summary of Our 2025 Decisions</w:t>
            </w:r>
          </w:p>
        </w:tc>
        <w:tc>
          <w:tcPr>
            <w:tcW w:w="2600" w:type="dxa"/>
            <w:vAlign w:val="bottom"/>
          </w:tcPr>
          <w:p>
            <w:pPr>
              <w:jc w:val="right"/>
              <w:spacing w:after="0"/>
              <w:rPr>
                <w:sz w:val="20"/>
                <w:szCs w:val="20"/>
                <w:color w:val="auto"/>
              </w:rPr>
            </w:pPr>
            <w:r>
              <w:rPr>
                <w:rFonts w:ascii="Arial" w:cs="Arial" w:eastAsia="Arial" w:hAnsi="Arial"/>
                <w:sz w:val="16"/>
                <w:szCs w:val="16"/>
                <w:color w:val="58595B"/>
              </w:rPr>
              <w:t>35</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Supporting Our Pay-for-Performance Philosophy</w:t>
            </w:r>
          </w:p>
        </w:tc>
        <w:tc>
          <w:tcPr>
            <w:tcW w:w="2600" w:type="dxa"/>
            <w:vAlign w:val="bottom"/>
          </w:tcPr>
          <w:p>
            <w:pPr>
              <w:jc w:val="right"/>
              <w:spacing w:after="0"/>
              <w:rPr>
                <w:sz w:val="20"/>
                <w:szCs w:val="20"/>
                <w:color w:val="auto"/>
              </w:rPr>
            </w:pPr>
            <w:r>
              <w:rPr>
                <w:rFonts w:ascii="Arial" w:cs="Arial" w:eastAsia="Arial" w:hAnsi="Arial"/>
                <w:sz w:val="16"/>
                <w:szCs w:val="16"/>
                <w:color w:val="58595B"/>
              </w:rPr>
              <w:t>37</w:t>
            </w: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Compensation Best Practices</w:t>
            </w:r>
          </w:p>
        </w:tc>
        <w:tc>
          <w:tcPr>
            <w:tcW w:w="2600" w:type="dxa"/>
            <w:vAlign w:val="bottom"/>
          </w:tcPr>
          <w:p>
            <w:pPr>
              <w:jc w:val="right"/>
              <w:spacing w:after="0"/>
              <w:rPr>
                <w:sz w:val="20"/>
                <w:szCs w:val="20"/>
                <w:color w:val="auto"/>
              </w:rPr>
            </w:pPr>
            <w:r>
              <w:rPr>
                <w:rFonts w:ascii="Arial" w:cs="Arial" w:eastAsia="Arial" w:hAnsi="Arial"/>
                <w:sz w:val="16"/>
                <w:szCs w:val="16"/>
                <w:color w:val="58595B"/>
              </w:rPr>
              <w:t>39</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Elements of the Executive Compensation Program</w:t>
            </w:r>
          </w:p>
        </w:tc>
        <w:tc>
          <w:tcPr>
            <w:tcW w:w="2600" w:type="dxa"/>
            <w:vAlign w:val="bottom"/>
          </w:tcPr>
          <w:p>
            <w:pPr>
              <w:jc w:val="right"/>
              <w:spacing w:after="0"/>
              <w:rPr>
                <w:sz w:val="20"/>
                <w:szCs w:val="20"/>
                <w:color w:val="auto"/>
              </w:rPr>
            </w:pPr>
            <w:r>
              <w:rPr>
                <w:rFonts w:ascii="Arial" w:cs="Arial" w:eastAsia="Arial" w:hAnsi="Arial"/>
                <w:sz w:val="16"/>
                <w:szCs w:val="16"/>
                <w:color w:val="58595B"/>
              </w:rPr>
              <w:t>42</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Analysis of 2025 Compensation Decisions</w:t>
            </w:r>
          </w:p>
        </w:tc>
        <w:tc>
          <w:tcPr>
            <w:tcW w:w="2600" w:type="dxa"/>
            <w:vAlign w:val="bottom"/>
          </w:tcPr>
          <w:p>
            <w:pPr>
              <w:jc w:val="right"/>
              <w:spacing w:after="0"/>
              <w:rPr>
                <w:sz w:val="20"/>
                <w:szCs w:val="20"/>
                <w:color w:val="auto"/>
              </w:rPr>
            </w:pPr>
            <w:r>
              <w:rPr>
                <w:rFonts w:ascii="Arial" w:cs="Arial" w:eastAsia="Arial" w:hAnsi="Arial"/>
                <w:sz w:val="16"/>
                <w:szCs w:val="16"/>
                <w:color w:val="58595B"/>
              </w:rPr>
              <w:t>42</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2025 Equity Compensation Decisions</w:t>
            </w:r>
          </w:p>
        </w:tc>
        <w:tc>
          <w:tcPr>
            <w:tcW w:w="2600" w:type="dxa"/>
            <w:vAlign w:val="bottom"/>
          </w:tcPr>
          <w:p>
            <w:pPr>
              <w:jc w:val="right"/>
              <w:spacing w:after="0"/>
              <w:rPr>
                <w:sz w:val="20"/>
                <w:szCs w:val="20"/>
                <w:color w:val="auto"/>
              </w:rPr>
            </w:pPr>
            <w:r>
              <w:rPr>
                <w:rFonts w:ascii="Arial" w:cs="Arial" w:eastAsia="Arial" w:hAnsi="Arial"/>
                <w:sz w:val="16"/>
                <w:szCs w:val="16"/>
                <w:color w:val="58595B"/>
              </w:rPr>
              <w:t>49</w:t>
            </w: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Other Benefits</w:t>
            </w:r>
          </w:p>
        </w:tc>
        <w:tc>
          <w:tcPr>
            <w:tcW w:w="2600" w:type="dxa"/>
            <w:vAlign w:val="bottom"/>
          </w:tcPr>
          <w:p>
            <w:pPr>
              <w:jc w:val="right"/>
              <w:spacing w:after="0"/>
              <w:rPr>
                <w:sz w:val="20"/>
                <w:szCs w:val="20"/>
                <w:color w:val="auto"/>
              </w:rPr>
            </w:pPr>
            <w:r>
              <w:rPr>
                <w:rFonts w:ascii="Arial" w:cs="Arial" w:eastAsia="Arial" w:hAnsi="Arial"/>
                <w:sz w:val="16"/>
                <w:szCs w:val="16"/>
                <w:color w:val="58595B"/>
              </w:rPr>
              <w:t>51</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Other Key Features of Our Executive Compensation Program</w:t>
            </w:r>
          </w:p>
        </w:tc>
        <w:tc>
          <w:tcPr>
            <w:tcW w:w="2600" w:type="dxa"/>
            <w:vAlign w:val="bottom"/>
          </w:tcPr>
          <w:p>
            <w:pPr>
              <w:jc w:val="right"/>
              <w:spacing w:after="0"/>
              <w:rPr>
                <w:sz w:val="20"/>
                <w:szCs w:val="20"/>
                <w:color w:val="auto"/>
              </w:rPr>
            </w:pPr>
            <w:r>
              <w:rPr>
                <w:rFonts w:ascii="Arial" w:cs="Arial" w:eastAsia="Arial" w:hAnsi="Arial"/>
                <w:sz w:val="16"/>
                <w:szCs w:val="16"/>
                <w:color w:val="58595B"/>
              </w:rPr>
              <w:t>51</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Employment and Post-Employment Arrangements</w:t>
            </w:r>
          </w:p>
        </w:tc>
        <w:tc>
          <w:tcPr>
            <w:tcW w:w="2600" w:type="dxa"/>
            <w:vAlign w:val="bottom"/>
          </w:tcPr>
          <w:p>
            <w:pPr>
              <w:jc w:val="right"/>
              <w:spacing w:after="0"/>
              <w:rPr>
                <w:sz w:val="20"/>
                <w:szCs w:val="20"/>
                <w:color w:val="auto"/>
              </w:rPr>
            </w:pPr>
            <w:r>
              <w:rPr>
                <w:rFonts w:ascii="Arial" w:cs="Arial" w:eastAsia="Arial" w:hAnsi="Arial"/>
                <w:sz w:val="16"/>
                <w:szCs w:val="16"/>
                <w:color w:val="58595B"/>
              </w:rPr>
              <w:t>53</w:t>
            </w:r>
          </w:p>
        </w:tc>
      </w:tr>
      <w:tr>
        <w:trPr>
          <w:trHeight w:val="454"/>
        </w:trPr>
        <w:tc>
          <w:tcPr>
            <w:tcW w:w="8600" w:type="dxa"/>
            <w:vAlign w:val="bottom"/>
          </w:tcPr>
          <w:p>
            <w:pPr>
              <w:spacing w:after="0"/>
              <w:rPr>
                <w:sz w:val="20"/>
                <w:szCs w:val="20"/>
                <w:color w:val="auto"/>
              </w:rPr>
            </w:pPr>
            <w:r>
              <w:rPr>
                <w:rFonts w:ascii="Arial" w:cs="Arial" w:eastAsia="Arial" w:hAnsi="Arial"/>
                <w:sz w:val="16"/>
                <w:szCs w:val="16"/>
                <w:b w:val="1"/>
                <w:bCs w:val="1"/>
                <w:color w:val="009845"/>
              </w:rPr>
              <w:t>Compensation Committee Report</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57</w:t>
            </w:r>
          </w:p>
        </w:tc>
      </w:tr>
      <w:tr>
        <w:trPr>
          <w:trHeight w:val="445"/>
        </w:trPr>
        <w:tc>
          <w:tcPr>
            <w:tcW w:w="8600" w:type="dxa"/>
            <w:vAlign w:val="bottom"/>
          </w:tcPr>
          <w:p>
            <w:pPr>
              <w:spacing w:after="0"/>
              <w:rPr>
                <w:sz w:val="20"/>
                <w:szCs w:val="20"/>
                <w:color w:val="auto"/>
              </w:rPr>
            </w:pPr>
            <w:r>
              <w:rPr>
                <w:rFonts w:ascii="Arial" w:cs="Arial" w:eastAsia="Arial" w:hAnsi="Arial"/>
                <w:sz w:val="16"/>
                <w:szCs w:val="16"/>
                <w:b w:val="1"/>
                <w:bCs w:val="1"/>
                <w:color w:val="009845"/>
              </w:rPr>
              <w:t>Compensation of Executive Officers</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58</w:t>
            </w:r>
          </w:p>
        </w:tc>
      </w:tr>
      <w:tr>
        <w:trPr>
          <w:trHeight w:val="438"/>
        </w:trPr>
        <w:tc>
          <w:tcPr>
            <w:tcW w:w="8600" w:type="dxa"/>
            <w:vAlign w:val="bottom"/>
          </w:tcPr>
          <w:p>
            <w:pPr>
              <w:ind w:left="500"/>
              <w:spacing w:after="0"/>
              <w:rPr>
                <w:sz w:val="20"/>
                <w:szCs w:val="20"/>
                <w:color w:val="auto"/>
              </w:rPr>
            </w:pPr>
            <w:r>
              <w:rPr>
                <w:rFonts w:ascii="Arial" w:cs="Arial" w:eastAsia="Arial" w:hAnsi="Arial"/>
                <w:sz w:val="16"/>
                <w:szCs w:val="16"/>
                <w:color w:val="58595B"/>
              </w:rPr>
              <w:t>Summary Compensation Table</w:t>
            </w:r>
          </w:p>
        </w:tc>
        <w:tc>
          <w:tcPr>
            <w:tcW w:w="2600" w:type="dxa"/>
            <w:vAlign w:val="bottom"/>
          </w:tcPr>
          <w:p>
            <w:pPr>
              <w:jc w:val="right"/>
              <w:spacing w:after="0"/>
              <w:rPr>
                <w:sz w:val="20"/>
                <w:szCs w:val="20"/>
                <w:color w:val="auto"/>
              </w:rPr>
            </w:pPr>
            <w:r>
              <w:rPr>
                <w:rFonts w:ascii="Arial" w:cs="Arial" w:eastAsia="Arial" w:hAnsi="Arial"/>
                <w:sz w:val="16"/>
                <w:szCs w:val="16"/>
                <w:color w:val="58595B"/>
              </w:rPr>
              <w:t>58</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Grants of Plan-Based Awards</w:t>
            </w:r>
          </w:p>
        </w:tc>
        <w:tc>
          <w:tcPr>
            <w:tcW w:w="2600" w:type="dxa"/>
            <w:vAlign w:val="bottom"/>
          </w:tcPr>
          <w:p>
            <w:pPr>
              <w:jc w:val="right"/>
              <w:spacing w:after="0"/>
              <w:rPr>
                <w:sz w:val="20"/>
                <w:szCs w:val="20"/>
                <w:color w:val="auto"/>
              </w:rPr>
            </w:pPr>
            <w:r>
              <w:rPr>
                <w:rFonts w:ascii="Arial" w:cs="Arial" w:eastAsia="Arial" w:hAnsi="Arial"/>
                <w:sz w:val="16"/>
                <w:szCs w:val="16"/>
                <w:color w:val="58595B"/>
              </w:rPr>
              <w:t>60</w:t>
            </w:r>
          </w:p>
        </w:tc>
      </w:tr>
    </w:tbl>
    <w:p>
      <w:pPr>
        <w:sectPr>
          <w:pgSz w:w="11900" w:h="16838" w:orient="portrait"/>
          <w:cols w:equalWidth="0" w:num="1">
            <w:col w:w="11220"/>
          </w:cols>
          <w:pgMar w:left="320" w:top="1440" w:right="35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tcPr>
          <w:p>
            <w:pPr>
              <w:ind w:left="520"/>
              <w:spacing w:after="0"/>
              <w:rPr>
                <w:sz w:val="20"/>
                <w:szCs w:val="20"/>
                <w:color w:val="auto"/>
              </w:rPr>
            </w:pPr>
            <w:r>
              <w:rPr>
                <w:rFonts w:ascii="Arial" w:cs="Arial" w:eastAsia="Arial" w:hAnsi="Arial"/>
                <w:sz w:val="16"/>
                <w:szCs w:val="16"/>
                <w:color w:val="58595B"/>
              </w:rPr>
              <w:t>Outstanding Equity Awards at Fiscal Year-End</w:t>
            </w:r>
          </w:p>
        </w:tc>
        <w:tc>
          <w:tcPr>
            <w:tcW w:w="2820" w:type="dxa"/>
            <w:vAlign w:val="bottom"/>
          </w:tcPr>
          <w:p>
            <w:pPr>
              <w:jc w:val="right"/>
              <w:spacing w:after="0"/>
              <w:rPr>
                <w:sz w:val="20"/>
                <w:szCs w:val="20"/>
                <w:color w:val="auto"/>
              </w:rPr>
            </w:pPr>
            <w:r>
              <w:rPr>
                <w:rFonts w:ascii="Arial" w:cs="Arial" w:eastAsia="Arial" w:hAnsi="Arial"/>
                <w:sz w:val="16"/>
                <w:szCs w:val="16"/>
                <w:color w:val="58595B"/>
              </w:rPr>
              <w:t>61</w:t>
            </w:r>
          </w:p>
        </w:tc>
      </w:tr>
      <w:tr>
        <w:trPr>
          <w:trHeight w:val="445"/>
        </w:trPr>
        <w:tc>
          <w:tcPr>
            <w:tcW w:w="8420" w:type="dxa"/>
            <w:vAlign w:val="bottom"/>
          </w:tcPr>
          <w:p>
            <w:pPr>
              <w:ind w:left="520"/>
              <w:spacing w:after="0"/>
              <w:rPr>
                <w:sz w:val="20"/>
                <w:szCs w:val="20"/>
                <w:color w:val="auto"/>
              </w:rPr>
            </w:pPr>
            <w:r>
              <w:rPr>
                <w:rFonts w:ascii="Arial" w:cs="Arial" w:eastAsia="Arial" w:hAnsi="Arial"/>
                <w:sz w:val="16"/>
                <w:szCs w:val="16"/>
                <w:color w:val="58595B"/>
              </w:rPr>
              <w:t>Options Exercised and Stock Vested</w:t>
            </w:r>
          </w:p>
        </w:tc>
        <w:tc>
          <w:tcPr>
            <w:tcW w:w="2820" w:type="dxa"/>
            <w:vAlign w:val="bottom"/>
          </w:tcPr>
          <w:p>
            <w:pPr>
              <w:jc w:val="right"/>
              <w:spacing w:after="0"/>
              <w:rPr>
                <w:sz w:val="20"/>
                <w:szCs w:val="20"/>
                <w:color w:val="auto"/>
              </w:rPr>
            </w:pPr>
            <w:r>
              <w:rPr>
                <w:rFonts w:ascii="Arial" w:cs="Arial" w:eastAsia="Arial" w:hAnsi="Arial"/>
                <w:sz w:val="16"/>
                <w:szCs w:val="16"/>
                <w:color w:val="58595B"/>
              </w:rPr>
              <w:t>63</w:t>
            </w:r>
          </w:p>
        </w:tc>
      </w:tr>
      <w:tr>
        <w:trPr>
          <w:trHeight w:val="446"/>
        </w:trPr>
        <w:tc>
          <w:tcPr>
            <w:tcW w:w="8420" w:type="dxa"/>
            <w:vAlign w:val="bottom"/>
          </w:tcPr>
          <w:p>
            <w:pPr>
              <w:ind w:left="520"/>
              <w:spacing w:after="0"/>
              <w:rPr>
                <w:sz w:val="20"/>
                <w:szCs w:val="20"/>
                <w:color w:val="auto"/>
              </w:rPr>
            </w:pPr>
            <w:r>
              <w:rPr>
                <w:rFonts w:ascii="Arial" w:cs="Arial" w:eastAsia="Arial" w:hAnsi="Arial"/>
                <w:sz w:val="16"/>
                <w:szCs w:val="16"/>
                <w:color w:val="58595B"/>
              </w:rPr>
              <w:t>Nonqualified Deferred Compensation</w:t>
            </w:r>
          </w:p>
        </w:tc>
        <w:tc>
          <w:tcPr>
            <w:tcW w:w="2820" w:type="dxa"/>
            <w:vAlign w:val="bottom"/>
          </w:tcPr>
          <w:p>
            <w:pPr>
              <w:jc w:val="right"/>
              <w:spacing w:after="0"/>
              <w:rPr>
                <w:sz w:val="20"/>
                <w:szCs w:val="20"/>
                <w:color w:val="auto"/>
              </w:rPr>
            </w:pPr>
            <w:r>
              <w:rPr>
                <w:rFonts w:ascii="Arial" w:cs="Arial" w:eastAsia="Arial" w:hAnsi="Arial"/>
                <w:sz w:val="16"/>
                <w:szCs w:val="16"/>
                <w:color w:val="58595B"/>
              </w:rPr>
              <w:t>63</w:t>
            </w:r>
          </w:p>
        </w:tc>
      </w:tr>
      <w:tr>
        <w:trPr>
          <w:trHeight w:val="445"/>
        </w:trPr>
        <w:tc>
          <w:tcPr>
            <w:tcW w:w="8420" w:type="dxa"/>
            <w:vAlign w:val="bottom"/>
          </w:tcPr>
          <w:p>
            <w:pPr>
              <w:ind w:left="520"/>
              <w:spacing w:after="0"/>
              <w:rPr>
                <w:sz w:val="20"/>
                <w:szCs w:val="20"/>
                <w:color w:val="auto"/>
              </w:rPr>
            </w:pPr>
            <w:r>
              <w:rPr>
                <w:rFonts w:ascii="Arial" w:cs="Arial" w:eastAsia="Arial" w:hAnsi="Arial"/>
                <w:sz w:val="16"/>
                <w:szCs w:val="16"/>
                <w:color w:val="58595B"/>
              </w:rPr>
              <w:t>Potential Payments Upon Termination or Change in Control</w:t>
            </w:r>
          </w:p>
        </w:tc>
        <w:tc>
          <w:tcPr>
            <w:tcW w:w="2820" w:type="dxa"/>
            <w:vAlign w:val="bottom"/>
          </w:tcPr>
          <w:p>
            <w:pPr>
              <w:jc w:val="right"/>
              <w:spacing w:after="0"/>
              <w:rPr>
                <w:sz w:val="20"/>
                <w:szCs w:val="20"/>
                <w:color w:val="auto"/>
              </w:rPr>
            </w:pPr>
            <w:r>
              <w:rPr>
                <w:rFonts w:ascii="Arial" w:cs="Arial" w:eastAsia="Arial" w:hAnsi="Arial"/>
                <w:sz w:val="16"/>
                <w:szCs w:val="16"/>
                <w:color w:val="58595B"/>
              </w:rPr>
              <w:t>64</w:t>
            </w:r>
          </w:p>
        </w:tc>
      </w:tr>
      <w:tr>
        <w:trPr>
          <w:trHeight w:val="446"/>
        </w:trPr>
        <w:tc>
          <w:tcPr>
            <w:tcW w:w="8420" w:type="dxa"/>
            <w:vAlign w:val="bottom"/>
          </w:tcPr>
          <w:p>
            <w:pPr>
              <w:ind w:left="520"/>
              <w:spacing w:after="0"/>
              <w:rPr>
                <w:sz w:val="20"/>
                <w:szCs w:val="20"/>
                <w:color w:val="auto"/>
              </w:rPr>
            </w:pPr>
            <w:r>
              <w:rPr>
                <w:rFonts w:ascii="Arial" w:cs="Arial" w:eastAsia="Arial" w:hAnsi="Arial"/>
                <w:sz w:val="16"/>
                <w:szCs w:val="16"/>
                <w:color w:val="58595B"/>
              </w:rPr>
              <w:t>CEO Pay Ratio Disclosure</w:t>
            </w:r>
          </w:p>
        </w:tc>
        <w:tc>
          <w:tcPr>
            <w:tcW w:w="2820" w:type="dxa"/>
            <w:vAlign w:val="bottom"/>
          </w:tcPr>
          <w:p>
            <w:pPr>
              <w:jc w:val="right"/>
              <w:spacing w:after="0"/>
              <w:rPr>
                <w:sz w:val="20"/>
                <w:szCs w:val="20"/>
                <w:color w:val="auto"/>
              </w:rPr>
            </w:pPr>
            <w:r>
              <w:rPr>
                <w:rFonts w:ascii="Arial" w:cs="Arial" w:eastAsia="Arial" w:hAnsi="Arial"/>
                <w:sz w:val="16"/>
                <w:szCs w:val="16"/>
                <w:color w:val="58595B"/>
              </w:rPr>
              <w:t>68</w:t>
            </w:r>
          </w:p>
        </w:tc>
      </w:tr>
      <w:tr>
        <w:trPr>
          <w:trHeight w:val="446"/>
        </w:trPr>
        <w:tc>
          <w:tcPr>
            <w:tcW w:w="8420" w:type="dxa"/>
            <w:vAlign w:val="bottom"/>
          </w:tcPr>
          <w:p>
            <w:pPr>
              <w:ind w:left="520"/>
              <w:spacing w:after="0"/>
              <w:rPr>
                <w:sz w:val="20"/>
                <w:szCs w:val="20"/>
                <w:color w:val="auto"/>
              </w:rPr>
            </w:pPr>
            <w:r>
              <w:rPr>
                <w:rFonts w:ascii="Arial" w:cs="Arial" w:eastAsia="Arial" w:hAnsi="Arial"/>
                <w:sz w:val="16"/>
                <w:szCs w:val="16"/>
                <w:color w:val="58595B"/>
              </w:rPr>
              <w:t>Pay Versus Performance Disclosure</w:t>
            </w:r>
          </w:p>
        </w:tc>
        <w:tc>
          <w:tcPr>
            <w:tcW w:w="2820" w:type="dxa"/>
            <w:vAlign w:val="bottom"/>
          </w:tcPr>
          <w:p>
            <w:pPr>
              <w:jc w:val="right"/>
              <w:spacing w:after="0"/>
              <w:rPr>
                <w:sz w:val="20"/>
                <w:szCs w:val="20"/>
                <w:color w:val="auto"/>
              </w:rPr>
            </w:pPr>
            <w:r>
              <w:rPr>
                <w:rFonts w:ascii="Arial" w:cs="Arial" w:eastAsia="Arial" w:hAnsi="Arial"/>
                <w:sz w:val="16"/>
                <w:szCs w:val="16"/>
                <w:color w:val="58595B"/>
              </w:rPr>
              <w:t>69</w:t>
            </w:r>
          </w:p>
        </w:tc>
      </w:tr>
      <w:tr>
        <w:trPr>
          <w:trHeight w:val="453"/>
        </w:trPr>
        <w:tc>
          <w:tcPr>
            <w:tcW w:w="8420" w:type="dxa"/>
            <w:vAlign w:val="bottom"/>
          </w:tcPr>
          <w:p>
            <w:pPr>
              <w:ind w:left="20"/>
              <w:spacing w:after="0"/>
              <w:rPr>
                <w:sz w:val="20"/>
                <w:szCs w:val="20"/>
                <w:color w:val="auto"/>
              </w:rPr>
            </w:pPr>
            <w:r>
              <w:rPr>
                <w:rFonts w:ascii="Arial" w:cs="Arial" w:eastAsia="Arial" w:hAnsi="Arial"/>
                <w:sz w:val="16"/>
                <w:szCs w:val="16"/>
                <w:b w:val="1"/>
                <w:bCs w:val="1"/>
                <w:color w:val="009845"/>
              </w:rPr>
              <w:t>Equity Compensation Plan Information</w:t>
            </w:r>
          </w:p>
        </w:tc>
        <w:tc>
          <w:tcPr>
            <w:tcW w:w="2820" w:type="dxa"/>
            <w:vAlign w:val="bottom"/>
          </w:tcPr>
          <w:p>
            <w:pPr>
              <w:jc w:val="right"/>
              <w:spacing w:after="0"/>
              <w:rPr>
                <w:sz w:val="20"/>
                <w:szCs w:val="20"/>
                <w:color w:val="auto"/>
              </w:rPr>
            </w:pPr>
            <w:r>
              <w:rPr>
                <w:rFonts w:ascii="Arial" w:cs="Arial" w:eastAsia="Arial" w:hAnsi="Arial"/>
                <w:sz w:val="16"/>
                <w:szCs w:val="16"/>
                <w:b w:val="1"/>
                <w:bCs w:val="1"/>
                <w:color w:val="009845"/>
              </w:rPr>
              <w:t>74</w:t>
            </w:r>
          </w:p>
        </w:tc>
      </w:tr>
      <w:tr>
        <w:trPr>
          <w:trHeight w:val="446"/>
        </w:trPr>
        <w:tc>
          <w:tcPr>
            <w:tcW w:w="8420" w:type="dxa"/>
            <w:vAlign w:val="bottom"/>
          </w:tcPr>
          <w:p>
            <w:pPr>
              <w:ind w:left="20"/>
              <w:spacing w:after="0"/>
              <w:rPr>
                <w:sz w:val="20"/>
                <w:szCs w:val="20"/>
                <w:color w:val="auto"/>
              </w:rPr>
            </w:pPr>
            <w:r>
              <w:rPr>
                <w:rFonts w:ascii="Arial" w:cs="Arial" w:eastAsia="Arial" w:hAnsi="Arial"/>
                <w:sz w:val="16"/>
                <w:szCs w:val="16"/>
                <w:b w:val="1"/>
                <w:bCs w:val="1"/>
                <w:color w:val="009845"/>
              </w:rPr>
              <w:t>Certain Relationships and Related Person Transactions</w:t>
            </w:r>
          </w:p>
        </w:tc>
        <w:tc>
          <w:tcPr>
            <w:tcW w:w="2820" w:type="dxa"/>
            <w:vAlign w:val="bottom"/>
          </w:tcPr>
          <w:p>
            <w:pPr>
              <w:jc w:val="right"/>
              <w:spacing w:after="0"/>
              <w:rPr>
                <w:sz w:val="20"/>
                <w:szCs w:val="20"/>
                <w:color w:val="auto"/>
              </w:rPr>
            </w:pPr>
            <w:r>
              <w:rPr>
                <w:rFonts w:ascii="Arial" w:cs="Arial" w:eastAsia="Arial" w:hAnsi="Arial"/>
                <w:sz w:val="16"/>
                <w:szCs w:val="16"/>
                <w:b w:val="1"/>
                <w:bCs w:val="1"/>
                <w:color w:val="009845"/>
              </w:rPr>
              <w:t>75</w:t>
            </w:r>
          </w:p>
        </w:tc>
      </w:tr>
      <w:tr>
        <w:trPr>
          <w:trHeight w:val="445"/>
        </w:trPr>
        <w:tc>
          <w:tcPr>
            <w:tcW w:w="8420" w:type="dxa"/>
            <w:vAlign w:val="bottom"/>
          </w:tcPr>
          <w:p>
            <w:pPr>
              <w:ind w:left="20"/>
              <w:spacing w:after="0"/>
              <w:rPr>
                <w:sz w:val="20"/>
                <w:szCs w:val="20"/>
                <w:color w:val="auto"/>
              </w:rPr>
            </w:pPr>
            <w:r>
              <w:rPr>
                <w:rFonts w:ascii="Arial" w:cs="Arial" w:eastAsia="Arial" w:hAnsi="Arial"/>
                <w:sz w:val="16"/>
                <w:szCs w:val="16"/>
                <w:b w:val="1"/>
                <w:bCs w:val="1"/>
                <w:color w:val="009845"/>
              </w:rPr>
              <w:t>Proposal 2: Ratification of Independent Registered Public Accounting Firm</w:t>
            </w:r>
          </w:p>
        </w:tc>
        <w:tc>
          <w:tcPr>
            <w:tcW w:w="2820" w:type="dxa"/>
            <w:vAlign w:val="bottom"/>
          </w:tcPr>
          <w:p>
            <w:pPr>
              <w:jc w:val="right"/>
              <w:spacing w:after="0"/>
              <w:rPr>
                <w:sz w:val="20"/>
                <w:szCs w:val="20"/>
                <w:color w:val="auto"/>
              </w:rPr>
            </w:pPr>
            <w:r>
              <w:rPr>
                <w:rFonts w:ascii="Arial" w:cs="Arial" w:eastAsia="Arial" w:hAnsi="Arial"/>
                <w:sz w:val="16"/>
                <w:szCs w:val="16"/>
                <w:b w:val="1"/>
                <w:bCs w:val="1"/>
                <w:color w:val="009845"/>
              </w:rPr>
              <w:t>76</w:t>
            </w:r>
          </w:p>
        </w:tc>
      </w:tr>
      <w:tr>
        <w:trPr>
          <w:trHeight w:val="446"/>
        </w:trPr>
        <w:tc>
          <w:tcPr>
            <w:tcW w:w="8420" w:type="dxa"/>
            <w:vAlign w:val="bottom"/>
          </w:tcPr>
          <w:p>
            <w:pPr>
              <w:ind w:left="20"/>
              <w:spacing w:after="0"/>
              <w:rPr>
                <w:sz w:val="20"/>
                <w:szCs w:val="20"/>
                <w:color w:val="auto"/>
              </w:rPr>
            </w:pPr>
            <w:r>
              <w:rPr>
                <w:rFonts w:ascii="Arial" w:cs="Arial" w:eastAsia="Arial" w:hAnsi="Arial"/>
                <w:sz w:val="16"/>
                <w:szCs w:val="16"/>
                <w:b w:val="1"/>
                <w:bCs w:val="1"/>
                <w:color w:val="009845"/>
              </w:rPr>
              <w:t>Audit Committee Report</w:t>
            </w:r>
          </w:p>
        </w:tc>
        <w:tc>
          <w:tcPr>
            <w:tcW w:w="2820" w:type="dxa"/>
            <w:vAlign w:val="bottom"/>
          </w:tcPr>
          <w:p>
            <w:pPr>
              <w:jc w:val="right"/>
              <w:spacing w:after="0"/>
              <w:rPr>
                <w:sz w:val="20"/>
                <w:szCs w:val="20"/>
                <w:color w:val="auto"/>
              </w:rPr>
            </w:pPr>
            <w:r>
              <w:rPr>
                <w:rFonts w:ascii="Arial" w:cs="Arial" w:eastAsia="Arial" w:hAnsi="Arial"/>
                <w:sz w:val="16"/>
                <w:szCs w:val="16"/>
                <w:b w:val="1"/>
                <w:bCs w:val="1"/>
                <w:color w:val="009845"/>
              </w:rPr>
              <w:t>78</w:t>
            </w:r>
          </w:p>
        </w:tc>
      </w:tr>
      <w:tr>
        <w:trPr>
          <w:trHeight w:val="445"/>
        </w:trPr>
        <w:tc>
          <w:tcPr>
            <w:tcW w:w="8420" w:type="dxa"/>
            <w:vAlign w:val="bottom"/>
          </w:tcPr>
          <w:p>
            <w:pPr>
              <w:ind w:left="20"/>
              <w:spacing w:after="0"/>
              <w:rPr>
                <w:sz w:val="20"/>
                <w:szCs w:val="20"/>
                <w:color w:val="auto"/>
              </w:rPr>
            </w:pPr>
            <w:r>
              <w:rPr>
                <w:rFonts w:ascii="Arial" w:cs="Arial" w:eastAsia="Arial" w:hAnsi="Arial"/>
                <w:sz w:val="16"/>
                <w:szCs w:val="16"/>
                <w:b w:val="1"/>
                <w:bCs w:val="1"/>
                <w:color w:val="009845"/>
              </w:rPr>
              <w:t>Proposal 3: Advisory Vote on Named Executive Officer Compensation</w:t>
            </w:r>
          </w:p>
        </w:tc>
        <w:tc>
          <w:tcPr>
            <w:tcW w:w="2820" w:type="dxa"/>
            <w:vAlign w:val="bottom"/>
          </w:tcPr>
          <w:p>
            <w:pPr>
              <w:jc w:val="right"/>
              <w:spacing w:after="0"/>
              <w:rPr>
                <w:sz w:val="20"/>
                <w:szCs w:val="20"/>
                <w:color w:val="auto"/>
              </w:rPr>
            </w:pPr>
            <w:r>
              <w:rPr>
                <w:rFonts w:ascii="Arial" w:cs="Arial" w:eastAsia="Arial" w:hAnsi="Arial"/>
                <w:sz w:val="16"/>
                <w:szCs w:val="16"/>
                <w:b w:val="1"/>
                <w:bCs w:val="1"/>
                <w:color w:val="009845"/>
              </w:rPr>
              <w:t>79</w:t>
            </w:r>
          </w:p>
        </w:tc>
      </w:tr>
      <w:tr>
        <w:trPr>
          <w:trHeight w:val="1054"/>
        </w:trPr>
        <w:tc>
          <w:tcPr>
            <w:tcW w:w="84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 w:name="page6"/>
    <w:bookmarkEnd w:id="5"/>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640" w:type="dxa"/>
            <w:vAlign w:val="bottom"/>
          </w:tcPr>
          <w:p>
            <w:pPr>
              <w:ind w:left="20"/>
              <w:spacing w:after="0"/>
              <w:rPr>
                <w:sz w:val="20"/>
                <w:szCs w:val="20"/>
                <w:color w:val="auto"/>
              </w:rPr>
            </w:pPr>
            <w:r>
              <w:rPr>
                <w:rFonts w:ascii="Arial" w:cs="Arial" w:eastAsia="Arial" w:hAnsi="Arial"/>
                <w:sz w:val="16"/>
                <w:szCs w:val="16"/>
                <w:b w:val="1"/>
                <w:bCs w:val="1"/>
                <w:color w:val="009845"/>
              </w:rPr>
              <w:t>Proposal 4: Approval of Amendment No. 3 to the Integra LifeSciences Holdings Corporation Fifth Amended and Restated 2003 Equity</w:t>
            </w:r>
          </w:p>
        </w:tc>
        <w:tc>
          <w:tcPr>
            <w:tcW w:w="600" w:type="dxa"/>
            <w:vAlign w:val="bottom"/>
          </w:tcPr>
          <w:p>
            <w:pPr>
              <w:spacing w:after="0"/>
              <w:rPr>
                <w:sz w:val="19"/>
                <w:szCs w:val="19"/>
                <w:color w:val="auto"/>
              </w:rPr>
            </w:pPr>
          </w:p>
        </w:tc>
      </w:tr>
      <w:tr>
        <w:trPr>
          <w:trHeight w:val="243"/>
        </w:trPr>
        <w:tc>
          <w:tcPr>
            <w:tcW w:w="10640" w:type="dxa"/>
            <w:vAlign w:val="bottom"/>
          </w:tcPr>
          <w:p>
            <w:pPr>
              <w:ind w:left="20"/>
              <w:spacing w:after="0"/>
              <w:rPr>
                <w:sz w:val="20"/>
                <w:szCs w:val="20"/>
                <w:color w:val="auto"/>
              </w:rPr>
            </w:pPr>
            <w:r>
              <w:rPr>
                <w:rFonts w:ascii="Arial" w:cs="Arial" w:eastAsia="Arial" w:hAnsi="Arial"/>
                <w:sz w:val="16"/>
                <w:szCs w:val="16"/>
                <w:b w:val="1"/>
                <w:bCs w:val="1"/>
                <w:color w:val="009845"/>
              </w:rPr>
              <w:t>Incentive Plan</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009845"/>
              </w:rPr>
              <w:t>80</w:t>
            </w:r>
          </w:p>
        </w:tc>
      </w:tr>
      <w:tr>
        <w:trPr>
          <w:trHeight w:val="445"/>
        </w:trPr>
        <w:tc>
          <w:tcPr>
            <w:tcW w:w="10640" w:type="dxa"/>
            <w:vAlign w:val="bottom"/>
          </w:tcPr>
          <w:p>
            <w:pPr>
              <w:ind w:left="20"/>
              <w:spacing w:after="0"/>
              <w:rPr>
                <w:sz w:val="20"/>
                <w:szCs w:val="20"/>
                <w:color w:val="auto"/>
              </w:rPr>
            </w:pPr>
            <w:r>
              <w:rPr>
                <w:rFonts w:ascii="Arial" w:cs="Arial" w:eastAsia="Arial" w:hAnsi="Arial"/>
                <w:sz w:val="16"/>
                <w:szCs w:val="16"/>
                <w:b w:val="1"/>
                <w:bCs w:val="1"/>
                <w:color w:val="009845"/>
              </w:rPr>
              <w:t>Stock Ownership</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009845"/>
              </w:rPr>
              <w:t>89</w:t>
            </w:r>
          </w:p>
        </w:tc>
      </w:tr>
      <w:tr>
        <w:trPr>
          <w:trHeight w:val="446"/>
        </w:trPr>
        <w:tc>
          <w:tcPr>
            <w:tcW w:w="10640" w:type="dxa"/>
            <w:vAlign w:val="bottom"/>
          </w:tcPr>
          <w:p>
            <w:pPr>
              <w:ind w:left="20"/>
              <w:spacing w:after="0"/>
              <w:rPr>
                <w:sz w:val="20"/>
                <w:szCs w:val="20"/>
                <w:color w:val="auto"/>
              </w:rPr>
            </w:pPr>
            <w:r>
              <w:rPr>
                <w:rFonts w:ascii="Arial" w:cs="Arial" w:eastAsia="Arial" w:hAnsi="Arial"/>
                <w:sz w:val="16"/>
                <w:szCs w:val="16"/>
                <w:b w:val="1"/>
                <w:bCs w:val="1"/>
                <w:color w:val="009845"/>
              </w:rPr>
              <w:t>Delinquent Section 16(a) Reports</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009845"/>
              </w:rPr>
              <w:t>91</w:t>
            </w:r>
          </w:p>
        </w:tc>
      </w:tr>
      <w:tr>
        <w:trPr>
          <w:trHeight w:val="446"/>
        </w:trPr>
        <w:tc>
          <w:tcPr>
            <w:tcW w:w="10640" w:type="dxa"/>
            <w:vAlign w:val="bottom"/>
          </w:tcPr>
          <w:p>
            <w:pPr>
              <w:ind w:left="20"/>
              <w:spacing w:after="0"/>
              <w:rPr>
                <w:sz w:val="20"/>
                <w:szCs w:val="20"/>
                <w:color w:val="auto"/>
              </w:rPr>
            </w:pPr>
            <w:r>
              <w:rPr>
                <w:rFonts w:ascii="Arial" w:cs="Arial" w:eastAsia="Arial" w:hAnsi="Arial"/>
                <w:sz w:val="16"/>
                <w:szCs w:val="16"/>
                <w:b w:val="1"/>
                <w:bCs w:val="1"/>
                <w:color w:val="009845"/>
              </w:rPr>
              <w:t>General Information about the Annual Meeting and Voting</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009845"/>
              </w:rPr>
              <w:t>91</w:t>
            </w:r>
          </w:p>
        </w:tc>
      </w:tr>
      <w:tr>
        <w:trPr>
          <w:trHeight w:val="437"/>
        </w:trPr>
        <w:tc>
          <w:tcPr>
            <w:tcW w:w="10640" w:type="dxa"/>
            <w:vAlign w:val="bottom"/>
          </w:tcPr>
          <w:p>
            <w:pPr>
              <w:ind w:left="520"/>
              <w:spacing w:after="0"/>
              <w:rPr>
                <w:sz w:val="20"/>
                <w:szCs w:val="20"/>
                <w:color w:val="auto"/>
              </w:rPr>
            </w:pPr>
            <w:r>
              <w:rPr>
                <w:rFonts w:ascii="Arial" w:cs="Arial" w:eastAsia="Arial" w:hAnsi="Arial"/>
                <w:sz w:val="16"/>
                <w:szCs w:val="16"/>
                <w:color w:val="58595B"/>
              </w:rPr>
              <w:t>Purpose of the Meeting</w:t>
            </w:r>
          </w:p>
        </w:tc>
        <w:tc>
          <w:tcPr>
            <w:tcW w:w="600" w:type="dxa"/>
            <w:vAlign w:val="bottom"/>
          </w:tcPr>
          <w:p>
            <w:pPr>
              <w:jc w:val="right"/>
              <w:spacing w:after="0"/>
              <w:rPr>
                <w:sz w:val="20"/>
                <w:szCs w:val="20"/>
                <w:color w:val="auto"/>
              </w:rPr>
            </w:pPr>
            <w:r>
              <w:rPr>
                <w:rFonts w:ascii="Arial" w:cs="Arial" w:eastAsia="Arial" w:hAnsi="Arial"/>
                <w:sz w:val="16"/>
                <w:szCs w:val="16"/>
                <w:color w:val="58595B"/>
              </w:rPr>
              <w:t>91</w:t>
            </w:r>
          </w:p>
        </w:tc>
      </w:tr>
      <w:tr>
        <w:trPr>
          <w:trHeight w:val="446"/>
        </w:trPr>
        <w:tc>
          <w:tcPr>
            <w:tcW w:w="10640" w:type="dxa"/>
            <w:vAlign w:val="bottom"/>
          </w:tcPr>
          <w:p>
            <w:pPr>
              <w:ind w:left="520"/>
              <w:spacing w:after="0"/>
              <w:rPr>
                <w:sz w:val="20"/>
                <w:szCs w:val="20"/>
                <w:color w:val="auto"/>
              </w:rPr>
            </w:pPr>
            <w:r>
              <w:rPr>
                <w:rFonts w:ascii="Arial" w:cs="Arial" w:eastAsia="Arial" w:hAnsi="Arial"/>
                <w:sz w:val="16"/>
                <w:szCs w:val="16"/>
                <w:color w:val="58595B"/>
              </w:rPr>
              <w:t>Proposals and Voting Recommendation of Our Board</w:t>
            </w:r>
          </w:p>
        </w:tc>
        <w:tc>
          <w:tcPr>
            <w:tcW w:w="600" w:type="dxa"/>
            <w:vAlign w:val="bottom"/>
          </w:tcPr>
          <w:p>
            <w:pPr>
              <w:jc w:val="right"/>
              <w:spacing w:after="0"/>
              <w:rPr>
                <w:sz w:val="20"/>
                <w:szCs w:val="20"/>
                <w:color w:val="auto"/>
              </w:rPr>
            </w:pPr>
            <w:r>
              <w:rPr>
                <w:rFonts w:ascii="Arial" w:cs="Arial" w:eastAsia="Arial" w:hAnsi="Arial"/>
                <w:sz w:val="16"/>
                <w:szCs w:val="16"/>
                <w:color w:val="58595B"/>
              </w:rPr>
              <w:t>91</w:t>
            </w:r>
          </w:p>
        </w:tc>
      </w:tr>
      <w:tr>
        <w:trPr>
          <w:trHeight w:val="445"/>
        </w:trPr>
        <w:tc>
          <w:tcPr>
            <w:tcW w:w="10640" w:type="dxa"/>
            <w:vAlign w:val="bottom"/>
          </w:tcPr>
          <w:p>
            <w:pPr>
              <w:ind w:left="520"/>
              <w:spacing w:after="0"/>
              <w:rPr>
                <w:sz w:val="20"/>
                <w:szCs w:val="20"/>
                <w:color w:val="auto"/>
              </w:rPr>
            </w:pPr>
            <w:r>
              <w:rPr>
                <w:rFonts w:ascii="Arial" w:cs="Arial" w:eastAsia="Arial" w:hAnsi="Arial"/>
                <w:sz w:val="16"/>
                <w:szCs w:val="16"/>
                <w:color w:val="58595B"/>
              </w:rPr>
              <w:t>Record Date</w:t>
            </w:r>
          </w:p>
        </w:tc>
        <w:tc>
          <w:tcPr>
            <w:tcW w:w="600" w:type="dxa"/>
            <w:vAlign w:val="bottom"/>
          </w:tcPr>
          <w:p>
            <w:pPr>
              <w:jc w:val="right"/>
              <w:spacing w:after="0"/>
              <w:rPr>
                <w:sz w:val="20"/>
                <w:szCs w:val="20"/>
                <w:color w:val="auto"/>
              </w:rPr>
            </w:pPr>
            <w:r>
              <w:rPr>
                <w:rFonts w:ascii="Arial" w:cs="Arial" w:eastAsia="Arial" w:hAnsi="Arial"/>
                <w:sz w:val="16"/>
                <w:szCs w:val="16"/>
                <w:color w:val="58595B"/>
              </w:rPr>
              <w:t>92</w:t>
            </w:r>
          </w:p>
        </w:tc>
      </w:tr>
      <w:tr>
        <w:trPr>
          <w:trHeight w:val="446"/>
        </w:trPr>
        <w:tc>
          <w:tcPr>
            <w:tcW w:w="10640" w:type="dxa"/>
            <w:vAlign w:val="bottom"/>
          </w:tcPr>
          <w:p>
            <w:pPr>
              <w:ind w:left="520"/>
              <w:spacing w:after="0"/>
              <w:rPr>
                <w:sz w:val="20"/>
                <w:szCs w:val="20"/>
                <w:color w:val="auto"/>
              </w:rPr>
            </w:pPr>
            <w:r>
              <w:rPr>
                <w:rFonts w:ascii="Arial" w:cs="Arial" w:eastAsia="Arial" w:hAnsi="Arial"/>
                <w:sz w:val="16"/>
                <w:szCs w:val="16"/>
                <w:color w:val="58595B"/>
              </w:rPr>
              <w:t>General Information Regarding Voting and Revocability of Proxies</w:t>
            </w:r>
          </w:p>
        </w:tc>
        <w:tc>
          <w:tcPr>
            <w:tcW w:w="600" w:type="dxa"/>
            <w:vAlign w:val="bottom"/>
          </w:tcPr>
          <w:p>
            <w:pPr>
              <w:jc w:val="right"/>
              <w:spacing w:after="0"/>
              <w:rPr>
                <w:sz w:val="20"/>
                <w:szCs w:val="20"/>
                <w:color w:val="auto"/>
              </w:rPr>
            </w:pPr>
            <w:r>
              <w:rPr>
                <w:rFonts w:ascii="Arial" w:cs="Arial" w:eastAsia="Arial" w:hAnsi="Arial"/>
                <w:sz w:val="16"/>
                <w:szCs w:val="16"/>
                <w:color w:val="58595B"/>
              </w:rPr>
              <w:t>92</w:t>
            </w:r>
          </w:p>
        </w:tc>
      </w:tr>
      <w:tr>
        <w:trPr>
          <w:trHeight w:val="445"/>
        </w:trPr>
        <w:tc>
          <w:tcPr>
            <w:tcW w:w="10640" w:type="dxa"/>
            <w:vAlign w:val="bottom"/>
          </w:tcPr>
          <w:p>
            <w:pPr>
              <w:ind w:left="520"/>
              <w:spacing w:after="0"/>
              <w:rPr>
                <w:sz w:val="20"/>
                <w:szCs w:val="20"/>
                <w:color w:val="auto"/>
              </w:rPr>
            </w:pPr>
            <w:r>
              <w:rPr>
                <w:rFonts w:ascii="Arial" w:cs="Arial" w:eastAsia="Arial" w:hAnsi="Arial"/>
                <w:sz w:val="16"/>
                <w:szCs w:val="16"/>
                <w:color w:val="58595B"/>
              </w:rPr>
              <w:t>How to Vote In Advance or at the Annual Meeting</w:t>
            </w:r>
          </w:p>
        </w:tc>
        <w:tc>
          <w:tcPr>
            <w:tcW w:w="600" w:type="dxa"/>
            <w:vAlign w:val="bottom"/>
          </w:tcPr>
          <w:p>
            <w:pPr>
              <w:jc w:val="right"/>
              <w:spacing w:after="0"/>
              <w:rPr>
                <w:sz w:val="20"/>
                <w:szCs w:val="20"/>
                <w:color w:val="auto"/>
              </w:rPr>
            </w:pPr>
            <w:r>
              <w:rPr>
                <w:rFonts w:ascii="Arial" w:cs="Arial" w:eastAsia="Arial" w:hAnsi="Arial"/>
                <w:sz w:val="16"/>
                <w:szCs w:val="16"/>
                <w:color w:val="58595B"/>
              </w:rPr>
              <w:t>93</w:t>
            </w:r>
          </w:p>
        </w:tc>
      </w:tr>
      <w:tr>
        <w:trPr>
          <w:trHeight w:val="454"/>
        </w:trPr>
        <w:tc>
          <w:tcPr>
            <w:tcW w:w="10640" w:type="dxa"/>
            <w:vAlign w:val="bottom"/>
          </w:tcPr>
          <w:p>
            <w:pPr>
              <w:ind w:left="20"/>
              <w:spacing w:after="0"/>
              <w:rPr>
                <w:sz w:val="20"/>
                <w:szCs w:val="20"/>
                <w:color w:val="auto"/>
              </w:rPr>
            </w:pPr>
            <w:r>
              <w:rPr>
                <w:rFonts w:ascii="Arial" w:cs="Arial" w:eastAsia="Arial" w:hAnsi="Arial"/>
                <w:sz w:val="16"/>
                <w:szCs w:val="16"/>
                <w:b w:val="1"/>
                <w:bCs w:val="1"/>
                <w:color w:val="009845"/>
              </w:rPr>
              <w:t>Other Matters</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009845"/>
              </w:rPr>
              <w:t>94</w:t>
            </w:r>
          </w:p>
        </w:tc>
      </w:tr>
      <w:tr>
        <w:trPr>
          <w:trHeight w:val="445"/>
        </w:trPr>
        <w:tc>
          <w:tcPr>
            <w:tcW w:w="10640" w:type="dxa"/>
            <w:vAlign w:val="bottom"/>
          </w:tcPr>
          <w:p>
            <w:pPr>
              <w:ind w:left="20"/>
              <w:spacing w:after="0"/>
              <w:rPr>
                <w:sz w:val="20"/>
                <w:szCs w:val="20"/>
                <w:color w:val="auto"/>
              </w:rPr>
            </w:pPr>
            <w:r>
              <w:rPr>
                <w:rFonts w:ascii="Arial" w:cs="Arial" w:eastAsia="Arial" w:hAnsi="Arial"/>
                <w:sz w:val="16"/>
                <w:szCs w:val="16"/>
                <w:b w:val="1"/>
                <w:bCs w:val="1"/>
                <w:color w:val="009845"/>
              </w:rPr>
              <w:t>Appendix A — Non-GAAP Financial Measures</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009845"/>
              </w:rPr>
              <w:t>A-1</w:t>
            </w:r>
          </w:p>
        </w:tc>
      </w:tr>
      <w:tr>
        <w:trPr>
          <w:trHeight w:val="445"/>
        </w:trPr>
        <w:tc>
          <w:tcPr>
            <w:tcW w:w="10640" w:type="dxa"/>
            <w:vAlign w:val="bottom"/>
          </w:tcPr>
          <w:p>
            <w:pPr>
              <w:ind w:left="20"/>
              <w:spacing w:after="0"/>
              <w:rPr>
                <w:sz w:val="20"/>
                <w:szCs w:val="20"/>
                <w:color w:val="auto"/>
              </w:rPr>
            </w:pPr>
            <w:r>
              <w:rPr>
                <w:rFonts w:ascii="Arial" w:cs="Arial" w:eastAsia="Arial" w:hAnsi="Arial"/>
                <w:sz w:val="16"/>
                <w:szCs w:val="16"/>
                <w:b w:val="1"/>
                <w:bCs w:val="1"/>
                <w:color w:val="009845"/>
              </w:rPr>
              <w:t>Appendix B — Amendment No. 3 to the Integra LifeSciences Holdings Corporation Fifth Amended and Restated 2003 Equity Incentive</w:t>
            </w:r>
          </w:p>
        </w:tc>
        <w:tc>
          <w:tcPr>
            <w:tcW w:w="600" w:type="dxa"/>
            <w:vAlign w:val="bottom"/>
          </w:tcPr>
          <w:p>
            <w:pPr>
              <w:spacing w:after="0"/>
              <w:rPr>
                <w:sz w:val="24"/>
                <w:szCs w:val="24"/>
                <w:color w:val="auto"/>
              </w:rPr>
            </w:pPr>
          </w:p>
        </w:tc>
      </w:tr>
      <w:tr>
        <w:trPr>
          <w:trHeight w:val="243"/>
        </w:trPr>
        <w:tc>
          <w:tcPr>
            <w:tcW w:w="10640" w:type="dxa"/>
            <w:vAlign w:val="bottom"/>
          </w:tcPr>
          <w:p>
            <w:pPr>
              <w:ind w:left="20"/>
              <w:spacing w:after="0"/>
              <w:rPr>
                <w:sz w:val="20"/>
                <w:szCs w:val="20"/>
                <w:color w:val="auto"/>
              </w:rPr>
            </w:pPr>
            <w:r>
              <w:rPr>
                <w:rFonts w:ascii="Arial" w:cs="Arial" w:eastAsia="Arial" w:hAnsi="Arial"/>
                <w:sz w:val="16"/>
                <w:szCs w:val="16"/>
                <w:b w:val="1"/>
                <w:bCs w:val="1"/>
                <w:color w:val="009845"/>
              </w:rPr>
              <w:t>Plan</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009845"/>
              </w:rPr>
              <w:t>B-1</w:t>
            </w:r>
          </w:p>
        </w:tc>
      </w:tr>
      <w:tr>
        <w:trPr>
          <w:trHeight w:val="1054"/>
        </w:trPr>
        <w:tc>
          <w:tcPr>
            <w:tcW w:w="106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36"/>
          <w:szCs w:val="36"/>
          <w:color w:val="00984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-127000</wp:posOffset>
            </wp:positionV>
            <wp:extent cx="1148715" cy="488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871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right="200"/>
        <w:spacing w:after="0" w:line="314" w:lineRule="auto"/>
        <w:rPr>
          <w:sz w:val="20"/>
          <w:szCs w:val="20"/>
          <w:color w:val="auto"/>
        </w:rPr>
      </w:pPr>
      <w:r>
        <w:rPr>
          <w:rFonts w:ascii="Arial" w:cs="Arial" w:eastAsia="Arial" w:hAnsi="Arial"/>
          <w:sz w:val="16"/>
          <w:szCs w:val="16"/>
          <w:color w:val="58595B"/>
        </w:rPr>
        <w:t>This proxy statement contains information related to the solicitation of proxies for use at our 2026 Annual Meeting of Stockholders (the “Annual Meeting”). The solicitation is made by Integra on behalf of its Board of Directors (the "Board"). This summary highlights information contained in this proxy statement, which, along with the proxy card and our 2025 annual report, is first being sent or made available to stockholders on or about April 6, 2026. This summary does not contain all of the information you should consider before voting. Please read the entire proxy statement before voting. For more information regarding Integra's 2025 operational and financial performance, please review our Annual Report on Form 10-K for the year ended December 31, 2025, which accompanies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25"/>
          <w:szCs w:val="25"/>
          <w:color w:val="009845"/>
        </w:rPr>
        <w:t>Meeting Information</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404"/>
        </w:trPr>
        <w:tc>
          <w:tcPr>
            <w:tcW w:w="2720" w:type="dxa"/>
            <w:vAlign w:val="bottom"/>
            <w:tcBorders>
              <w:right w:val="single" w:sz="8" w:color="58595B"/>
            </w:tcBorders>
          </w:tcPr>
          <w:p>
            <w:pPr>
              <w:ind w:left="20"/>
              <w:spacing w:after="0"/>
              <w:rPr>
                <w:sz w:val="20"/>
                <w:szCs w:val="20"/>
                <w:color w:val="auto"/>
              </w:rPr>
            </w:pPr>
            <w:r>
              <w:rPr>
                <w:rFonts w:ascii="Arial" w:cs="Arial" w:eastAsia="Arial" w:hAnsi="Arial"/>
                <w:sz w:val="22"/>
                <w:szCs w:val="22"/>
                <w:b w:val="1"/>
                <w:bCs w:val="1"/>
                <w:color w:val="58595B"/>
              </w:rPr>
              <w:t>Date</w:t>
            </w:r>
          </w:p>
        </w:tc>
        <w:tc>
          <w:tcPr>
            <w:tcW w:w="2880" w:type="dxa"/>
            <w:vAlign w:val="bottom"/>
            <w:tcBorders>
              <w:right w:val="single" w:sz="8" w:color="58595B"/>
            </w:tcBorders>
          </w:tcPr>
          <w:p>
            <w:pPr>
              <w:ind w:left="220"/>
              <w:spacing w:after="0"/>
              <w:rPr>
                <w:sz w:val="20"/>
                <w:szCs w:val="20"/>
                <w:color w:val="auto"/>
              </w:rPr>
            </w:pPr>
            <w:r>
              <w:rPr>
                <w:rFonts w:ascii="Arial" w:cs="Arial" w:eastAsia="Arial" w:hAnsi="Arial"/>
                <w:sz w:val="22"/>
                <w:szCs w:val="22"/>
                <w:b w:val="1"/>
                <w:bCs w:val="1"/>
                <w:color w:val="58595B"/>
              </w:rPr>
              <w:t>Time</w:t>
            </w:r>
          </w:p>
        </w:tc>
        <w:tc>
          <w:tcPr>
            <w:tcW w:w="2840" w:type="dxa"/>
            <w:vAlign w:val="bottom"/>
          </w:tcPr>
          <w:p>
            <w:pPr>
              <w:ind w:left="240"/>
              <w:spacing w:after="0"/>
              <w:rPr>
                <w:sz w:val="20"/>
                <w:szCs w:val="20"/>
                <w:color w:val="auto"/>
              </w:rPr>
            </w:pPr>
            <w:r>
              <w:rPr>
                <w:rFonts w:ascii="Arial" w:cs="Arial" w:eastAsia="Arial" w:hAnsi="Arial"/>
                <w:sz w:val="22"/>
                <w:szCs w:val="22"/>
                <w:b w:val="1"/>
                <w:bCs w:val="1"/>
                <w:color w:val="58595B"/>
              </w:rPr>
              <w:t>Place</w:t>
            </w: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2"/>
        </w:trPr>
        <w:tc>
          <w:tcPr>
            <w:tcW w:w="2720" w:type="dxa"/>
            <w:vAlign w:val="bottom"/>
            <w:tcBorders>
              <w:right w:val="single" w:sz="8" w:color="58595B"/>
            </w:tcBorders>
          </w:tcPr>
          <w:p>
            <w:pPr>
              <w:ind w:left="20"/>
              <w:spacing w:after="0"/>
              <w:rPr>
                <w:sz w:val="20"/>
                <w:szCs w:val="20"/>
                <w:color w:val="auto"/>
              </w:rPr>
            </w:pPr>
            <w:r>
              <w:rPr>
                <w:rFonts w:ascii="Arial" w:cs="Arial" w:eastAsia="Arial" w:hAnsi="Arial"/>
                <w:sz w:val="16"/>
                <w:szCs w:val="16"/>
                <w:color w:val="58595B"/>
              </w:rPr>
              <w:t>May 7, 2026</w:t>
            </w:r>
          </w:p>
        </w:tc>
        <w:tc>
          <w:tcPr>
            <w:tcW w:w="2880" w:type="dxa"/>
            <w:vAlign w:val="bottom"/>
            <w:tcBorders>
              <w:right w:val="single" w:sz="8" w:color="58595B"/>
            </w:tcBorders>
          </w:tcPr>
          <w:p>
            <w:pPr>
              <w:ind w:left="220"/>
              <w:spacing w:after="0"/>
              <w:rPr>
                <w:sz w:val="20"/>
                <w:szCs w:val="20"/>
                <w:color w:val="auto"/>
              </w:rPr>
            </w:pPr>
            <w:r>
              <w:rPr>
                <w:rFonts w:ascii="Arial" w:cs="Arial" w:eastAsia="Arial" w:hAnsi="Arial"/>
                <w:sz w:val="16"/>
                <w:szCs w:val="16"/>
                <w:color w:val="58595B"/>
              </w:rPr>
              <w:t>9:00 a.m. local time</w:t>
            </w:r>
          </w:p>
        </w:tc>
        <w:tc>
          <w:tcPr>
            <w:tcW w:w="5640" w:type="dxa"/>
            <w:vAlign w:val="bottom"/>
            <w:gridSpan w:val="3"/>
          </w:tcPr>
          <w:p>
            <w:pPr>
              <w:ind w:left="240"/>
              <w:spacing w:after="0"/>
              <w:rPr>
                <w:sz w:val="20"/>
                <w:szCs w:val="20"/>
                <w:color w:val="auto"/>
              </w:rPr>
            </w:pPr>
            <w:r>
              <w:rPr>
                <w:rFonts w:ascii="Arial" w:cs="Arial" w:eastAsia="Arial" w:hAnsi="Arial"/>
                <w:sz w:val="16"/>
                <w:szCs w:val="16"/>
                <w:color w:val="58595B"/>
              </w:rPr>
              <w:t>The Annual Meeting will be held at Integra's corporate headquarters:</w:t>
            </w:r>
          </w:p>
        </w:tc>
      </w:tr>
      <w:tr>
        <w:trPr>
          <w:trHeight w:val="230"/>
        </w:trPr>
        <w:tc>
          <w:tcPr>
            <w:tcW w:w="2720" w:type="dxa"/>
            <w:vAlign w:val="bottom"/>
            <w:tcBorders>
              <w:right w:val="single" w:sz="8" w:color="58595B"/>
            </w:tcBorders>
          </w:tcPr>
          <w:p>
            <w:pPr>
              <w:spacing w:after="0"/>
              <w:rPr>
                <w:sz w:val="19"/>
                <w:szCs w:val="19"/>
                <w:color w:val="auto"/>
              </w:rPr>
            </w:pPr>
          </w:p>
        </w:tc>
        <w:tc>
          <w:tcPr>
            <w:tcW w:w="2880" w:type="dxa"/>
            <w:vAlign w:val="bottom"/>
            <w:tcBorders>
              <w:right w:val="single" w:sz="8" w:color="58595B"/>
            </w:tcBorders>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Arial" w:cs="Arial" w:eastAsia="Arial" w:hAnsi="Arial"/>
                <w:sz w:val="16"/>
                <w:szCs w:val="16"/>
                <w:color w:val="58595B"/>
              </w:rPr>
              <w:t>1100 Campus Road, Princeton, New Jersey, 08540</w:t>
            </w:r>
          </w:p>
        </w:tc>
        <w:tc>
          <w:tcPr>
            <w:tcW w:w="920" w:type="dxa"/>
            <w:vAlign w:val="bottom"/>
          </w:tcPr>
          <w:p>
            <w:pPr>
              <w:spacing w:after="0"/>
              <w:rPr>
                <w:sz w:val="19"/>
                <w:szCs w:val="19"/>
                <w:color w:val="auto"/>
              </w:rPr>
            </w:pPr>
          </w:p>
        </w:tc>
      </w:tr>
      <w:tr>
        <w:trPr>
          <w:trHeight w:val="218"/>
        </w:trPr>
        <w:tc>
          <w:tcPr>
            <w:tcW w:w="2720" w:type="dxa"/>
            <w:vAlign w:val="bottom"/>
            <w:tcBorders>
              <w:right w:val="single" w:sz="8" w:color="58595B"/>
            </w:tcBorders>
          </w:tcPr>
          <w:p>
            <w:pPr>
              <w:spacing w:after="0"/>
              <w:rPr>
                <w:sz w:val="18"/>
                <w:szCs w:val="18"/>
                <w:color w:val="auto"/>
              </w:rPr>
            </w:pPr>
          </w:p>
        </w:tc>
        <w:tc>
          <w:tcPr>
            <w:tcW w:w="2880" w:type="dxa"/>
            <w:vAlign w:val="bottom"/>
            <w:tcBorders>
              <w:right w:val="single" w:sz="8" w:color="58595B"/>
            </w:tcBorders>
          </w:tcPr>
          <w:p>
            <w:pPr>
              <w:spacing w:after="0"/>
              <w:rPr>
                <w:sz w:val="18"/>
                <w:szCs w:val="18"/>
                <w:color w:val="auto"/>
              </w:rPr>
            </w:pPr>
          </w:p>
        </w:tc>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62"/>
        </w:trPr>
        <w:tc>
          <w:tcPr>
            <w:tcW w:w="2720" w:type="dxa"/>
            <w:vAlign w:val="bottom"/>
            <w:tcBorders>
              <w:bottom w:val="single" w:sz="8" w:color="58595B"/>
            </w:tcBorders>
          </w:tcPr>
          <w:p>
            <w:pPr>
              <w:spacing w:after="0"/>
              <w:rPr>
                <w:sz w:val="14"/>
                <w:szCs w:val="14"/>
                <w:color w:val="auto"/>
              </w:rPr>
            </w:pPr>
          </w:p>
        </w:tc>
        <w:tc>
          <w:tcPr>
            <w:tcW w:w="2880" w:type="dxa"/>
            <w:vAlign w:val="bottom"/>
            <w:tcBorders>
              <w:bottom w:val="single" w:sz="8" w:color="58595B"/>
            </w:tcBorders>
          </w:tcPr>
          <w:p>
            <w:pPr>
              <w:spacing w:after="0"/>
              <w:rPr>
                <w:sz w:val="14"/>
                <w:szCs w:val="14"/>
                <w:color w:val="auto"/>
              </w:rPr>
            </w:pPr>
          </w:p>
        </w:tc>
        <w:tc>
          <w:tcPr>
            <w:tcW w:w="2840" w:type="dxa"/>
            <w:vAlign w:val="bottom"/>
            <w:tcBorders>
              <w:bottom w:val="single" w:sz="8" w:color="58595B"/>
            </w:tcBorders>
          </w:tcPr>
          <w:p>
            <w:pPr>
              <w:spacing w:after="0"/>
              <w:rPr>
                <w:sz w:val="14"/>
                <w:szCs w:val="14"/>
                <w:color w:val="auto"/>
              </w:rPr>
            </w:pPr>
          </w:p>
        </w:tc>
        <w:tc>
          <w:tcPr>
            <w:tcW w:w="1880" w:type="dxa"/>
            <w:vAlign w:val="bottom"/>
            <w:tcBorders>
              <w:bottom w:val="single" w:sz="8" w:color="58595B"/>
            </w:tcBorders>
          </w:tcPr>
          <w:p>
            <w:pPr>
              <w:spacing w:after="0"/>
              <w:rPr>
                <w:sz w:val="14"/>
                <w:szCs w:val="14"/>
                <w:color w:val="auto"/>
              </w:rPr>
            </w:pPr>
          </w:p>
        </w:tc>
        <w:tc>
          <w:tcPr>
            <w:tcW w:w="920" w:type="dxa"/>
            <w:vAlign w:val="bottom"/>
            <w:tcBorders>
              <w:bottom w:val="single" w:sz="8" w:color="58595B"/>
            </w:tcBorders>
          </w:tcPr>
          <w:p>
            <w:pPr>
              <w:spacing w:after="0"/>
              <w:rPr>
                <w:sz w:val="14"/>
                <w:szCs w:val="14"/>
                <w:color w:val="auto"/>
              </w:rPr>
            </w:pPr>
          </w:p>
        </w:tc>
      </w:tr>
      <w:tr>
        <w:trPr>
          <w:trHeight w:val="277"/>
        </w:trPr>
        <w:tc>
          <w:tcPr>
            <w:tcW w:w="2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4"/>
        </w:trPr>
        <w:tc>
          <w:tcPr>
            <w:tcW w:w="2720" w:type="dxa"/>
            <w:vAlign w:val="bottom"/>
            <w:tcBorders>
              <w:right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Proposal</w:t>
            </w:r>
          </w:p>
        </w:tc>
        <w:tc>
          <w:tcPr>
            <w:tcW w:w="2880" w:type="dxa"/>
            <w:vAlign w:val="bottom"/>
            <w:tcBorders>
              <w:right w:val="single" w:sz="8" w:color="009845"/>
            </w:tcBorders>
            <w:shd w:val="clear" w:color="auto" w:fill="009845"/>
          </w:tcPr>
          <w:p>
            <w:pPr>
              <w:spacing w:after="0"/>
              <w:rPr>
                <w:sz w:val="18"/>
                <w:szCs w:val="18"/>
                <w:color w:val="auto"/>
              </w:rPr>
            </w:pPr>
          </w:p>
        </w:tc>
        <w:tc>
          <w:tcPr>
            <w:tcW w:w="2840" w:type="dxa"/>
            <w:vAlign w:val="bottom"/>
            <w:shd w:val="clear" w:color="auto" w:fill="009845"/>
          </w:tcPr>
          <w:p>
            <w:pPr>
              <w:spacing w:after="0"/>
              <w:rPr>
                <w:sz w:val="18"/>
                <w:szCs w:val="18"/>
                <w:color w:val="auto"/>
              </w:rPr>
            </w:pPr>
          </w:p>
        </w:tc>
        <w:tc>
          <w:tcPr>
            <w:tcW w:w="1880" w:type="dxa"/>
            <w:vAlign w:val="bottom"/>
            <w:shd w:val="clear" w:color="auto" w:fill="009845"/>
          </w:tcPr>
          <w:p>
            <w:pPr>
              <w:jc w:val="center"/>
              <w:ind w:right="104"/>
              <w:spacing w:after="0"/>
              <w:rPr>
                <w:sz w:val="20"/>
                <w:szCs w:val="20"/>
                <w:color w:val="auto"/>
              </w:rPr>
            </w:pPr>
            <w:r>
              <w:rPr>
                <w:rFonts w:ascii="Arial" w:cs="Arial" w:eastAsia="Arial" w:hAnsi="Arial"/>
                <w:sz w:val="14"/>
                <w:szCs w:val="14"/>
                <w:b w:val="1"/>
                <w:bCs w:val="1"/>
                <w:color w:val="FFFFFF"/>
              </w:rPr>
              <w:t>Board Recommendation</w:t>
            </w:r>
          </w:p>
        </w:tc>
        <w:tc>
          <w:tcPr>
            <w:tcW w:w="920" w:type="dxa"/>
            <w:vAlign w:val="bottom"/>
            <w:shd w:val="clear" w:color="auto" w:fill="009845"/>
          </w:tcPr>
          <w:p>
            <w:pPr>
              <w:jc w:val="center"/>
              <w:ind w:right="84"/>
              <w:spacing w:after="0"/>
              <w:rPr>
                <w:sz w:val="20"/>
                <w:szCs w:val="20"/>
                <w:color w:val="auto"/>
              </w:rPr>
            </w:pPr>
            <w:r>
              <w:rPr>
                <w:rFonts w:ascii="Arial" w:cs="Arial" w:eastAsia="Arial" w:hAnsi="Arial"/>
                <w:sz w:val="14"/>
                <w:szCs w:val="14"/>
                <w:b w:val="1"/>
                <w:bCs w:val="1"/>
                <w:color w:val="FFFFFF"/>
              </w:rPr>
              <w:t>Page</w:t>
            </w:r>
          </w:p>
        </w:tc>
      </w:tr>
      <w:tr>
        <w:trPr>
          <w:trHeight w:val="70"/>
        </w:trPr>
        <w:tc>
          <w:tcPr>
            <w:tcW w:w="8440" w:type="dxa"/>
            <w:vAlign w:val="bottom"/>
            <w:gridSpan w:val="3"/>
            <w:shd w:val="clear" w:color="auto" w:fill="009845"/>
          </w:tcPr>
          <w:p>
            <w:pPr>
              <w:spacing w:after="0"/>
              <w:rPr>
                <w:sz w:val="6"/>
                <w:szCs w:val="6"/>
                <w:color w:val="auto"/>
              </w:rPr>
            </w:pPr>
          </w:p>
        </w:tc>
        <w:tc>
          <w:tcPr>
            <w:tcW w:w="1880" w:type="dxa"/>
            <w:vAlign w:val="bottom"/>
            <w:shd w:val="clear" w:color="auto" w:fill="009845"/>
          </w:tcPr>
          <w:p>
            <w:pPr>
              <w:spacing w:after="0"/>
              <w:rPr>
                <w:sz w:val="6"/>
                <w:szCs w:val="6"/>
                <w:color w:val="auto"/>
              </w:rPr>
            </w:pPr>
          </w:p>
        </w:tc>
        <w:tc>
          <w:tcPr>
            <w:tcW w:w="920" w:type="dxa"/>
            <w:vAlign w:val="bottom"/>
            <w:shd w:val="clear" w:color="auto" w:fill="009845"/>
          </w:tcPr>
          <w:p>
            <w:pPr>
              <w:spacing w:after="0"/>
              <w:rPr>
                <w:sz w:val="6"/>
                <w:szCs w:val="6"/>
                <w:color w:val="auto"/>
              </w:rPr>
            </w:pPr>
          </w:p>
        </w:tc>
      </w:tr>
      <w:tr>
        <w:trPr>
          <w:trHeight w:val="330"/>
        </w:trPr>
        <w:tc>
          <w:tcPr>
            <w:tcW w:w="8440" w:type="dxa"/>
            <w:vAlign w:val="bottom"/>
            <w:gridSpan w:val="3"/>
          </w:tcPr>
          <w:p>
            <w:pPr>
              <w:ind w:left="100"/>
              <w:spacing w:after="0"/>
              <w:rPr>
                <w:sz w:val="20"/>
                <w:szCs w:val="20"/>
                <w:color w:val="auto"/>
              </w:rPr>
            </w:pPr>
            <w:r>
              <w:rPr>
                <w:rFonts w:ascii="Arial" w:cs="Arial" w:eastAsia="Arial" w:hAnsi="Arial"/>
                <w:sz w:val="16"/>
                <w:szCs w:val="16"/>
                <w:b w:val="1"/>
                <w:bCs w:val="1"/>
                <w:color w:val="009845"/>
              </w:rPr>
              <w:t xml:space="preserve">1. </w:t>
            </w:r>
            <w:r>
              <w:rPr>
                <w:rFonts w:ascii="Arial" w:cs="Arial" w:eastAsia="Arial" w:hAnsi="Arial"/>
                <w:sz w:val="16"/>
                <w:szCs w:val="16"/>
                <w:color w:val="58595B"/>
              </w:rPr>
              <w:t>To elect eight directors of the Company to serve until the next annual meeting of stockholders and until their</w:t>
            </w:r>
          </w:p>
        </w:tc>
        <w:tc>
          <w:tcPr>
            <w:tcW w:w="1880" w:type="dxa"/>
            <w:vAlign w:val="bottom"/>
          </w:tcPr>
          <w:p>
            <w:pPr>
              <w:jc w:val="center"/>
              <w:ind w:right="104"/>
              <w:spacing w:after="0"/>
              <w:rPr>
                <w:sz w:val="20"/>
                <w:szCs w:val="20"/>
                <w:color w:val="auto"/>
              </w:rPr>
            </w:pPr>
            <w:r>
              <w:rPr>
                <w:rFonts w:ascii="Arial" w:cs="Arial" w:eastAsia="Arial" w:hAnsi="Arial"/>
                <w:sz w:val="16"/>
                <w:szCs w:val="16"/>
                <w:b w:val="1"/>
                <w:bCs w:val="1"/>
                <w:color w:val="009845"/>
              </w:rPr>
              <w:t>FOR</w:t>
            </w:r>
          </w:p>
        </w:tc>
        <w:tc>
          <w:tcPr>
            <w:tcW w:w="920" w:type="dxa"/>
            <w:vAlign w:val="bottom"/>
          </w:tcPr>
          <w:p>
            <w:pPr>
              <w:jc w:val="right"/>
              <w:ind w:right="424"/>
              <w:spacing w:after="0"/>
              <w:rPr>
                <w:sz w:val="20"/>
                <w:szCs w:val="20"/>
                <w:color w:val="auto"/>
              </w:rPr>
            </w:pPr>
            <w:r>
              <w:rPr>
                <w:rFonts w:ascii="Arial" w:cs="Arial" w:eastAsia="Arial" w:hAnsi="Arial"/>
                <w:sz w:val="16"/>
                <w:szCs w:val="16"/>
                <w:color w:val="58595B"/>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-1357630</wp:posOffset>
            </wp:positionV>
            <wp:extent cx="14541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-1357630</wp:posOffset>
            </wp:positionV>
            <wp:extent cx="15430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-1357630</wp:posOffset>
            </wp:positionV>
            <wp:extent cx="12890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514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219"/>
        </w:trPr>
        <w:tc>
          <w:tcPr>
            <w:tcW w:w="5720" w:type="dxa"/>
            <w:vAlign w:val="bottom"/>
          </w:tcPr>
          <w:p>
            <w:pPr>
              <w:spacing w:after="0"/>
              <w:rPr>
                <w:sz w:val="20"/>
                <w:szCs w:val="20"/>
                <w:color w:val="auto"/>
              </w:rPr>
            </w:pPr>
            <w:r>
              <w:rPr>
                <w:rFonts w:ascii="Arial" w:cs="Arial" w:eastAsia="Arial" w:hAnsi="Arial"/>
                <w:sz w:val="16"/>
                <w:szCs w:val="16"/>
                <w:color w:val="58595B"/>
              </w:rPr>
              <w:t>successors are duly elected and qualified.</w:t>
            </w:r>
          </w:p>
        </w:tc>
        <w:tc>
          <w:tcPr>
            <w:tcW w:w="3740" w:type="dxa"/>
            <w:vAlign w:val="bottom"/>
            <w:vMerge w:val="restart"/>
          </w:tcPr>
          <w:p>
            <w:pPr>
              <w:ind w:left="2720"/>
              <w:spacing w:after="0"/>
              <w:rPr>
                <w:sz w:val="20"/>
                <w:szCs w:val="20"/>
                <w:color w:val="auto"/>
              </w:rPr>
            </w:pPr>
            <w:r>
              <w:rPr>
                <w:rFonts w:ascii="Arial" w:cs="Arial" w:eastAsia="Arial" w:hAnsi="Arial"/>
                <w:sz w:val="16"/>
                <w:szCs w:val="16"/>
                <w:color w:val="58595B"/>
                <w:w w:val="99"/>
              </w:rPr>
              <w:t>each nominee</w:t>
            </w:r>
          </w:p>
        </w:tc>
        <w:tc>
          <w:tcPr>
            <w:tcW w:w="0" w:type="dxa"/>
            <w:vAlign w:val="bottom"/>
          </w:tcPr>
          <w:p>
            <w:pPr>
              <w:spacing w:after="0"/>
              <w:rPr>
                <w:sz w:val="1"/>
                <w:szCs w:val="1"/>
                <w:color w:val="auto"/>
              </w:rPr>
            </w:pPr>
          </w:p>
        </w:tc>
      </w:tr>
      <w:tr>
        <w:trPr>
          <w:trHeight w:val="61"/>
        </w:trPr>
        <w:tc>
          <w:tcPr>
            <w:tcW w:w="5720" w:type="dxa"/>
            <w:vAlign w:val="bottom"/>
          </w:tcPr>
          <w:p>
            <w:pPr>
              <w:spacing w:after="0"/>
              <w:rPr>
                <w:sz w:val="5"/>
                <w:szCs w:val="5"/>
                <w:color w:val="auto"/>
              </w:rPr>
            </w:pPr>
          </w:p>
        </w:tc>
        <w:tc>
          <w:tcPr>
            <w:tcW w:w="3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3" w:right="339" w:bottom="1440" w:gutter="0" w:footer="0" w:header="0"/>
        </w:sectPr>
      </w:pPr>
    </w:p>
    <w:p>
      <w:pPr>
        <w:spacing w:after="0" w:line="31" w:lineRule="exact"/>
        <w:rPr>
          <w:sz w:val="20"/>
          <w:szCs w:val="20"/>
          <w:color w:val="auto"/>
        </w:rPr>
      </w:pPr>
    </w:p>
    <w:p>
      <w:pPr>
        <w:ind w:left="360" w:right="380" w:hanging="253"/>
        <w:spacing w:after="0" w:line="339" w:lineRule="auto"/>
        <w:tabs>
          <w:tab w:leader="none" w:pos="360" w:val="left"/>
        </w:tabs>
        <w:numPr>
          <w:ilvl w:val="0"/>
          <w:numId w:val="5"/>
        </w:numPr>
        <w:rPr>
          <w:rFonts w:ascii="Arial" w:cs="Arial" w:eastAsia="Arial" w:hAnsi="Arial"/>
          <w:sz w:val="16"/>
          <w:szCs w:val="16"/>
          <w:b w:val="1"/>
          <w:bCs w:val="1"/>
          <w:color w:val="0057B9"/>
        </w:rPr>
      </w:pPr>
      <w:r>
        <w:rPr>
          <w:rFonts w:ascii="Arial" w:cs="Arial" w:eastAsia="Arial" w:hAnsi="Arial"/>
          <w:sz w:val="16"/>
          <w:szCs w:val="16"/>
          <w:color w:val="58595B"/>
        </w:rPr>
        <w:t>To ratify the appointment of PricewaterhouseCoopers LLP as the Company’s independent registered public accounting firm for the fiscal year 2026.</w:t>
      </w:r>
    </w:p>
    <w:p>
      <w:pPr>
        <w:spacing w:after="0" w:line="168" w:lineRule="exact"/>
        <w:rPr>
          <w:rFonts w:ascii="Arial" w:cs="Arial" w:eastAsia="Arial" w:hAnsi="Arial"/>
          <w:sz w:val="16"/>
          <w:szCs w:val="16"/>
          <w:b w:val="1"/>
          <w:bCs w:val="1"/>
          <w:color w:val="0057B9"/>
        </w:rPr>
      </w:pPr>
    </w:p>
    <w:p>
      <w:pPr>
        <w:ind w:left="360" w:hanging="253"/>
        <w:spacing w:after="0"/>
        <w:tabs>
          <w:tab w:leader="none" w:pos="360" w:val="left"/>
        </w:tabs>
        <w:numPr>
          <w:ilvl w:val="0"/>
          <w:numId w:val="5"/>
        </w:numPr>
        <w:rPr>
          <w:rFonts w:ascii="Arial" w:cs="Arial" w:eastAsia="Arial" w:hAnsi="Arial"/>
          <w:sz w:val="16"/>
          <w:szCs w:val="16"/>
          <w:b w:val="1"/>
          <w:bCs w:val="1"/>
          <w:color w:val="6C4194"/>
        </w:rPr>
      </w:pPr>
      <w:r>
        <w:rPr>
          <w:rFonts w:ascii="Arial" w:cs="Arial" w:eastAsia="Arial" w:hAnsi="Arial"/>
          <w:sz w:val="16"/>
          <w:szCs w:val="16"/>
          <w:color w:val="58595B"/>
        </w:rPr>
        <w:t>To approve, on a non-binding, advisory basis, the compensation of our named executive officers.</w:t>
      </w:r>
    </w:p>
    <w:p>
      <w:pPr>
        <w:spacing w:after="0" w:line="261" w:lineRule="exact"/>
        <w:rPr>
          <w:rFonts w:ascii="Arial" w:cs="Arial" w:eastAsia="Arial" w:hAnsi="Arial"/>
          <w:sz w:val="16"/>
          <w:szCs w:val="16"/>
          <w:b w:val="1"/>
          <w:bCs w:val="1"/>
          <w:color w:val="6C4194"/>
        </w:rPr>
      </w:pPr>
    </w:p>
    <w:p>
      <w:pPr>
        <w:ind w:left="360" w:right="260" w:hanging="253"/>
        <w:spacing w:after="0" w:line="339" w:lineRule="auto"/>
        <w:tabs>
          <w:tab w:leader="none" w:pos="360" w:val="left"/>
        </w:tabs>
        <w:numPr>
          <w:ilvl w:val="0"/>
          <w:numId w:val="5"/>
        </w:numPr>
        <w:rPr>
          <w:rFonts w:ascii="Arial" w:cs="Arial" w:eastAsia="Arial" w:hAnsi="Arial"/>
          <w:sz w:val="16"/>
          <w:szCs w:val="16"/>
          <w:b w:val="1"/>
          <w:bCs w:val="1"/>
          <w:color w:val="FAAC16"/>
        </w:rPr>
      </w:pPr>
      <w:r>
        <w:rPr>
          <w:rFonts w:ascii="Arial" w:cs="Arial" w:eastAsia="Arial" w:hAnsi="Arial"/>
          <w:sz w:val="16"/>
          <w:szCs w:val="16"/>
          <w:color w:val="58595B"/>
        </w:rPr>
        <w:t>To approve Amendment No. 3 to the Integra LifeSciences Holdings Corporation Fifth Amended and Restated 2003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7132320" cy="282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b w:val="1"/>
          <w:bCs w:val="1"/>
          <w:color w:val="009845"/>
        </w:rPr>
        <w:t>FOR</w:t>
      </w:r>
      <w:r>
        <w:rPr>
          <w:sz w:val="20"/>
          <w:szCs w:val="20"/>
          <w:color w:val="auto"/>
        </w:rPr>
        <w:tab/>
      </w:r>
      <w:r>
        <w:rPr>
          <w:rFonts w:ascii="Arial" w:cs="Arial" w:eastAsia="Arial" w:hAnsi="Arial"/>
          <w:sz w:val="16"/>
          <w:szCs w:val="16"/>
          <w:color w:val="58595B"/>
        </w:rPr>
        <w:t>76</w:t>
      </w:r>
    </w:p>
    <w:p>
      <w:pPr>
        <w:spacing w:after="0" w:line="383"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b w:val="1"/>
          <w:bCs w:val="1"/>
          <w:color w:val="009845"/>
        </w:rPr>
        <w:t>FOR</w:t>
      </w:r>
      <w:r>
        <w:rPr>
          <w:sz w:val="20"/>
          <w:szCs w:val="20"/>
          <w:color w:val="auto"/>
        </w:rPr>
        <w:tab/>
      </w:r>
      <w:r>
        <w:rPr>
          <w:rFonts w:ascii="Arial" w:cs="Arial" w:eastAsia="Arial" w:hAnsi="Arial"/>
          <w:sz w:val="16"/>
          <w:szCs w:val="16"/>
          <w:color w:val="58595B"/>
        </w:rPr>
        <w:t>79</w:t>
      </w:r>
    </w:p>
    <w:p>
      <w:pPr>
        <w:spacing w:after="0" w:line="383"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b w:val="1"/>
          <w:bCs w:val="1"/>
          <w:color w:val="009845"/>
        </w:rPr>
        <w:t>FOR</w:t>
      </w:r>
      <w:r>
        <w:rPr>
          <w:sz w:val="20"/>
          <w:szCs w:val="20"/>
          <w:color w:val="auto"/>
        </w:rPr>
        <w:tab/>
      </w:r>
      <w:r>
        <w:rPr>
          <w:rFonts w:ascii="Arial" w:cs="Arial" w:eastAsia="Arial" w:hAnsi="Arial"/>
          <w:sz w:val="16"/>
          <w:szCs w:val="16"/>
          <w:color w:val="58595B"/>
        </w:rPr>
        <w:t>80</w:t>
      </w:r>
    </w:p>
    <w:p>
      <w:pPr>
        <w:spacing w:after="0" w:line="414" w:lineRule="exact"/>
        <w:rPr>
          <w:sz w:val="20"/>
          <w:szCs w:val="20"/>
          <w:color w:val="auto"/>
        </w:rPr>
      </w:pPr>
    </w:p>
    <w:p>
      <w:pPr>
        <w:sectPr>
          <w:pgSz w:w="11900" w:h="16838" w:orient="portrait"/>
          <w:cols w:equalWidth="0" w:num="2">
            <w:col w:w="8400" w:space="720"/>
            <w:col w:w="2120"/>
          </w:cols>
          <w:pgMar w:left="320" w:top="1303"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25"/>
          <w:szCs w:val="25"/>
          <w:color w:val="009845"/>
        </w:rPr>
        <w:t>How to Vote</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595B"/>
        </w:rPr>
        <w:t xml:space="preserve">By Internet </w:t>
      </w:r>
      <w:r>
        <w:rPr>
          <w:sz w:val="1"/>
          <w:szCs w:val="1"/>
          <w:color w:val="auto"/>
        </w:rPr>
        <w:drawing>
          <wp:inline distT="0" distB="0" distL="0" distR="0">
            <wp:extent cx="145415" cy="1543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p>
    <w:p>
      <w:pPr>
        <w:spacing w:after="0" w:line="115" w:lineRule="exact"/>
        <w:rPr>
          <w:sz w:val="20"/>
          <w:szCs w:val="20"/>
          <w:color w:val="auto"/>
        </w:rPr>
      </w:pPr>
    </w:p>
    <w:p>
      <w:pPr>
        <w:ind w:left="20"/>
        <w:spacing w:after="0" w:line="314" w:lineRule="auto"/>
        <w:rPr>
          <w:sz w:val="20"/>
          <w:szCs w:val="20"/>
          <w:color w:val="auto"/>
        </w:rPr>
      </w:pPr>
      <w:r>
        <w:rPr>
          <w:rFonts w:ascii="Arial" w:cs="Arial" w:eastAsia="Arial" w:hAnsi="Arial"/>
          <w:sz w:val="16"/>
          <w:szCs w:val="16"/>
          <w:color w:val="58595B"/>
        </w:rPr>
        <w:t>If you have internet access, you may submit your proxy by following the voting instructions on the proxy card. If you vote by Internet, you should not return your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By Mail </w:t>
      </w:r>
      <w:r>
        <w:rPr>
          <w:sz w:val="1"/>
          <w:szCs w:val="1"/>
          <w:color w:val="auto"/>
        </w:rPr>
        <w:drawing>
          <wp:inline distT="0" distB="0" distL="0" distR="0">
            <wp:extent cx="137160" cy="12001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1200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-177165</wp:posOffset>
            </wp:positionV>
            <wp:extent cx="8255" cy="128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1285875"/>
                    </a:xfrm>
                    <a:prstGeom prst="rect">
                      <a:avLst/>
                    </a:prstGeom>
                    <a:noFill/>
                  </pic:spPr>
                </pic:pic>
              </a:graphicData>
            </a:graphic>
          </wp:anchor>
        </w:drawing>
      </w:r>
    </w:p>
    <w:p>
      <w:pPr>
        <w:spacing w:after="0" w:line="77"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You may vote by mail by completing, dating and signing your proxy card and mailing it in the envelope provided. You must sign your name exactly as it appears on the proxy card. If you are signing in a representative capacity (for example, as officer of a corporation, guardian, executor, trustee or custodian), you must indicate your name and title or capacity.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58595B"/>
        </w:rPr>
        <w:t>If you vote via the Internet,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-132715</wp:posOffset>
            </wp:positionV>
            <wp:extent cx="8255" cy="128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128587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58595B"/>
        </w:rPr>
        <w:t>may vote at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 xml:space="preserve">www.proxyvote.com, </w:t>
      </w:r>
      <w:r>
        <w:rPr>
          <w:rFonts w:ascii="Arial" w:cs="Arial" w:eastAsia="Arial" w:hAnsi="Arial"/>
          <w:sz w:val="16"/>
          <w:szCs w:val="16"/>
          <w:color w:val="58595B"/>
        </w:rPr>
        <w:t>from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58595B"/>
        </w:rPr>
        <w:t>anywhere in the world, 24 hours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day, 7 days a week, up until 11:59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p.m., Eastern Time, on May 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58595B"/>
        </w:rPr>
        <w:t>2026.</w:t>
      </w:r>
    </w:p>
    <w:p>
      <w:pPr>
        <w:spacing w:after="0" w:line="420" w:lineRule="exact"/>
        <w:rPr>
          <w:sz w:val="20"/>
          <w:szCs w:val="20"/>
          <w:color w:val="auto"/>
        </w:rPr>
      </w:pPr>
    </w:p>
    <w:p>
      <w:pPr>
        <w:sectPr>
          <w:pgSz w:w="11900" w:h="16838" w:orient="portrait"/>
          <w:cols w:equalWidth="0" w:num="3">
            <w:col w:w="2340" w:space="600"/>
            <w:col w:w="5220" w:space="580"/>
            <w:col w:w="2500"/>
          </w:cols>
          <w:pgMar w:left="320" w:top="13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11140" w:val="left"/>
        </w:tabs>
        <w:rPr>
          <w:sz w:val="20"/>
          <w:szCs w:val="20"/>
          <w:color w:val="auto"/>
        </w:rPr>
      </w:pPr>
      <w:r>
        <w:rPr>
          <w:rFonts w:ascii="Arial" w:cs="Arial" w:eastAsia="Arial" w:hAnsi="Arial"/>
          <w:sz w:val="13"/>
          <w:szCs w:val="13"/>
          <w:color w:val="58595B"/>
        </w:rPr>
        <w:t>2026 Proxy Statement</w:t>
      </w:r>
      <w:r>
        <w:rPr>
          <w:sz w:val="20"/>
          <w:szCs w:val="20"/>
          <w:color w:val="auto"/>
        </w:rPr>
        <w:tab/>
      </w:r>
      <w:r>
        <w:rPr>
          <w:rFonts w:ascii="Arial" w:cs="Arial" w:eastAsia="Arial" w:hAnsi="Arial"/>
          <w:sz w:val="10"/>
          <w:szCs w:val="10"/>
          <w:b w:val="1"/>
          <w:bCs w:val="1"/>
          <w:color w:val="009845"/>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b w:val="1"/>
          <w:bCs w:val="1"/>
          <w:color w:val="009845"/>
        </w:rPr>
        <w:t xml:space="preserve">Your Vote is Important. </w:t>
      </w:r>
      <w:r>
        <w:rPr>
          <w:rFonts w:ascii="Arial" w:cs="Arial" w:eastAsia="Arial" w:hAnsi="Arial"/>
          <w:sz w:val="16"/>
          <w:szCs w:val="16"/>
          <w:color w:val="58595B"/>
        </w:rPr>
        <w:t>Stockholders as of March 13, 2026, the record date, are entitled to vote. Each share of common stock is entitled to one vote for</w:t>
      </w:r>
      <w:r>
        <w:rPr>
          <w:rFonts w:ascii="Arial" w:cs="Arial" w:eastAsia="Arial" w:hAnsi="Arial"/>
          <w:sz w:val="16"/>
          <w:szCs w:val="16"/>
          <w:b w:val="1"/>
          <w:bCs w:val="1"/>
          <w:color w:val="009845"/>
        </w:rPr>
        <w:t xml:space="preserve"> </w:t>
      </w:r>
      <w:r>
        <w:rPr>
          <w:rFonts w:ascii="Arial" w:cs="Arial" w:eastAsia="Arial" w:hAnsi="Arial"/>
          <w:sz w:val="16"/>
          <w:szCs w:val="16"/>
          <w:color w:val="58595B"/>
        </w:rPr>
        <w:t>each of the proposals presented at the Annual Meeting. Please vote your proxy promptly so that your shares can be represented, even if you plan to attend the Annual Meeting. You can vote via the internet or telephone by following the voting procedures described in the Notice of Annual meeting above, proxy card or voting instruction form, or by returning your completed and signed proxy card or voting instruction form in the provided envelope.</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009845"/>
        </w:rPr>
        <w:t>Board Composition and Director Nominees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provides summary information about each current member of the Board and each director nominee.</w:t>
      </w:r>
    </w:p>
    <w:p>
      <w:pPr>
        <w:spacing w:after="0" w:line="208"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58595B"/>
        </w:rPr>
        <w:t>All directors are elected by a majority of votes cast, except in the case of a contested election where the number of nominees exceeds the number of open positions, in which case plurality voting is used. Members of the Board are elected to serve a term of one year and until their successors have been elected and qualified. All of the nominees for director have consented to being named in this proxy statement and to serve if elected.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58595B"/>
        </w:rPr>
        <w:t>More detailed information about each director nominee can be found beginning on page 8 of this proxy statement.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2080" w:type="dxa"/>
            <w:vAlign w:val="bottom"/>
            <w:shd w:val="clear" w:color="auto" w:fill="009845"/>
          </w:tcPr>
          <w:p>
            <w:pPr>
              <w:spacing w:after="0"/>
              <w:rPr>
                <w:sz w:val="24"/>
                <w:szCs w:val="24"/>
                <w:color w:val="auto"/>
              </w:rPr>
            </w:pPr>
          </w:p>
        </w:tc>
        <w:tc>
          <w:tcPr>
            <w:tcW w:w="500" w:type="dxa"/>
            <w:vAlign w:val="bottom"/>
            <w:shd w:val="clear" w:color="auto" w:fill="009845"/>
          </w:tcPr>
          <w:p>
            <w:pPr>
              <w:spacing w:after="0"/>
              <w:rPr>
                <w:sz w:val="24"/>
                <w:szCs w:val="24"/>
                <w:color w:val="auto"/>
              </w:rPr>
            </w:pPr>
          </w:p>
        </w:tc>
        <w:tc>
          <w:tcPr>
            <w:tcW w:w="880" w:type="dxa"/>
            <w:vAlign w:val="bottom"/>
            <w:shd w:val="clear" w:color="auto" w:fill="009845"/>
          </w:tcPr>
          <w:p>
            <w:pPr>
              <w:spacing w:after="0"/>
              <w:rPr>
                <w:sz w:val="24"/>
                <w:szCs w:val="24"/>
                <w:color w:val="auto"/>
              </w:rPr>
            </w:pPr>
          </w:p>
        </w:tc>
        <w:tc>
          <w:tcPr>
            <w:tcW w:w="1200" w:type="dxa"/>
            <w:vAlign w:val="bottom"/>
            <w:shd w:val="clear" w:color="auto" w:fill="009845"/>
          </w:tcPr>
          <w:p>
            <w:pPr>
              <w:spacing w:after="0"/>
              <w:rPr>
                <w:sz w:val="24"/>
                <w:szCs w:val="24"/>
                <w:color w:val="auto"/>
              </w:rPr>
            </w:pPr>
          </w:p>
        </w:tc>
        <w:tc>
          <w:tcPr>
            <w:tcW w:w="2280" w:type="dxa"/>
            <w:vAlign w:val="bottom"/>
            <w:shd w:val="clear" w:color="auto" w:fill="009845"/>
          </w:tcPr>
          <w:p>
            <w:pPr>
              <w:spacing w:after="0"/>
              <w:rPr>
                <w:sz w:val="24"/>
                <w:szCs w:val="24"/>
                <w:color w:val="auto"/>
              </w:rPr>
            </w:pPr>
          </w:p>
        </w:tc>
        <w:tc>
          <w:tcPr>
            <w:tcW w:w="500" w:type="dxa"/>
            <w:vAlign w:val="bottom"/>
            <w:shd w:val="clear" w:color="auto" w:fill="009845"/>
          </w:tcPr>
          <w:p>
            <w:pPr>
              <w:spacing w:after="0"/>
              <w:rPr>
                <w:sz w:val="24"/>
                <w:szCs w:val="24"/>
                <w:color w:val="auto"/>
              </w:rPr>
            </w:pPr>
          </w:p>
        </w:tc>
        <w:tc>
          <w:tcPr>
            <w:tcW w:w="2020" w:type="dxa"/>
            <w:vAlign w:val="bottom"/>
            <w:gridSpan w:val="3"/>
            <w:shd w:val="clear" w:color="auto" w:fill="009845"/>
          </w:tcPr>
          <w:p>
            <w:pPr>
              <w:jc w:val="center"/>
              <w:spacing w:after="0"/>
              <w:rPr>
                <w:sz w:val="20"/>
                <w:szCs w:val="20"/>
                <w:color w:val="auto"/>
              </w:rPr>
            </w:pPr>
            <w:r>
              <w:rPr>
                <w:rFonts w:ascii="Arial" w:cs="Arial" w:eastAsia="Arial" w:hAnsi="Arial"/>
                <w:sz w:val="14"/>
                <w:szCs w:val="14"/>
                <w:b w:val="1"/>
                <w:bCs w:val="1"/>
                <w:color w:val="FFFFFF"/>
              </w:rPr>
              <w:t>Committee Memberships</w:t>
            </w:r>
          </w:p>
        </w:tc>
        <w:tc>
          <w:tcPr>
            <w:tcW w:w="520" w:type="dxa"/>
            <w:vAlign w:val="bottom"/>
            <w:shd w:val="clear" w:color="auto" w:fill="009845"/>
          </w:tcPr>
          <w:p>
            <w:pPr>
              <w:spacing w:after="0"/>
              <w:rPr>
                <w:sz w:val="24"/>
                <w:szCs w:val="24"/>
                <w:color w:val="auto"/>
              </w:rPr>
            </w:pPr>
          </w:p>
        </w:tc>
        <w:tc>
          <w:tcPr>
            <w:tcW w:w="1260" w:type="dxa"/>
            <w:vAlign w:val="bottom"/>
            <w:vMerge w:val="restart"/>
            <w:shd w:val="clear" w:color="auto" w:fill="009845"/>
          </w:tcPr>
          <w:p>
            <w:pPr>
              <w:jc w:val="center"/>
              <w:spacing w:after="0"/>
              <w:rPr>
                <w:sz w:val="20"/>
                <w:szCs w:val="20"/>
                <w:color w:val="auto"/>
              </w:rPr>
            </w:pPr>
            <w:r>
              <w:rPr>
                <w:rFonts w:ascii="Arial" w:cs="Arial" w:eastAsia="Arial" w:hAnsi="Arial"/>
                <w:sz w:val="14"/>
                <w:szCs w:val="14"/>
                <w:b w:val="1"/>
                <w:bCs w:val="1"/>
                <w:color w:val="FFFFFF"/>
              </w:rPr>
              <w:t>Other Current</w:t>
            </w:r>
          </w:p>
        </w:tc>
        <w:tc>
          <w:tcPr>
            <w:tcW w:w="0" w:type="dxa"/>
            <w:vAlign w:val="bottom"/>
          </w:tcPr>
          <w:p>
            <w:pPr>
              <w:spacing w:after="0"/>
              <w:rPr>
                <w:sz w:val="1"/>
                <w:szCs w:val="1"/>
                <w:color w:val="auto"/>
              </w:rPr>
            </w:pPr>
          </w:p>
        </w:tc>
      </w:tr>
      <w:tr>
        <w:trPr>
          <w:trHeight w:val="124"/>
        </w:trPr>
        <w:tc>
          <w:tcPr>
            <w:tcW w:w="2080" w:type="dxa"/>
            <w:vAlign w:val="bottom"/>
            <w:shd w:val="clear" w:color="auto" w:fill="009845"/>
          </w:tcPr>
          <w:p>
            <w:pPr>
              <w:spacing w:after="0"/>
              <w:rPr>
                <w:sz w:val="10"/>
                <w:szCs w:val="10"/>
                <w:color w:val="auto"/>
              </w:rPr>
            </w:pPr>
          </w:p>
        </w:tc>
        <w:tc>
          <w:tcPr>
            <w:tcW w:w="500" w:type="dxa"/>
            <w:vAlign w:val="bottom"/>
            <w:shd w:val="clear" w:color="auto" w:fill="009845"/>
          </w:tcPr>
          <w:p>
            <w:pPr>
              <w:spacing w:after="0"/>
              <w:rPr>
                <w:sz w:val="10"/>
                <w:szCs w:val="10"/>
                <w:color w:val="auto"/>
              </w:rPr>
            </w:pPr>
          </w:p>
        </w:tc>
        <w:tc>
          <w:tcPr>
            <w:tcW w:w="880" w:type="dxa"/>
            <w:vAlign w:val="bottom"/>
            <w:vMerge w:val="restart"/>
            <w:shd w:val="clear" w:color="auto" w:fill="009845"/>
          </w:tcPr>
          <w:p>
            <w:pPr>
              <w:jc w:val="center"/>
              <w:spacing w:after="0"/>
              <w:rPr>
                <w:sz w:val="20"/>
                <w:szCs w:val="20"/>
                <w:color w:val="auto"/>
              </w:rPr>
            </w:pPr>
            <w:r>
              <w:rPr>
                <w:rFonts w:ascii="Arial" w:cs="Arial" w:eastAsia="Arial" w:hAnsi="Arial"/>
                <w:sz w:val="14"/>
                <w:szCs w:val="14"/>
                <w:b w:val="1"/>
                <w:bCs w:val="1"/>
                <w:color w:val="FFFFFF"/>
              </w:rPr>
              <w:t>Director</w:t>
            </w:r>
          </w:p>
        </w:tc>
        <w:tc>
          <w:tcPr>
            <w:tcW w:w="1200" w:type="dxa"/>
            <w:vAlign w:val="bottom"/>
            <w:shd w:val="clear" w:color="auto" w:fill="009845"/>
          </w:tcPr>
          <w:p>
            <w:pPr>
              <w:spacing w:after="0"/>
              <w:rPr>
                <w:sz w:val="10"/>
                <w:szCs w:val="10"/>
                <w:color w:val="auto"/>
              </w:rPr>
            </w:pPr>
          </w:p>
        </w:tc>
        <w:tc>
          <w:tcPr>
            <w:tcW w:w="2280" w:type="dxa"/>
            <w:vAlign w:val="bottom"/>
            <w:shd w:val="clear" w:color="auto" w:fill="009845"/>
          </w:tcPr>
          <w:p>
            <w:pPr>
              <w:spacing w:after="0"/>
              <w:rPr>
                <w:sz w:val="10"/>
                <w:szCs w:val="10"/>
                <w:color w:val="auto"/>
              </w:rPr>
            </w:pPr>
          </w:p>
        </w:tc>
        <w:tc>
          <w:tcPr>
            <w:tcW w:w="500" w:type="dxa"/>
            <w:vAlign w:val="bottom"/>
            <w:shd w:val="clear" w:color="auto" w:fill="009845"/>
          </w:tcPr>
          <w:p>
            <w:pPr>
              <w:spacing w:after="0"/>
              <w:rPr>
                <w:sz w:val="10"/>
                <w:szCs w:val="10"/>
                <w:color w:val="auto"/>
              </w:rPr>
            </w:pPr>
          </w:p>
        </w:tc>
        <w:tc>
          <w:tcPr>
            <w:tcW w:w="700" w:type="dxa"/>
            <w:vAlign w:val="bottom"/>
            <w:shd w:val="clear" w:color="auto" w:fill="009845"/>
          </w:tcPr>
          <w:p>
            <w:pPr>
              <w:spacing w:after="0"/>
              <w:rPr>
                <w:sz w:val="10"/>
                <w:szCs w:val="10"/>
                <w:color w:val="auto"/>
              </w:rPr>
            </w:pPr>
          </w:p>
        </w:tc>
        <w:tc>
          <w:tcPr>
            <w:tcW w:w="620" w:type="dxa"/>
            <w:vAlign w:val="bottom"/>
            <w:shd w:val="clear" w:color="auto" w:fill="009845"/>
          </w:tcPr>
          <w:p>
            <w:pPr>
              <w:spacing w:after="0"/>
              <w:rPr>
                <w:sz w:val="10"/>
                <w:szCs w:val="10"/>
                <w:color w:val="auto"/>
              </w:rPr>
            </w:pPr>
          </w:p>
        </w:tc>
        <w:tc>
          <w:tcPr>
            <w:tcW w:w="700" w:type="dxa"/>
            <w:vAlign w:val="bottom"/>
            <w:shd w:val="clear" w:color="auto" w:fill="009845"/>
          </w:tcPr>
          <w:p>
            <w:pPr>
              <w:spacing w:after="0"/>
              <w:rPr>
                <w:sz w:val="10"/>
                <w:szCs w:val="10"/>
                <w:color w:val="auto"/>
              </w:rPr>
            </w:pPr>
          </w:p>
        </w:tc>
        <w:tc>
          <w:tcPr>
            <w:tcW w:w="520" w:type="dxa"/>
            <w:vAlign w:val="bottom"/>
            <w:shd w:val="clear" w:color="auto" w:fill="009845"/>
          </w:tcPr>
          <w:p>
            <w:pPr>
              <w:spacing w:after="0"/>
              <w:rPr>
                <w:sz w:val="10"/>
                <w:szCs w:val="10"/>
                <w:color w:val="auto"/>
              </w:rPr>
            </w:pPr>
          </w:p>
        </w:tc>
        <w:tc>
          <w:tcPr>
            <w:tcW w:w="1260" w:type="dxa"/>
            <w:vAlign w:val="bottom"/>
            <w:vMerge w:val="continue"/>
            <w:shd w:val="clear" w:color="auto" w:fill="009845"/>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80" w:type="dxa"/>
            <w:vAlign w:val="bottom"/>
            <w:shd w:val="clear" w:color="auto" w:fill="009845"/>
          </w:tcPr>
          <w:p>
            <w:pPr>
              <w:spacing w:after="0"/>
              <w:rPr>
                <w:sz w:val="13"/>
                <w:szCs w:val="13"/>
                <w:color w:val="auto"/>
              </w:rPr>
            </w:pPr>
          </w:p>
        </w:tc>
        <w:tc>
          <w:tcPr>
            <w:tcW w:w="500" w:type="dxa"/>
            <w:vAlign w:val="bottom"/>
            <w:shd w:val="clear" w:color="auto" w:fill="009845"/>
          </w:tcPr>
          <w:p>
            <w:pPr>
              <w:spacing w:after="0"/>
              <w:rPr>
                <w:sz w:val="13"/>
                <w:szCs w:val="13"/>
                <w:color w:val="auto"/>
              </w:rPr>
            </w:pPr>
          </w:p>
        </w:tc>
        <w:tc>
          <w:tcPr>
            <w:tcW w:w="880" w:type="dxa"/>
            <w:vAlign w:val="bottom"/>
            <w:vMerge w:val="continue"/>
            <w:shd w:val="clear" w:color="auto" w:fill="009845"/>
          </w:tcPr>
          <w:p>
            <w:pPr>
              <w:spacing w:after="0"/>
              <w:rPr>
                <w:sz w:val="13"/>
                <w:szCs w:val="13"/>
                <w:color w:val="auto"/>
              </w:rPr>
            </w:pPr>
          </w:p>
        </w:tc>
        <w:tc>
          <w:tcPr>
            <w:tcW w:w="1200" w:type="dxa"/>
            <w:vAlign w:val="bottom"/>
            <w:shd w:val="clear" w:color="auto" w:fill="009845"/>
          </w:tcPr>
          <w:p>
            <w:pPr>
              <w:spacing w:after="0"/>
              <w:rPr>
                <w:sz w:val="13"/>
                <w:szCs w:val="13"/>
                <w:color w:val="auto"/>
              </w:rPr>
            </w:pPr>
          </w:p>
        </w:tc>
        <w:tc>
          <w:tcPr>
            <w:tcW w:w="2280" w:type="dxa"/>
            <w:vAlign w:val="bottom"/>
            <w:shd w:val="clear" w:color="auto" w:fill="009845"/>
          </w:tcPr>
          <w:p>
            <w:pPr>
              <w:spacing w:after="0"/>
              <w:rPr>
                <w:sz w:val="13"/>
                <w:szCs w:val="13"/>
                <w:color w:val="auto"/>
              </w:rPr>
            </w:pPr>
          </w:p>
        </w:tc>
        <w:tc>
          <w:tcPr>
            <w:tcW w:w="500" w:type="dxa"/>
            <w:vAlign w:val="bottom"/>
            <w:shd w:val="clear" w:color="auto" w:fill="009845"/>
          </w:tcPr>
          <w:p>
            <w:pPr>
              <w:spacing w:after="0"/>
              <w:rPr>
                <w:sz w:val="13"/>
                <w:szCs w:val="13"/>
                <w:color w:val="auto"/>
              </w:rPr>
            </w:pPr>
          </w:p>
        </w:tc>
        <w:tc>
          <w:tcPr>
            <w:tcW w:w="700" w:type="dxa"/>
            <w:vAlign w:val="bottom"/>
            <w:shd w:val="clear" w:color="auto" w:fill="009845"/>
          </w:tcPr>
          <w:p>
            <w:pPr>
              <w:spacing w:after="0"/>
              <w:rPr>
                <w:sz w:val="13"/>
                <w:szCs w:val="13"/>
                <w:color w:val="auto"/>
              </w:rPr>
            </w:pPr>
          </w:p>
        </w:tc>
        <w:tc>
          <w:tcPr>
            <w:tcW w:w="620" w:type="dxa"/>
            <w:vAlign w:val="bottom"/>
            <w:shd w:val="clear" w:color="auto" w:fill="009845"/>
          </w:tcPr>
          <w:p>
            <w:pPr>
              <w:spacing w:after="0"/>
              <w:rPr>
                <w:sz w:val="13"/>
                <w:szCs w:val="13"/>
                <w:color w:val="auto"/>
              </w:rPr>
            </w:pPr>
          </w:p>
        </w:tc>
        <w:tc>
          <w:tcPr>
            <w:tcW w:w="700" w:type="dxa"/>
            <w:vAlign w:val="bottom"/>
            <w:shd w:val="clear" w:color="auto" w:fill="009845"/>
          </w:tcPr>
          <w:p>
            <w:pPr>
              <w:spacing w:after="0"/>
              <w:rPr>
                <w:sz w:val="13"/>
                <w:szCs w:val="13"/>
                <w:color w:val="auto"/>
              </w:rPr>
            </w:pPr>
          </w:p>
        </w:tc>
        <w:tc>
          <w:tcPr>
            <w:tcW w:w="520" w:type="dxa"/>
            <w:vAlign w:val="bottom"/>
            <w:shd w:val="clear" w:color="auto" w:fill="009845"/>
          </w:tcPr>
          <w:p>
            <w:pPr>
              <w:spacing w:after="0"/>
              <w:rPr>
                <w:sz w:val="13"/>
                <w:szCs w:val="13"/>
                <w:color w:val="auto"/>
              </w:rPr>
            </w:pPr>
          </w:p>
        </w:tc>
        <w:tc>
          <w:tcPr>
            <w:tcW w:w="1260" w:type="dxa"/>
            <w:vAlign w:val="bottom"/>
            <w:shd w:val="clear" w:color="auto" w:fill="009845"/>
          </w:tcPr>
          <w:p>
            <w:pPr>
              <w:jc w:val="center"/>
              <w:spacing w:after="0" w:line="153" w:lineRule="exact"/>
              <w:rPr>
                <w:sz w:val="20"/>
                <w:szCs w:val="20"/>
                <w:color w:val="auto"/>
              </w:rPr>
            </w:pPr>
            <w:r>
              <w:rPr>
                <w:rFonts w:ascii="Arial" w:cs="Arial" w:eastAsia="Arial" w:hAnsi="Arial"/>
                <w:sz w:val="14"/>
                <w:szCs w:val="14"/>
                <w:b w:val="1"/>
                <w:bCs w:val="1"/>
                <w:color w:val="FFFFFF"/>
              </w:rPr>
              <w:t>Public Company</w:t>
            </w:r>
          </w:p>
        </w:tc>
        <w:tc>
          <w:tcPr>
            <w:tcW w:w="0" w:type="dxa"/>
            <w:vAlign w:val="bottom"/>
          </w:tcPr>
          <w:p>
            <w:pPr>
              <w:spacing w:after="0"/>
              <w:rPr>
                <w:sz w:val="1"/>
                <w:szCs w:val="1"/>
                <w:color w:val="auto"/>
              </w:rPr>
            </w:pPr>
          </w:p>
        </w:tc>
      </w:tr>
      <w:tr>
        <w:trPr>
          <w:trHeight w:val="246"/>
        </w:trPr>
        <w:tc>
          <w:tcPr>
            <w:tcW w:w="208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50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Age*</w:t>
            </w:r>
          </w:p>
        </w:tc>
        <w:tc>
          <w:tcPr>
            <w:tcW w:w="88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Since</w:t>
            </w:r>
          </w:p>
        </w:tc>
        <w:tc>
          <w:tcPr>
            <w:tcW w:w="120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Independence</w:t>
            </w:r>
          </w:p>
        </w:tc>
        <w:tc>
          <w:tcPr>
            <w:tcW w:w="2280" w:type="dxa"/>
            <w:vAlign w:val="bottom"/>
            <w:tcBorders>
              <w:bottom w:val="single" w:sz="8" w:color="009845"/>
            </w:tcBorders>
            <w:shd w:val="clear" w:color="auto" w:fill="009845"/>
          </w:tcPr>
          <w:p>
            <w:pPr>
              <w:ind w:left="740"/>
              <w:spacing w:after="0"/>
              <w:rPr>
                <w:sz w:val="20"/>
                <w:szCs w:val="20"/>
                <w:color w:val="auto"/>
              </w:rPr>
            </w:pPr>
            <w:r>
              <w:rPr>
                <w:rFonts w:ascii="Arial" w:cs="Arial" w:eastAsia="Arial" w:hAnsi="Arial"/>
                <w:sz w:val="14"/>
                <w:szCs w:val="14"/>
                <w:b w:val="1"/>
                <w:bCs w:val="1"/>
                <w:color w:val="FFFFFF"/>
              </w:rPr>
              <w:t>Occupation</w:t>
            </w:r>
          </w:p>
        </w:tc>
        <w:tc>
          <w:tcPr>
            <w:tcW w:w="500" w:type="dxa"/>
            <w:vAlign w:val="bottom"/>
            <w:tcBorders>
              <w:bottom w:val="single" w:sz="8" w:color="009845"/>
            </w:tcBorders>
            <w:shd w:val="clear" w:color="auto" w:fill="009845"/>
          </w:tcPr>
          <w:p>
            <w:pPr>
              <w:ind w:left="240"/>
              <w:spacing w:after="0"/>
              <w:rPr>
                <w:sz w:val="20"/>
                <w:szCs w:val="20"/>
                <w:color w:val="auto"/>
              </w:rPr>
            </w:pPr>
            <w:r>
              <w:rPr>
                <w:rFonts w:ascii="Arial" w:cs="Arial" w:eastAsia="Arial" w:hAnsi="Arial"/>
                <w:sz w:val="14"/>
                <w:szCs w:val="14"/>
                <w:b w:val="1"/>
                <w:bCs w:val="1"/>
                <w:color w:val="FFFFFF"/>
              </w:rPr>
              <w:t>A</w:t>
            </w:r>
          </w:p>
        </w:tc>
        <w:tc>
          <w:tcPr>
            <w:tcW w:w="700" w:type="dxa"/>
            <w:vAlign w:val="bottom"/>
            <w:tcBorders>
              <w:bottom w:val="single" w:sz="8" w:color="009845"/>
            </w:tcBorders>
            <w:shd w:val="clear" w:color="auto" w:fill="009845"/>
          </w:tcPr>
          <w:p>
            <w:pPr>
              <w:ind w:left="360"/>
              <w:spacing w:after="0"/>
              <w:rPr>
                <w:sz w:val="20"/>
                <w:szCs w:val="20"/>
                <w:color w:val="auto"/>
              </w:rPr>
            </w:pPr>
            <w:r>
              <w:rPr>
                <w:rFonts w:ascii="Arial" w:cs="Arial" w:eastAsia="Arial" w:hAnsi="Arial"/>
                <w:sz w:val="14"/>
                <w:szCs w:val="14"/>
                <w:b w:val="1"/>
                <w:bCs w:val="1"/>
                <w:color w:val="FFFFFF"/>
              </w:rPr>
              <w:t>C</w:t>
            </w:r>
          </w:p>
        </w:tc>
        <w:tc>
          <w:tcPr>
            <w:tcW w:w="62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w w:val="91"/>
              </w:rPr>
              <w:t>G</w:t>
            </w:r>
          </w:p>
        </w:tc>
        <w:tc>
          <w:tcPr>
            <w:tcW w:w="700" w:type="dxa"/>
            <w:vAlign w:val="bottom"/>
            <w:tcBorders>
              <w:bottom w:val="single" w:sz="8" w:color="009845"/>
            </w:tcBorders>
            <w:shd w:val="clear" w:color="auto" w:fill="009845"/>
          </w:tcPr>
          <w:p>
            <w:pPr>
              <w:ind w:left="260"/>
              <w:spacing w:after="0"/>
              <w:rPr>
                <w:sz w:val="20"/>
                <w:szCs w:val="20"/>
                <w:color w:val="auto"/>
              </w:rPr>
            </w:pPr>
            <w:r>
              <w:rPr>
                <w:rFonts w:ascii="Arial" w:cs="Arial" w:eastAsia="Arial" w:hAnsi="Arial"/>
                <w:sz w:val="14"/>
                <w:szCs w:val="14"/>
                <w:b w:val="1"/>
                <w:bCs w:val="1"/>
                <w:color w:val="FFFFFF"/>
              </w:rPr>
              <w:t>F</w:t>
            </w:r>
          </w:p>
        </w:tc>
        <w:tc>
          <w:tcPr>
            <w:tcW w:w="520" w:type="dxa"/>
            <w:vAlign w:val="bottom"/>
            <w:tcBorders>
              <w:bottom w:val="single" w:sz="8" w:color="009845"/>
            </w:tcBorders>
            <w:shd w:val="clear" w:color="auto" w:fill="009845"/>
          </w:tcPr>
          <w:p>
            <w:pPr>
              <w:ind w:left="160"/>
              <w:spacing w:after="0"/>
              <w:rPr>
                <w:sz w:val="20"/>
                <w:szCs w:val="20"/>
                <w:color w:val="auto"/>
              </w:rPr>
            </w:pPr>
            <w:r>
              <w:rPr>
                <w:rFonts w:ascii="Arial" w:cs="Arial" w:eastAsia="Arial" w:hAnsi="Arial"/>
                <w:sz w:val="14"/>
                <w:szCs w:val="14"/>
                <w:b w:val="1"/>
                <w:bCs w:val="1"/>
                <w:color w:val="FFFFFF"/>
              </w:rPr>
              <w:t>Q</w:t>
            </w:r>
          </w:p>
        </w:tc>
        <w:tc>
          <w:tcPr>
            <w:tcW w:w="126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Boards</w:t>
            </w:r>
          </w:p>
        </w:tc>
        <w:tc>
          <w:tcPr>
            <w:tcW w:w="0" w:type="dxa"/>
            <w:vAlign w:val="bottom"/>
          </w:tcPr>
          <w:p>
            <w:pPr>
              <w:spacing w:after="0"/>
              <w:rPr>
                <w:sz w:val="1"/>
                <w:szCs w:val="1"/>
                <w:color w:val="auto"/>
              </w:rPr>
            </w:pPr>
          </w:p>
        </w:tc>
      </w:tr>
      <w:tr>
        <w:trPr>
          <w:trHeight w:val="193"/>
        </w:trPr>
        <w:tc>
          <w:tcPr>
            <w:tcW w:w="2080" w:type="dxa"/>
            <w:vAlign w:val="bottom"/>
            <w:shd w:val="clear" w:color="auto" w:fill="EFEDED"/>
          </w:tcPr>
          <w:p>
            <w:pPr>
              <w:spacing w:after="0"/>
              <w:rPr>
                <w:sz w:val="16"/>
                <w:szCs w:val="16"/>
                <w:color w:val="auto"/>
              </w:rPr>
            </w:pPr>
          </w:p>
        </w:tc>
        <w:tc>
          <w:tcPr>
            <w:tcW w:w="500" w:type="dxa"/>
            <w:vAlign w:val="bottom"/>
            <w:shd w:val="clear" w:color="auto" w:fill="EFEDED"/>
          </w:tcPr>
          <w:p>
            <w:pPr>
              <w:spacing w:after="0"/>
              <w:rPr>
                <w:sz w:val="16"/>
                <w:szCs w:val="16"/>
                <w:color w:val="auto"/>
              </w:rPr>
            </w:pPr>
          </w:p>
        </w:tc>
        <w:tc>
          <w:tcPr>
            <w:tcW w:w="880" w:type="dxa"/>
            <w:vAlign w:val="bottom"/>
            <w:shd w:val="clear" w:color="auto" w:fill="EFEDED"/>
          </w:tcPr>
          <w:p>
            <w:pPr>
              <w:spacing w:after="0"/>
              <w:rPr>
                <w:sz w:val="16"/>
                <w:szCs w:val="16"/>
                <w:color w:val="auto"/>
              </w:rPr>
            </w:pPr>
          </w:p>
        </w:tc>
        <w:tc>
          <w:tcPr>
            <w:tcW w:w="1200" w:type="dxa"/>
            <w:vAlign w:val="bottom"/>
            <w:shd w:val="clear" w:color="auto" w:fill="EFEDED"/>
          </w:tcPr>
          <w:p>
            <w:pPr>
              <w:spacing w:after="0"/>
              <w:rPr>
                <w:sz w:val="16"/>
                <w:szCs w:val="16"/>
                <w:color w:val="auto"/>
              </w:rPr>
            </w:pPr>
          </w:p>
        </w:tc>
        <w:tc>
          <w:tcPr>
            <w:tcW w:w="228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Retired Professor of International</w:t>
            </w:r>
          </w:p>
        </w:tc>
        <w:tc>
          <w:tcPr>
            <w:tcW w:w="50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62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520" w:type="dxa"/>
            <w:vAlign w:val="bottom"/>
            <w:shd w:val="clear" w:color="auto" w:fill="EFEDED"/>
          </w:tcPr>
          <w:p>
            <w:pPr>
              <w:spacing w:after="0"/>
              <w:rPr>
                <w:sz w:val="16"/>
                <w:szCs w:val="16"/>
                <w:color w:val="auto"/>
              </w:rPr>
            </w:pPr>
          </w:p>
        </w:tc>
        <w:tc>
          <w:tcPr>
            <w:tcW w:w="1260" w:type="dxa"/>
            <w:vAlign w:val="bottom"/>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8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5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81</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1992</w:t>
            </w:r>
          </w:p>
        </w:tc>
        <w:tc>
          <w:tcPr>
            <w:tcW w:w="1200" w:type="dxa"/>
            <w:vAlign w:val="bottom"/>
            <w:shd w:val="clear" w:color="auto" w:fill="EFEDED"/>
          </w:tcPr>
          <w:p>
            <w:pPr>
              <w:spacing w:after="0"/>
              <w:rPr>
                <w:sz w:val="15"/>
                <w:szCs w:val="15"/>
                <w:color w:val="auto"/>
              </w:rPr>
            </w:pPr>
          </w:p>
        </w:tc>
        <w:tc>
          <w:tcPr>
            <w:tcW w:w="228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Management and Management</w:t>
            </w:r>
          </w:p>
        </w:tc>
        <w:tc>
          <w:tcPr>
            <w:tcW w:w="500" w:type="dxa"/>
            <w:vAlign w:val="bottom"/>
            <w:shd w:val="clear" w:color="auto" w:fill="EFEDED"/>
          </w:tcPr>
          <w:p>
            <w:pPr>
              <w:spacing w:after="0"/>
              <w:rPr>
                <w:sz w:val="15"/>
                <w:szCs w:val="15"/>
                <w:color w:val="auto"/>
              </w:rPr>
            </w:pPr>
          </w:p>
        </w:tc>
        <w:tc>
          <w:tcPr>
            <w:tcW w:w="700" w:type="dxa"/>
            <w:vAlign w:val="bottom"/>
            <w:shd w:val="clear" w:color="auto" w:fill="EFEDED"/>
          </w:tcPr>
          <w:p>
            <w:pPr>
              <w:spacing w:after="0"/>
              <w:rPr>
                <w:sz w:val="15"/>
                <w:szCs w:val="15"/>
                <w:color w:val="auto"/>
              </w:rPr>
            </w:pPr>
          </w:p>
        </w:tc>
        <w:tc>
          <w:tcPr>
            <w:tcW w:w="620" w:type="dxa"/>
            <w:vAlign w:val="bottom"/>
            <w:shd w:val="clear" w:color="auto" w:fill="EFEDED"/>
          </w:tcPr>
          <w:p>
            <w:pPr>
              <w:spacing w:after="0"/>
              <w:rPr>
                <w:sz w:val="15"/>
                <w:szCs w:val="15"/>
                <w:color w:val="auto"/>
              </w:rPr>
            </w:pPr>
          </w:p>
        </w:tc>
        <w:tc>
          <w:tcPr>
            <w:tcW w:w="700" w:type="dxa"/>
            <w:vAlign w:val="bottom"/>
            <w:shd w:val="clear" w:color="auto" w:fill="EFEDED"/>
          </w:tcPr>
          <w:p>
            <w:pPr>
              <w:spacing w:after="0"/>
              <w:rPr>
                <w:sz w:val="15"/>
                <w:szCs w:val="15"/>
                <w:color w:val="auto"/>
              </w:rPr>
            </w:pPr>
          </w:p>
        </w:tc>
        <w:tc>
          <w:tcPr>
            <w:tcW w:w="520" w:type="dxa"/>
            <w:vAlign w:val="bottom"/>
            <w:shd w:val="clear" w:color="auto" w:fill="EFEDED"/>
          </w:tcPr>
          <w:p>
            <w:pPr>
              <w:spacing w:after="0"/>
              <w:rPr>
                <w:sz w:val="15"/>
                <w:szCs w:val="15"/>
                <w:color w:val="auto"/>
              </w:rPr>
            </w:pPr>
          </w:p>
        </w:tc>
        <w:tc>
          <w:tcPr>
            <w:tcW w:w="126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102"/>
        </w:trPr>
        <w:tc>
          <w:tcPr>
            <w:tcW w:w="2080" w:type="dxa"/>
            <w:vAlign w:val="bottom"/>
            <w:vMerge w:val="continue"/>
            <w:shd w:val="clear" w:color="auto" w:fill="EFEDED"/>
          </w:tcPr>
          <w:p>
            <w:pPr>
              <w:spacing w:after="0"/>
              <w:rPr>
                <w:sz w:val="8"/>
                <w:szCs w:val="8"/>
                <w:color w:val="auto"/>
              </w:rPr>
            </w:pPr>
          </w:p>
        </w:tc>
        <w:tc>
          <w:tcPr>
            <w:tcW w:w="500" w:type="dxa"/>
            <w:vAlign w:val="bottom"/>
            <w:vMerge w:val="continue"/>
            <w:shd w:val="clear" w:color="auto" w:fill="EFEDED"/>
          </w:tcPr>
          <w:p>
            <w:pPr>
              <w:spacing w:after="0"/>
              <w:rPr>
                <w:sz w:val="8"/>
                <w:szCs w:val="8"/>
                <w:color w:val="auto"/>
              </w:rPr>
            </w:pPr>
          </w:p>
        </w:tc>
        <w:tc>
          <w:tcPr>
            <w:tcW w:w="880" w:type="dxa"/>
            <w:vAlign w:val="bottom"/>
            <w:vMerge w:val="continue"/>
            <w:shd w:val="clear" w:color="auto" w:fill="EFEDED"/>
          </w:tcPr>
          <w:p>
            <w:pPr>
              <w:spacing w:after="0"/>
              <w:rPr>
                <w:sz w:val="8"/>
                <w:szCs w:val="8"/>
                <w:color w:val="auto"/>
              </w:rPr>
            </w:pPr>
          </w:p>
        </w:tc>
        <w:tc>
          <w:tcPr>
            <w:tcW w:w="1200" w:type="dxa"/>
            <w:vAlign w:val="bottom"/>
            <w:shd w:val="clear" w:color="auto" w:fill="EFEDED"/>
          </w:tcPr>
          <w:p>
            <w:pPr>
              <w:spacing w:after="0"/>
              <w:rPr>
                <w:sz w:val="8"/>
                <w:szCs w:val="8"/>
                <w:color w:val="auto"/>
              </w:rPr>
            </w:pPr>
          </w:p>
        </w:tc>
        <w:tc>
          <w:tcPr>
            <w:tcW w:w="2280" w:type="dxa"/>
            <w:vAlign w:val="bottom"/>
            <w:vMerge w:val="restart"/>
            <w:shd w:val="clear" w:color="auto" w:fill="EFEDED"/>
          </w:tcPr>
          <w:p>
            <w:pPr>
              <w:ind w:left="20"/>
              <w:spacing w:after="0"/>
              <w:rPr>
                <w:sz w:val="20"/>
                <w:szCs w:val="20"/>
                <w:color w:val="auto"/>
              </w:rPr>
            </w:pPr>
            <w:r>
              <w:rPr>
                <w:rFonts w:ascii="Arial" w:cs="Arial" w:eastAsia="Arial" w:hAnsi="Arial"/>
                <w:sz w:val="14"/>
                <w:szCs w:val="14"/>
                <w:color w:val="58595B"/>
              </w:rPr>
              <w:t>Strategy, Open University and</w:t>
            </w:r>
          </w:p>
        </w:tc>
        <w:tc>
          <w:tcPr>
            <w:tcW w:w="50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62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520" w:type="dxa"/>
            <w:vAlign w:val="bottom"/>
            <w:shd w:val="clear" w:color="auto" w:fill="EFEDED"/>
          </w:tcPr>
          <w:p>
            <w:pPr>
              <w:spacing w:after="0"/>
              <w:rPr>
                <w:sz w:val="8"/>
                <w:szCs w:val="8"/>
                <w:color w:val="auto"/>
              </w:rPr>
            </w:pPr>
          </w:p>
        </w:tc>
        <w:tc>
          <w:tcPr>
            <w:tcW w:w="126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80" w:type="dxa"/>
            <w:vAlign w:val="bottom"/>
            <w:shd w:val="clear" w:color="auto" w:fill="EFEDED"/>
          </w:tcPr>
          <w:p>
            <w:pPr>
              <w:spacing w:after="0"/>
              <w:rPr>
                <w:sz w:val="5"/>
                <w:szCs w:val="5"/>
                <w:color w:val="auto"/>
              </w:rPr>
            </w:pPr>
          </w:p>
        </w:tc>
        <w:tc>
          <w:tcPr>
            <w:tcW w:w="500" w:type="dxa"/>
            <w:vAlign w:val="bottom"/>
            <w:shd w:val="clear" w:color="auto" w:fill="EFEDED"/>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1200" w:type="dxa"/>
            <w:vAlign w:val="bottom"/>
            <w:shd w:val="clear" w:color="auto" w:fill="EFEDED"/>
          </w:tcPr>
          <w:p>
            <w:pPr>
              <w:spacing w:after="0"/>
              <w:rPr>
                <w:sz w:val="5"/>
                <w:szCs w:val="5"/>
                <w:color w:val="auto"/>
              </w:rPr>
            </w:pPr>
          </w:p>
        </w:tc>
        <w:tc>
          <w:tcPr>
            <w:tcW w:w="2280" w:type="dxa"/>
            <w:vAlign w:val="bottom"/>
            <w:vMerge w:val="continue"/>
            <w:shd w:val="clear" w:color="auto" w:fill="EFEDED"/>
          </w:tcPr>
          <w:p>
            <w:pPr>
              <w:spacing w:after="0"/>
              <w:rPr>
                <w:sz w:val="5"/>
                <w:szCs w:val="5"/>
                <w:color w:val="auto"/>
              </w:rPr>
            </w:pPr>
          </w:p>
        </w:tc>
        <w:tc>
          <w:tcPr>
            <w:tcW w:w="500" w:type="dxa"/>
            <w:vAlign w:val="bottom"/>
            <w:shd w:val="clear" w:color="auto" w:fill="EFEDED"/>
          </w:tcPr>
          <w:p>
            <w:pPr>
              <w:spacing w:after="0"/>
              <w:rPr>
                <w:sz w:val="5"/>
                <w:szCs w:val="5"/>
                <w:color w:val="auto"/>
              </w:rPr>
            </w:pPr>
          </w:p>
        </w:tc>
        <w:tc>
          <w:tcPr>
            <w:tcW w:w="700" w:type="dxa"/>
            <w:vAlign w:val="bottom"/>
            <w:shd w:val="clear" w:color="auto" w:fill="EFEDED"/>
          </w:tcPr>
          <w:p>
            <w:pPr>
              <w:spacing w:after="0"/>
              <w:rPr>
                <w:sz w:val="5"/>
                <w:szCs w:val="5"/>
                <w:color w:val="auto"/>
              </w:rPr>
            </w:pPr>
          </w:p>
        </w:tc>
        <w:tc>
          <w:tcPr>
            <w:tcW w:w="620" w:type="dxa"/>
            <w:vAlign w:val="bottom"/>
            <w:shd w:val="clear" w:color="auto" w:fill="EFEDED"/>
          </w:tcPr>
          <w:p>
            <w:pPr>
              <w:spacing w:after="0"/>
              <w:rPr>
                <w:sz w:val="5"/>
                <w:szCs w:val="5"/>
                <w:color w:val="auto"/>
              </w:rPr>
            </w:pPr>
          </w:p>
        </w:tc>
        <w:tc>
          <w:tcPr>
            <w:tcW w:w="700" w:type="dxa"/>
            <w:vAlign w:val="bottom"/>
            <w:shd w:val="clear" w:color="auto" w:fill="EFEDED"/>
          </w:tcPr>
          <w:p>
            <w:pPr>
              <w:spacing w:after="0"/>
              <w:rPr>
                <w:sz w:val="5"/>
                <w:szCs w:val="5"/>
                <w:color w:val="auto"/>
              </w:rPr>
            </w:pPr>
          </w:p>
        </w:tc>
        <w:tc>
          <w:tcPr>
            <w:tcW w:w="520" w:type="dxa"/>
            <w:vAlign w:val="bottom"/>
            <w:shd w:val="clear" w:color="auto" w:fill="EFEDED"/>
          </w:tcPr>
          <w:p>
            <w:pPr>
              <w:spacing w:after="0"/>
              <w:rPr>
                <w:sz w:val="5"/>
                <w:szCs w:val="5"/>
                <w:color w:val="auto"/>
              </w:rPr>
            </w:pPr>
          </w:p>
        </w:tc>
        <w:tc>
          <w:tcPr>
            <w:tcW w:w="126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80" w:type="dxa"/>
            <w:vAlign w:val="bottom"/>
            <w:tcBorders>
              <w:bottom w:val="single" w:sz="8" w:color="EFEDED"/>
            </w:tcBorders>
            <w:shd w:val="clear" w:color="auto" w:fill="EFEDED"/>
          </w:tcPr>
          <w:p>
            <w:pPr>
              <w:spacing w:after="0"/>
              <w:rPr>
                <w:sz w:val="16"/>
                <w:szCs w:val="16"/>
                <w:color w:val="auto"/>
              </w:rPr>
            </w:pPr>
          </w:p>
        </w:tc>
        <w:tc>
          <w:tcPr>
            <w:tcW w:w="500" w:type="dxa"/>
            <w:vAlign w:val="bottom"/>
            <w:tcBorders>
              <w:bottom w:val="single" w:sz="8" w:color="EFEDED"/>
            </w:tcBorders>
            <w:shd w:val="clear" w:color="auto" w:fill="EFEDED"/>
          </w:tcPr>
          <w:p>
            <w:pPr>
              <w:spacing w:after="0"/>
              <w:rPr>
                <w:sz w:val="16"/>
                <w:szCs w:val="16"/>
                <w:color w:val="auto"/>
              </w:rPr>
            </w:pPr>
          </w:p>
        </w:tc>
        <w:tc>
          <w:tcPr>
            <w:tcW w:w="880" w:type="dxa"/>
            <w:vAlign w:val="bottom"/>
            <w:tcBorders>
              <w:bottom w:val="single" w:sz="8" w:color="EFEDED"/>
            </w:tcBorders>
            <w:shd w:val="clear" w:color="auto" w:fill="EFEDED"/>
          </w:tcPr>
          <w:p>
            <w:pPr>
              <w:spacing w:after="0"/>
              <w:rPr>
                <w:sz w:val="16"/>
                <w:szCs w:val="16"/>
                <w:color w:val="auto"/>
              </w:rPr>
            </w:pPr>
          </w:p>
        </w:tc>
        <w:tc>
          <w:tcPr>
            <w:tcW w:w="1200" w:type="dxa"/>
            <w:vAlign w:val="bottom"/>
            <w:tcBorders>
              <w:bottom w:val="single" w:sz="8" w:color="EFEDED"/>
            </w:tcBorders>
            <w:shd w:val="clear" w:color="auto" w:fill="EFEDED"/>
          </w:tcPr>
          <w:p>
            <w:pPr>
              <w:spacing w:after="0"/>
              <w:rPr>
                <w:sz w:val="16"/>
                <w:szCs w:val="16"/>
                <w:color w:val="auto"/>
              </w:rPr>
            </w:pPr>
          </w:p>
        </w:tc>
        <w:tc>
          <w:tcPr>
            <w:tcW w:w="228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color w:val="58595B"/>
              </w:rPr>
              <w:t>Cass Business School, U.K.</w:t>
            </w:r>
          </w:p>
        </w:tc>
        <w:tc>
          <w:tcPr>
            <w:tcW w:w="500" w:type="dxa"/>
            <w:vAlign w:val="bottom"/>
            <w:tcBorders>
              <w:bottom w:val="single" w:sz="8" w:color="EFEDED"/>
            </w:tcBorders>
            <w:shd w:val="clear" w:color="auto" w:fill="EFEDED"/>
          </w:tcPr>
          <w:p>
            <w:pPr>
              <w:spacing w:after="0"/>
              <w:rPr>
                <w:sz w:val="16"/>
                <w:szCs w:val="16"/>
                <w:color w:val="auto"/>
              </w:rPr>
            </w:pPr>
          </w:p>
        </w:tc>
        <w:tc>
          <w:tcPr>
            <w:tcW w:w="700" w:type="dxa"/>
            <w:vAlign w:val="bottom"/>
            <w:tcBorders>
              <w:bottom w:val="single" w:sz="8" w:color="EFEDED"/>
            </w:tcBorders>
            <w:shd w:val="clear" w:color="auto" w:fill="EFEDED"/>
          </w:tcPr>
          <w:p>
            <w:pPr>
              <w:spacing w:after="0"/>
              <w:rPr>
                <w:sz w:val="16"/>
                <w:szCs w:val="16"/>
                <w:color w:val="auto"/>
              </w:rPr>
            </w:pPr>
          </w:p>
        </w:tc>
        <w:tc>
          <w:tcPr>
            <w:tcW w:w="620" w:type="dxa"/>
            <w:vAlign w:val="bottom"/>
            <w:tcBorders>
              <w:bottom w:val="single" w:sz="8" w:color="EFEDED"/>
            </w:tcBorders>
            <w:shd w:val="clear" w:color="auto" w:fill="EFEDED"/>
          </w:tcPr>
          <w:p>
            <w:pPr>
              <w:spacing w:after="0"/>
              <w:rPr>
                <w:sz w:val="16"/>
                <w:szCs w:val="16"/>
                <w:color w:val="auto"/>
              </w:rPr>
            </w:pPr>
          </w:p>
        </w:tc>
        <w:tc>
          <w:tcPr>
            <w:tcW w:w="700" w:type="dxa"/>
            <w:vAlign w:val="bottom"/>
            <w:tcBorders>
              <w:bottom w:val="single" w:sz="8" w:color="EFEDED"/>
            </w:tcBorders>
            <w:shd w:val="clear" w:color="auto" w:fill="EFEDED"/>
          </w:tcPr>
          <w:p>
            <w:pPr>
              <w:spacing w:after="0"/>
              <w:rPr>
                <w:sz w:val="16"/>
                <w:szCs w:val="16"/>
                <w:color w:val="auto"/>
              </w:rPr>
            </w:pPr>
          </w:p>
        </w:tc>
        <w:tc>
          <w:tcPr>
            <w:tcW w:w="520" w:type="dxa"/>
            <w:vAlign w:val="bottom"/>
            <w:tcBorders>
              <w:bottom w:val="single" w:sz="8" w:color="EFEDED"/>
            </w:tcBorders>
            <w:shd w:val="clear" w:color="auto" w:fill="EFEDED"/>
          </w:tcPr>
          <w:p>
            <w:pPr>
              <w:spacing w:after="0"/>
              <w:rPr>
                <w:sz w:val="16"/>
                <w:szCs w:val="16"/>
                <w:color w:val="auto"/>
              </w:rPr>
            </w:pPr>
          </w:p>
        </w:tc>
        <w:tc>
          <w:tcPr>
            <w:tcW w:w="1260" w:type="dxa"/>
            <w:vAlign w:val="bottom"/>
            <w:tcBorders>
              <w:bottom w:val="single" w:sz="8" w:color="EFEDED"/>
            </w:tcBorders>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8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Shaundra D. Clay</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58595B"/>
              </w:rPr>
              <w:t>55</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58595B"/>
              </w:rPr>
              <w:t>2021</w:t>
            </w:r>
          </w:p>
        </w:tc>
        <w:tc>
          <w:tcPr>
            <w:tcW w:w="120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58595B"/>
              </w:rPr>
              <w:t>Former Global Vice President,</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102"/>
        </w:trPr>
        <w:tc>
          <w:tcPr>
            <w:tcW w:w="208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2280" w:type="dxa"/>
            <w:vAlign w:val="bottom"/>
            <w:vMerge w:val="restart"/>
          </w:tcPr>
          <w:p>
            <w:pPr>
              <w:ind w:left="20"/>
              <w:spacing w:after="0"/>
              <w:rPr>
                <w:sz w:val="20"/>
                <w:szCs w:val="20"/>
                <w:color w:val="auto"/>
              </w:rPr>
            </w:pPr>
            <w:r>
              <w:rPr>
                <w:rFonts w:ascii="Arial" w:cs="Arial" w:eastAsia="Arial" w:hAnsi="Arial"/>
                <w:sz w:val="14"/>
                <w:szCs w:val="14"/>
                <w:color w:val="58595B"/>
              </w:rPr>
              <w:t>Finance, Beam Suntory</w:t>
            </w: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8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Stuart M. Essig, Ph.D.</w:t>
            </w:r>
          </w:p>
        </w:tc>
        <w:tc>
          <w:tcPr>
            <w:tcW w:w="5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64</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1997</w:t>
            </w:r>
          </w:p>
        </w:tc>
        <w:tc>
          <w:tcPr>
            <w:tcW w:w="3480" w:type="dxa"/>
            <w:vAlign w:val="bottom"/>
            <w:gridSpan w:val="2"/>
            <w:shd w:val="clear" w:color="auto" w:fill="EFEDED"/>
          </w:tcPr>
          <w:p>
            <w:pPr>
              <w:ind w:left="40"/>
              <w:spacing w:after="0"/>
              <w:rPr>
                <w:sz w:val="20"/>
                <w:szCs w:val="20"/>
                <w:color w:val="auto"/>
              </w:rPr>
            </w:pPr>
            <w:r>
              <w:rPr>
                <w:rFonts w:ascii="Arial" w:cs="Arial" w:eastAsia="Arial" w:hAnsi="Arial"/>
                <w:sz w:val="14"/>
                <w:szCs w:val="14"/>
                <w:color w:val="58595B"/>
              </w:rPr>
              <w:t>Former Executive Managing Director, Prettybrook</w:t>
            </w:r>
          </w:p>
        </w:tc>
        <w:tc>
          <w:tcPr>
            <w:tcW w:w="50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62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520" w:type="dxa"/>
            <w:vAlign w:val="bottom"/>
            <w:shd w:val="clear" w:color="auto" w:fill="EFEDED"/>
          </w:tcPr>
          <w:p>
            <w:pPr>
              <w:spacing w:after="0"/>
              <w:rPr>
                <w:sz w:val="16"/>
                <w:szCs w:val="16"/>
                <w:color w:val="auto"/>
              </w:rPr>
            </w:pPr>
          </w:p>
        </w:tc>
        <w:tc>
          <w:tcPr>
            <w:tcW w:w="126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2</w:t>
            </w:r>
          </w:p>
        </w:tc>
        <w:tc>
          <w:tcPr>
            <w:tcW w:w="0" w:type="dxa"/>
            <w:vAlign w:val="bottom"/>
          </w:tcPr>
          <w:p>
            <w:pPr>
              <w:spacing w:after="0"/>
              <w:rPr>
                <w:sz w:val="1"/>
                <w:szCs w:val="1"/>
                <w:color w:val="auto"/>
              </w:rPr>
            </w:pPr>
          </w:p>
        </w:tc>
      </w:tr>
      <w:tr>
        <w:trPr>
          <w:trHeight w:val="102"/>
        </w:trPr>
        <w:tc>
          <w:tcPr>
            <w:tcW w:w="2080" w:type="dxa"/>
            <w:vAlign w:val="bottom"/>
            <w:vMerge w:val="continue"/>
            <w:shd w:val="clear" w:color="auto" w:fill="EFEDED"/>
          </w:tcPr>
          <w:p>
            <w:pPr>
              <w:spacing w:after="0"/>
              <w:rPr>
                <w:sz w:val="8"/>
                <w:szCs w:val="8"/>
                <w:color w:val="auto"/>
              </w:rPr>
            </w:pPr>
          </w:p>
        </w:tc>
        <w:tc>
          <w:tcPr>
            <w:tcW w:w="500" w:type="dxa"/>
            <w:vAlign w:val="bottom"/>
            <w:vMerge w:val="continue"/>
            <w:shd w:val="clear" w:color="auto" w:fill="EFEDED"/>
          </w:tcPr>
          <w:p>
            <w:pPr>
              <w:spacing w:after="0"/>
              <w:rPr>
                <w:sz w:val="8"/>
                <w:szCs w:val="8"/>
                <w:color w:val="auto"/>
              </w:rPr>
            </w:pPr>
          </w:p>
        </w:tc>
        <w:tc>
          <w:tcPr>
            <w:tcW w:w="880" w:type="dxa"/>
            <w:vAlign w:val="bottom"/>
            <w:vMerge w:val="continue"/>
            <w:shd w:val="clear" w:color="auto" w:fill="EFEDED"/>
          </w:tcPr>
          <w:p>
            <w:pPr>
              <w:spacing w:after="0"/>
              <w:rPr>
                <w:sz w:val="8"/>
                <w:szCs w:val="8"/>
                <w:color w:val="auto"/>
              </w:rPr>
            </w:pPr>
          </w:p>
        </w:tc>
        <w:tc>
          <w:tcPr>
            <w:tcW w:w="12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Chairman**</w:t>
            </w:r>
          </w:p>
        </w:tc>
        <w:tc>
          <w:tcPr>
            <w:tcW w:w="2280" w:type="dxa"/>
            <w:vAlign w:val="bottom"/>
            <w:vMerge w:val="restart"/>
            <w:shd w:val="clear" w:color="auto" w:fill="EFEDED"/>
          </w:tcPr>
          <w:p>
            <w:pPr>
              <w:ind w:left="20"/>
              <w:spacing w:after="0"/>
              <w:rPr>
                <w:sz w:val="20"/>
                <w:szCs w:val="20"/>
                <w:color w:val="auto"/>
              </w:rPr>
            </w:pPr>
            <w:r>
              <w:rPr>
                <w:rFonts w:ascii="Arial" w:cs="Arial" w:eastAsia="Arial" w:hAnsi="Arial"/>
                <w:sz w:val="14"/>
                <w:szCs w:val="14"/>
                <w:color w:val="58595B"/>
              </w:rPr>
              <w:t>Partners, LLC</w:t>
            </w:r>
          </w:p>
        </w:tc>
        <w:tc>
          <w:tcPr>
            <w:tcW w:w="50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62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520" w:type="dxa"/>
            <w:vAlign w:val="bottom"/>
            <w:shd w:val="clear" w:color="auto" w:fill="EFEDED"/>
          </w:tcPr>
          <w:p>
            <w:pPr>
              <w:spacing w:after="0"/>
              <w:rPr>
                <w:sz w:val="8"/>
                <w:szCs w:val="8"/>
                <w:color w:val="auto"/>
              </w:rPr>
            </w:pPr>
          </w:p>
        </w:tc>
        <w:tc>
          <w:tcPr>
            <w:tcW w:w="126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80" w:type="dxa"/>
            <w:vAlign w:val="bottom"/>
            <w:tcBorders>
              <w:bottom w:val="single" w:sz="8" w:color="EFEDED"/>
            </w:tcBorders>
            <w:shd w:val="clear" w:color="auto" w:fill="EFEDED"/>
          </w:tcPr>
          <w:p>
            <w:pPr>
              <w:spacing w:after="0"/>
              <w:rPr>
                <w:sz w:val="7"/>
                <w:szCs w:val="7"/>
                <w:color w:val="auto"/>
              </w:rPr>
            </w:pPr>
          </w:p>
        </w:tc>
        <w:tc>
          <w:tcPr>
            <w:tcW w:w="500" w:type="dxa"/>
            <w:vAlign w:val="bottom"/>
            <w:tcBorders>
              <w:bottom w:val="single" w:sz="8" w:color="EFEDED"/>
            </w:tcBorders>
            <w:shd w:val="clear" w:color="auto" w:fill="EFEDED"/>
          </w:tcPr>
          <w:p>
            <w:pPr>
              <w:spacing w:after="0"/>
              <w:rPr>
                <w:sz w:val="7"/>
                <w:szCs w:val="7"/>
                <w:color w:val="auto"/>
              </w:rPr>
            </w:pPr>
          </w:p>
        </w:tc>
        <w:tc>
          <w:tcPr>
            <w:tcW w:w="880" w:type="dxa"/>
            <w:vAlign w:val="bottom"/>
            <w:tcBorders>
              <w:bottom w:val="single" w:sz="8" w:color="EFEDED"/>
            </w:tcBorders>
            <w:shd w:val="clear" w:color="auto" w:fill="EFEDED"/>
          </w:tcPr>
          <w:p>
            <w:pPr>
              <w:spacing w:after="0"/>
              <w:rPr>
                <w:sz w:val="7"/>
                <w:szCs w:val="7"/>
                <w:color w:val="auto"/>
              </w:rPr>
            </w:pPr>
          </w:p>
        </w:tc>
        <w:tc>
          <w:tcPr>
            <w:tcW w:w="1200" w:type="dxa"/>
            <w:vAlign w:val="bottom"/>
            <w:tcBorders>
              <w:bottom w:val="single" w:sz="8" w:color="EFEDED"/>
            </w:tcBorders>
            <w:vMerge w:val="continue"/>
            <w:shd w:val="clear" w:color="auto" w:fill="EFEDED"/>
          </w:tcPr>
          <w:p>
            <w:pPr>
              <w:spacing w:after="0"/>
              <w:rPr>
                <w:sz w:val="7"/>
                <w:szCs w:val="7"/>
                <w:color w:val="auto"/>
              </w:rPr>
            </w:pPr>
          </w:p>
        </w:tc>
        <w:tc>
          <w:tcPr>
            <w:tcW w:w="2280" w:type="dxa"/>
            <w:vAlign w:val="bottom"/>
            <w:tcBorders>
              <w:bottom w:val="single" w:sz="8" w:color="EFEDED"/>
            </w:tcBorders>
            <w:vMerge w:val="continue"/>
            <w:shd w:val="clear" w:color="auto" w:fill="EFEDED"/>
          </w:tcPr>
          <w:p>
            <w:pPr>
              <w:spacing w:after="0"/>
              <w:rPr>
                <w:sz w:val="7"/>
                <w:szCs w:val="7"/>
                <w:color w:val="auto"/>
              </w:rPr>
            </w:pPr>
          </w:p>
        </w:tc>
        <w:tc>
          <w:tcPr>
            <w:tcW w:w="500" w:type="dxa"/>
            <w:vAlign w:val="bottom"/>
            <w:tcBorders>
              <w:bottom w:val="single" w:sz="8" w:color="EFEDED"/>
            </w:tcBorders>
            <w:shd w:val="clear" w:color="auto" w:fill="EFEDED"/>
          </w:tcPr>
          <w:p>
            <w:pPr>
              <w:spacing w:after="0"/>
              <w:rPr>
                <w:sz w:val="7"/>
                <w:szCs w:val="7"/>
                <w:color w:val="auto"/>
              </w:rPr>
            </w:pPr>
          </w:p>
        </w:tc>
        <w:tc>
          <w:tcPr>
            <w:tcW w:w="700" w:type="dxa"/>
            <w:vAlign w:val="bottom"/>
            <w:tcBorders>
              <w:bottom w:val="single" w:sz="8" w:color="EFEDED"/>
            </w:tcBorders>
            <w:shd w:val="clear" w:color="auto" w:fill="EFEDED"/>
          </w:tcPr>
          <w:p>
            <w:pPr>
              <w:spacing w:after="0"/>
              <w:rPr>
                <w:sz w:val="7"/>
                <w:szCs w:val="7"/>
                <w:color w:val="auto"/>
              </w:rPr>
            </w:pPr>
          </w:p>
        </w:tc>
        <w:tc>
          <w:tcPr>
            <w:tcW w:w="620" w:type="dxa"/>
            <w:vAlign w:val="bottom"/>
            <w:tcBorders>
              <w:bottom w:val="single" w:sz="8" w:color="EFEDED"/>
            </w:tcBorders>
            <w:shd w:val="clear" w:color="auto" w:fill="EFEDED"/>
          </w:tcPr>
          <w:p>
            <w:pPr>
              <w:spacing w:after="0"/>
              <w:rPr>
                <w:sz w:val="7"/>
                <w:szCs w:val="7"/>
                <w:color w:val="auto"/>
              </w:rPr>
            </w:pPr>
          </w:p>
        </w:tc>
        <w:tc>
          <w:tcPr>
            <w:tcW w:w="700" w:type="dxa"/>
            <w:vAlign w:val="bottom"/>
            <w:tcBorders>
              <w:bottom w:val="single" w:sz="8" w:color="EFEDED"/>
            </w:tcBorders>
            <w:shd w:val="clear" w:color="auto" w:fill="EFEDED"/>
          </w:tcPr>
          <w:p>
            <w:pPr>
              <w:spacing w:after="0"/>
              <w:rPr>
                <w:sz w:val="7"/>
                <w:szCs w:val="7"/>
                <w:color w:val="auto"/>
              </w:rPr>
            </w:pPr>
          </w:p>
        </w:tc>
        <w:tc>
          <w:tcPr>
            <w:tcW w:w="520" w:type="dxa"/>
            <w:vAlign w:val="bottom"/>
            <w:tcBorders>
              <w:bottom w:val="single" w:sz="8" w:color="EFEDED"/>
            </w:tcBorders>
            <w:shd w:val="clear" w:color="auto" w:fill="EFEDED"/>
          </w:tcPr>
          <w:p>
            <w:pPr>
              <w:spacing w:after="0"/>
              <w:rPr>
                <w:sz w:val="7"/>
                <w:szCs w:val="7"/>
                <w:color w:val="auto"/>
              </w:rPr>
            </w:pPr>
          </w:p>
        </w:tc>
        <w:tc>
          <w:tcPr>
            <w:tcW w:w="126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8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Jeffrey A. Graves, Ph.D.</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58595B"/>
              </w:rPr>
              <w:t>64</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58595B"/>
              </w:rPr>
              <w:t>2023</w:t>
            </w:r>
          </w:p>
        </w:tc>
        <w:tc>
          <w:tcPr>
            <w:tcW w:w="120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58595B"/>
              </w:rPr>
              <w:t>President and CEO, 3D Systems</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color w:val="58595B"/>
              </w:rPr>
              <w:t>1</w:t>
            </w:r>
          </w:p>
        </w:tc>
        <w:tc>
          <w:tcPr>
            <w:tcW w:w="0" w:type="dxa"/>
            <w:vAlign w:val="bottom"/>
          </w:tcPr>
          <w:p>
            <w:pPr>
              <w:spacing w:after="0"/>
              <w:rPr>
                <w:sz w:val="1"/>
                <w:szCs w:val="1"/>
                <w:color w:val="auto"/>
              </w:rPr>
            </w:pPr>
          </w:p>
        </w:tc>
      </w:tr>
      <w:tr>
        <w:trPr>
          <w:trHeight w:val="102"/>
        </w:trPr>
        <w:tc>
          <w:tcPr>
            <w:tcW w:w="208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2280" w:type="dxa"/>
            <w:vAlign w:val="bottom"/>
            <w:vMerge w:val="restart"/>
          </w:tcPr>
          <w:p>
            <w:pPr>
              <w:ind w:left="20"/>
              <w:spacing w:after="0"/>
              <w:rPr>
                <w:sz w:val="20"/>
                <w:szCs w:val="20"/>
                <w:color w:val="auto"/>
              </w:rPr>
            </w:pPr>
            <w:r>
              <w:rPr>
                <w:rFonts w:ascii="Arial" w:cs="Arial" w:eastAsia="Arial" w:hAnsi="Arial"/>
                <w:sz w:val="14"/>
                <w:szCs w:val="14"/>
                <w:color w:val="58595B"/>
              </w:rPr>
              <w:t>Corporation</w:t>
            </w: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8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Barbara B. Hill</w:t>
            </w:r>
          </w:p>
        </w:tc>
        <w:tc>
          <w:tcPr>
            <w:tcW w:w="5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73</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2013</w:t>
            </w:r>
          </w:p>
        </w:tc>
        <w:tc>
          <w:tcPr>
            <w:tcW w:w="1200" w:type="dxa"/>
            <w:vAlign w:val="bottom"/>
            <w:shd w:val="clear" w:color="auto" w:fill="EFEDED"/>
          </w:tcPr>
          <w:p>
            <w:pPr>
              <w:spacing w:after="0"/>
              <w:rPr>
                <w:sz w:val="16"/>
                <w:szCs w:val="16"/>
                <w:color w:val="auto"/>
              </w:rPr>
            </w:pPr>
          </w:p>
        </w:tc>
        <w:tc>
          <w:tcPr>
            <w:tcW w:w="228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Operating Partner, NexPhase</w:t>
            </w:r>
          </w:p>
        </w:tc>
        <w:tc>
          <w:tcPr>
            <w:tcW w:w="50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62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520" w:type="dxa"/>
            <w:vAlign w:val="bottom"/>
            <w:shd w:val="clear" w:color="auto" w:fill="EFEDED"/>
          </w:tcPr>
          <w:p>
            <w:pPr>
              <w:spacing w:after="0"/>
              <w:rPr>
                <w:sz w:val="16"/>
                <w:szCs w:val="16"/>
                <w:color w:val="auto"/>
              </w:rPr>
            </w:pPr>
          </w:p>
        </w:tc>
        <w:tc>
          <w:tcPr>
            <w:tcW w:w="126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1</w:t>
            </w:r>
          </w:p>
        </w:tc>
        <w:tc>
          <w:tcPr>
            <w:tcW w:w="0" w:type="dxa"/>
            <w:vAlign w:val="bottom"/>
          </w:tcPr>
          <w:p>
            <w:pPr>
              <w:spacing w:after="0"/>
              <w:rPr>
                <w:sz w:val="1"/>
                <w:szCs w:val="1"/>
                <w:color w:val="auto"/>
              </w:rPr>
            </w:pPr>
          </w:p>
        </w:tc>
      </w:tr>
      <w:tr>
        <w:trPr>
          <w:trHeight w:val="102"/>
        </w:trPr>
        <w:tc>
          <w:tcPr>
            <w:tcW w:w="2080" w:type="dxa"/>
            <w:vAlign w:val="bottom"/>
            <w:vMerge w:val="continue"/>
            <w:shd w:val="clear" w:color="auto" w:fill="EFEDED"/>
          </w:tcPr>
          <w:p>
            <w:pPr>
              <w:spacing w:after="0"/>
              <w:rPr>
                <w:sz w:val="8"/>
                <w:szCs w:val="8"/>
                <w:color w:val="auto"/>
              </w:rPr>
            </w:pPr>
          </w:p>
        </w:tc>
        <w:tc>
          <w:tcPr>
            <w:tcW w:w="500" w:type="dxa"/>
            <w:vAlign w:val="bottom"/>
            <w:vMerge w:val="continue"/>
            <w:shd w:val="clear" w:color="auto" w:fill="EFEDED"/>
          </w:tcPr>
          <w:p>
            <w:pPr>
              <w:spacing w:after="0"/>
              <w:rPr>
                <w:sz w:val="8"/>
                <w:szCs w:val="8"/>
                <w:color w:val="auto"/>
              </w:rPr>
            </w:pPr>
          </w:p>
        </w:tc>
        <w:tc>
          <w:tcPr>
            <w:tcW w:w="880" w:type="dxa"/>
            <w:vAlign w:val="bottom"/>
            <w:vMerge w:val="continue"/>
            <w:shd w:val="clear" w:color="auto" w:fill="EFEDED"/>
          </w:tcPr>
          <w:p>
            <w:pPr>
              <w:spacing w:after="0"/>
              <w:rPr>
                <w:sz w:val="8"/>
                <w:szCs w:val="8"/>
                <w:color w:val="auto"/>
              </w:rPr>
            </w:pPr>
          </w:p>
        </w:tc>
        <w:tc>
          <w:tcPr>
            <w:tcW w:w="1200" w:type="dxa"/>
            <w:vAlign w:val="bottom"/>
            <w:shd w:val="clear" w:color="auto" w:fill="EFEDED"/>
          </w:tcPr>
          <w:p>
            <w:pPr>
              <w:spacing w:after="0"/>
              <w:rPr>
                <w:sz w:val="8"/>
                <w:szCs w:val="8"/>
                <w:color w:val="auto"/>
              </w:rPr>
            </w:pPr>
          </w:p>
        </w:tc>
        <w:tc>
          <w:tcPr>
            <w:tcW w:w="2280" w:type="dxa"/>
            <w:vAlign w:val="bottom"/>
            <w:vMerge w:val="restart"/>
            <w:shd w:val="clear" w:color="auto" w:fill="EFEDED"/>
          </w:tcPr>
          <w:p>
            <w:pPr>
              <w:ind w:left="20"/>
              <w:spacing w:after="0"/>
              <w:rPr>
                <w:sz w:val="20"/>
                <w:szCs w:val="20"/>
                <w:color w:val="auto"/>
              </w:rPr>
            </w:pPr>
            <w:r>
              <w:rPr>
                <w:rFonts w:ascii="Arial" w:cs="Arial" w:eastAsia="Arial" w:hAnsi="Arial"/>
                <w:sz w:val="14"/>
                <w:szCs w:val="14"/>
                <w:color w:val="58595B"/>
              </w:rPr>
              <w:t>Capital</w:t>
            </w:r>
          </w:p>
        </w:tc>
        <w:tc>
          <w:tcPr>
            <w:tcW w:w="50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62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520" w:type="dxa"/>
            <w:vAlign w:val="bottom"/>
            <w:shd w:val="clear" w:color="auto" w:fill="EFEDED"/>
          </w:tcPr>
          <w:p>
            <w:pPr>
              <w:spacing w:after="0"/>
              <w:rPr>
                <w:sz w:val="8"/>
                <w:szCs w:val="8"/>
                <w:color w:val="auto"/>
              </w:rPr>
            </w:pPr>
          </w:p>
        </w:tc>
        <w:tc>
          <w:tcPr>
            <w:tcW w:w="126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80" w:type="dxa"/>
            <w:vAlign w:val="bottom"/>
            <w:tcBorders>
              <w:bottom w:val="single" w:sz="8" w:color="EFEDED"/>
            </w:tcBorders>
            <w:shd w:val="clear" w:color="auto" w:fill="EFEDED"/>
          </w:tcPr>
          <w:p>
            <w:pPr>
              <w:spacing w:after="0"/>
              <w:rPr>
                <w:sz w:val="7"/>
                <w:szCs w:val="7"/>
                <w:color w:val="auto"/>
              </w:rPr>
            </w:pPr>
          </w:p>
        </w:tc>
        <w:tc>
          <w:tcPr>
            <w:tcW w:w="500" w:type="dxa"/>
            <w:vAlign w:val="bottom"/>
            <w:tcBorders>
              <w:bottom w:val="single" w:sz="8" w:color="EFEDED"/>
            </w:tcBorders>
            <w:shd w:val="clear" w:color="auto" w:fill="EFEDED"/>
          </w:tcPr>
          <w:p>
            <w:pPr>
              <w:spacing w:after="0"/>
              <w:rPr>
                <w:sz w:val="7"/>
                <w:szCs w:val="7"/>
                <w:color w:val="auto"/>
              </w:rPr>
            </w:pPr>
          </w:p>
        </w:tc>
        <w:tc>
          <w:tcPr>
            <w:tcW w:w="880" w:type="dxa"/>
            <w:vAlign w:val="bottom"/>
            <w:tcBorders>
              <w:bottom w:val="single" w:sz="8" w:color="EFEDED"/>
            </w:tcBorders>
            <w:shd w:val="clear" w:color="auto" w:fill="EFEDED"/>
          </w:tcPr>
          <w:p>
            <w:pPr>
              <w:spacing w:after="0"/>
              <w:rPr>
                <w:sz w:val="7"/>
                <w:szCs w:val="7"/>
                <w:color w:val="auto"/>
              </w:rPr>
            </w:pPr>
          </w:p>
        </w:tc>
        <w:tc>
          <w:tcPr>
            <w:tcW w:w="1200" w:type="dxa"/>
            <w:vAlign w:val="bottom"/>
            <w:tcBorders>
              <w:bottom w:val="single" w:sz="8" w:color="EFEDED"/>
            </w:tcBorders>
            <w:shd w:val="clear" w:color="auto" w:fill="EFEDED"/>
          </w:tcPr>
          <w:p>
            <w:pPr>
              <w:spacing w:after="0"/>
              <w:rPr>
                <w:sz w:val="7"/>
                <w:szCs w:val="7"/>
                <w:color w:val="auto"/>
              </w:rPr>
            </w:pPr>
          </w:p>
        </w:tc>
        <w:tc>
          <w:tcPr>
            <w:tcW w:w="2280" w:type="dxa"/>
            <w:vAlign w:val="bottom"/>
            <w:tcBorders>
              <w:bottom w:val="single" w:sz="8" w:color="EFEDED"/>
            </w:tcBorders>
            <w:vMerge w:val="continue"/>
            <w:shd w:val="clear" w:color="auto" w:fill="EFEDED"/>
          </w:tcPr>
          <w:p>
            <w:pPr>
              <w:spacing w:after="0"/>
              <w:rPr>
                <w:sz w:val="7"/>
                <w:szCs w:val="7"/>
                <w:color w:val="auto"/>
              </w:rPr>
            </w:pPr>
          </w:p>
        </w:tc>
        <w:tc>
          <w:tcPr>
            <w:tcW w:w="500" w:type="dxa"/>
            <w:vAlign w:val="bottom"/>
            <w:tcBorders>
              <w:bottom w:val="single" w:sz="8" w:color="EFEDED"/>
            </w:tcBorders>
            <w:shd w:val="clear" w:color="auto" w:fill="EFEDED"/>
          </w:tcPr>
          <w:p>
            <w:pPr>
              <w:spacing w:after="0"/>
              <w:rPr>
                <w:sz w:val="7"/>
                <w:szCs w:val="7"/>
                <w:color w:val="auto"/>
              </w:rPr>
            </w:pPr>
          </w:p>
        </w:tc>
        <w:tc>
          <w:tcPr>
            <w:tcW w:w="700" w:type="dxa"/>
            <w:vAlign w:val="bottom"/>
            <w:tcBorders>
              <w:bottom w:val="single" w:sz="8" w:color="EFEDED"/>
            </w:tcBorders>
            <w:shd w:val="clear" w:color="auto" w:fill="EFEDED"/>
          </w:tcPr>
          <w:p>
            <w:pPr>
              <w:spacing w:after="0"/>
              <w:rPr>
                <w:sz w:val="7"/>
                <w:szCs w:val="7"/>
                <w:color w:val="auto"/>
              </w:rPr>
            </w:pPr>
          </w:p>
        </w:tc>
        <w:tc>
          <w:tcPr>
            <w:tcW w:w="620" w:type="dxa"/>
            <w:vAlign w:val="bottom"/>
            <w:tcBorders>
              <w:bottom w:val="single" w:sz="8" w:color="EFEDED"/>
            </w:tcBorders>
            <w:shd w:val="clear" w:color="auto" w:fill="EFEDED"/>
          </w:tcPr>
          <w:p>
            <w:pPr>
              <w:spacing w:after="0"/>
              <w:rPr>
                <w:sz w:val="7"/>
                <w:szCs w:val="7"/>
                <w:color w:val="auto"/>
              </w:rPr>
            </w:pPr>
          </w:p>
        </w:tc>
        <w:tc>
          <w:tcPr>
            <w:tcW w:w="700" w:type="dxa"/>
            <w:vAlign w:val="bottom"/>
            <w:tcBorders>
              <w:bottom w:val="single" w:sz="8" w:color="EFEDED"/>
            </w:tcBorders>
            <w:shd w:val="clear" w:color="auto" w:fill="EFEDED"/>
          </w:tcPr>
          <w:p>
            <w:pPr>
              <w:spacing w:after="0"/>
              <w:rPr>
                <w:sz w:val="7"/>
                <w:szCs w:val="7"/>
                <w:color w:val="auto"/>
              </w:rPr>
            </w:pPr>
          </w:p>
        </w:tc>
        <w:tc>
          <w:tcPr>
            <w:tcW w:w="520" w:type="dxa"/>
            <w:vAlign w:val="bottom"/>
            <w:tcBorders>
              <w:bottom w:val="single" w:sz="8" w:color="EFEDED"/>
            </w:tcBorders>
            <w:shd w:val="clear" w:color="auto" w:fill="EFEDED"/>
          </w:tcPr>
          <w:p>
            <w:pPr>
              <w:spacing w:after="0"/>
              <w:rPr>
                <w:sz w:val="7"/>
                <w:szCs w:val="7"/>
                <w:color w:val="auto"/>
              </w:rPr>
            </w:pPr>
          </w:p>
        </w:tc>
        <w:tc>
          <w:tcPr>
            <w:tcW w:w="126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8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Renee W. Lo</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58595B"/>
              </w:rPr>
              <w:t>45</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58595B"/>
              </w:rPr>
              <w:t>2022</w:t>
            </w:r>
          </w:p>
        </w:tc>
        <w:tc>
          <w:tcPr>
            <w:tcW w:w="120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58595B"/>
              </w:rPr>
              <w:t>Vice President APAC, LinkedIn</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102"/>
        </w:trPr>
        <w:tc>
          <w:tcPr>
            <w:tcW w:w="208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2280" w:type="dxa"/>
            <w:vAlign w:val="bottom"/>
            <w:vMerge w:val="restart"/>
          </w:tcPr>
          <w:p>
            <w:pPr>
              <w:ind w:left="20"/>
              <w:spacing w:after="0"/>
              <w:rPr>
                <w:sz w:val="20"/>
                <w:szCs w:val="20"/>
                <w:color w:val="auto"/>
              </w:rPr>
            </w:pPr>
            <w:r>
              <w:rPr>
                <w:rFonts w:ascii="Arial" w:cs="Arial" w:eastAsia="Arial" w:hAnsi="Arial"/>
                <w:sz w:val="14"/>
                <w:szCs w:val="14"/>
                <w:color w:val="58595B"/>
              </w:rPr>
              <w:t>Corporation</w:t>
            </w: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8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Mojdeh Poul</w:t>
            </w:r>
          </w:p>
        </w:tc>
        <w:tc>
          <w:tcPr>
            <w:tcW w:w="5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63</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2025</w:t>
            </w:r>
          </w:p>
        </w:tc>
        <w:tc>
          <w:tcPr>
            <w:tcW w:w="12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CEO</w:t>
            </w:r>
          </w:p>
        </w:tc>
        <w:tc>
          <w:tcPr>
            <w:tcW w:w="228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President and CEO, Integra</w:t>
            </w:r>
          </w:p>
        </w:tc>
        <w:tc>
          <w:tcPr>
            <w:tcW w:w="50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62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520" w:type="dxa"/>
            <w:vAlign w:val="bottom"/>
            <w:shd w:val="clear" w:color="auto" w:fill="EFEDED"/>
          </w:tcPr>
          <w:p>
            <w:pPr>
              <w:spacing w:after="0"/>
              <w:rPr>
                <w:sz w:val="16"/>
                <w:szCs w:val="16"/>
                <w:color w:val="auto"/>
              </w:rPr>
            </w:pPr>
          </w:p>
        </w:tc>
        <w:tc>
          <w:tcPr>
            <w:tcW w:w="126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1</w:t>
            </w:r>
          </w:p>
        </w:tc>
        <w:tc>
          <w:tcPr>
            <w:tcW w:w="0" w:type="dxa"/>
            <w:vAlign w:val="bottom"/>
          </w:tcPr>
          <w:p>
            <w:pPr>
              <w:spacing w:after="0"/>
              <w:rPr>
                <w:sz w:val="1"/>
                <w:szCs w:val="1"/>
                <w:color w:val="auto"/>
              </w:rPr>
            </w:pPr>
          </w:p>
        </w:tc>
      </w:tr>
      <w:tr>
        <w:trPr>
          <w:trHeight w:val="102"/>
        </w:trPr>
        <w:tc>
          <w:tcPr>
            <w:tcW w:w="2080" w:type="dxa"/>
            <w:vAlign w:val="bottom"/>
            <w:vMerge w:val="continue"/>
            <w:shd w:val="clear" w:color="auto" w:fill="EFEDED"/>
          </w:tcPr>
          <w:p>
            <w:pPr>
              <w:spacing w:after="0"/>
              <w:rPr>
                <w:sz w:val="8"/>
                <w:szCs w:val="8"/>
                <w:color w:val="auto"/>
              </w:rPr>
            </w:pPr>
          </w:p>
        </w:tc>
        <w:tc>
          <w:tcPr>
            <w:tcW w:w="500" w:type="dxa"/>
            <w:vAlign w:val="bottom"/>
            <w:vMerge w:val="continue"/>
            <w:shd w:val="clear" w:color="auto" w:fill="EFEDED"/>
          </w:tcPr>
          <w:p>
            <w:pPr>
              <w:spacing w:after="0"/>
              <w:rPr>
                <w:sz w:val="8"/>
                <w:szCs w:val="8"/>
                <w:color w:val="auto"/>
              </w:rPr>
            </w:pPr>
          </w:p>
        </w:tc>
        <w:tc>
          <w:tcPr>
            <w:tcW w:w="880" w:type="dxa"/>
            <w:vAlign w:val="bottom"/>
            <w:vMerge w:val="continue"/>
            <w:shd w:val="clear" w:color="auto" w:fill="EFEDED"/>
          </w:tcPr>
          <w:p>
            <w:pPr>
              <w:spacing w:after="0"/>
              <w:rPr>
                <w:sz w:val="8"/>
                <w:szCs w:val="8"/>
                <w:color w:val="auto"/>
              </w:rPr>
            </w:pPr>
          </w:p>
        </w:tc>
        <w:tc>
          <w:tcPr>
            <w:tcW w:w="1200" w:type="dxa"/>
            <w:vAlign w:val="bottom"/>
            <w:vMerge w:val="continue"/>
            <w:shd w:val="clear" w:color="auto" w:fill="EFEDED"/>
          </w:tcPr>
          <w:p>
            <w:pPr>
              <w:spacing w:after="0"/>
              <w:rPr>
                <w:sz w:val="8"/>
                <w:szCs w:val="8"/>
                <w:color w:val="auto"/>
              </w:rPr>
            </w:pPr>
          </w:p>
        </w:tc>
        <w:tc>
          <w:tcPr>
            <w:tcW w:w="2280" w:type="dxa"/>
            <w:vAlign w:val="bottom"/>
            <w:vMerge w:val="restart"/>
            <w:shd w:val="clear" w:color="auto" w:fill="EFEDED"/>
          </w:tcPr>
          <w:p>
            <w:pPr>
              <w:ind w:left="20"/>
              <w:spacing w:after="0"/>
              <w:rPr>
                <w:sz w:val="20"/>
                <w:szCs w:val="20"/>
                <w:color w:val="auto"/>
              </w:rPr>
            </w:pPr>
            <w:r>
              <w:rPr>
                <w:rFonts w:ascii="Arial" w:cs="Arial" w:eastAsia="Arial" w:hAnsi="Arial"/>
                <w:sz w:val="14"/>
                <w:szCs w:val="14"/>
                <w:color w:val="58595B"/>
              </w:rPr>
              <w:t>LifeSciences Holdings Corporation</w:t>
            </w:r>
          </w:p>
        </w:tc>
        <w:tc>
          <w:tcPr>
            <w:tcW w:w="50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62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520" w:type="dxa"/>
            <w:vAlign w:val="bottom"/>
            <w:shd w:val="clear" w:color="auto" w:fill="EFEDED"/>
          </w:tcPr>
          <w:p>
            <w:pPr>
              <w:spacing w:after="0"/>
              <w:rPr>
                <w:sz w:val="8"/>
                <w:szCs w:val="8"/>
                <w:color w:val="auto"/>
              </w:rPr>
            </w:pPr>
          </w:p>
        </w:tc>
        <w:tc>
          <w:tcPr>
            <w:tcW w:w="126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80" w:type="dxa"/>
            <w:vAlign w:val="bottom"/>
            <w:tcBorders>
              <w:bottom w:val="single" w:sz="8" w:color="EFEDED"/>
            </w:tcBorders>
            <w:shd w:val="clear" w:color="auto" w:fill="EFEDED"/>
          </w:tcPr>
          <w:p>
            <w:pPr>
              <w:spacing w:after="0"/>
              <w:rPr>
                <w:sz w:val="7"/>
                <w:szCs w:val="7"/>
                <w:color w:val="auto"/>
              </w:rPr>
            </w:pPr>
          </w:p>
        </w:tc>
        <w:tc>
          <w:tcPr>
            <w:tcW w:w="500" w:type="dxa"/>
            <w:vAlign w:val="bottom"/>
            <w:tcBorders>
              <w:bottom w:val="single" w:sz="8" w:color="EFEDED"/>
            </w:tcBorders>
            <w:shd w:val="clear" w:color="auto" w:fill="EFEDED"/>
          </w:tcPr>
          <w:p>
            <w:pPr>
              <w:spacing w:after="0"/>
              <w:rPr>
                <w:sz w:val="7"/>
                <w:szCs w:val="7"/>
                <w:color w:val="auto"/>
              </w:rPr>
            </w:pPr>
          </w:p>
        </w:tc>
        <w:tc>
          <w:tcPr>
            <w:tcW w:w="880" w:type="dxa"/>
            <w:vAlign w:val="bottom"/>
            <w:tcBorders>
              <w:bottom w:val="single" w:sz="8" w:color="EFEDED"/>
            </w:tcBorders>
            <w:shd w:val="clear" w:color="auto" w:fill="EFEDED"/>
          </w:tcPr>
          <w:p>
            <w:pPr>
              <w:spacing w:after="0"/>
              <w:rPr>
                <w:sz w:val="7"/>
                <w:szCs w:val="7"/>
                <w:color w:val="auto"/>
              </w:rPr>
            </w:pPr>
          </w:p>
        </w:tc>
        <w:tc>
          <w:tcPr>
            <w:tcW w:w="1200" w:type="dxa"/>
            <w:vAlign w:val="bottom"/>
            <w:tcBorders>
              <w:bottom w:val="single" w:sz="8" w:color="EFEDED"/>
            </w:tcBorders>
            <w:shd w:val="clear" w:color="auto" w:fill="EFEDED"/>
          </w:tcPr>
          <w:p>
            <w:pPr>
              <w:spacing w:after="0"/>
              <w:rPr>
                <w:sz w:val="7"/>
                <w:szCs w:val="7"/>
                <w:color w:val="auto"/>
              </w:rPr>
            </w:pPr>
          </w:p>
        </w:tc>
        <w:tc>
          <w:tcPr>
            <w:tcW w:w="2280" w:type="dxa"/>
            <w:vAlign w:val="bottom"/>
            <w:tcBorders>
              <w:bottom w:val="single" w:sz="8" w:color="EFEDED"/>
            </w:tcBorders>
            <w:vMerge w:val="continue"/>
            <w:shd w:val="clear" w:color="auto" w:fill="EFEDED"/>
          </w:tcPr>
          <w:p>
            <w:pPr>
              <w:spacing w:after="0"/>
              <w:rPr>
                <w:sz w:val="7"/>
                <w:szCs w:val="7"/>
                <w:color w:val="auto"/>
              </w:rPr>
            </w:pPr>
          </w:p>
        </w:tc>
        <w:tc>
          <w:tcPr>
            <w:tcW w:w="500" w:type="dxa"/>
            <w:vAlign w:val="bottom"/>
            <w:tcBorders>
              <w:bottom w:val="single" w:sz="8" w:color="EFEDED"/>
            </w:tcBorders>
            <w:shd w:val="clear" w:color="auto" w:fill="EFEDED"/>
          </w:tcPr>
          <w:p>
            <w:pPr>
              <w:spacing w:after="0"/>
              <w:rPr>
                <w:sz w:val="7"/>
                <w:szCs w:val="7"/>
                <w:color w:val="auto"/>
              </w:rPr>
            </w:pPr>
          </w:p>
        </w:tc>
        <w:tc>
          <w:tcPr>
            <w:tcW w:w="700" w:type="dxa"/>
            <w:vAlign w:val="bottom"/>
            <w:tcBorders>
              <w:bottom w:val="single" w:sz="8" w:color="EFEDED"/>
            </w:tcBorders>
            <w:shd w:val="clear" w:color="auto" w:fill="EFEDED"/>
          </w:tcPr>
          <w:p>
            <w:pPr>
              <w:spacing w:after="0"/>
              <w:rPr>
                <w:sz w:val="7"/>
                <w:szCs w:val="7"/>
                <w:color w:val="auto"/>
              </w:rPr>
            </w:pPr>
          </w:p>
        </w:tc>
        <w:tc>
          <w:tcPr>
            <w:tcW w:w="620" w:type="dxa"/>
            <w:vAlign w:val="bottom"/>
            <w:tcBorders>
              <w:bottom w:val="single" w:sz="8" w:color="EFEDED"/>
            </w:tcBorders>
            <w:shd w:val="clear" w:color="auto" w:fill="EFEDED"/>
          </w:tcPr>
          <w:p>
            <w:pPr>
              <w:spacing w:after="0"/>
              <w:rPr>
                <w:sz w:val="7"/>
                <w:szCs w:val="7"/>
                <w:color w:val="auto"/>
              </w:rPr>
            </w:pPr>
          </w:p>
        </w:tc>
        <w:tc>
          <w:tcPr>
            <w:tcW w:w="700" w:type="dxa"/>
            <w:vAlign w:val="bottom"/>
            <w:tcBorders>
              <w:bottom w:val="single" w:sz="8" w:color="EFEDED"/>
            </w:tcBorders>
            <w:shd w:val="clear" w:color="auto" w:fill="EFEDED"/>
          </w:tcPr>
          <w:p>
            <w:pPr>
              <w:spacing w:after="0"/>
              <w:rPr>
                <w:sz w:val="7"/>
                <w:szCs w:val="7"/>
                <w:color w:val="auto"/>
              </w:rPr>
            </w:pPr>
          </w:p>
        </w:tc>
        <w:tc>
          <w:tcPr>
            <w:tcW w:w="520" w:type="dxa"/>
            <w:vAlign w:val="bottom"/>
            <w:tcBorders>
              <w:bottom w:val="single" w:sz="8" w:color="EFEDED"/>
            </w:tcBorders>
            <w:shd w:val="clear" w:color="auto" w:fill="EFEDED"/>
          </w:tcPr>
          <w:p>
            <w:pPr>
              <w:spacing w:after="0"/>
              <w:rPr>
                <w:sz w:val="7"/>
                <w:szCs w:val="7"/>
                <w:color w:val="auto"/>
              </w:rPr>
            </w:pPr>
          </w:p>
        </w:tc>
        <w:tc>
          <w:tcPr>
            <w:tcW w:w="126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8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58595B"/>
              </w:rPr>
              <w:t>65</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58595B"/>
              </w:rPr>
              <w:t>2006</w:t>
            </w:r>
          </w:p>
        </w:tc>
        <w:tc>
          <w:tcPr>
            <w:tcW w:w="120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58595B"/>
              </w:rPr>
              <w:t>Former President and CEO, Halda</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102"/>
        </w:trPr>
        <w:tc>
          <w:tcPr>
            <w:tcW w:w="208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2280" w:type="dxa"/>
            <w:vAlign w:val="bottom"/>
            <w:vMerge w:val="restart"/>
          </w:tcPr>
          <w:p>
            <w:pPr>
              <w:ind w:left="20"/>
              <w:spacing w:after="0"/>
              <w:rPr>
                <w:sz w:val="20"/>
                <w:szCs w:val="20"/>
                <w:color w:val="auto"/>
              </w:rPr>
            </w:pPr>
            <w:r>
              <w:rPr>
                <w:rFonts w:ascii="Arial" w:cs="Arial" w:eastAsia="Arial" w:hAnsi="Arial"/>
                <w:sz w:val="14"/>
                <w:szCs w:val="14"/>
                <w:color w:val="58595B"/>
              </w:rPr>
              <w:t>Therapeutics LLC</w:t>
            </w: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080" w:type="dxa"/>
            <w:vAlign w:val="bottom"/>
            <w:tcBorders>
              <w:bottom w:val="single" w:sz="8" w:color="58595B"/>
            </w:tcBorders>
          </w:tcPr>
          <w:p>
            <w:pPr>
              <w:spacing w:after="0" w:line="20" w:lineRule="exact"/>
              <w:rPr>
                <w:sz w:val="1"/>
                <w:szCs w:val="1"/>
                <w:color w:val="auto"/>
              </w:rPr>
            </w:pPr>
          </w:p>
        </w:tc>
        <w:tc>
          <w:tcPr>
            <w:tcW w:w="500" w:type="dxa"/>
            <w:vAlign w:val="bottom"/>
            <w:tcBorders>
              <w:bottom w:val="single" w:sz="8" w:color="58595B"/>
            </w:tcBorders>
          </w:tcPr>
          <w:p>
            <w:pPr>
              <w:spacing w:after="0" w:line="20" w:lineRule="exact"/>
              <w:rPr>
                <w:sz w:val="1"/>
                <w:szCs w:val="1"/>
                <w:color w:val="auto"/>
              </w:rPr>
            </w:pPr>
          </w:p>
        </w:tc>
        <w:tc>
          <w:tcPr>
            <w:tcW w:w="880" w:type="dxa"/>
            <w:vAlign w:val="bottom"/>
            <w:tcBorders>
              <w:bottom w:val="single" w:sz="8" w:color="58595B"/>
            </w:tcBorders>
          </w:tcPr>
          <w:p>
            <w:pPr>
              <w:spacing w:after="0" w:line="20" w:lineRule="exact"/>
              <w:rPr>
                <w:sz w:val="1"/>
                <w:szCs w:val="1"/>
                <w:color w:val="auto"/>
              </w:rPr>
            </w:pPr>
          </w:p>
        </w:tc>
        <w:tc>
          <w:tcPr>
            <w:tcW w:w="1200" w:type="dxa"/>
            <w:vAlign w:val="bottom"/>
            <w:tcBorders>
              <w:bottom w:val="single" w:sz="8" w:color="58595B"/>
            </w:tcBorders>
          </w:tcPr>
          <w:p>
            <w:pPr>
              <w:spacing w:after="0" w:line="20" w:lineRule="exact"/>
              <w:rPr>
                <w:sz w:val="1"/>
                <w:szCs w:val="1"/>
                <w:color w:val="auto"/>
              </w:rPr>
            </w:pPr>
          </w:p>
        </w:tc>
        <w:tc>
          <w:tcPr>
            <w:tcW w:w="2280" w:type="dxa"/>
            <w:vAlign w:val="bottom"/>
            <w:tcBorders>
              <w:bottom w:val="single" w:sz="8" w:color="58595B"/>
            </w:tcBorders>
          </w:tcPr>
          <w:p>
            <w:pPr>
              <w:spacing w:after="0" w:line="20" w:lineRule="exact"/>
              <w:rPr>
                <w:sz w:val="1"/>
                <w:szCs w:val="1"/>
                <w:color w:val="auto"/>
              </w:rPr>
            </w:pPr>
          </w:p>
        </w:tc>
        <w:tc>
          <w:tcPr>
            <w:tcW w:w="500" w:type="dxa"/>
            <w:vAlign w:val="bottom"/>
            <w:tcBorders>
              <w:bottom w:val="single" w:sz="8" w:color="58595B"/>
            </w:tcBorders>
          </w:tcPr>
          <w:p>
            <w:pPr>
              <w:spacing w:after="0" w:line="20" w:lineRule="exact"/>
              <w:rPr>
                <w:sz w:val="1"/>
                <w:szCs w:val="1"/>
                <w:color w:val="auto"/>
              </w:rPr>
            </w:pPr>
          </w:p>
        </w:tc>
        <w:tc>
          <w:tcPr>
            <w:tcW w:w="700" w:type="dxa"/>
            <w:vAlign w:val="bottom"/>
            <w:tcBorders>
              <w:bottom w:val="single" w:sz="8" w:color="58595B"/>
            </w:tcBorders>
          </w:tcPr>
          <w:p>
            <w:pPr>
              <w:spacing w:after="0" w:line="20" w:lineRule="exact"/>
              <w:rPr>
                <w:sz w:val="1"/>
                <w:szCs w:val="1"/>
                <w:color w:val="auto"/>
              </w:rPr>
            </w:pPr>
          </w:p>
        </w:tc>
        <w:tc>
          <w:tcPr>
            <w:tcW w:w="620" w:type="dxa"/>
            <w:vAlign w:val="bottom"/>
            <w:tcBorders>
              <w:bottom w:val="single" w:sz="8" w:color="58595B"/>
            </w:tcBorders>
          </w:tcPr>
          <w:p>
            <w:pPr>
              <w:spacing w:after="0" w:line="20" w:lineRule="exact"/>
              <w:rPr>
                <w:sz w:val="1"/>
                <w:szCs w:val="1"/>
                <w:color w:val="auto"/>
              </w:rPr>
            </w:pPr>
          </w:p>
        </w:tc>
        <w:tc>
          <w:tcPr>
            <w:tcW w:w="700" w:type="dxa"/>
            <w:vAlign w:val="bottom"/>
            <w:tcBorders>
              <w:bottom w:val="single" w:sz="8" w:color="58595B"/>
            </w:tcBorders>
          </w:tcPr>
          <w:p>
            <w:pPr>
              <w:spacing w:after="0" w:line="20" w:lineRule="exact"/>
              <w:rPr>
                <w:sz w:val="1"/>
                <w:szCs w:val="1"/>
                <w:color w:val="auto"/>
              </w:rPr>
            </w:pPr>
          </w:p>
        </w:tc>
        <w:tc>
          <w:tcPr>
            <w:tcW w:w="520" w:type="dxa"/>
            <w:vAlign w:val="bottom"/>
            <w:tcBorders>
              <w:bottom w:val="single" w:sz="8" w:color="58595B"/>
            </w:tcBorders>
          </w:tcPr>
          <w:p>
            <w:pPr>
              <w:spacing w:after="0" w:line="20" w:lineRule="exact"/>
              <w:rPr>
                <w:sz w:val="1"/>
                <w:szCs w:val="1"/>
                <w:color w:val="auto"/>
              </w:rPr>
            </w:pPr>
          </w:p>
        </w:tc>
        <w:tc>
          <w:tcPr>
            <w:tcW w:w="1260" w:type="dxa"/>
            <w:vAlign w:val="bottom"/>
            <w:tcBorders>
              <w:bottom w:val="single" w:sz="8" w:color="58595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-2545080</wp:posOffset>
            </wp:positionV>
            <wp:extent cx="19284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2849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-2142490</wp:posOffset>
            </wp:positionV>
            <wp:extent cx="17145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-2159635</wp:posOffset>
            </wp:positionV>
            <wp:extent cx="20574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-2159635</wp:posOffset>
            </wp:positionV>
            <wp:extent cx="20574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-2159635</wp:posOffset>
            </wp:positionV>
            <wp:extent cx="20574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-1774190</wp:posOffset>
            </wp:positionV>
            <wp:extent cx="17145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-1799590</wp:posOffset>
            </wp:positionV>
            <wp:extent cx="20574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-1799590</wp:posOffset>
            </wp:positionV>
            <wp:extent cx="20574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-1534160</wp:posOffset>
            </wp:positionV>
            <wp:extent cx="12001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-1259840</wp:posOffset>
            </wp:positionV>
            <wp:extent cx="17145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-1285240</wp:posOffset>
            </wp:positionV>
            <wp:extent cx="20574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-1285240</wp:posOffset>
            </wp:positionV>
            <wp:extent cx="20574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-1285240</wp:posOffset>
            </wp:positionV>
            <wp:extent cx="20574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-1002665</wp:posOffset>
            </wp:positionV>
            <wp:extent cx="171450" cy="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12827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-1028065</wp:posOffset>
            </wp:positionV>
            <wp:extent cx="20574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-1019810</wp:posOffset>
            </wp:positionV>
            <wp:extent cx="12001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-1028065</wp:posOffset>
            </wp:positionV>
            <wp:extent cx="20574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-745490</wp:posOffset>
            </wp:positionV>
            <wp:extent cx="17145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-762635</wp:posOffset>
            </wp:positionV>
            <wp:extent cx="12001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-231140</wp:posOffset>
            </wp:positionV>
            <wp:extent cx="17145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-248285</wp:posOffset>
            </wp:positionV>
            <wp:extent cx="12001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-248285</wp:posOffset>
            </wp:positionV>
            <wp:extent cx="12001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154305"/>
                    </a:xfrm>
                    <a:prstGeom prst="rect">
                      <a:avLst/>
                    </a:prstGeom>
                    <a:noFill/>
                  </pic:spPr>
                </pic:pic>
              </a:graphicData>
            </a:graphic>
          </wp:anchor>
        </w:drawing>
      </w:r>
    </w:p>
    <w:p>
      <w:pPr>
        <w:spacing w:after="0" w:line="108" w:lineRule="exact"/>
        <w:rPr>
          <w:sz w:val="20"/>
          <w:szCs w:val="20"/>
          <w:color w:val="auto"/>
        </w:rPr>
      </w:pPr>
    </w:p>
    <w:p>
      <w:pPr>
        <w:ind w:left="220" w:hanging="194"/>
        <w:spacing w:after="0"/>
        <w:tabs>
          <w:tab w:leader="none" w:pos="220" w:val="left"/>
        </w:tabs>
        <w:numPr>
          <w:ilvl w:val="0"/>
          <w:numId w:val="6"/>
        </w:numPr>
        <w:rPr>
          <w:rFonts w:ascii="Arial" w:cs="Arial" w:eastAsia="Arial" w:hAnsi="Arial"/>
          <w:sz w:val="13"/>
          <w:szCs w:val="13"/>
          <w:color w:val="58595B"/>
        </w:rPr>
      </w:pPr>
      <w:r>
        <w:rPr>
          <w:rFonts w:ascii="Arial" w:cs="Arial" w:eastAsia="Arial" w:hAnsi="Arial"/>
          <w:sz w:val="13"/>
          <w:szCs w:val="13"/>
          <w:color w:val="58595B"/>
        </w:rPr>
        <w:t>As of March 31, 2026.</w:t>
      </w:r>
    </w:p>
    <w:p>
      <w:pPr>
        <w:ind w:left="180" w:right="200" w:hanging="154"/>
        <w:spacing w:after="0" w:line="226" w:lineRule="auto"/>
        <w:tabs>
          <w:tab w:leader="none" w:pos="151" w:val="left"/>
        </w:tabs>
        <w:numPr>
          <w:ilvl w:val="0"/>
          <w:numId w:val="7"/>
        </w:numPr>
        <w:rPr>
          <w:rFonts w:ascii="Arial" w:cs="Arial" w:eastAsia="Arial" w:hAnsi="Arial"/>
          <w:sz w:val="13"/>
          <w:szCs w:val="13"/>
          <w:color w:val="58595B"/>
        </w:rPr>
      </w:pPr>
      <w:r>
        <w:rPr>
          <w:rFonts w:ascii="Arial" w:cs="Arial" w:eastAsia="Arial" w:hAnsi="Arial"/>
          <w:sz w:val="13"/>
          <w:szCs w:val="13"/>
          <w:color w:val="58595B"/>
        </w:rPr>
        <w:t>Dr. Essig does not currently qualify as an independent director under applicable Nasdaq listing rules due to his previous service as our Executive Chairman of the Board. Dr. Essig transitioned to our Non-Executive Chairman effective as of July 1, 2025 and he will again be eligible to be determined to be an independent director on July 1, 2028 which is the date that is three years after such transition.</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20" w:type="dxa"/>
            <w:vAlign w:val="bottom"/>
            <w:vMerge w:val="restart"/>
          </w:tcPr>
          <w:p>
            <w:pPr>
              <w:spacing w:after="0"/>
              <w:rPr>
                <w:sz w:val="20"/>
                <w:szCs w:val="20"/>
                <w:color w:val="auto"/>
              </w:rPr>
            </w:pPr>
            <w:r>
              <w:rPr>
                <w:rFonts w:ascii="Arial" w:cs="Arial" w:eastAsia="Arial" w:hAnsi="Arial"/>
                <w:sz w:val="14"/>
                <w:szCs w:val="14"/>
                <w:b w:val="1"/>
                <w:bCs w:val="1"/>
                <w:color w:val="58595B"/>
              </w:rPr>
              <w:t>A</w:t>
            </w:r>
          </w:p>
        </w:tc>
        <w:tc>
          <w:tcPr>
            <w:tcW w:w="1100" w:type="dxa"/>
            <w:vAlign w:val="bottom"/>
          </w:tcPr>
          <w:p>
            <w:pPr>
              <w:ind w:left="100"/>
              <w:spacing w:after="0"/>
              <w:rPr>
                <w:sz w:val="20"/>
                <w:szCs w:val="20"/>
                <w:color w:val="auto"/>
              </w:rPr>
            </w:pPr>
            <w:r>
              <w:rPr>
                <w:rFonts w:ascii="Arial" w:cs="Arial" w:eastAsia="Arial" w:hAnsi="Arial"/>
                <w:sz w:val="13"/>
                <w:szCs w:val="13"/>
                <w:color w:val="58595B"/>
              </w:rPr>
              <w:t>Audit</w:t>
            </w:r>
          </w:p>
        </w:tc>
        <w:tc>
          <w:tcPr>
            <w:tcW w:w="580" w:type="dxa"/>
            <w:vAlign w:val="bottom"/>
            <w:vMerge w:val="restart"/>
          </w:tcPr>
          <w:p>
            <w:pPr>
              <w:ind w:left="360"/>
              <w:spacing w:after="0"/>
              <w:rPr>
                <w:sz w:val="20"/>
                <w:szCs w:val="20"/>
                <w:color w:val="auto"/>
              </w:rPr>
            </w:pPr>
            <w:r>
              <w:rPr>
                <w:rFonts w:ascii="Arial" w:cs="Arial" w:eastAsia="Arial" w:hAnsi="Arial"/>
                <w:sz w:val="14"/>
                <w:szCs w:val="14"/>
                <w:b w:val="1"/>
                <w:bCs w:val="1"/>
                <w:color w:val="58595B"/>
              </w:rPr>
              <w:t>C</w:t>
            </w:r>
          </w:p>
        </w:tc>
        <w:tc>
          <w:tcPr>
            <w:tcW w:w="1340" w:type="dxa"/>
            <w:vAlign w:val="bottom"/>
          </w:tcPr>
          <w:p>
            <w:pPr>
              <w:ind w:left="120"/>
              <w:spacing w:after="0"/>
              <w:rPr>
                <w:sz w:val="20"/>
                <w:szCs w:val="20"/>
                <w:color w:val="auto"/>
              </w:rPr>
            </w:pPr>
            <w:r>
              <w:rPr>
                <w:rFonts w:ascii="Arial" w:cs="Arial" w:eastAsia="Arial" w:hAnsi="Arial"/>
                <w:sz w:val="13"/>
                <w:szCs w:val="13"/>
                <w:color w:val="58595B"/>
              </w:rPr>
              <w:t>Compensation</w:t>
            </w:r>
          </w:p>
        </w:tc>
        <w:tc>
          <w:tcPr>
            <w:tcW w:w="640" w:type="dxa"/>
            <w:vAlign w:val="bottom"/>
            <w:vMerge w:val="restart"/>
          </w:tcPr>
          <w:p>
            <w:pPr>
              <w:ind w:left="400"/>
              <w:spacing w:after="0"/>
              <w:rPr>
                <w:sz w:val="20"/>
                <w:szCs w:val="20"/>
                <w:color w:val="auto"/>
              </w:rPr>
            </w:pPr>
            <w:r>
              <w:rPr>
                <w:rFonts w:ascii="Arial" w:cs="Arial" w:eastAsia="Arial" w:hAnsi="Arial"/>
                <w:sz w:val="14"/>
                <w:szCs w:val="14"/>
                <w:b w:val="1"/>
                <w:bCs w:val="1"/>
                <w:color w:val="58595B"/>
              </w:rPr>
              <w:t>G</w:t>
            </w:r>
          </w:p>
        </w:tc>
        <w:tc>
          <w:tcPr>
            <w:tcW w:w="2100" w:type="dxa"/>
            <w:vAlign w:val="bottom"/>
          </w:tcPr>
          <w:p>
            <w:pPr>
              <w:ind w:left="100"/>
              <w:spacing w:after="0"/>
              <w:rPr>
                <w:sz w:val="20"/>
                <w:szCs w:val="20"/>
                <w:color w:val="auto"/>
              </w:rPr>
            </w:pPr>
            <w:r>
              <w:rPr>
                <w:rFonts w:ascii="Arial" w:cs="Arial" w:eastAsia="Arial" w:hAnsi="Arial"/>
                <w:sz w:val="13"/>
                <w:szCs w:val="13"/>
                <w:color w:val="58595B"/>
              </w:rPr>
              <w:t>Nominating and Corporate</w:t>
            </w:r>
          </w:p>
        </w:tc>
        <w:tc>
          <w:tcPr>
            <w:tcW w:w="700" w:type="dxa"/>
            <w:vAlign w:val="bottom"/>
            <w:vMerge w:val="restart"/>
          </w:tcPr>
          <w:p>
            <w:pPr>
              <w:ind w:left="500"/>
              <w:spacing w:after="0"/>
              <w:rPr>
                <w:sz w:val="20"/>
                <w:szCs w:val="20"/>
                <w:color w:val="auto"/>
              </w:rPr>
            </w:pPr>
            <w:r>
              <w:rPr>
                <w:rFonts w:ascii="Arial" w:cs="Arial" w:eastAsia="Arial" w:hAnsi="Arial"/>
                <w:sz w:val="14"/>
                <w:szCs w:val="14"/>
                <w:b w:val="1"/>
                <w:bCs w:val="1"/>
                <w:color w:val="58595B"/>
              </w:rPr>
              <w:t>F</w:t>
            </w:r>
          </w:p>
        </w:tc>
        <w:tc>
          <w:tcPr>
            <w:tcW w:w="1120" w:type="dxa"/>
            <w:vAlign w:val="bottom"/>
          </w:tcPr>
          <w:p>
            <w:pPr>
              <w:ind w:left="120"/>
              <w:spacing w:after="0"/>
              <w:rPr>
                <w:sz w:val="20"/>
                <w:szCs w:val="20"/>
                <w:color w:val="auto"/>
              </w:rPr>
            </w:pPr>
            <w:r>
              <w:rPr>
                <w:rFonts w:ascii="Arial" w:cs="Arial" w:eastAsia="Arial" w:hAnsi="Arial"/>
                <w:sz w:val="13"/>
                <w:szCs w:val="13"/>
                <w:color w:val="58595B"/>
              </w:rPr>
              <w:t>Finance</w:t>
            </w:r>
          </w:p>
        </w:tc>
        <w:tc>
          <w:tcPr>
            <w:tcW w:w="640" w:type="dxa"/>
            <w:vAlign w:val="bottom"/>
            <w:vMerge w:val="restart"/>
          </w:tcPr>
          <w:p>
            <w:pPr>
              <w:ind w:left="400"/>
              <w:spacing w:after="0"/>
              <w:rPr>
                <w:sz w:val="20"/>
                <w:szCs w:val="20"/>
                <w:color w:val="auto"/>
              </w:rPr>
            </w:pPr>
            <w:r>
              <w:rPr>
                <w:rFonts w:ascii="Arial" w:cs="Arial" w:eastAsia="Arial" w:hAnsi="Arial"/>
                <w:sz w:val="14"/>
                <w:szCs w:val="14"/>
                <w:b w:val="1"/>
                <w:bCs w:val="1"/>
                <w:color w:val="58595B"/>
              </w:rPr>
              <w:t>Q</w:t>
            </w:r>
          </w:p>
        </w:tc>
        <w:tc>
          <w:tcPr>
            <w:tcW w:w="720" w:type="dxa"/>
            <w:vAlign w:val="bottom"/>
          </w:tcPr>
          <w:p>
            <w:pPr>
              <w:ind w:left="100"/>
              <w:spacing w:after="0"/>
              <w:rPr>
                <w:sz w:val="20"/>
                <w:szCs w:val="20"/>
                <w:color w:val="auto"/>
              </w:rPr>
            </w:pPr>
            <w:r>
              <w:rPr>
                <w:rFonts w:ascii="Arial" w:cs="Arial" w:eastAsia="Arial" w:hAnsi="Arial"/>
                <w:sz w:val="13"/>
                <w:szCs w:val="13"/>
                <w:color w:val="58595B"/>
              </w:rPr>
              <w:t>Quality</w:t>
            </w:r>
          </w:p>
        </w:tc>
        <w:tc>
          <w:tcPr>
            <w:tcW w:w="0" w:type="dxa"/>
            <w:vAlign w:val="bottom"/>
          </w:tcPr>
          <w:p>
            <w:pPr>
              <w:spacing w:after="0"/>
              <w:rPr>
                <w:sz w:val="1"/>
                <w:szCs w:val="1"/>
                <w:color w:val="auto"/>
              </w:rPr>
            </w:pPr>
          </w:p>
        </w:tc>
      </w:tr>
      <w:tr>
        <w:trPr>
          <w:trHeight w:val="110"/>
        </w:trPr>
        <w:tc>
          <w:tcPr>
            <w:tcW w:w="220" w:type="dxa"/>
            <w:vAlign w:val="bottom"/>
            <w:vMerge w:val="continue"/>
          </w:tcPr>
          <w:p>
            <w:pPr>
              <w:spacing w:after="0"/>
              <w:rPr>
                <w:sz w:val="9"/>
                <w:szCs w:val="9"/>
                <w:color w:val="auto"/>
              </w:rPr>
            </w:pPr>
          </w:p>
        </w:tc>
        <w:tc>
          <w:tcPr>
            <w:tcW w:w="1100" w:type="dxa"/>
            <w:vAlign w:val="bottom"/>
            <w:vMerge w:val="restart"/>
          </w:tcPr>
          <w:p>
            <w:pPr>
              <w:ind w:left="100"/>
              <w:spacing w:after="0"/>
              <w:rPr>
                <w:sz w:val="20"/>
                <w:szCs w:val="20"/>
                <w:color w:val="auto"/>
              </w:rPr>
            </w:pPr>
            <w:r>
              <w:rPr>
                <w:rFonts w:ascii="Arial" w:cs="Arial" w:eastAsia="Arial" w:hAnsi="Arial"/>
                <w:sz w:val="13"/>
                <w:szCs w:val="13"/>
                <w:color w:val="58595B"/>
              </w:rPr>
              <w:t>Committee</w:t>
            </w:r>
          </w:p>
        </w:tc>
        <w:tc>
          <w:tcPr>
            <w:tcW w:w="580" w:type="dxa"/>
            <w:vAlign w:val="bottom"/>
            <w:vMerge w:val="continue"/>
          </w:tcPr>
          <w:p>
            <w:pPr>
              <w:spacing w:after="0"/>
              <w:rPr>
                <w:sz w:val="9"/>
                <w:szCs w:val="9"/>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58595B"/>
              </w:rPr>
              <w:t>Committee</w:t>
            </w:r>
          </w:p>
        </w:tc>
        <w:tc>
          <w:tcPr>
            <w:tcW w:w="640" w:type="dxa"/>
            <w:vAlign w:val="bottom"/>
            <w:vMerge w:val="continue"/>
          </w:tcPr>
          <w:p>
            <w:pPr>
              <w:spacing w:after="0"/>
              <w:rPr>
                <w:sz w:val="9"/>
                <w:szCs w:val="9"/>
                <w:color w:val="auto"/>
              </w:rPr>
            </w:pPr>
          </w:p>
        </w:tc>
        <w:tc>
          <w:tcPr>
            <w:tcW w:w="2100" w:type="dxa"/>
            <w:vAlign w:val="bottom"/>
            <w:vMerge w:val="restart"/>
          </w:tcPr>
          <w:p>
            <w:pPr>
              <w:ind w:left="100"/>
              <w:spacing w:after="0"/>
              <w:rPr>
                <w:sz w:val="20"/>
                <w:szCs w:val="20"/>
                <w:color w:val="auto"/>
              </w:rPr>
            </w:pPr>
            <w:r>
              <w:rPr>
                <w:rFonts w:ascii="Arial" w:cs="Arial" w:eastAsia="Arial" w:hAnsi="Arial"/>
                <w:sz w:val="13"/>
                <w:szCs w:val="13"/>
                <w:color w:val="58595B"/>
              </w:rPr>
              <w:t>Governance Committee</w:t>
            </w:r>
          </w:p>
        </w:tc>
        <w:tc>
          <w:tcPr>
            <w:tcW w:w="700" w:type="dxa"/>
            <w:vAlign w:val="bottom"/>
            <w:vMerge w:val="continue"/>
          </w:tcPr>
          <w:p>
            <w:pPr>
              <w:spacing w:after="0"/>
              <w:rPr>
                <w:sz w:val="9"/>
                <w:szCs w:val="9"/>
                <w:color w:val="auto"/>
              </w:rPr>
            </w:pPr>
          </w:p>
        </w:tc>
        <w:tc>
          <w:tcPr>
            <w:tcW w:w="1120" w:type="dxa"/>
            <w:vAlign w:val="bottom"/>
            <w:vMerge w:val="restart"/>
          </w:tcPr>
          <w:p>
            <w:pPr>
              <w:ind w:left="120"/>
              <w:spacing w:after="0"/>
              <w:rPr>
                <w:sz w:val="20"/>
                <w:szCs w:val="20"/>
                <w:color w:val="auto"/>
              </w:rPr>
            </w:pPr>
            <w:r>
              <w:rPr>
                <w:rFonts w:ascii="Arial" w:cs="Arial" w:eastAsia="Arial" w:hAnsi="Arial"/>
                <w:sz w:val="13"/>
                <w:szCs w:val="13"/>
                <w:color w:val="58595B"/>
              </w:rPr>
              <w:t>Committee</w:t>
            </w:r>
          </w:p>
        </w:tc>
        <w:tc>
          <w:tcPr>
            <w:tcW w:w="640" w:type="dxa"/>
            <w:vAlign w:val="bottom"/>
            <w:vMerge w:val="continue"/>
          </w:tcPr>
          <w:p>
            <w:pPr>
              <w:spacing w:after="0"/>
              <w:rPr>
                <w:sz w:val="9"/>
                <w:szCs w:val="9"/>
                <w:color w:val="auto"/>
              </w:rPr>
            </w:pPr>
          </w:p>
        </w:tc>
        <w:tc>
          <w:tcPr>
            <w:tcW w:w="720" w:type="dxa"/>
            <w:vAlign w:val="bottom"/>
            <w:vMerge w:val="restart"/>
          </w:tcPr>
          <w:p>
            <w:pPr>
              <w:ind w:left="100"/>
              <w:spacing w:after="0"/>
              <w:rPr>
                <w:sz w:val="20"/>
                <w:szCs w:val="20"/>
                <w:color w:val="auto"/>
              </w:rPr>
            </w:pPr>
            <w:r>
              <w:rPr>
                <w:rFonts w:ascii="Arial" w:cs="Arial" w:eastAsia="Arial" w:hAnsi="Arial"/>
                <w:sz w:val="13"/>
                <w:szCs w:val="13"/>
                <w:color w:val="58595B"/>
                <w:w w:val="95"/>
              </w:rPr>
              <w:t>Committee</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21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2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58595B"/>
              </w:rPr>
              <w:t>Chair</w:t>
            </w:r>
          </w:p>
        </w:tc>
        <w:tc>
          <w:tcPr>
            <w:tcW w:w="580" w:type="dxa"/>
            <w:vAlign w:val="bottom"/>
          </w:tcPr>
          <w:p>
            <w:pPr>
              <w:spacing w:after="0"/>
              <w:rPr>
                <w:sz w:val="24"/>
                <w:szCs w:val="24"/>
                <w:color w:val="auto"/>
              </w:rPr>
            </w:pPr>
          </w:p>
        </w:tc>
        <w:tc>
          <w:tcPr>
            <w:tcW w:w="1340" w:type="dxa"/>
            <w:vAlign w:val="bottom"/>
          </w:tcPr>
          <w:p>
            <w:pPr>
              <w:ind w:left="120"/>
              <w:spacing w:after="0"/>
              <w:rPr>
                <w:sz w:val="20"/>
                <w:szCs w:val="20"/>
                <w:color w:val="auto"/>
              </w:rPr>
            </w:pPr>
            <w:r>
              <w:rPr>
                <w:rFonts w:ascii="Arial" w:cs="Arial" w:eastAsia="Arial" w:hAnsi="Arial"/>
                <w:sz w:val="13"/>
                <w:szCs w:val="13"/>
                <w:color w:val="58595B"/>
              </w:rPr>
              <w:t>Member</w:t>
            </w:r>
          </w:p>
        </w:tc>
        <w:tc>
          <w:tcPr>
            <w:tcW w:w="6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-161925</wp:posOffset>
            </wp:positionV>
            <wp:extent cx="11112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-161925</wp:posOffset>
            </wp:positionV>
            <wp:extent cx="21463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46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10280"/>
        <w:spacing w:after="0"/>
        <w:rPr>
          <w:sz w:val="20"/>
          <w:szCs w:val="20"/>
          <w:color w:val="auto"/>
        </w:rPr>
      </w:pPr>
      <w:r>
        <w:rPr>
          <w:rFonts w:ascii="Arial" w:cs="Arial" w:eastAsia="Arial" w:hAnsi="Arial"/>
          <w:sz w:val="12"/>
          <w:szCs w:val="12"/>
          <w:b w:val="1"/>
          <w:bCs w:val="1"/>
          <w:color w:val="009845"/>
        </w:rPr>
        <w:t>Proxy Summary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009845"/>
        </w:rPr>
        <w:t>2025 Business Highlights</w:t>
      </w:r>
    </w:p>
    <w:p>
      <w:pPr>
        <w:spacing w:after="0" w:line="355" w:lineRule="exact"/>
        <w:rPr>
          <w:sz w:val="20"/>
          <w:szCs w:val="20"/>
          <w:color w:val="auto"/>
        </w:rPr>
      </w:pPr>
    </w:p>
    <w:p>
      <w:pPr>
        <w:ind w:left="20" w:right="60"/>
        <w:spacing w:after="0" w:line="314" w:lineRule="auto"/>
        <w:rPr>
          <w:sz w:val="20"/>
          <w:szCs w:val="20"/>
          <w:color w:val="auto"/>
        </w:rPr>
      </w:pPr>
      <w:r>
        <w:rPr>
          <w:rFonts w:ascii="Arial" w:cs="Arial" w:eastAsia="Arial" w:hAnsi="Arial"/>
          <w:sz w:val="16"/>
          <w:szCs w:val="16"/>
          <w:color w:val="58595B"/>
        </w:rPr>
        <w:t>Integra LifeSciences Holdings Corporation is a global medical technology company dedicated to restoring lives. We are advancing transformational care through impactful innovation and our portfolio of highly differentiated technologies is trusted by healthcare professionals to deliver transformative care. We manufacture and sell medical technologies and products in two reportable business segments: Codman Specialty Surgical and Tissue Technologies.</w:t>
      </w:r>
    </w:p>
    <w:p>
      <w:pPr>
        <w:spacing w:after="0" w:line="135" w:lineRule="exact"/>
        <w:rPr>
          <w:sz w:val="20"/>
          <w:szCs w:val="20"/>
          <w:color w:val="auto"/>
        </w:rPr>
      </w:pPr>
    </w:p>
    <w:p>
      <w:pPr>
        <w:ind w:left="20" w:right="40"/>
        <w:spacing w:after="0" w:line="310" w:lineRule="auto"/>
        <w:rPr>
          <w:sz w:val="20"/>
          <w:szCs w:val="20"/>
          <w:color w:val="auto"/>
        </w:rPr>
      </w:pPr>
      <w:r>
        <w:rPr>
          <w:rFonts w:ascii="Arial" w:cs="Arial" w:eastAsia="Arial" w:hAnsi="Arial"/>
          <w:sz w:val="16"/>
          <w:szCs w:val="16"/>
          <w:color w:val="58595B"/>
        </w:rPr>
        <w:t>At Integra, we are focused on restoring lives. We aim to advance transformational care, deliver impactful innovation and enrich life moments. In service of this vision, our core values — Innovate for Outcomes; Collaborate to Win; Live Quality; Champion our People; and Be Accountable — guide our approach to doing business. We believe how we do our work is just as important as what we do. We believe that this combination of purpose, vision and values will help facilitate our transformation journey and sustain long-term success. They are more than statements — they shape how we make decisions, collaborate, innovate, and how we show up for our customers, patients, communities, and each other.</w:t>
      </w:r>
    </w:p>
    <w:p>
      <w:pPr>
        <w:spacing w:after="0" w:line="372" w:lineRule="exact"/>
        <w:rPr>
          <w:sz w:val="20"/>
          <w:szCs w:val="20"/>
          <w:color w:val="auto"/>
        </w:rPr>
      </w:pPr>
    </w:p>
    <w:p>
      <w:pPr>
        <w:ind w:left="20"/>
        <w:spacing w:after="0" w:line="310" w:lineRule="auto"/>
        <w:rPr>
          <w:sz w:val="20"/>
          <w:szCs w:val="20"/>
          <w:color w:val="auto"/>
        </w:rPr>
      </w:pPr>
      <w:r>
        <w:rPr>
          <w:rFonts w:ascii="Arial" w:cs="Arial" w:eastAsia="Arial" w:hAnsi="Arial"/>
          <w:sz w:val="16"/>
          <w:szCs w:val="16"/>
          <w:color w:val="58595B"/>
        </w:rPr>
        <w:t>Throughout the course of 2025, our executive leadership team continued to work to transform the Company to strengthen our foundation and position the Company for long-term, sustainable growth. As part of this transformation, we refreshed our strategic imperatives. Under this new approach we will seek to: (1) Deliver Best-in-Class Quality; (2) Drive Supply Chain Reliability; (3) Accelerate Growth; and (4) Ignite Innovation. We believe these imperatives will position us well to build a culture of quality and execution excellence, solidify market leadership, and permit us to consistently deliver on operational and financial commitments.</w:t>
      </w:r>
    </w:p>
    <w:p>
      <w:pPr>
        <w:spacing w:after="0" w:line="137" w:lineRule="exact"/>
        <w:rPr>
          <w:sz w:val="20"/>
          <w:szCs w:val="20"/>
          <w:color w:val="auto"/>
        </w:rPr>
      </w:pPr>
    </w:p>
    <w:p>
      <w:pPr>
        <w:ind w:left="20" w:right="160"/>
        <w:spacing w:after="0" w:line="311" w:lineRule="auto"/>
        <w:rPr>
          <w:sz w:val="20"/>
          <w:szCs w:val="20"/>
          <w:color w:val="auto"/>
        </w:rPr>
      </w:pPr>
      <w:r>
        <w:rPr>
          <w:rFonts w:ascii="Arial" w:cs="Arial" w:eastAsia="Arial" w:hAnsi="Arial"/>
          <w:sz w:val="16"/>
          <w:szCs w:val="16"/>
          <w:color w:val="58595B"/>
        </w:rPr>
        <w:t>In fiscal year 2025, revenue results reflected a challenging operating environment. Reported revenue increased 1.5% to $1,635.2 million, with growth in the Codman Specialty Surgical segment partially offset by product availability constraints that limited overall performance. Net Income and adjusted EBITDA and profitability reflected targeted and accelerated investments in our quality management systems, as well as the start of a series of facility and equipment upgrades intended to enhance quality, resilience, and capacity.</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9845"/>
        </w:rPr>
        <w:t>2025 operational highlights include: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59"/>
          <w:szCs w:val="59"/>
          <w:color w:val="009845"/>
        </w:rPr>
        <w:t>$1,635.2m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-557530</wp:posOffset>
            </wp:positionV>
            <wp:extent cx="2211705" cy="5066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11705" cy="5066030"/>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Reported GAAP Total Revenues</w:t>
      </w:r>
    </w:p>
    <w:p>
      <w:pPr>
        <w:spacing w:after="0" w:line="177" w:lineRule="exact"/>
        <w:rPr>
          <w:sz w:val="20"/>
          <w:szCs w:val="20"/>
          <w:color w:val="auto"/>
        </w:rPr>
      </w:pPr>
    </w:p>
    <w:p>
      <w:pPr>
        <w:spacing w:after="0"/>
        <w:rPr>
          <w:sz w:val="20"/>
          <w:szCs w:val="20"/>
          <w:color w:val="auto"/>
        </w:rPr>
      </w:pPr>
      <w:r>
        <w:rPr>
          <w:rFonts w:ascii="Arial" w:cs="Arial" w:eastAsia="Arial" w:hAnsi="Arial"/>
          <w:sz w:val="59"/>
          <w:szCs w:val="59"/>
          <w:color w:val="009845"/>
        </w:rPr>
        <w:t>1.5%</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Reported Revenue change</w:t>
      </w:r>
    </w:p>
    <w:p>
      <w:pPr>
        <w:spacing w:after="0" w:line="177" w:lineRule="exact"/>
        <w:rPr>
          <w:sz w:val="20"/>
          <w:szCs w:val="20"/>
          <w:color w:val="auto"/>
        </w:rPr>
      </w:pPr>
    </w:p>
    <w:p>
      <w:pPr>
        <w:spacing w:after="0"/>
        <w:rPr>
          <w:sz w:val="20"/>
          <w:szCs w:val="20"/>
          <w:color w:val="auto"/>
        </w:rPr>
      </w:pPr>
      <w:r>
        <w:rPr>
          <w:rFonts w:ascii="Arial" w:cs="Arial" w:eastAsia="Arial" w:hAnsi="Arial"/>
          <w:sz w:val="59"/>
          <w:szCs w:val="59"/>
          <w:color w:val="009845"/>
        </w:rPr>
        <w:t>4.9%</w:t>
      </w:r>
    </w:p>
    <w:p>
      <w:pPr>
        <w:spacing w:after="0" w:line="54" w:lineRule="exact"/>
        <w:rPr>
          <w:sz w:val="20"/>
          <w:szCs w:val="20"/>
          <w:color w:val="auto"/>
        </w:rPr>
      </w:pPr>
    </w:p>
    <w:p>
      <w:pPr>
        <w:ind w:right="2260"/>
        <w:spacing w:after="0" w:line="346" w:lineRule="auto"/>
        <w:rPr>
          <w:sz w:val="20"/>
          <w:szCs w:val="20"/>
          <w:color w:val="auto"/>
        </w:rPr>
      </w:pPr>
      <w:r>
        <w:rPr>
          <w:rFonts w:ascii="Arial" w:cs="Arial" w:eastAsia="Arial" w:hAnsi="Arial"/>
          <w:sz w:val="16"/>
          <w:szCs w:val="16"/>
          <w:b w:val="1"/>
          <w:bCs w:val="1"/>
          <w:color w:val="58595B"/>
        </w:rPr>
        <w:t>Increase in reported revenues for Codman Specialty Surgical segment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59"/>
          <w:szCs w:val="59"/>
          <w:color w:val="009845"/>
        </w:rPr>
        <w:t>$(516.5)m</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Reported GAAP Net Loss</w:t>
      </w:r>
    </w:p>
    <w:p>
      <w:pPr>
        <w:spacing w:after="0" w:line="177" w:lineRule="exact"/>
        <w:rPr>
          <w:sz w:val="20"/>
          <w:szCs w:val="20"/>
          <w:color w:val="auto"/>
        </w:rPr>
      </w:pPr>
    </w:p>
    <w:p>
      <w:pPr>
        <w:spacing w:after="0"/>
        <w:rPr>
          <w:sz w:val="20"/>
          <w:szCs w:val="20"/>
          <w:color w:val="auto"/>
        </w:rPr>
      </w:pPr>
      <w:r>
        <w:rPr>
          <w:rFonts w:ascii="Arial" w:cs="Arial" w:eastAsia="Arial" w:hAnsi="Arial"/>
          <w:sz w:val="59"/>
          <w:szCs w:val="59"/>
          <w:color w:val="009845"/>
        </w:rPr>
        <w:t>$317.5m</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Adjusted EBITDA</w:t>
      </w:r>
    </w:p>
    <w:p>
      <w:pPr>
        <w:spacing w:after="0" w:line="177" w:lineRule="exact"/>
        <w:rPr>
          <w:sz w:val="20"/>
          <w:szCs w:val="20"/>
          <w:color w:val="auto"/>
        </w:rPr>
      </w:pPr>
    </w:p>
    <w:p>
      <w:pPr>
        <w:spacing w:after="0"/>
        <w:rPr>
          <w:sz w:val="20"/>
          <w:szCs w:val="20"/>
          <w:color w:val="auto"/>
        </w:rPr>
      </w:pPr>
      <w:r>
        <w:rPr>
          <w:rFonts w:ascii="Arial" w:cs="Arial" w:eastAsia="Arial" w:hAnsi="Arial"/>
          <w:sz w:val="59"/>
          <w:szCs w:val="59"/>
          <w:color w:val="009845"/>
        </w:rPr>
        <w:t>$50m</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Operating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267970</wp:posOffset>
            </wp:positionV>
            <wp:extent cx="22117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993" w:lineRule="exact"/>
        <w:rPr>
          <w:sz w:val="20"/>
          <w:szCs w:val="20"/>
          <w:color w:val="auto"/>
        </w:rPr>
      </w:pPr>
    </w:p>
    <w:p>
      <w:pPr>
        <w:sectPr>
          <w:pgSz w:w="11900" w:h="16838" w:orient="portrait"/>
          <w:cols w:equalWidth="0" w:num="2">
            <w:col w:w="5900" w:space="280"/>
            <w:col w:w="5060"/>
          </w:cols>
          <w:pgMar w:left="320" w:top="121" w:right="339" w:bottom="1440" w:gutter="0" w:footer="0" w:header="0"/>
          <w:type w:val="continuous"/>
        </w:sectPr>
      </w:pPr>
    </w:p>
    <w:p>
      <w:pPr>
        <w:spacing w:after="0" w:line="21" w:lineRule="exact"/>
        <w:rPr>
          <w:sz w:val="20"/>
          <w:szCs w:val="20"/>
          <w:color w:val="auto"/>
        </w:rPr>
      </w:pPr>
    </w:p>
    <w:p>
      <w:pPr>
        <w:ind w:left="680" w:right="2180" w:hanging="330"/>
        <w:spacing w:after="0" w:line="339" w:lineRule="auto"/>
        <w:tabs>
          <w:tab w:leader="none" w:pos="642" w:val="left"/>
        </w:tabs>
        <w:numPr>
          <w:ilvl w:val="0"/>
          <w:numId w:val="8"/>
        </w:numPr>
        <w:rPr>
          <w:rFonts w:ascii="Arial" w:cs="Arial" w:eastAsia="Arial" w:hAnsi="Arial"/>
          <w:sz w:val="16"/>
          <w:szCs w:val="16"/>
          <w:color w:val="58595B"/>
        </w:rPr>
      </w:pPr>
      <w:r>
        <w:rPr>
          <w:rFonts w:ascii="Arial" w:cs="Arial" w:eastAsia="Arial" w:hAnsi="Arial"/>
          <w:sz w:val="16"/>
          <w:szCs w:val="16"/>
          <w:color w:val="58595B"/>
        </w:rPr>
        <w:t>Continued the implementation of our enterprise wide compliance master plan (the "CMP"), including the completion of comprehensive site assessments and the implementation of risk-based remediation plans</w:t>
      </w:r>
    </w:p>
    <w:p>
      <w:pPr>
        <w:spacing w:after="0" w:line="114" w:lineRule="exact"/>
        <w:rPr>
          <w:rFonts w:ascii="Arial" w:cs="Arial" w:eastAsia="Arial" w:hAnsi="Arial"/>
          <w:sz w:val="16"/>
          <w:szCs w:val="16"/>
          <w:color w:val="58595B"/>
        </w:rPr>
      </w:pPr>
    </w:p>
    <w:p>
      <w:pPr>
        <w:ind w:left="680" w:right="2360" w:hanging="330"/>
        <w:spacing w:after="0" w:line="339" w:lineRule="auto"/>
        <w:tabs>
          <w:tab w:leader="none" w:pos="642" w:val="left"/>
        </w:tabs>
        <w:numPr>
          <w:ilvl w:val="0"/>
          <w:numId w:val="8"/>
        </w:numPr>
        <w:rPr>
          <w:rFonts w:ascii="Arial" w:cs="Arial" w:eastAsia="Arial" w:hAnsi="Arial"/>
          <w:sz w:val="16"/>
          <w:szCs w:val="16"/>
          <w:color w:val="58595B"/>
        </w:rPr>
      </w:pPr>
      <w:r>
        <w:rPr>
          <w:rFonts w:ascii="Arial" w:cs="Arial" w:eastAsia="Arial" w:hAnsi="Arial"/>
          <w:sz w:val="16"/>
          <w:szCs w:val="16"/>
          <w:color w:val="58595B"/>
        </w:rPr>
        <w:t>Maintained constructive engagement with the U.S. Food and Drug Administration ("FDA") regarding our previously-communicated commitments and routine inspections</w:t>
      </w:r>
    </w:p>
    <w:p>
      <w:pPr>
        <w:spacing w:after="0" w:line="101" w:lineRule="exact"/>
        <w:rPr>
          <w:rFonts w:ascii="Arial" w:cs="Arial" w:eastAsia="Arial" w:hAnsi="Arial"/>
          <w:sz w:val="16"/>
          <w:szCs w:val="16"/>
          <w:color w:val="58595B"/>
        </w:rPr>
      </w:pPr>
    </w:p>
    <w:p>
      <w:pPr>
        <w:ind w:left="680" w:right="2400" w:hanging="330"/>
        <w:spacing w:after="0" w:line="356" w:lineRule="auto"/>
        <w:tabs>
          <w:tab w:leader="none" w:pos="642" w:val="left"/>
        </w:tabs>
        <w:numPr>
          <w:ilvl w:val="0"/>
          <w:numId w:val="8"/>
        </w:numPr>
        <w:rPr>
          <w:rFonts w:ascii="Arial" w:cs="Arial" w:eastAsia="Arial" w:hAnsi="Arial"/>
          <w:sz w:val="16"/>
          <w:szCs w:val="16"/>
          <w:color w:val="58595B"/>
        </w:rPr>
      </w:pPr>
      <w:r>
        <w:rPr>
          <w:rFonts w:ascii="Arial" w:cs="Arial" w:eastAsia="Arial" w:hAnsi="Arial"/>
          <w:sz w:val="16"/>
          <w:szCs w:val="16"/>
          <w:color w:val="58595B"/>
        </w:rPr>
        <w:t>Implemented an enterprise wide electronic quality management system designed to enable improved responses to regulatory requirements and enhanced product quality consistency</w:t>
      </w:r>
    </w:p>
    <w:p>
      <w:pPr>
        <w:spacing w:after="0" w:line="129" w:lineRule="exact"/>
        <w:rPr>
          <w:rFonts w:ascii="Arial" w:cs="Arial" w:eastAsia="Arial" w:hAnsi="Arial"/>
          <w:sz w:val="16"/>
          <w:szCs w:val="16"/>
          <w:color w:val="58595B"/>
        </w:rPr>
      </w:pPr>
    </w:p>
    <w:p>
      <w:pPr>
        <w:ind w:left="680" w:right="1880" w:hanging="330"/>
        <w:spacing w:after="0" w:line="301" w:lineRule="auto"/>
        <w:tabs>
          <w:tab w:leader="none" w:pos="642" w:val="left"/>
        </w:tabs>
        <w:numPr>
          <w:ilvl w:val="0"/>
          <w:numId w:val="8"/>
        </w:numPr>
        <w:rPr>
          <w:rFonts w:ascii="Arial" w:cs="Arial" w:eastAsia="Arial" w:hAnsi="Arial"/>
          <w:sz w:val="16"/>
          <w:szCs w:val="16"/>
          <w:color w:val="58595B"/>
        </w:rPr>
      </w:pPr>
      <w:r>
        <w:rPr>
          <w:rFonts w:ascii="Arial" w:cs="Arial" w:eastAsia="Arial" w:hAnsi="Arial"/>
          <w:sz w:val="16"/>
          <w:szCs w:val="16"/>
          <w:color w:val="58595B"/>
        </w:rPr>
        <w:t>Established a Transformation and Program Management Office focused on program prioritization at the enterprise level to increase alignment of corporate initiatives with our overall strategy and realize a more efficient allocation of corporate resources</w:t>
      </w:r>
    </w:p>
    <w:p>
      <w:pPr>
        <w:spacing w:after="0" w:line="104" w:lineRule="exact"/>
        <w:rPr>
          <w:rFonts w:ascii="Arial" w:cs="Arial" w:eastAsia="Arial" w:hAnsi="Arial"/>
          <w:sz w:val="16"/>
          <w:szCs w:val="16"/>
          <w:color w:val="58595B"/>
        </w:rPr>
      </w:pPr>
    </w:p>
    <w:p>
      <w:pPr>
        <w:ind w:left="680" w:right="2100" w:hanging="330"/>
        <w:spacing w:after="0" w:line="246" w:lineRule="auto"/>
        <w:tabs>
          <w:tab w:leader="none" w:pos="642" w:val="left"/>
        </w:tabs>
        <w:numPr>
          <w:ilvl w:val="0"/>
          <w:numId w:val="8"/>
        </w:numPr>
        <w:rPr>
          <w:rFonts w:ascii="Arial" w:cs="Arial" w:eastAsia="Arial" w:hAnsi="Arial"/>
          <w:sz w:val="16"/>
          <w:szCs w:val="16"/>
          <w:color w:val="58595B"/>
        </w:rPr>
      </w:pPr>
      <w:r>
        <w:rPr>
          <w:rFonts w:ascii="Arial" w:cs="Arial" w:eastAsia="Arial" w:hAnsi="Arial"/>
          <w:sz w:val="16"/>
          <w:szCs w:val="16"/>
          <w:color w:val="58595B"/>
        </w:rPr>
        <w:t>Relaunched PriMatrix</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and Durepair</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in the third quarter of 2025, ahead of previous projections, through use of a third-party manufacturing agreement</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11140" w:val="left"/>
        </w:tabs>
        <w:rPr>
          <w:sz w:val="20"/>
          <w:szCs w:val="20"/>
          <w:color w:val="auto"/>
        </w:rPr>
      </w:pPr>
      <w:r>
        <w:rPr>
          <w:rFonts w:ascii="Arial" w:cs="Arial" w:eastAsia="Arial" w:hAnsi="Arial"/>
          <w:sz w:val="13"/>
          <w:szCs w:val="13"/>
          <w:color w:val="58595B"/>
        </w:rPr>
        <w:t>2026 Proxy Statement</w:t>
      </w:r>
      <w:r>
        <w:rPr>
          <w:sz w:val="20"/>
          <w:szCs w:val="20"/>
          <w:color w:val="auto"/>
        </w:rPr>
        <w:tab/>
      </w:r>
      <w:r>
        <w:rPr>
          <w:rFonts w:ascii="Arial" w:cs="Arial" w:eastAsia="Arial" w:hAnsi="Arial"/>
          <w:sz w:val="10"/>
          <w:szCs w:val="10"/>
          <w:b w:val="1"/>
          <w:bCs w:val="1"/>
          <w:color w:val="009845"/>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hanging="290"/>
        <w:spacing w:after="0"/>
        <w:tabs>
          <w:tab w:leader="none" w:pos="640"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Continued to strengthen and expand our In-China-for-China manufacturing capability</w:t>
      </w:r>
    </w:p>
    <w:p>
      <w:pPr>
        <w:spacing w:after="0" w:line="207" w:lineRule="exact"/>
        <w:rPr>
          <w:rFonts w:ascii="Arial" w:cs="Arial" w:eastAsia="Arial" w:hAnsi="Arial"/>
          <w:sz w:val="16"/>
          <w:szCs w:val="16"/>
          <w:color w:val="58595B"/>
        </w:rPr>
      </w:pPr>
    </w:p>
    <w:p>
      <w:pPr>
        <w:ind w:left="640" w:hanging="290"/>
        <w:spacing w:after="0"/>
        <w:tabs>
          <w:tab w:leader="none" w:pos="640"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Expanded our cranial stabilization platform with the U.S. launch of Mayfield</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Ghost Base Unit Post</w:t>
      </w:r>
    </w:p>
    <w:p>
      <w:pPr>
        <w:spacing w:after="0" w:line="163" w:lineRule="exact"/>
        <w:rPr>
          <w:rFonts w:ascii="Arial" w:cs="Arial" w:eastAsia="Arial" w:hAnsi="Arial"/>
          <w:sz w:val="16"/>
          <w:szCs w:val="16"/>
          <w:color w:val="58595B"/>
        </w:rPr>
      </w:pPr>
    </w:p>
    <w:p>
      <w:pPr>
        <w:ind w:left="640" w:hanging="290"/>
        <w:spacing w:after="0"/>
        <w:tabs>
          <w:tab w:leader="none" w:pos="640"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Achieved 510(k) clearance for expanded surgical applications of CUSA</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Clarity</w:t>
      </w:r>
    </w:p>
    <w:p>
      <w:pPr>
        <w:spacing w:after="0" w:line="150" w:lineRule="exact"/>
        <w:rPr>
          <w:rFonts w:ascii="Arial" w:cs="Arial" w:eastAsia="Arial" w:hAnsi="Arial"/>
          <w:sz w:val="16"/>
          <w:szCs w:val="16"/>
          <w:color w:val="58595B"/>
        </w:rPr>
      </w:pPr>
    </w:p>
    <w:p>
      <w:pPr>
        <w:ind w:left="640" w:hanging="290"/>
        <w:spacing w:after="0"/>
        <w:tabs>
          <w:tab w:leader="none" w:pos="640"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Improved supply reliability for key products, including Integra® Dermal Regeneration Template skin substitute</w:t>
      </w:r>
    </w:p>
    <w:p>
      <w:pPr>
        <w:spacing w:after="0" w:line="221" w:lineRule="exact"/>
        <w:rPr>
          <w:rFonts w:ascii="Arial" w:cs="Arial" w:eastAsia="Arial" w:hAnsi="Arial"/>
          <w:sz w:val="16"/>
          <w:szCs w:val="16"/>
          <w:color w:val="58595B"/>
        </w:rPr>
      </w:pPr>
    </w:p>
    <w:p>
      <w:pPr>
        <w:ind w:left="680" w:right="1860" w:hanging="330"/>
        <w:spacing w:after="0" w:line="339" w:lineRule="auto"/>
        <w:tabs>
          <w:tab w:leader="none" w:pos="642"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Strengthened our executive leadership team through the appointment of six new executives, adding depth and capabilities that collectively represent decades of global med tech experience</w:t>
      </w:r>
    </w:p>
    <w:p>
      <w:pPr>
        <w:spacing w:after="0" w:line="317" w:lineRule="exact"/>
        <w:rPr>
          <w:sz w:val="20"/>
          <w:szCs w:val="20"/>
          <w:color w:val="auto"/>
        </w:rPr>
      </w:pPr>
    </w:p>
    <w:p>
      <w:pPr>
        <w:ind w:left="20" w:right="1860"/>
        <w:spacing w:after="0" w:line="309" w:lineRule="auto"/>
        <w:rPr>
          <w:sz w:val="20"/>
          <w:szCs w:val="20"/>
          <w:color w:val="auto"/>
        </w:rPr>
      </w:pPr>
      <w:r>
        <w:rPr>
          <w:rFonts w:ascii="Arial" w:cs="Arial" w:eastAsia="Arial" w:hAnsi="Arial"/>
          <w:sz w:val="16"/>
          <w:szCs w:val="16"/>
          <w:color w:val="58595B"/>
        </w:rPr>
        <w:t>Despite encountering quality, supply and operational challenges in 2025, our teams exhibited an unwavering commitment to fortifying our operational capabilities while delivering life-saving technologies to our customers and their patients. We operate in attractive markets and the demand for our products remains strong. We will continue executing our CMP to resolve our outstanding FDA Warning Letters and improve our supply chain resiliency, manufacturing excellence and process capability. As we continue to implement our transformation efforts initiated in 2025, we will maintain our focus on our operational foundation while enabling growth and innovation for 2026 and beyond. This transformation is not solely operational, it is also cultural. It is about strengthening our shared purpose, enabling our people to thrive, and building an organization capable of delivering consistent excellence and meaningful impact. We remain committed to transparency, disciplined execution and delivering long-term value for our customers, patients and stockholders. We believe that our accomplishments in 2025, supported by our portfolio prioritization and disciplined capital allocation, are reinforcing the foundation for future growth and innovation. We are confident about our potential to implement significant improvements to our manufacturing, quality management and supply chain capabilities, accelerate growth and make profitable investments in our other strategic priorities moving forward.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5"/>
          <w:szCs w:val="25"/>
          <w:color w:val="009845"/>
        </w:rPr>
        <w:t>Corporate Governance Highlights</w:t>
      </w:r>
    </w:p>
    <w:p>
      <w:pPr>
        <w:spacing w:after="0" w:line="193"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58595B"/>
        </w:rPr>
        <w:t>The Board believes that our commitment to strong corporate governance benefits all of our stakeholders, including our stockholders, employees, business partners, customers, communities and others who have a stake in how we operate. Our key corporate governance highlights include: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Number of Directors</w:t>
            </w:r>
          </w:p>
        </w:tc>
        <w:tc>
          <w:tcPr>
            <w:tcW w:w="780" w:type="dxa"/>
            <w:vAlign w:val="bottom"/>
            <w:shd w:val="clear" w:color="auto" w:fill="009845"/>
          </w:tcPr>
          <w:p>
            <w:pPr>
              <w:jc w:val="right"/>
              <w:ind w:right="288"/>
              <w:spacing w:after="0"/>
              <w:rPr>
                <w:sz w:val="20"/>
                <w:szCs w:val="20"/>
                <w:color w:val="auto"/>
              </w:rPr>
            </w:pPr>
            <w:r>
              <w:rPr>
                <w:rFonts w:ascii="Arial" w:cs="Arial" w:eastAsia="Arial" w:hAnsi="Arial"/>
                <w:sz w:val="14"/>
                <w:szCs w:val="14"/>
                <w:b w:val="1"/>
                <w:bCs w:val="1"/>
                <w:color w:val="FFFFFF"/>
              </w:rPr>
              <w:t>8</w:t>
            </w:r>
          </w:p>
        </w:tc>
      </w:tr>
      <w:tr>
        <w:trPr>
          <w:trHeight w:val="67"/>
        </w:trPr>
        <w:tc>
          <w:tcPr>
            <w:tcW w:w="10460" w:type="dxa"/>
            <w:vAlign w:val="bottom"/>
            <w:shd w:val="clear" w:color="auto" w:fill="009845"/>
          </w:tcPr>
          <w:p>
            <w:pPr>
              <w:spacing w:after="0"/>
              <w:rPr>
                <w:sz w:val="5"/>
                <w:szCs w:val="5"/>
                <w:color w:val="auto"/>
              </w:rPr>
            </w:pPr>
          </w:p>
        </w:tc>
        <w:tc>
          <w:tcPr>
            <w:tcW w:w="780" w:type="dxa"/>
            <w:vAlign w:val="bottom"/>
            <w:shd w:val="clear" w:color="auto" w:fill="009845"/>
          </w:tcPr>
          <w:p>
            <w:pPr>
              <w:spacing w:after="0"/>
              <w:rPr>
                <w:sz w:val="5"/>
                <w:szCs w:val="5"/>
                <w:color w:val="auto"/>
              </w:rPr>
            </w:pPr>
          </w:p>
        </w:tc>
      </w:tr>
      <w:tr>
        <w:trPr>
          <w:trHeight w:val="230"/>
        </w:trPr>
        <w:tc>
          <w:tcPr>
            <w:tcW w:w="104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Percentage of directors who are Independent</w:t>
            </w:r>
          </w:p>
        </w:tc>
        <w:tc>
          <w:tcPr>
            <w:tcW w:w="780" w:type="dxa"/>
            <w:vAlign w:val="bottom"/>
            <w:shd w:val="clear" w:color="auto" w:fill="EFEDED"/>
          </w:tcPr>
          <w:p>
            <w:pPr>
              <w:jc w:val="right"/>
              <w:ind w:right="168"/>
              <w:spacing w:after="0"/>
              <w:rPr>
                <w:sz w:val="20"/>
                <w:szCs w:val="20"/>
                <w:color w:val="auto"/>
              </w:rPr>
            </w:pPr>
            <w:r>
              <w:rPr>
                <w:rFonts w:ascii="Arial" w:cs="Arial" w:eastAsia="Arial" w:hAnsi="Arial"/>
                <w:sz w:val="14"/>
                <w:szCs w:val="14"/>
                <w:b w:val="1"/>
                <w:bCs w:val="1"/>
                <w:color w:val="58595B"/>
              </w:rPr>
              <w:t>75%</w:t>
            </w:r>
          </w:p>
        </w:tc>
      </w:tr>
    </w:tbl>
    <w:p>
      <w:pPr>
        <w:spacing w:after="0" w:line="18" w:lineRule="exact"/>
        <w:rPr>
          <w:sz w:val="20"/>
          <w:szCs w:val="20"/>
          <w:color w:val="auto"/>
        </w:rPr>
      </w:pPr>
    </w:p>
    <w:p>
      <w:pPr>
        <w:ind w:left="100" w:right="1160"/>
        <w:spacing w:after="0" w:line="314" w:lineRule="auto"/>
        <w:rPr>
          <w:sz w:val="20"/>
          <w:szCs w:val="20"/>
          <w:color w:val="auto"/>
        </w:rPr>
      </w:pPr>
      <w:r>
        <w:rPr>
          <w:rFonts w:ascii="Arial" w:cs="Arial" w:eastAsia="Arial" w:hAnsi="Arial"/>
          <w:sz w:val="14"/>
          <w:szCs w:val="14"/>
          <w:b w:val="1"/>
          <w:bCs w:val="1"/>
          <w:color w:val="58595B"/>
        </w:rPr>
        <w:t>50% of our board nominees are women, including our Presiding Director and Chair of both our Compensation Committee and our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-243840</wp:posOffset>
            </wp:positionV>
            <wp:extent cx="171450" cy="1282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3175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b w:val="1"/>
          <w:bCs w:val="1"/>
          <w:color w:val="58595B"/>
        </w:rPr>
        <w:t>Six of our seven non-employee directors are independent</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Independent Presiding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175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Risk oversight by the full Board and its committees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Board Committee oversight of corporate sustainability matters and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175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Majority voting standard for uncontested director elections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Four fully independent standing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16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Annual Board and committee self-evaluations, and individual evaluations of nominees for reelection</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Meaningful stock ownership guidelines for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17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Prohibition on hedging and pledging of our stock</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Recoupment/clawback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No shareholder rights plan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310" w:lineRule="auto"/>
        <w:rPr>
          <w:sz w:val="20"/>
          <w:szCs w:val="20"/>
          <w:color w:val="auto"/>
        </w:rPr>
      </w:pPr>
      <w:r>
        <w:rPr>
          <w:rFonts w:ascii="Arial" w:cs="Arial" w:eastAsia="Arial" w:hAnsi="Arial"/>
          <w:sz w:val="16"/>
          <w:szCs w:val="16"/>
          <w:color w:val="58595B"/>
        </w:rPr>
        <w:t>Additionally, we maintain various corporate policies that reflect our dedication to good governance. We believe that the policies and practices currently in place enhance our stockholders’ interests. We look for ways to enhance our corporate governance and increase value to our stockholders on an ongoing basis. Effective as of February 2026, our Nominating and Governance Committee began overseeing the Company's cybersecurity programs, policies and procedures, including significant threats to the Company's systems, risk mitigation strategies, governance frameworks, planned improvements and the status of on-going initiatives. Although the Nominating and Governance Committee will report its findings back to the Board and the full Board will retain overall responsibility for cybersecurity matters, we believe that delegating this oversight function to the Nominating and Governance Committee will promote enhanced oversight of such cybersecurity matters. We believe it will not only permit members of the Board to obtain a more complete and in-depth insight into matters related to the Company's cybersecurity programs but will also facilitate more frequent and meaningful communication between members of the Board and members of management as the Company seeks to strengthen its cybersecurity programs, policies and procedures.</w:t>
      </w:r>
    </w:p>
    <w:p>
      <w:pPr>
        <w:spacing w:after="0" w:line="143"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58595B"/>
        </w:rPr>
        <w:t>As described in more detail under the "Corporate Sustainability Strategy" section of this proxy statement, our corporate governance structure places formal oversight of corporate sustainability initiatives with our Board. We have found that formally integrating oversight of corporate sustainability matters has not only strengthened our business by affording the Board and its committees increased opportunities to collaborate with management on our overall corporate sustainability strategy and specific initiatives but also provides increased opportunity for Integra's core values and principles to inform our approach to sustainability-related matters. The Board and its committees continue to monitor emerging risks and opportunities related to corporate sustainability throughout the year and oversee our reporting on those matters to ensure accurate and transparent disclosure.</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009845"/>
        </w:rPr>
        <w:t>Stockholder Outreach</w:t>
      </w:r>
    </w:p>
    <w:p>
      <w:pPr>
        <w:spacing w:after="0" w:line="193"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58595B"/>
        </w:rPr>
        <w:t>We believe that regular dialogue with, and accountability to, our stockholders is critical to our success. Our management team participates in numerous investor meetings throughout the year to discuss our business and strategic priorities. Our core stockholder engagement team includes senior members of our investor relations, finance and corporate governance teams, supplemented by our President and Chief Executive Officer and members of our Board, as appropriate. These meetings include in-person, telephone and webcast engagements, as well as investor conferences and our annual meeting of stockholders. Stockholder feedback and perspectives are shared with the Board. Stockholder feedback provides our Board and management with valuable insights on our business strategy and performance, corporate responsibility, executive compensation, sustainability initiatives and many other topics.</w:t>
      </w:r>
    </w:p>
    <w:p>
      <w:pPr>
        <w:spacing w:after="0" w:line="135" w:lineRule="exact"/>
        <w:rPr>
          <w:sz w:val="20"/>
          <w:szCs w:val="20"/>
          <w:color w:val="auto"/>
        </w:rPr>
      </w:pPr>
    </w:p>
    <w:p>
      <w:pPr>
        <w:spacing w:after="0" w:line="310" w:lineRule="auto"/>
        <w:rPr>
          <w:sz w:val="20"/>
          <w:szCs w:val="20"/>
          <w:color w:val="auto"/>
        </w:rPr>
      </w:pPr>
      <w:r>
        <w:rPr>
          <w:rFonts w:ascii="Arial" w:cs="Arial" w:eastAsia="Arial" w:hAnsi="Arial"/>
          <w:sz w:val="16"/>
          <w:szCs w:val="16"/>
          <w:color w:val="58595B"/>
        </w:rPr>
        <w:t>Over the course of 2025, management reached out to and engaged with stockholders representing approximately 40% of our outstanding shares. We also had numerous conversations with stockholders and investment analysts as part of our normal investor relations activities. We believe that positive, two-way dialogue builds informed relationships that promote transparency and accountability and we are committed to regular engagement with our stockholders and soliciting their views and input on important performance, executive compensation, environmental, social and other governance matters. In our meetings with stockholders, we continue to receive feedback on key indicators that drive the strength of our business and drive stockholder value creation. Despite the operational challenges navigated by the Company in 2025, our meetings with our stockholders were generally positive, with stockholders supporting our compensation philosophy and programs and expressing support for our focus on our quality management system enhancements and efforts to improve supply chain reliability.</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009845"/>
              </w:rPr>
              <w:t>5</w:t>
            </w:r>
          </w:p>
        </w:tc>
      </w:tr>
      <w:tr>
        <w:trPr>
          <w:trHeight w:val="231"/>
        </w:trPr>
        <w:tc>
          <w:tcPr>
            <w:tcW w:w="6220" w:type="dxa"/>
            <w:vAlign w:val="bottom"/>
            <w:tcBorders>
              <w:bottom w:val="single" w:sz="8" w:color="9A9A9A"/>
            </w:tcBorders>
          </w:tcPr>
          <w:p>
            <w:pPr>
              <w:spacing w:after="0"/>
              <w:rPr>
                <w:sz w:val="20"/>
                <w:szCs w:val="20"/>
                <w:color w:val="auto"/>
              </w:rPr>
            </w:pPr>
          </w:p>
        </w:tc>
        <w:tc>
          <w:tcPr>
            <w:tcW w:w="50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Executive Compensation Highlights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58595B"/>
        </w:rPr>
        <w:t>The Compensation Committee holds a pivotal role in ensuring the integrity and effectiveness of the Company's executive compensation program.</w:t>
      </w:r>
    </w:p>
    <w:p>
      <w:pPr>
        <w:spacing w:after="0" w:line="221" w:lineRule="exact"/>
        <w:rPr>
          <w:sz w:val="20"/>
          <w:szCs w:val="20"/>
          <w:color w:val="auto"/>
        </w:rPr>
      </w:pPr>
    </w:p>
    <w:p>
      <w:pPr>
        <w:ind w:right="800"/>
        <w:spacing w:after="0" w:line="339" w:lineRule="auto"/>
        <w:rPr>
          <w:sz w:val="20"/>
          <w:szCs w:val="20"/>
          <w:color w:val="auto"/>
        </w:rPr>
      </w:pPr>
      <w:r>
        <w:rPr>
          <w:rFonts w:ascii="Arial" w:cs="Arial" w:eastAsia="Arial" w:hAnsi="Arial"/>
          <w:sz w:val="16"/>
          <w:szCs w:val="16"/>
          <w:color w:val="58595B"/>
        </w:rPr>
        <w:t>In establishing the executive compensation program for fiscal 2025, the Compensation Committee continued to focus on pay for performance and competitive pay, with an emphasis on total direct compensation.</w:t>
      </w:r>
    </w:p>
    <w:p>
      <w:pPr>
        <w:spacing w:after="0" w:line="115"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58595B"/>
        </w:rPr>
        <w:t>This program is designed to adhere to robust compensation and governance standards, reflecting our dedication to ethical practices and stockholder interests. By fostering a pay-for-performance culture, our compensation policies incentivize executives to achieve outstanding results while remaining aligned with the Company's long-term objectives. Through competitive compensation packages, we attract and retain top-tier executive talent, vital for driving innovation and sustaining growth in a competitive market environment. Our compensation structure prioritizes our overarching purpose of enhancing patient outcomes, underscoring our commitment to delivering value not only to shareholders but also the broader community. Our comprehensive approach to executive compensation strengthens our position as a responsible corporate entity dedicated to sustainable success.</w:t>
      </w:r>
    </w:p>
    <w:p>
      <w:pPr>
        <w:spacing w:after="0" w:line="122"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The Compensation Committee believes using a mix of cash and equity compensation encourages and motivates our named executive officers ("NEOs") and other employees to achieve both our short-term and long-term business objectives. Consistent with our guiding principles that executive compensation should reward performance and be directly aligned with creating value for our stockholders, a substantial majority of our NEOs’ compensation is at-risk and based on performance metrics tied to our business strategy and culture.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highlights some of the key principles and practices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0628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307"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Substantial majority of compensation is performance-based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92075</wp:posOffset>
            </wp:positionV>
            <wp:extent cx="17145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Short- and long-term performance objectives align with long-term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92075</wp:posOffset>
            </wp:positionV>
            <wp:extent cx="17145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Performance measures align with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57785</wp:posOffset>
            </wp:positionV>
            <wp:extent cx="17145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No excise tax gross-ups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57785</wp:posOffset>
            </wp:positionV>
            <wp:extent cx="17145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No guaranteed minimums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57785</wp:posOffset>
            </wp:positionV>
            <wp:extent cx="17145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16" w:lineRule="exact"/>
        <w:rPr>
          <w:sz w:val="20"/>
          <w:szCs w:val="20"/>
          <w:color w:val="auto"/>
        </w:rPr>
      </w:pPr>
    </w:p>
    <w:p>
      <w:pPr>
        <w:ind w:left="460" w:right="2200"/>
        <w:spacing w:after="0" w:line="442" w:lineRule="auto"/>
        <w:rPr>
          <w:sz w:val="20"/>
          <w:szCs w:val="20"/>
          <w:color w:val="auto"/>
        </w:rPr>
      </w:pPr>
      <w:r>
        <w:rPr>
          <w:rFonts w:ascii="Arial" w:cs="Arial" w:eastAsia="Arial" w:hAnsi="Arial"/>
          <w:sz w:val="14"/>
          <w:szCs w:val="14"/>
          <w:color w:val="58595B"/>
        </w:rPr>
        <w:t>Caps on performance incentives payments No repricing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-215900</wp:posOffset>
            </wp:positionV>
            <wp:extent cx="17145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-27305</wp:posOffset>
            </wp:positionV>
            <wp:extent cx="17145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color w:val="58595B"/>
        </w:rPr>
        <w:t>Compensation Committee oversight of annual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062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58595B"/>
        </w:rPr>
        <w:t>External competitiveness through market benchmarking</w:t>
      </w:r>
    </w:p>
    <w:p>
      <w:pPr>
        <w:spacing w:after="0" w:line="109" w:lineRule="exact"/>
        <w:rPr>
          <w:sz w:val="20"/>
          <w:szCs w:val="20"/>
          <w:color w:val="auto"/>
        </w:rPr>
      </w:pPr>
    </w:p>
    <w:p>
      <w:pPr>
        <w:ind w:right="260"/>
        <w:spacing w:after="0" w:line="305" w:lineRule="auto"/>
        <w:rPr>
          <w:sz w:val="20"/>
          <w:szCs w:val="20"/>
          <w:color w:val="auto"/>
        </w:rPr>
      </w:pPr>
      <w:r>
        <w:rPr>
          <w:rFonts w:ascii="Arial" w:cs="Arial" w:eastAsia="Arial" w:hAnsi="Arial"/>
          <w:sz w:val="14"/>
          <w:szCs w:val="14"/>
          <w:color w:val="58595B"/>
        </w:rPr>
        <w:t>Recoupment/clawback provisions for both long-term incentive and short-term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-236220</wp:posOffset>
            </wp:positionV>
            <wp:extent cx="17145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-13335</wp:posOffset>
            </wp:positionV>
            <wp:extent cx="17145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58595B"/>
        </w:rPr>
        <w:t>Significant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57785</wp:posOffset>
            </wp:positionV>
            <wp:extent cx="17145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16" w:lineRule="exact"/>
        <w:rPr>
          <w:sz w:val="20"/>
          <w:szCs w:val="20"/>
          <w:color w:val="auto"/>
        </w:rPr>
      </w:pPr>
    </w:p>
    <w:p>
      <w:pPr>
        <w:ind w:right="1520"/>
        <w:spacing w:after="0" w:line="442" w:lineRule="auto"/>
        <w:rPr>
          <w:sz w:val="20"/>
          <w:szCs w:val="20"/>
          <w:color w:val="auto"/>
        </w:rPr>
      </w:pPr>
      <w:r>
        <w:rPr>
          <w:rFonts w:ascii="Arial" w:cs="Arial" w:eastAsia="Arial" w:hAnsi="Arial"/>
          <w:sz w:val="14"/>
          <w:szCs w:val="14"/>
          <w:color w:val="58595B"/>
        </w:rPr>
        <w:t>No dividend equivalents paid on unvested awards “Double trigger” vesting for all long-term incentive awards Anti-hedging and anti-pledging policy Limited perquisites and personal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-592455</wp:posOffset>
            </wp:positionV>
            <wp:extent cx="17145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-403860</wp:posOffset>
            </wp:positionV>
            <wp:extent cx="17145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-215265</wp:posOffset>
            </wp:positionV>
            <wp:extent cx="17145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-26670</wp:posOffset>
            </wp:positionV>
            <wp:extent cx="17145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58595B"/>
        </w:rPr>
        <w:t>Compensation decisions reflect peer group pay levels and practices</w:t>
      </w:r>
    </w:p>
    <w:p>
      <w:pPr>
        <w:spacing w:after="0" w:line="200" w:lineRule="exact"/>
        <w:rPr>
          <w:sz w:val="20"/>
          <w:szCs w:val="20"/>
          <w:color w:val="auto"/>
        </w:rPr>
      </w:pPr>
    </w:p>
    <w:p>
      <w:pPr>
        <w:sectPr>
          <w:pgSz w:w="11900" w:h="16838" w:orient="portrait"/>
          <w:cols w:equalWidth="0" w:num="2">
            <w:col w:w="5380" w:space="680"/>
            <w:col w:w="5160"/>
          </w:cols>
          <w:pgMar w:left="320" w:top="122" w:right="359"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Arial" w:cs="Arial" w:eastAsia="Arial" w:hAnsi="Arial"/>
          <w:sz w:val="36"/>
          <w:szCs w:val="36"/>
          <w:color w:val="009845"/>
        </w:rPr>
        <w:t>Additional Information</w:t>
      </w:r>
    </w:p>
    <w:p>
      <w:pPr>
        <w:spacing w:after="0" w:line="200" w:lineRule="exact"/>
        <w:rPr>
          <w:sz w:val="20"/>
          <w:szCs w:val="20"/>
          <w:color w:val="auto"/>
        </w:rPr>
      </w:pPr>
    </w:p>
    <w:p>
      <w:pPr>
        <w:spacing w:after="0" w:line="220" w:lineRule="exact"/>
        <w:rPr>
          <w:sz w:val="20"/>
          <w:szCs w:val="20"/>
          <w:color w:val="auto"/>
        </w:rPr>
      </w:pPr>
    </w:p>
    <w:p>
      <w:pPr>
        <w:jc w:val="both"/>
        <w:ind w:right="120"/>
        <w:spacing w:after="0" w:line="328" w:lineRule="auto"/>
        <w:rPr>
          <w:sz w:val="20"/>
          <w:szCs w:val="20"/>
          <w:color w:val="auto"/>
        </w:rPr>
      </w:pPr>
      <w:r>
        <w:rPr>
          <w:rFonts w:ascii="Arial" w:cs="Arial" w:eastAsia="Arial" w:hAnsi="Arial"/>
          <w:sz w:val="16"/>
          <w:szCs w:val="16"/>
          <w:color w:val="58595B"/>
        </w:rPr>
        <w:t>Our principal executive offices are located at 1100 Campus Road, Princeton, NJ 08540, and our telephone number is (609) 275-0500. Our website address is www.integralife.com. Website references and hyperlinks throughout this document are provided for convenience only, and the content on the referenced websites is not incorporated into, nor does it form a part of, this proxy statement.</w:t>
      </w:r>
    </w:p>
    <w:p>
      <w:pPr>
        <w:spacing w:after="0" w:line="110" w:lineRule="exact"/>
        <w:rPr>
          <w:sz w:val="20"/>
          <w:szCs w:val="20"/>
          <w:color w:val="auto"/>
        </w:rPr>
      </w:pPr>
    </w:p>
    <w:p>
      <w:pPr>
        <w:ind w:right="680"/>
        <w:spacing w:after="0" w:line="356" w:lineRule="auto"/>
        <w:rPr>
          <w:sz w:val="20"/>
          <w:szCs w:val="20"/>
          <w:color w:val="auto"/>
        </w:rPr>
      </w:pPr>
      <w:r>
        <w:rPr>
          <w:rFonts w:ascii="Arial" w:cs="Arial" w:eastAsia="Arial" w:hAnsi="Arial"/>
          <w:sz w:val="16"/>
          <w:szCs w:val="16"/>
          <w:color w:val="58595B"/>
        </w:rPr>
        <w:t>References throughout this proxy statement to “the Company,” “Integra LifeSciences,” “Integra,” “we” or “our” refer to Integra LifeSciences Holdings Corporation and its subsidiaries, unless the context suggests otherwise.</w:t>
      </w: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6"/>
          <w:szCs w:val="36"/>
          <w:color w:val="009845"/>
        </w:rPr>
        <w:t>Cautionary Note Regarding Forward-Looking Statements</w:t>
      </w:r>
    </w:p>
    <w:p>
      <w:pPr>
        <w:spacing w:after="0" w:line="200" w:lineRule="exact"/>
        <w:rPr>
          <w:sz w:val="20"/>
          <w:szCs w:val="20"/>
          <w:color w:val="auto"/>
        </w:rPr>
      </w:pPr>
    </w:p>
    <w:p>
      <w:pPr>
        <w:spacing w:after="0" w:line="220"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58595B"/>
        </w:rPr>
        <w:t>This proxy statement contains forward-looking statements within the meaning of the U.S. federal securities laws. Forward-looking statements may be identified by words like “believe,” “may,” “could,” “might,” “will,” “estimate,” “continue,” “anticipate,” “intend,” “seek,” “plan,” “expect,” “should,” “would,” “expect,” “target,” “pursue,” “forecast,” “hope” and other similar words. Forward-looking statements in this proxy statement include, but are not limited to, statements regarding individual and Company performance objectives and targets, statements relating to the financial performance of the Company, and the Company's expectations and plans with respect to business and operational performance, strategic initiatives, capabilities, resources, product development, product availability and regulatory approvals, including expectations regarding the efficacy of the Company’s CMP to improve the Company's quality management system, our hope to secure pre-market approvals ("PMA") for Surgimend and DuraSorb and our expectations regarding the operationalization of the Braintree facility and the timing thereof. We have based these forward-looking statements largely on our current assumptions, expectations, and projections about future events and trends. These statements are subject to a variety of risks, uncertainties, and other factors (many beyond our control) that could cause our actual results to differ materially from our historical experience or from our current expectations or projections. These risks and uncertainties related thereto include, but are not limited to, the risks detailed in our filings with the Securities and Exchange Commission (the “SEC”), including the Risk Factors section of our Annual Report on Form 10-K for the fiscal year ended December 31, 2025. New risks periodically emerge.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proxy statement may not occur and actual results could differ materially and adversely from those anticipated or implied in the forward-looking statements. The forward-looking statements speak only as of the date of this proxy statement and undue reliance should not be placed on these statements. Integra disclaims any intention or obligation to publicly update or revise any forward-looking statements, except as required by law. This cautionary statement is applicable to all forward-looking statements contained in this document.</w:t>
      </w:r>
    </w:p>
    <w:p>
      <w:pPr>
        <w:spacing w:after="0" w:line="137"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Forward-looking and other statements in this proxy statement regarding our corporate sustainability strategy, plans and goals are not an indication that these statements are necessarily material to investors or required to be disclosed in our filings with the SEC. In addition, historical, current, and forward-looking corporate sustainability-related statements may be based on standards for measuring progress that are still developing, internal controls and processes that continue to evolve, and assumptions that are subject to change in the future.</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009845"/>
              </w:rPr>
              <w:t>7</w:t>
            </w:r>
          </w:p>
        </w:tc>
      </w:tr>
      <w:tr>
        <w:trPr>
          <w:trHeight w:val="231"/>
        </w:trPr>
        <w:tc>
          <w:tcPr>
            <w:tcW w:w="6220" w:type="dxa"/>
            <w:vAlign w:val="bottom"/>
            <w:tcBorders>
              <w:bottom w:val="single" w:sz="8" w:color="9A9A9A"/>
            </w:tcBorders>
          </w:tcPr>
          <w:p>
            <w:pPr>
              <w:spacing w:after="0"/>
              <w:rPr>
                <w:sz w:val="20"/>
                <w:szCs w:val="20"/>
                <w:color w:val="auto"/>
              </w:rPr>
            </w:pPr>
          </w:p>
        </w:tc>
        <w:tc>
          <w:tcPr>
            <w:tcW w:w="50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36"/>
          <w:szCs w:val="36"/>
          <w:color w:val="009845"/>
        </w:rPr>
        <w:t>PROPOSAL 1. ELECTION OF DIRECTORS</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color w:val="009845"/>
        </w:rPr>
        <w:t>2026 Director Nominees</w:t>
      </w:r>
    </w:p>
    <w:p>
      <w:pPr>
        <w:spacing w:after="0" w:line="193" w:lineRule="exact"/>
        <w:rPr>
          <w:sz w:val="20"/>
          <w:szCs w:val="20"/>
          <w:color w:val="auto"/>
        </w:rPr>
      </w:pPr>
    </w:p>
    <w:p>
      <w:pPr>
        <w:spacing w:after="0" w:line="324" w:lineRule="auto"/>
        <w:rPr>
          <w:sz w:val="20"/>
          <w:szCs w:val="20"/>
          <w:color w:val="auto"/>
        </w:rPr>
      </w:pPr>
      <w:r>
        <w:rPr>
          <w:rFonts w:ascii="Arial" w:cs="Arial" w:eastAsia="Arial" w:hAnsi="Arial"/>
          <w:sz w:val="16"/>
          <w:szCs w:val="16"/>
          <w:color w:val="58595B"/>
        </w:rPr>
        <w:t>Based on the qualifications described below, the Board, upon the recommendation of the Nominating and Corporate Governance Committee, has nominated the following eight persons for election as directors who will serve until the next annual meeting of stockholders and until their successors are duly elected and qualified: Keith Bradley, Ph.D., Shaundra D. Clay, Stuart M. Essig, Ph.D., Jeffrey A. Graves, Ph.D., Barbara B. Hill, Renee W. Lo, Mojdeh Poul, and Christian S. Schade, each of whom currently serve as a director of the Company.</w:t>
      </w:r>
    </w:p>
    <w:p>
      <w:pPr>
        <w:spacing w:after="0" w:line="11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58595B"/>
        </w:rPr>
        <w:t>As described below, we believe that our directors should satisfy a number of qualifications, including demonstrated integrity, a record of personal accomplishments, and a commitment to participation in board activities. The Board believes that each nominee appearing below has the skills, experience and personal qualities the Board seeks in its directors, and that the combination of these nominees creates an effective and well-functioning Board, with a range of perspectives, viewpoints, skill sets and professional experiences that best serves the Board, the Company and our stockholders. Included in each director nominee’s biography is a description of select key qualifications and experience that led the Board to conclude that each nominee is qualified to serve as a member of the Board. The fact that a particular experience, qualification, attribute or skill for a director nominee is not specifically referenced for a particular nominee does not mean that the nominee does not possess that experience, qualification, attribute or skill. All biographical information below is as of the record date.</w:t>
      </w:r>
    </w:p>
    <w:p>
      <w:pPr>
        <w:spacing w:after="0" w:line="125" w:lineRule="exact"/>
        <w:rPr>
          <w:sz w:val="20"/>
          <w:szCs w:val="20"/>
          <w:color w:val="auto"/>
        </w:rPr>
      </w:pPr>
    </w:p>
    <w:p>
      <w:pPr>
        <w:jc w:val="both"/>
        <w:ind w:right="400"/>
        <w:spacing w:after="0" w:line="328" w:lineRule="auto"/>
        <w:rPr>
          <w:sz w:val="20"/>
          <w:szCs w:val="20"/>
          <w:color w:val="auto"/>
        </w:rPr>
      </w:pPr>
      <w:r>
        <w:rPr>
          <w:rFonts w:ascii="Arial" w:cs="Arial" w:eastAsia="Arial" w:hAnsi="Arial"/>
          <w:sz w:val="16"/>
          <w:szCs w:val="16"/>
          <w:color w:val="58595B"/>
        </w:rPr>
        <w:t>If any nominee should become unable to serve as director, an event not now anticipated, the shares of common stock represented by proxies would be voted for the election of such substitute as the Board may nominate. See “Principal Stockholders” for information regarding the security holdings of our director nominees.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Required Vote for Approval and Recommendation of the Board of Directors</w:t>
      </w:r>
    </w:p>
    <w:p>
      <w:pPr>
        <w:spacing w:after="0" w:line="72"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58595B"/>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The Nominating and Corporate Governance Committee then will make a recommendation to the Board whether to accept or reject the resignation, or whether other action should be taken. The Board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172085</wp:posOffset>
            </wp:positionV>
            <wp:extent cx="94615" cy="394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615" cy="394335"/>
                    </a:xfrm>
                    <a:prstGeom prst="rect">
                      <a:avLst/>
                    </a:prstGeom>
                    <a:noFill/>
                  </pic:spPr>
                </pic:pic>
              </a:graphicData>
            </a:graphic>
          </wp:anchor>
        </w:drawing>
      </w:r>
    </w:p>
    <w:p>
      <w:pPr>
        <w:spacing w:after="0" w:line="265" w:lineRule="exact"/>
        <w:rPr>
          <w:sz w:val="20"/>
          <w:szCs w:val="20"/>
          <w:color w:val="auto"/>
        </w:rPr>
      </w:pPr>
    </w:p>
    <w:p>
      <w:pPr>
        <w:ind w:left="1400" w:right="1500"/>
        <w:spacing w:after="0" w:line="297" w:lineRule="auto"/>
        <w:rPr>
          <w:sz w:val="20"/>
          <w:szCs w:val="20"/>
          <w:color w:val="auto"/>
        </w:rPr>
      </w:pPr>
      <w:r>
        <w:rPr>
          <w:rFonts w:ascii="Arial" w:cs="Arial" w:eastAsia="Arial" w:hAnsi="Arial"/>
          <w:sz w:val="22"/>
          <w:szCs w:val="22"/>
          <w:color w:val="58595B"/>
        </w:rPr>
        <w:t xml:space="preserve">The Board of Directors hereby recommends that the stockholders of the Company vote </w:t>
      </w:r>
      <w:r>
        <w:rPr>
          <w:rFonts w:ascii="Arial" w:cs="Arial" w:eastAsia="Arial" w:hAnsi="Arial"/>
          <w:sz w:val="22"/>
          <w:szCs w:val="22"/>
          <w:color w:val="009845"/>
        </w:rPr>
        <w:t xml:space="preserve">“FOR” </w:t>
      </w:r>
      <w:r>
        <w:rPr>
          <w:rFonts w:ascii="Arial" w:cs="Arial" w:eastAsia="Arial" w:hAnsi="Arial"/>
          <w:sz w:val="22"/>
          <w:szCs w:val="22"/>
          <w:color w:val="58595B"/>
        </w:rPr>
        <w:t>the election of each nominee for director.</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5"/>
          <w:szCs w:val="25"/>
          <w:color w:val="009845"/>
        </w:rPr>
        <w:t>Criteria for Board Membership and Director Qualifications</w:t>
      </w:r>
    </w:p>
    <w:p>
      <w:pPr>
        <w:spacing w:after="0" w:line="207"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58595B"/>
        </w:rPr>
        <w:t>The Nominating and Corporate Governance Committee seeks to construct and maintain a Board consisting of a balanced, and diverse set of directors who collectively possess the expertise to ensure effective oversight of management. When considering a candidate for nomination as a director, the Board and the Nominating and Corporate Governance Committee may consider, among other things it deems appropriate, the candidate’s personal characteristics (including honesty, fairness, responsibility, integrity, ethics and values), accomplishments, and reputation in the business community and community at large; experience in corporate management and professional reputation and accomplishments; current knowledge and contacts in the communities in which the Company does business, the Company’s industry or other industries relevant to the Company’s business; ability and willingness to commit adequate time to Board and committee matters; the fit of the individual’s skills and personality with those of other directors and potential directors in building a Board that is effective, collegial and responsive to the needs of the Company; practical and mature business judgment, including ability to make independent, analytical inquiries; and the impact of the individual on the Board’s overall</w:t>
      </w: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14" w:name="page15"/>
    <w:bookmarkEnd w:id="14"/>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58595B"/>
        </w:rPr>
        <w:t>composition. The Nominating and Corporate Governance Committee applies the same criteria to nominees recommended by stockholders that it does to new nominees. The Nominating and Corporate Governance Committee also considers whether directors and director nominees are able to devote sufficient time and attention to their role as a member of our Board (including with respect to the Chairman and Presiding Director roles) and will, consistent with our Corporate Governance guidelines, take into account the nature of and time involved in a director's service on other boards (including any committees thereof) in evaluating the suitability of individual director candidates and current directors and making its recommendations to the Company's stockholders. In addition, for candidates who are currently serving as directors, the Nominating and Corporate Governance Committee considers the director’s past attendance at meetings and participation in and contributions to the activities of the Board. Further, the Board reviews the overall business acumen and experience of each director and considers how that individual could work together with the rest of 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spacing w:after="0" w:line="127"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58595B"/>
        </w:rPr>
        <w:t>The Board and the Nominating and Corporate Governance Committee evaluate each individual candidate for nomination as a director in the context of the Board as a whole, with the objective of assembling a group that can best perpetuate the success of the business and represent stockholder interests through the exercise of sound business judgment and drawing on the diversity of its members. In addition, the Board and the Nominating and Corporate Governance Committee believe that the Company and its stockholders benefit from a Board that combines the fresh perspectives brought by newer directors with the extensive industry and company-specific knowledge of longer-tenured directors, and consider director tenure when making director nomination decisions.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Consideration of Director Qualifications</w:t>
      </w:r>
    </w:p>
    <w:p>
      <w:pPr>
        <w:spacing w:after="0" w:line="72"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As indicated in “Information Concerning Meetings, Executive Sessions and Director Independence — Nominating and Corporate Governance Committee,” on pages 17-18, a key objective for the Board in composing its membership is to assemble a group of directors that can support the business in achieving its goals and represent stockholder interests through the exercise of sound business judgment, leveraging a variety of experiences and backgrounds. Both the Nominating and Corporate Governance Committee and the Board consider a broad range of qualifications and attributes for this purpose, including professional experience, viewpoints, backgrounds, experience, skill sets and education. This approach helps ensure our Board benefits from complementary and diverse perspectives that enhance its effectiveness The Nominating and Corporate Governance Committee does not assign specific weights to particular criteria and no particular criterion is necessarily applicable to all prospective nominees. Director tenure is also considered during nominee assessment.</w:t>
      </w:r>
    </w:p>
    <w:p>
      <w:pPr>
        <w:spacing w:after="0" w:line="353" w:lineRule="exact"/>
        <w:rPr>
          <w:sz w:val="20"/>
          <w:szCs w:val="20"/>
          <w:color w:val="auto"/>
        </w:rPr>
      </w:pPr>
    </w:p>
    <w:p>
      <w:pPr>
        <w:jc w:val="both"/>
        <w:ind w:right="80"/>
        <w:spacing w:after="0" w:line="305" w:lineRule="auto"/>
        <w:rPr>
          <w:sz w:val="20"/>
          <w:szCs w:val="20"/>
          <w:color w:val="auto"/>
        </w:rPr>
      </w:pPr>
      <w:r>
        <w:rPr>
          <w:rFonts w:ascii="Arial" w:cs="Arial" w:eastAsia="Arial" w:hAnsi="Arial"/>
          <w:sz w:val="16"/>
          <w:szCs w:val="16"/>
          <w:color w:val="58595B"/>
        </w:rPr>
        <w:t>100% of the directors serving on the Audit, Nominating and Corporate Governance, Compensation, and Finance committees are independent. Since 2021, we have appointed four new non-executive directors to our Board. As previously disclosed, the Board had appointed Dr. Essig, the Company's Chairman, to the role of Executive Chairman to serve as valuable resource and source of stability throughout our CEO transition process initiated in February 2024.</w:t>
      </w:r>
    </w:p>
    <w:p>
      <w:pPr>
        <w:spacing w:after="0" w:line="1"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color w:val="58595B"/>
        </w:rPr>
        <w:t>Following the commencement of Ms. Poul's service as our President and Chief Executive Officer in January 2025, Dr. Essig returned to his prior role as our Non-Executive Chairman, effective as of June 30, 2025. There was no change to Dr. Essig’s aggregate cash or equity-based compensation in connection with his appointment as Executive Chairman nor his transition back to our Non-Executive Chairman.</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Board Composition</w:t>
      </w:r>
    </w:p>
    <w:p>
      <w:pPr>
        <w:spacing w:after="0" w:line="72"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58595B"/>
        </w:rPr>
        <w:t>As of April 6, 2026, our eight-member Board of Directors includes four women and four men. Our Board includes directors with varied backgrounds and we believe that the diverse perspectives and experiences of our directors contribute to the Board's effectiveness in overseeing our business operations and strategic direction.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009845"/>
              </w:rPr>
              <w:t>9</w:t>
            </w:r>
          </w:p>
        </w:tc>
      </w:tr>
      <w:tr>
        <w:trPr>
          <w:trHeight w:val="231"/>
        </w:trPr>
        <w:tc>
          <w:tcPr>
            <w:tcW w:w="6220" w:type="dxa"/>
            <w:vAlign w:val="bottom"/>
            <w:tcBorders>
              <w:bottom w:val="single" w:sz="8" w:color="9A9A9A"/>
            </w:tcBorders>
          </w:tcPr>
          <w:p>
            <w:pPr>
              <w:spacing w:after="0"/>
              <w:rPr>
                <w:sz w:val="20"/>
                <w:szCs w:val="20"/>
                <w:color w:val="auto"/>
              </w:rPr>
            </w:pPr>
          </w:p>
        </w:tc>
        <w:tc>
          <w:tcPr>
            <w:tcW w:w="50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Diverse Range of Qualifications and Skills Represented by Our Directors</w:t>
      </w:r>
    </w:p>
    <w:p>
      <w:pPr>
        <w:spacing w:after="0" w:line="72" w:lineRule="exact"/>
        <w:rPr>
          <w:sz w:val="20"/>
          <w:szCs w:val="20"/>
          <w:color w:val="auto"/>
        </w:rPr>
      </w:pPr>
    </w:p>
    <w:p>
      <w:pPr>
        <w:ind w:right="300"/>
        <w:spacing w:after="0" w:line="328" w:lineRule="auto"/>
        <w:rPr>
          <w:sz w:val="20"/>
          <w:szCs w:val="20"/>
          <w:color w:val="auto"/>
        </w:rPr>
      </w:pPr>
      <w:r>
        <w:rPr>
          <w:rFonts w:ascii="Arial" w:cs="Arial" w:eastAsia="Arial" w:hAnsi="Arial"/>
          <w:sz w:val="16"/>
          <w:szCs w:val="16"/>
          <w:color w:val="58595B"/>
        </w:rPr>
        <w:t>The table below summarizes the key experience, qualifications, and attributes for each director nominee and highlights the balanced mix of experience, qualifications, and attributes of the Board as a whole. This high-level summary is not intended to be an exhaustive list of each director nominee’s skills or contributions to the Board. No individual experience, qualification, or attribute is solely dispositive of becoming a member of our Board.</w:t>
      </w:r>
    </w:p>
    <w:p>
      <w:pPr>
        <w:sectPr>
          <w:pgSz w:w="11900" w:h="16838" w:orient="portrait"/>
          <w:cols w:equalWidth="0" w:num="1">
            <w:col w:w="11220"/>
          </w:cols>
          <w:pgMar w:left="320" w:top="122" w:right="359" w:bottom="1440" w:gutter="0" w:footer="0" w:header="0"/>
        </w:sectPr>
      </w:pPr>
    </w:p>
    <w:p>
      <w:pPr>
        <w:spacing w:after="0" w:line="38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Skills/Qualifications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Healthcare Industry Experience</w:t>
      </w:r>
    </w:p>
    <w:p>
      <w:pPr>
        <w:spacing w:after="0" w:line="29" w:lineRule="exact"/>
        <w:rPr>
          <w:sz w:val="20"/>
          <w:szCs w:val="20"/>
          <w:color w:val="auto"/>
        </w:rPr>
      </w:pPr>
    </w:p>
    <w:p>
      <w:pPr>
        <w:ind w:left="100" w:right="100"/>
        <w:spacing w:after="0" w:line="281" w:lineRule="auto"/>
        <w:rPr>
          <w:sz w:val="20"/>
          <w:szCs w:val="20"/>
          <w:color w:val="auto"/>
        </w:rPr>
      </w:pPr>
      <w:r>
        <w:rPr>
          <w:rFonts w:ascii="Arial" w:cs="Arial" w:eastAsia="Arial" w:hAnsi="Arial"/>
          <w:sz w:val="14"/>
          <w:szCs w:val="14"/>
          <w:color w:val="58595B"/>
        </w:rPr>
        <w:t>Knowledge or experience in an industry involving healthcare and medical products and services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Senior Leadership and Oversight Experience</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color w:val="58595B"/>
        </w:rPr>
        <w:t>Experience with the leadership and oversight of organizations,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58595B"/>
        </w:rPr>
        <w:t>offering practical perspectives on organizational and strategic</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58595B"/>
        </w:rPr>
        <w:t>planning, including M&amp;A activity, talent development and driving</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58595B"/>
        </w:rPr>
        <w:t>long-term growth</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Manufacturing Operations and Supply Chain Experience</w:t>
      </w:r>
    </w:p>
    <w:p>
      <w:pPr>
        <w:spacing w:after="0" w:line="29" w:lineRule="exact"/>
        <w:rPr>
          <w:sz w:val="20"/>
          <w:szCs w:val="20"/>
          <w:color w:val="auto"/>
        </w:rPr>
      </w:pPr>
    </w:p>
    <w:p>
      <w:pPr>
        <w:ind w:left="100" w:right="120"/>
        <w:spacing w:after="0" w:line="281" w:lineRule="auto"/>
        <w:rPr>
          <w:sz w:val="20"/>
          <w:szCs w:val="20"/>
          <w:color w:val="auto"/>
        </w:rPr>
      </w:pPr>
      <w:r>
        <w:rPr>
          <w:rFonts w:ascii="Arial" w:cs="Arial" w:eastAsia="Arial" w:hAnsi="Arial"/>
          <w:sz w:val="14"/>
          <w:szCs w:val="14"/>
          <w:color w:val="58595B"/>
        </w:rPr>
        <w:t>Experience with the relationships and activities required to manufacture goods and maximize overall supply chain efficiency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Corporate Sales and Marketing Experience</w:t>
      </w:r>
    </w:p>
    <w:p>
      <w:pPr>
        <w:spacing w:after="0" w:line="29" w:lineRule="exact"/>
        <w:rPr>
          <w:sz w:val="20"/>
          <w:szCs w:val="20"/>
          <w:color w:val="auto"/>
        </w:rPr>
      </w:pPr>
    </w:p>
    <w:p>
      <w:pPr>
        <w:ind w:left="100" w:right="140"/>
        <w:spacing w:after="0" w:line="281" w:lineRule="auto"/>
        <w:rPr>
          <w:sz w:val="20"/>
          <w:szCs w:val="20"/>
          <w:color w:val="auto"/>
        </w:rPr>
      </w:pPr>
      <w:r>
        <w:rPr>
          <w:rFonts w:ascii="Arial" w:cs="Arial" w:eastAsia="Arial" w:hAnsi="Arial"/>
          <w:sz w:val="14"/>
          <w:szCs w:val="14"/>
          <w:color w:val="58595B"/>
        </w:rPr>
        <w:t>Experience with the marketing of an organization's products and services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Risk Management Experience</w:t>
      </w:r>
    </w:p>
    <w:p>
      <w:pPr>
        <w:spacing w:after="0" w:line="29" w:lineRule="exact"/>
        <w:rPr>
          <w:sz w:val="20"/>
          <w:szCs w:val="20"/>
          <w:color w:val="auto"/>
        </w:rPr>
      </w:pPr>
    </w:p>
    <w:p>
      <w:pPr>
        <w:ind w:left="100" w:right="80"/>
        <w:spacing w:after="0" w:line="281" w:lineRule="auto"/>
        <w:rPr>
          <w:sz w:val="20"/>
          <w:szCs w:val="20"/>
          <w:color w:val="auto"/>
        </w:rPr>
      </w:pPr>
      <w:r>
        <w:rPr>
          <w:rFonts w:ascii="Arial" w:cs="Arial" w:eastAsia="Arial" w:hAnsi="Arial"/>
          <w:sz w:val="14"/>
          <w:szCs w:val="14"/>
          <w:color w:val="58595B"/>
        </w:rPr>
        <w:t>Knowledge and experience in managing major risk exposures for complex, large organizations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Regulatory, Compliance and Product Safety Experience</w:t>
      </w:r>
    </w:p>
    <w:p>
      <w:pPr>
        <w:spacing w:after="0" w:line="29" w:lineRule="exact"/>
        <w:rPr>
          <w:sz w:val="20"/>
          <w:szCs w:val="20"/>
          <w:color w:val="auto"/>
        </w:rPr>
      </w:pPr>
    </w:p>
    <w:p>
      <w:pPr>
        <w:ind w:left="100" w:right="180"/>
        <w:spacing w:after="0" w:line="281" w:lineRule="auto"/>
        <w:rPr>
          <w:sz w:val="20"/>
          <w:szCs w:val="20"/>
          <w:color w:val="auto"/>
        </w:rPr>
      </w:pPr>
      <w:r>
        <w:rPr>
          <w:rFonts w:ascii="Arial" w:cs="Arial" w:eastAsia="Arial" w:hAnsi="Arial"/>
          <w:sz w:val="14"/>
          <w:szCs w:val="14"/>
          <w:color w:val="58595B"/>
        </w:rPr>
        <w:t>Experience with regulatory schemes and product quality control and safety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Financial Acumen</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color w:val="58595B"/>
        </w:rPr>
        <w:t>Experience in financial accounting/reporting and corporate finance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International Business Experience</w:t>
      </w:r>
    </w:p>
    <w:p>
      <w:pPr>
        <w:spacing w:after="0" w:line="29" w:lineRule="exact"/>
        <w:rPr>
          <w:sz w:val="20"/>
          <w:szCs w:val="20"/>
          <w:color w:val="auto"/>
        </w:rPr>
      </w:pPr>
    </w:p>
    <w:p>
      <w:pPr>
        <w:ind w:left="100" w:right="440"/>
        <w:spacing w:after="0" w:line="281" w:lineRule="auto"/>
        <w:rPr>
          <w:sz w:val="20"/>
          <w:szCs w:val="20"/>
          <w:color w:val="auto"/>
        </w:rPr>
      </w:pPr>
      <w:r>
        <w:rPr>
          <w:rFonts w:ascii="Arial" w:cs="Arial" w:eastAsia="Arial" w:hAnsi="Arial"/>
          <w:sz w:val="14"/>
          <w:szCs w:val="14"/>
          <w:color w:val="58595B"/>
        </w:rPr>
        <w:t>Prior experience at, or study of, organizations that operates internationally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Public Company Board Experience</w:t>
      </w:r>
    </w:p>
    <w:p>
      <w:pPr>
        <w:spacing w:after="0" w:line="29" w:lineRule="exact"/>
        <w:rPr>
          <w:sz w:val="20"/>
          <w:szCs w:val="20"/>
          <w:color w:val="auto"/>
        </w:rPr>
      </w:pPr>
    </w:p>
    <w:p>
      <w:pPr>
        <w:ind w:left="100" w:right="60"/>
        <w:spacing w:after="0" w:line="281" w:lineRule="auto"/>
        <w:rPr>
          <w:sz w:val="20"/>
          <w:szCs w:val="20"/>
          <w:color w:val="auto"/>
        </w:rPr>
      </w:pPr>
      <w:r>
        <w:rPr>
          <w:rFonts w:ascii="Arial" w:cs="Arial" w:eastAsia="Arial" w:hAnsi="Arial"/>
          <w:sz w:val="14"/>
          <w:szCs w:val="14"/>
          <w:color w:val="58595B"/>
        </w:rPr>
        <w:t>Experience serving on and/or leading boards/committees of other public companies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Technology and Cybersecurity Expertise</w:t>
      </w:r>
    </w:p>
    <w:p>
      <w:pPr>
        <w:spacing w:after="0" w:line="29" w:lineRule="exact"/>
        <w:rPr>
          <w:sz w:val="20"/>
          <w:szCs w:val="20"/>
          <w:color w:val="auto"/>
        </w:rPr>
      </w:pPr>
    </w:p>
    <w:p>
      <w:pPr>
        <w:ind w:left="100" w:right="100"/>
        <w:spacing w:after="0" w:line="272" w:lineRule="auto"/>
        <w:rPr>
          <w:sz w:val="20"/>
          <w:szCs w:val="20"/>
          <w:color w:val="auto"/>
        </w:rPr>
      </w:pPr>
      <w:r>
        <w:rPr>
          <w:rFonts w:ascii="Arial" w:cs="Arial" w:eastAsia="Arial" w:hAnsi="Arial"/>
          <w:sz w:val="14"/>
          <w:szCs w:val="14"/>
          <w:color w:val="58595B"/>
        </w:rPr>
        <w:t>Knowledge or experience relating to the use or deployment of information technology to facilitate business objectives, including cybersecurity and data privacy</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Corporate Governance Expertise</w:t>
      </w:r>
    </w:p>
    <w:p>
      <w:pPr>
        <w:spacing w:after="0" w:line="29" w:lineRule="exact"/>
        <w:rPr>
          <w:sz w:val="20"/>
          <w:szCs w:val="20"/>
          <w:color w:val="auto"/>
        </w:rPr>
      </w:pPr>
    </w:p>
    <w:p>
      <w:pPr>
        <w:ind w:left="100" w:right="560"/>
        <w:spacing w:after="0" w:line="281" w:lineRule="auto"/>
        <w:rPr>
          <w:sz w:val="20"/>
          <w:szCs w:val="20"/>
          <w:color w:val="auto"/>
        </w:rPr>
      </w:pPr>
      <w:r>
        <w:rPr>
          <w:rFonts w:ascii="Arial" w:cs="Arial" w:eastAsia="Arial" w:hAnsi="Arial"/>
          <w:sz w:val="14"/>
          <w:szCs w:val="14"/>
          <w:color w:val="58595B"/>
        </w:rPr>
        <w:t>Knowledge of or experience with the rules, practices, and processes used to direct and manage a company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Corporate Sustainability Expertise</w:t>
      </w:r>
    </w:p>
    <w:p>
      <w:pPr>
        <w:spacing w:after="0" w:line="29" w:lineRule="exact"/>
        <w:rPr>
          <w:sz w:val="20"/>
          <w:szCs w:val="20"/>
          <w:color w:val="auto"/>
        </w:rPr>
      </w:pPr>
    </w:p>
    <w:p>
      <w:pPr>
        <w:ind w:left="100" w:right="60"/>
        <w:spacing w:after="0" w:line="284" w:lineRule="auto"/>
        <w:rPr>
          <w:sz w:val="20"/>
          <w:szCs w:val="20"/>
          <w:color w:val="auto"/>
        </w:rPr>
      </w:pPr>
      <w:r>
        <w:rPr>
          <w:rFonts w:ascii="Arial" w:cs="Arial" w:eastAsia="Arial" w:hAnsi="Arial"/>
          <w:sz w:val="14"/>
          <w:szCs w:val="14"/>
          <w:color w:val="58595B"/>
        </w:rPr>
        <w:t>Knowledge of or experience with oversight and implementation of corporate sustainability matters and human capital management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720" w:type="dxa"/>
            <w:vAlign w:val="bottom"/>
          </w:tcPr>
          <w:p>
            <w:pPr>
              <w:jc w:val="center"/>
              <w:ind w:right="113"/>
              <w:spacing w:after="0"/>
              <w:rPr>
                <w:sz w:val="20"/>
                <w:szCs w:val="20"/>
                <w:color w:val="auto"/>
              </w:rPr>
            </w:pPr>
            <w:r>
              <w:rPr>
                <w:rFonts w:ascii="Arial" w:cs="Arial" w:eastAsia="Arial" w:hAnsi="Arial"/>
                <w:sz w:val="14"/>
                <w:szCs w:val="14"/>
                <w:b w:val="1"/>
                <w:bCs w:val="1"/>
                <w:color w:val="58595B"/>
              </w:rPr>
              <w:t>Bradley</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58595B"/>
              </w:rPr>
              <w:t>Clay</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58595B"/>
              </w:rPr>
              <w:t>Essig</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58595B"/>
              </w:rPr>
              <w:t>Graves</w:t>
            </w:r>
          </w:p>
        </w:tc>
        <w:tc>
          <w:tcPr>
            <w:tcW w:w="800" w:type="dxa"/>
            <w:vAlign w:val="bottom"/>
          </w:tcPr>
          <w:p>
            <w:pPr>
              <w:jc w:val="center"/>
              <w:ind w:right="12"/>
              <w:spacing w:after="0"/>
              <w:rPr>
                <w:sz w:val="20"/>
                <w:szCs w:val="20"/>
                <w:color w:val="auto"/>
              </w:rPr>
            </w:pPr>
            <w:r>
              <w:rPr>
                <w:rFonts w:ascii="Arial" w:cs="Arial" w:eastAsia="Arial" w:hAnsi="Arial"/>
                <w:sz w:val="14"/>
                <w:szCs w:val="14"/>
                <w:b w:val="1"/>
                <w:bCs w:val="1"/>
                <w:color w:val="58595B"/>
              </w:rPr>
              <w:t>Hill</w:t>
            </w:r>
          </w:p>
        </w:tc>
        <w:tc>
          <w:tcPr>
            <w:tcW w:w="820" w:type="dxa"/>
            <w:vAlign w:val="bottom"/>
          </w:tcPr>
          <w:p>
            <w:pPr>
              <w:ind w:left="340"/>
              <w:spacing w:after="0"/>
              <w:rPr>
                <w:sz w:val="20"/>
                <w:szCs w:val="20"/>
                <w:color w:val="auto"/>
              </w:rPr>
            </w:pPr>
            <w:r>
              <w:rPr>
                <w:rFonts w:ascii="Arial" w:cs="Arial" w:eastAsia="Arial" w:hAnsi="Arial"/>
                <w:sz w:val="14"/>
                <w:szCs w:val="14"/>
                <w:b w:val="1"/>
                <w:bCs w:val="1"/>
                <w:color w:val="58595B"/>
              </w:rPr>
              <w:t>Lo</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58595B"/>
              </w:rPr>
              <w:t>Poul</w:t>
            </w:r>
          </w:p>
        </w:tc>
        <w:tc>
          <w:tcPr>
            <w:tcW w:w="740" w:type="dxa"/>
            <w:vAlign w:val="bottom"/>
          </w:tcPr>
          <w:p>
            <w:pPr>
              <w:jc w:val="center"/>
              <w:ind w:left="152"/>
              <w:spacing w:after="0"/>
              <w:rPr>
                <w:sz w:val="20"/>
                <w:szCs w:val="20"/>
                <w:color w:val="auto"/>
              </w:rPr>
            </w:pPr>
            <w:r>
              <w:rPr>
                <w:rFonts w:ascii="Arial" w:cs="Arial" w:eastAsia="Arial" w:hAnsi="Arial"/>
                <w:sz w:val="14"/>
                <w:szCs w:val="14"/>
                <w:b w:val="1"/>
                <w:bCs w:val="1"/>
                <w:color w:val="58595B"/>
              </w:rPr>
              <w:t>Schade</w:t>
            </w:r>
          </w:p>
        </w:tc>
      </w:tr>
      <w:tr>
        <w:trPr>
          <w:trHeight w:val="619"/>
        </w:trPr>
        <w:tc>
          <w:tcPr>
            <w:tcW w:w="720" w:type="dxa"/>
            <w:vAlign w:val="bottom"/>
          </w:tcPr>
          <w:p>
            <w:pPr>
              <w:jc w:val="center"/>
              <w:ind w:right="113"/>
              <w:spacing w:after="0"/>
              <w:rPr>
                <w:sz w:val="20"/>
                <w:szCs w:val="20"/>
                <w:color w:val="auto"/>
              </w:rPr>
            </w:pPr>
            <w:r>
              <w:rPr>
                <w:rFonts w:ascii="Wingdings" w:cs="Wingdings" w:eastAsia="Wingdings" w:hAnsi="Wingdings"/>
                <w:sz w:val="18"/>
                <w:szCs w:val="18"/>
                <w:b w:val="1"/>
                <w:bCs w:val="1"/>
                <w:color w:val="009845"/>
                <w:w w:val="88"/>
              </w:rPr>
              <w:t>l</w:t>
            </w:r>
          </w:p>
        </w:tc>
        <w:tc>
          <w:tcPr>
            <w:tcW w:w="78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tcPr>
          <w:p>
            <w:pPr>
              <w:jc w:val="center"/>
              <w:ind w:right="12"/>
              <w:spacing w:after="0"/>
              <w:rPr>
                <w:sz w:val="20"/>
                <w:szCs w:val="20"/>
                <w:color w:val="auto"/>
              </w:rPr>
            </w:pPr>
            <w:r>
              <w:rPr>
                <w:rFonts w:ascii="Wingdings" w:cs="Wingdings" w:eastAsia="Wingdings" w:hAnsi="Wingdings"/>
                <w:sz w:val="18"/>
                <w:szCs w:val="18"/>
                <w:b w:val="1"/>
                <w:bCs w:val="1"/>
                <w:color w:val="009845"/>
              </w:rPr>
              <w:t>l</w:t>
            </w:r>
          </w:p>
        </w:tc>
        <w:tc>
          <w:tcPr>
            <w:tcW w:w="820" w:type="dxa"/>
            <w:vAlign w:val="bottom"/>
          </w:tcPr>
          <w:p>
            <w:pPr>
              <w:spacing w:after="0"/>
              <w:rPr>
                <w:sz w:val="24"/>
                <w:szCs w:val="24"/>
                <w:color w:val="auto"/>
              </w:rPr>
            </w:pPr>
          </w:p>
        </w:tc>
        <w:tc>
          <w:tcPr>
            <w:tcW w:w="840" w:type="dxa"/>
            <w:vAlign w:val="bottom"/>
          </w:tcPr>
          <w:p>
            <w:pPr>
              <w:jc w:val="center"/>
              <w:ind w:left="12"/>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tcPr>
          <w:p>
            <w:pPr>
              <w:jc w:val="center"/>
              <w:ind w:left="152"/>
              <w:spacing w:after="0"/>
              <w:rPr>
                <w:sz w:val="20"/>
                <w:szCs w:val="20"/>
                <w:color w:val="auto"/>
              </w:rPr>
            </w:pPr>
            <w:r>
              <w:rPr>
                <w:rFonts w:ascii="Wingdings" w:cs="Wingdings" w:eastAsia="Wingdings" w:hAnsi="Wingdings"/>
                <w:sz w:val="18"/>
                <w:szCs w:val="18"/>
                <w:b w:val="1"/>
                <w:bCs w:val="1"/>
                <w:color w:val="009845"/>
              </w:rPr>
              <w:t>l</w:t>
            </w:r>
          </w:p>
        </w:tc>
      </w:tr>
      <w:tr>
        <w:trPr>
          <w:trHeight w:val="743"/>
        </w:trPr>
        <w:tc>
          <w:tcPr>
            <w:tcW w:w="7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tcPr>
          <w:p>
            <w:pPr>
              <w:jc w:val="center"/>
              <w:ind w:right="12"/>
              <w:spacing w:after="0"/>
              <w:rPr>
                <w:sz w:val="20"/>
                <w:szCs w:val="20"/>
                <w:color w:val="auto"/>
              </w:rPr>
            </w:pPr>
            <w:r>
              <w:rPr>
                <w:rFonts w:ascii="Wingdings" w:cs="Wingdings" w:eastAsia="Wingdings" w:hAnsi="Wingdings"/>
                <w:sz w:val="18"/>
                <w:szCs w:val="18"/>
                <w:b w:val="1"/>
                <w:bCs w:val="1"/>
                <w:color w:val="009845"/>
              </w:rPr>
              <w:t>l</w:t>
            </w:r>
          </w:p>
        </w:tc>
        <w:tc>
          <w:tcPr>
            <w:tcW w:w="820" w:type="dxa"/>
            <w:vAlign w:val="bottom"/>
          </w:tcPr>
          <w:p>
            <w:pPr>
              <w:ind w:left="360"/>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tcPr>
          <w:p>
            <w:pPr>
              <w:jc w:val="center"/>
              <w:ind w:left="12"/>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tcPr>
          <w:p>
            <w:pPr>
              <w:jc w:val="center"/>
              <w:ind w:left="152"/>
              <w:spacing w:after="0"/>
              <w:rPr>
                <w:sz w:val="20"/>
                <w:szCs w:val="20"/>
                <w:color w:val="auto"/>
              </w:rPr>
            </w:pPr>
            <w:r>
              <w:rPr>
                <w:rFonts w:ascii="Wingdings" w:cs="Wingdings" w:eastAsia="Wingdings" w:hAnsi="Wingdings"/>
                <w:sz w:val="18"/>
                <w:szCs w:val="18"/>
                <w:b w:val="1"/>
                <w:bCs w:val="1"/>
                <w:color w:val="009845"/>
              </w:rPr>
              <w:t>l</w:t>
            </w:r>
          </w:p>
        </w:tc>
      </w:tr>
      <w:tr>
        <w:trPr>
          <w:trHeight w:val="743"/>
        </w:trPr>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tcPr>
          <w:p>
            <w:pPr>
              <w:jc w:val="center"/>
              <w:ind w:right="12"/>
              <w:spacing w:after="0"/>
              <w:rPr>
                <w:sz w:val="20"/>
                <w:szCs w:val="20"/>
                <w:color w:val="auto"/>
              </w:rPr>
            </w:pPr>
            <w:r>
              <w:rPr>
                <w:rFonts w:ascii="Wingdings" w:cs="Wingdings" w:eastAsia="Wingdings" w:hAnsi="Wingdings"/>
                <w:sz w:val="18"/>
                <w:szCs w:val="18"/>
                <w:b w:val="1"/>
                <w:bCs w:val="1"/>
                <w:color w:val="009845"/>
              </w:rPr>
              <w:t>l</w:t>
            </w:r>
          </w:p>
        </w:tc>
        <w:tc>
          <w:tcPr>
            <w:tcW w:w="820" w:type="dxa"/>
            <w:vAlign w:val="bottom"/>
          </w:tcPr>
          <w:p>
            <w:pPr>
              <w:spacing w:after="0"/>
              <w:rPr>
                <w:sz w:val="24"/>
                <w:szCs w:val="24"/>
                <w:color w:val="auto"/>
              </w:rPr>
            </w:pPr>
          </w:p>
        </w:tc>
        <w:tc>
          <w:tcPr>
            <w:tcW w:w="840" w:type="dxa"/>
            <w:vAlign w:val="bottom"/>
          </w:tcPr>
          <w:p>
            <w:pPr>
              <w:jc w:val="center"/>
              <w:ind w:left="12"/>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tcPr>
          <w:p>
            <w:pPr>
              <w:spacing w:after="0"/>
              <w:rPr>
                <w:sz w:val="24"/>
                <w:szCs w:val="24"/>
                <w:color w:val="auto"/>
              </w:rPr>
            </w:pPr>
          </w:p>
        </w:tc>
      </w:tr>
      <w:tr>
        <w:trPr>
          <w:trHeight w:val="567"/>
        </w:trPr>
        <w:tc>
          <w:tcPr>
            <w:tcW w:w="7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tcPr>
          <w:p>
            <w:pPr>
              <w:jc w:val="center"/>
              <w:ind w:right="12"/>
              <w:spacing w:after="0"/>
              <w:rPr>
                <w:sz w:val="20"/>
                <w:szCs w:val="20"/>
                <w:color w:val="auto"/>
              </w:rPr>
            </w:pPr>
            <w:r>
              <w:rPr>
                <w:rFonts w:ascii="Wingdings" w:cs="Wingdings" w:eastAsia="Wingdings" w:hAnsi="Wingdings"/>
                <w:sz w:val="18"/>
                <w:szCs w:val="18"/>
                <w:b w:val="1"/>
                <w:bCs w:val="1"/>
                <w:color w:val="009845"/>
              </w:rPr>
              <w:t>l</w:t>
            </w:r>
          </w:p>
        </w:tc>
        <w:tc>
          <w:tcPr>
            <w:tcW w:w="820" w:type="dxa"/>
            <w:vAlign w:val="bottom"/>
          </w:tcPr>
          <w:p>
            <w:pPr>
              <w:ind w:left="360"/>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tcPr>
          <w:p>
            <w:pPr>
              <w:jc w:val="center"/>
              <w:ind w:left="12"/>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tcPr>
          <w:p>
            <w:pPr>
              <w:spacing w:after="0"/>
              <w:rPr>
                <w:sz w:val="24"/>
                <w:szCs w:val="24"/>
                <w:color w:val="auto"/>
              </w:rPr>
            </w:pPr>
          </w:p>
        </w:tc>
      </w:tr>
      <w:tr>
        <w:trPr>
          <w:trHeight w:val="567"/>
        </w:trPr>
        <w:tc>
          <w:tcPr>
            <w:tcW w:w="7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tcPr>
          <w:p>
            <w:pPr>
              <w:jc w:val="center"/>
              <w:ind w:right="12"/>
              <w:spacing w:after="0"/>
              <w:rPr>
                <w:sz w:val="20"/>
                <w:szCs w:val="20"/>
                <w:color w:val="auto"/>
              </w:rPr>
            </w:pPr>
            <w:r>
              <w:rPr>
                <w:rFonts w:ascii="Wingdings" w:cs="Wingdings" w:eastAsia="Wingdings" w:hAnsi="Wingdings"/>
                <w:sz w:val="18"/>
                <w:szCs w:val="18"/>
                <w:b w:val="1"/>
                <w:bCs w:val="1"/>
                <w:color w:val="009845"/>
              </w:rPr>
              <w:t>l</w:t>
            </w:r>
          </w:p>
        </w:tc>
        <w:tc>
          <w:tcPr>
            <w:tcW w:w="820" w:type="dxa"/>
            <w:vAlign w:val="bottom"/>
          </w:tcPr>
          <w:p>
            <w:pPr>
              <w:spacing w:after="0"/>
              <w:rPr>
                <w:sz w:val="24"/>
                <w:szCs w:val="24"/>
                <w:color w:val="auto"/>
              </w:rPr>
            </w:pPr>
          </w:p>
        </w:tc>
        <w:tc>
          <w:tcPr>
            <w:tcW w:w="840" w:type="dxa"/>
            <w:vAlign w:val="bottom"/>
          </w:tcPr>
          <w:p>
            <w:pPr>
              <w:jc w:val="center"/>
              <w:ind w:left="12"/>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tcPr>
          <w:p>
            <w:pPr>
              <w:jc w:val="center"/>
              <w:ind w:left="152"/>
              <w:spacing w:after="0"/>
              <w:rPr>
                <w:sz w:val="20"/>
                <w:szCs w:val="20"/>
                <w:color w:val="auto"/>
              </w:rPr>
            </w:pPr>
            <w:r>
              <w:rPr>
                <w:rFonts w:ascii="Wingdings" w:cs="Wingdings" w:eastAsia="Wingdings" w:hAnsi="Wingdings"/>
                <w:sz w:val="18"/>
                <w:szCs w:val="18"/>
                <w:b w:val="1"/>
                <w:bCs w:val="1"/>
                <w:color w:val="009845"/>
              </w:rPr>
              <w:t>l</w:t>
            </w:r>
          </w:p>
        </w:tc>
      </w:tr>
      <w:tr>
        <w:trPr>
          <w:trHeight w:val="567"/>
        </w:trPr>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tcPr>
          <w:p>
            <w:pPr>
              <w:jc w:val="center"/>
              <w:ind w:right="12"/>
              <w:spacing w:after="0"/>
              <w:rPr>
                <w:sz w:val="20"/>
                <w:szCs w:val="20"/>
                <w:color w:val="auto"/>
              </w:rPr>
            </w:pPr>
            <w:r>
              <w:rPr>
                <w:rFonts w:ascii="Wingdings" w:cs="Wingdings" w:eastAsia="Wingdings" w:hAnsi="Wingdings"/>
                <w:sz w:val="18"/>
                <w:szCs w:val="18"/>
                <w:b w:val="1"/>
                <w:bCs w:val="1"/>
                <w:color w:val="009845"/>
              </w:rPr>
              <w:t>l</w:t>
            </w:r>
          </w:p>
        </w:tc>
        <w:tc>
          <w:tcPr>
            <w:tcW w:w="820" w:type="dxa"/>
            <w:vAlign w:val="bottom"/>
          </w:tcPr>
          <w:p>
            <w:pPr>
              <w:spacing w:after="0"/>
              <w:rPr>
                <w:sz w:val="24"/>
                <w:szCs w:val="24"/>
                <w:color w:val="auto"/>
              </w:rPr>
            </w:pPr>
          </w:p>
        </w:tc>
        <w:tc>
          <w:tcPr>
            <w:tcW w:w="840" w:type="dxa"/>
            <w:vAlign w:val="bottom"/>
          </w:tcPr>
          <w:p>
            <w:pPr>
              <w:jc w:val="center"/>
              <w:ind w:left="12"/>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tcPr>
          <w:p>
            <w:pPr>
              <w:jc w:val="center"/>
              <w:ind w:left="152"/>
              <w:spacing w:after="0"/>
              <w:rPr>
                <w:sz w:val="20"/>
                <w:szCs w:val="20"/>
                <w:color w:val="auto"/>
              </w:rPr>
            </w:pPr>
            <w:r>
              <w:rPr>
                <w:rFonts w:ascii="Wingdings" w:cs="Wingdings" w:eastAsia="Wingdings" w:hAnsi="Wingdings"/>
                <w:sz w:val="18"/>
                <w:szCs w:val="18"/>
                <w:b w:val="1"/>
                <w:bCs w:val="1"/>
                <w:color w:val="009845"/>
              </w:rPr>
              <w:t>l</w:t>
            </w:r>
          </w:p>
        </w:tc>
      </w:tr>
      <w:tr>
        <w:trPr>
          <w:trHeight w:val="486"/>
        </w:trPr>
        <w:tc>
          <w:tcPr>
            <w:tcW w:w="720" w:type="dxa"/>
            <w:vAlign w:val="bottom"/>
          </w:tcPr>
          <w:p>
            <w:pPr>
              <w:jc w:val="center"/>
              <w:ind w:right="113"/>
              <w:spacing w:after="0"/>
              <w:rPr>
                <w:sz w:val="20"/>
                <w:szCs w:val="20"/>
                <w:color w:val="auto"/>
              </w:rPr>
            </w:pPr>
            <w:r>
              <w:rPr>
                <w:rFonts w:ascii="Wingdings" w:cs="Wingdings" w:eastAsia="Wingdings" w:hAnsi="Wingdings"/>
                <w:sz w:val="18"/>
                <w:szCs w:val="18"/>
                <w:b w:val="1"/>
                <w:bCs w:val="1"/>
                <w:color w:val="009845"/>
                <w:w w:val="88"/>
              </w:rPr>
              <w:t>l</w:t>
            </w:r>
          </w:p>
        </w:tc>
        <w:tc>
          <w:tcPr>
            <w:tcW w:w="78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jc w:val="center"/>
              <w:ind w:left="12"/>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tcPr>
          <w:p>
            <w:pPr>
              <w:jc w:val="center"/>
              <w:ind w:left="152"/>
              <w:spacing w:after="0"/>
              <w:rPr>
                <w:sz w:val="20"/>
                <w:szCs w:val="20"/>
                <w:color w:val="auto"/>
              </w:rPr>
            </w:pPr>
            <w:r>
              <w:rPr>
                <w:rFonts w:ascii="Wingdings" w:cs="Wingdings" w:eastAsia="Wingdings" w:hAnsi="Wingdings"/>
                <w:sz w:val="18"/>
                <w:szCs w:val="18"/>
                <w:b w:val="1"/>
                <w:bCs w:val="1"/>
                <w:color w:val="009845"/>
              </w:rPr>
              <w:t>l</w:t>
            </w:r>
          </w:p>
        </w:tc>
      </w:tr>
      <w:tr>
        <w:trPr>
          <w:trHeight w:val="486"/>
        </w:trPr>
        <w:tc>
          <w:tcPr>
            <w:tcW w:w="720" w:type="dxa"/>
            <w:vAlign w:val="bottom"/>
          </w:tcPr>
          <w:p>
            <w:pPr>
              <w:jc w:val="center"/>
              <w:ind w:right="113"/>
              <w:spacing w:after="0"/>
              <w:rPr>
                <w:sz w:val="20"/>
                <w:szCs w:val="20"/>
                <w:color w:val="auto"/>
              </w:rPr>
            </w:pPr>
            <w:r>
              <w:rPr>
                <w:rFonts w:ascii="Wingdings" w:cs="Wingdings" w:eastAsia="Wingdings" w:hAnsi="Wingdings"/>
                <w:sz w:val="18"/>
                <w:szCs w:val="18"/>
                <w:b w:val="1"/>
                <w:bCs w:val="1"/>
                <w:color w:val="009845"/>
                <w:w w:val="88"/>
              </w:rPr>
              <w:t>l</w:t>
            </w:r>
          </w:p>
        </w:tc>
        <w:tc>
          <w:tcPr>
            <w:tcW w:w="78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tcPr>
          <w:p>
            <w:pPr>
              <w:jc w:val="center"/>
              <w:ind w:right="12"/>
              <w:spacing w:after="0"/>
              <w:rPr>
                <w:sz w:val="20"/>
                <w:szCs w:val="20"/>
                <w:color w:val="auto"/>
              </w:rPr>
            </w:pPr>
            <w:r>
              <w:rPr>
                <w:rFonts w:ascii="Wingdings" w:cs="Wingdings" w:eastAsia="Wingdings" w:hAnsi="Wingdings"/>
                <w:sz w:val="18"/>
                <w:szCs w:val="18"/>
                <w:b w:val="1"/>
                <w:bCs w:val="1"/>
                <w:color w:val="009845"/>
              </w:rPr>
              <w:t>l</w:t>
            </w:r>
          </w:p>
        </w:tc>
        <w:tc>
          <w:tcPr>
            <w:tcW w:w="820" w:type="dxa"/>
            <w:vAlign w:val="bottom"/>
          </w:tcPr>
          <w:p>
            <w:pPr>
              <w:ind w:left="360"/>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tcPr>
          <w:p>
            <w:pPr>
              <w:jc w:val="center"/>
              <w:ind w:left="12"/>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tcPr>
          <w:p>
            <w:pPr>
              <w:spacing w:after="0"/>
              <w:rPr>
                <w:sz w:val="24"/>
                <w:szCs w:val="24"/>
                <w:color w:val="auto"/>
              </w:rPr>
            </w:pPr>
          </w:p>
        </w:tc>
      </w:tr>
      <w:tr>
        <w:trPr>
          <w:trHeight w:val="567"/>
        </w:trPr>
        <w:tc>
          <w:tcPr>
            <w:tcW w:w="720" w:type="dxa"/>
            <w:vAlign w:val="bottom"/>
          </w:tcPr>
          <w:p>
            <w:pPr>
              <w:jc w:val="center"/>
              <w:ind w:right="113"/>
              <w:spacing w:after="0"/>
              <w:rPr>
                <w:sz w:val="20"/>
                <w:szCs w:val="20"/>
                <w:color w:val="auto"/>
              </w:rPr>
            </w:pPr>
            <w:r>
              <w:rPr>
                <w:rFonts w:ascii="Wingdings" w:cs="Wingdings" w:eastAsia="Wingdings" w:hAnsi="Wingdings"/>
                <w:sz w:val="18"/>
                <w:szCs w:val="18"/>
                <w:b w:val="1"/>
                <w:bCs w:val="1"/>
                <w:color w:val="009845"/>
                <w:w w:val="88"/>
              </w:rPr>
              <w:t>l</w:t>
            </w:r>
          </w:p>
        </w:tc>
        <w:tc>
          <w:tcPr>
            <w:tcW w:w="7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tcPr>
          <w:p>
            <w:pPr>
              <w:jc w:val="center"/>
              <w:ind w:right="12"/>
              <w:spacing w:after="0"/>
              <w:rPr>
                <w:sz w:val="20"/>
                <w:szCs w:val="20"/>
                <w:color w:val="auto"/>
              </w:rPr>
            </w:pPr>
            <w:r>
              <w:rPr>
                <w:rFonts w:ascii="Wingdings" w:cs="Wingdings" w:eastAsia="Wingdings" w:hAnsi="Wingdings"/>
                <w:sz w:val="18"/>
                <w:szCs w:val="18"/>
                <w:b w:val="1"/>
                <w:bCs w:val="1"/>
                <w:color w:val="009845"/>
              </w:rPr>
              <w:t>l</w:t>
            </w:r>
          </w:p>
        </w:tc>
        <w:tc>
          <w:tcPr>
            <w:tcW w:w="820" w:type="dxa"/>
            <w:vAlign w:val="bottom"/>
          </w:tcPr>
          <w:p>
            <w:pPr>
              <w:spacing w:after="0"/>
              <w:rPr>
                <w:sz w:val="24"/>
                <w:szCs w:val="24"/>
                <w:color w:val="auto"/>
              </w:rPr>
            </w:pPr>
          </w:p>
        </w:tc>
        <w:tc>
          <w:tcPr>
            <w:tcW w:w="840" w:type="dxa"/>
            <w:vAlign w:val="bottom"/>
          </w:tcPr>
          <w:p>
            <w:pPr>
              <w:jc w:val="center"/>
              <w:ind w:left="12"/>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tcPr>
          <w:p>
            <w:pPr>
              <w:jc w:val="center"/>
              <w:ind w:left="152"/>
              <w:spacing w:after="0"/>
              <w:rPr>
                <w:sz w:val="20"/>
                <w:szCs w:val="20"/>
                <w:color w:val="auto"/>
              </w:rPr>
            </w:pPr>
            <w:r>
              <w:rPr>
                <w:rFonts w:ascii="Wingdings" w:cs="Wingdings" w:eastAsia="Wingdings" w:hAnsi="Wingdings"/>
                <w:sz w:val="18"/>
                <w:szCs w:val="18"/>
                <w:b w:val="1"/>
                <w:bCs w:val="1"/>
                <w:color w:val="009845"/>
              </w:rPr>
              <w:t>l</w:t>
            </w:r>
          </w:p>
        </w:tc>
      </w:tr>
      <w:tr>
        <w:trPr>
          <w:trHeight w:val="648"/>
        </w:trPr>
        <w:tc>
          <w:tcPr>
            <w:tcW w:w="720" w:type="dxa"/>
            <w:vAlign w:val="bottom"/>
          </w:tcPr>
          <w:p>
            <w:pPr>
              <w:jc w:val="center"/>
              <w:ind w:right="113"/>
              <w:spacing w:after="0"/>
              <w:rPr>
                <w:sz w:val="20"/>
                <w:szCs w:val="20"/>
                <w:color w:val="auto"/>
              </w:rPr>
            </w:pPr>
            <w:r>
              <w:rPr>
                <w:rFonts w:ascii="Wingdings" w:cs="Wingdings" w:eastAsia="Wingdings" w:hAnsi="Wingdings"/>
                <w:sz w:val="18"/>
                <w:szCs w:val="18"/>
                <w:b w:val="1"/>
                <w:bCs w:val="1"/>
                <w:color w:val="009845"/>
                <w:w w:val="88"/>
              </w:rPr>
              <w:t>l</w:t>
            </w:r>
          </w:p>
        </w:tc>
        <w:tc>
          <w:tcPr>
            <w:tcW w:w="7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62"/>
        </w:trPr>
        <w:tc>
          <w:tcPr>
            <w:tcW w:w="720" w:type="dxa"/>
            <w:vAlign w:val="bottom"/>
          </w:tcPr>
          <w:p>
            <w:pPr>
              <w:jc w:val="center"/>
              <w:ind w:right="113"/>
              <w:spacing w:after="0"/>
              <w:rPr>
                <w:sz w:val="20"/>
                <w:szCs w:val="20"/>
                <w:color w:val="auto"/>
              </w:rPr>
            </w:pPr>
            <w:r>
              <w:rPr>
                <w:rFonts w:ascii="Wingdings" w:cs="Wingdings" w:eastAsia="Wingdings" w:hAnsi="Wingdings"/>
                <w:sz w:val="18"/>
                <w:szCs w:val="18"/>
                <w:b w:val="1"/>
                <w:bCs w:val="1"/>
                <w:color w:val="009845"/>
                <w:w w:val="88"/>
              </w:rPr>
              <w:t>l</w:t>
            </w:r>
          </w:p>
        </w:tc>
        <w:tc>
          <w:tcPr>
            <w:tcW w:w="7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tcPr>
          <w:p>
            <w:pPr>
              <w:jc w:val="center"/>
              <w:ind w:right="12"/>
              <w:spacing w:after="0"/>
              <w:rPr>
                <w:sz w:val="20"/>
                <w:szCs w:val="20"/>
                <w:color w:val="auto"/>
              </w:rPr>
            </w:pPr>
            <w:r>
              <w:rPr>
                <w:rFonts w:ascii="Wingdings" w:cs="Wingdings" w:eastAsia="Wingdings" w:hAnsi="Wingdings"/>
                <w:sz w:val="18"/>
                <w:szCs w:val="18"/>
                <w:b w:val="1"/>
                <w:bCs w:val="1"/>
                <w:color w:val="009845"/>
              </w:rPr>
              <w:t>l</w:t>
            </w:r>
          </w:p>
        </w:tc>
        <w:tc>
          <w:tcPr>
            <w:tcW w:w="820" w:type="dxa"/>
            <w:vAlign w:val="bottom"/>
          </w:tcPr>
          <w:p>
            <w:pPr>
              <w:spacing w:after="0"/>
              <w:rPr>
                <w:sz w:val="24"/>
                <w:szCs w:val="24"/>
                <w:color w:val="auto"/>
              </w:rPr>
            </w:pPr>
          </w:p>
        </w:tc>
        <w:tc>
          <w:tcPr>
            <w:tcW w:w="840" w:type="dxa"/>
            <w:vAlign w:val="bottom"/>
          </w:tcPr>
          <w:p>
            <w:pPr>
              <w:jc w:val="center"/>
              <w:ind w:left="12"/>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tcPr>
          <w:p>
            <w:pPr>
              <w:jc w:val="center"/>
              <w:ind w:left="152"/>
              <w:spacing w:after="0"/>
              <w:rPr>
                <w:sz w:val="20"/>
                <w:szCs w:val="20"/>
                <w:color w:val="auto"/>
              </w:rPr>
            </w:pPr>
            <w:r>
              <w:rPr>
                <w:rFonts w:ascii="Wingdings" w:cs="Wingdings" w:eastAsia="Wingdings" w:hAnsi="Wingdings"/>
                <w:sz w:val="18"/>
                <w:szCs w:val="18"/>
                <w:b w:val="1"/>
                <w:bCs w:val="1"/>
                <w:color w:val="009845"/>
              </w:rPr>
              <w:t>l</w:t>
            </w:r>
          </w:p>
        </w:tc>
      </w:tr>
      <w:tr>
        <w:trPr>
          <w:trHeight w:val="567"/>
        </w:trPr>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tcPr>
          <w:p>
            <w:pPr>
              <w:jc w:val="center"/>
              <w:ind w:right="12"/>
              <w:spacing w:after="0"/>
              <w:rPr>
                <w:sz w:val="20"/>
                <w:szCs w:val="20"/>
                <w:color w:val="auto"/>
              </w:rPr>
            </w:pPr>
            <w:r>
              <w:rPr>
                <w:rFonts w:ascii="Wingdings" w:cs="Wingdings" w:eastAsia="Wingdings" w:hAnsi="Wingdings"/>
                <w:sz w:val="18"/>
                <w:szCs w:val="18"/>
                <w:b w:val="1"/>
                <w:bCs w:val="1"/>
                <w:color w:val="009845"/>
              </w:rPr>
              <w:t>l</w:t>
            </w:r>
          </w:p>
        </w:tc>
        <w:tc>
          <w:tcPr>
            <w:tcW w:w="820" w:type="dxa"/>
            <w:vAlign w:val="bottom"/>
          </w:tcPr>
          <w:p>
            <w:pPr>
              <w:spacing w:after="0"/>
              <w:rPr>
                <w:sz w:val="24"/>
                <w:szCs w:val="24"/>
                <w:color w:val="auto"/>
              </w:rPr>
            </w:pPr>
          </w:p>
        </w:tc>
        <w:tc>
          <w:tcPr>
            <w:tcW w:w="840" w:type="dxa"/>
            <w:vAlign w:val="bottom"/>
          </w:tcPr>
          <w:p>
            <w:pPr>
              <w:jc w:val="center"/>
              <w:ind w:left="12"/>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-4573905</wp:posOffset>
            </wp:positionV>
            <wp:extent cx="7132320" cy="5060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-3485515</wp:posOffset>
            </wp:positionV>
            <wp:extent cx="7132320" cy="3600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-2765425</wp:posOffset>
            </wp:positionV>
            <wp:extent cx="7132320" cy="3600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-2045335</wp:posOffset>
            </wp:positionV>
            <wp:extent cx="7132320"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-1428115</wp:posOffset>
            </wp:positionV>
            <wp:extent cx="7132320" cy="3600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-596265</wp:posOffset>
            </wp:positionV>
            <wp:extent cx="7132320" cy="3600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122555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4" w:lineRule="exact"/>
        <w:rPr>
          <w:sz w:val="20"/>
          <w:szCs w:val="20"/>
          <w:color w:val="auto"/>
        </w:rPr>
      </w:pPr>
    </w:p>
    <w:p>
      <w:pPr>
        <w:sectPr>
          <w:pgSz w:w="11900" w:h="16838" w:orient="portrait"/>
          <w:cols w:equalWidth="0" w:num="2">
            <w:col w:w="4320" w:space="220"/>
            <w:col w:w="6680"/>
          </w:cols>
          <w:pgMar w:left="320" w:top="122" w:right="359" w:bottom="1440" w:gutter="0" w:footer="0" w:header="0"/>
          <w:type w:val="continuous"/>
        </w:sectPr>
      </w:pPr>
    </w:p>
    <w:p>
      <w:pPr>
        <w:spacing w:after="0" w:line="24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10</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Director Nominees</w:t>
      </w:r>
    </w:p>
    <w:p>
      <w:pPr>
        <w:spacing w:after="0" w:line="193"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color w:val="58595B"/>
        </w:rPr>
        <w:t>Set forth below is certain information furnished to us by the director nominees. There are no family relationships among any of our current directors or executive officers. None of the corporations or other organizations referenced in the biographical information below are a parent, subsidiary, or other affiliate of 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95885</wp:posOffset>
            </wp:positionV>
            <wp:extent cx="7123430" cy="10883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23430" cy="10883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354455" cy="12604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54455" cy="1260475"/>
                    </a:xfrm>
                    <a:prstGeom prst="rect">
                      <a:avLst/>
                    </a:prstGeom>
                    <a:noFill/>
                  </pic:spPr>
                </pic:pic>
              </a:graphicData>
            </a:graphic>
          </wp:anchor>
        </w:drawing>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1992</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46" w:lineRule="exact"/>
        <w:rPr>
          <w:sz w:val="20"/>
          <w:szCs w:val="20"/>
          <w:color w:val="auto"/>
        </w:rPr>
      </w:pPr>
    </w:p>
    <w:p>
      <w:pPr>
        <w:ind w:left="100"/>
        <w:spacing w:after="0" w:line="286" w:lineRule="auto"/>
        <w:rPr>
          <w:sz w:val="20"/>
          <w:szCs w:val="20"/>
          <w:color w:val="auto"/>
        </w:rPr>
      </w:pPr>
      <w:r>
        <w:rPr>
          <w:rFonts w:ascii="Arial" w:cs="Arial" w:eastAsia="Arial" w:hAnsi="Arial"/>
          <w:sz w:val="16"/>
          <w:szCs w:val="16"/>
          <w:color w:val="58595B"/>
        </w:rPr>
        <w:t>Nominating and Corporate Governance, Audit,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1119505</wp:posOffset>
            </wp:positionV>
            <wp:extent cx="1088390" cy="10890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88390" cy="1089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460"/>
        <w:spacing w:after="0" w:line="274" w:lineRule="auto"/>
        <w:rPr>
          <w:sz w:val="20"/>
          <w:szCs w:val="20"/>
          <w:color w:val="auto"/>
        </w:rPr>
      </w:pPr>
      <w:r>
        <w:rPr>
          <w:rFonts w:ascii="Arial" w:cs="Arial" w:eastAsia="Arial" w:hAnsi="Arial"/>
          <w:sz w:val="22"/>
          <w:szCs w:val="22"/>
          <w:b w:val="1"/>
          <w:bCs w:val="1"/>
          <w:color w:val="FFFFFF"/>
        </w:rPr>
        <w:t xml:space="preserve">Keith Bradley, Ph.D. </w:t>
      </w:r>
      <w:r>
        <w:rPr>
          <w:rFonts w:ascii="Arial" w:cs="Arial" w:eastAsia="Arial" w:hAnsi="Arial"/>
          <w:sz w:val="22"/>
          <w:szCs w:val="22"/>
          <w:color w:val="FFFFFF"/>
        </w:rPr>
        <w:t>– Former Professor of International Management &amp; Management</w:t>
      </w:r>
      <w:r>
        <w:rPr>
          <w:rFonts w:ascii="Arial" w:cs="Arial" w:eastAsia="Arial" w:hAnsi="Arial"/>
          <w:sz w:val="22"/>
          <w:szCs w:val="22"/>
          <w:b w:val="1"/>
          <w:bCs w:val="1"/>
          <w:color w:val="FFFFFF"/>
        </w:rPr>
        <w:t xml:space="preserve"> </w:t>
      </w:r>
      <w:r>
        <w:rPr>
          <w:rFonts w:ascii="Arial" w:cs="Arial" w:eastAsia="Arial" w:hAnsi="Arial"/>
          <w:sz w:val="22"/>
          <w:szCs w:val="22"/>
          <w:color w:val="FFFFFF"/>
        </w:rPr>
        <w:t>Strategy, Open University and Cass Business School, U.K.</w:t>
      </w:r>
    </w:p>
    <w:p>
      <w:pPr>
        <w:spacing w:after="0" w:line="211" w:lineRule="exact"/>
        <w:rPr>
          <w:sz w:val="20"/>
          <w:szCs w:val="20"/>
          <w:color w:val="auto"/>
        </w:rPr>
      </w:pPr>
    </w:p>
    <w:p>
      <w:pPr>
        <w:ind w:right="40"/>
        <w:spacing w:after="0" w:line="317" w:lineRule="auto"/>
        <w:rPr>
          <w:sz w:val="20"/>
          <w:szCs w:val="20"/>
          <w:color w:val="auto"/>
        </w:rPr>
      </w:pPr>
      <w:r>
        <w:rPr>
          <w:rFonts w:ascii="Arial" w:cs="Arial" w:eastAsia="Arial" w:hAnsi="Arial"/>
          <w:sz w:val="14"/>
          <w:szCs w:val="14"/>
          <w:color w:val="58595B"/>
        </w:rPr>
        <w:t>Dr. Bradley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taught at the London School of Economics and was the director of the School’s Business Performance Group for more than six years. Dr. Bradley was formerly an adviser to RPH Capital, Canada.</w:t>
      </w:r>
    </w:p>
    <w:p>
      <w:pPr>
        <w:spacing w:after="0" w:line="84" w:lineRule="exact"/>
        <w:rPr>
          <w:sz w:val="20"/>
          <w:szCs w:val="20"/>
          <w:color w:val="auto"/>
        </w:rPr>
      </w:pPr>
    </w:p>
    <w:p>
      <w:pPr>
        <w:ind w:right="80"/>
        <w:spacing w:after="0" w:line="345" w:lineRule="auto"/>
        <w:rPr>
          <w:sz w:val="20"/>
          <w:szCs w:val="20"/>
          <w:color w:val="auto"/>
        </w:rPr>
      </w:pPr>
      <w:r>
        <w:rPr>
          <w:rFonts w:ascii="Arial" w:cs="Arial" w:eastAsia="Arial" w:hAnsi="Arial"/>
          <w:sz w:val="14"/>
          <w:szCs w:val="14"/>
          <w:b w:val="1"/>
          <w:bCs w:val="1"/>
          <w:color w:val="009845"/>
        </w:rPr>
        <w:t xml:space="preserve">Other Public Company Directorships: </w:t>
      </w:r>
      <w:r>
        <w:rPr>
          <w:rFonts w:ascii="Arial" w:cs="Arial" w:eastAsia="Arial" w:hAnsi="Arial"/>
          <w:sz w:val="14"/>
          <w:szCs w:val="14"/>
          <w:color w:val="58595B"/>
        </w:rPr>
        <w:t>Prior to its merger with Orthofix Medical Inc. (Nasdaq: OFIX) in 2023, Dr. Bradley was a director</w:t>
      </w:r>
      <w:r>
        <w:rPr>
          <w:rFonts w:ascii="Arial" w:cs="Arial" w:eastAsia="Arial" w:hAnsi="Arial"/>
          <w:sz w:val="14"/>
          <w:szCs w:val="14"/>
          <w:b w:val="1"/>
          <w:bCs w:val="1"/>
          <w:color w:val="009845"/>
        </w:rPr>
        <w:t xml:space="preserve"> </w:t>
      </w:r>
      <w:r>
        <w:rPr>
          <w:rFonts w:ascii="Arial" w:cs="Arial" w:eastAsia="Arial" w:hAnsi="Arial"/>
          <w:sz w:val="14"/>
          <w:szCs w:val="14"/>
          <w:color w:val="58595B"/>
        </w:rPr>
        <w:t>of SeaSpine Holdings Corporation from 2015 to 2023.</w:t>
      </w:r>
    </w:p>
    <w:p>
      <w:pPr>
        <w:spacing w:after="0" w:line="64" w:lineRule="exact"/>
        <w:rPr>
          <w:sz w:val="20"/>
          <w:szCs w:val="20"/>
          <w:color w:val="auto"/>
        </w:rPr>
      </w:pPr>
    </w:p>
    <w:p>
      <w:pPr>
        <w:ind w:right="340"/>
        <w:spacing w:after="0" w:line="333" w:lineRule="auto"/>
        <w:rPr>
          <w:sz w:val="20"/>
          <w:szCs w:val="20"/>
          <w:color w:val="auto"/>
        </w:rPr>
      </w:pPr>
      <w:r>
        <w:rPr>
          <w:rFonts w:ascii="Arial" w:cs="Arial" w:eastAsia="Arial" w:hAnsi="Arial"/>
          <w:sz w:val="14"/>
          <w:szCs w:val="14"/>
          <w:b w:val="1"/>
          <w:bCs w:val="1"/>
          <w:color w:val="009845"/>
        </w:rPr>
        <w:t xml:space="preserve">Other Professional Experience and Community Involvement: </w:t>
      </w:r>
      <w:r>
        <w:rPr>
          <w:rFonts w:ascii="Arial" w:cs="Arial" w:eastAsia="Arial" w:hAnsi="Arial"/>
          <w:sz w:val="14"/>
          <w:szCs w:val="14"/>
          <w:color w:val="58595B"/>
        </w:rPr>
        <w:t>Dr. Bradley served as a director and chair of North Star Capital</w:t>
      </w:r>
      <w:r>
        <w:rPr>
          <w:rFonts w:ascii="Arial" w:cs="Arial" w:eastAsia="Arial" w:hAnsi="Arial"/>
          <w:sz w:val="14"/>
          <w:szCs w:val="14"/>
          <w:b w:val="1"/>
          <w:bCs w:val="1"/>
          <w:color w:val="009845"/>
        </w:rPr>
        <w:t xml:space="preserve"> </w:t>
      </w:r>
      <w:r>
        <w:rPr>
          <w:rFonts w:ascii="Arial" w:cs="Arial" w:eastAsia="Arial" w:hAnsi="Arial"/>
          <w:sz w:val="14"/>
          <w:szCs w:val="14"/>
          <w:color w:val="58595B"/>
        </w:rPr>
        <w:t>Management Limited and GRS Financial Solutions Limited. Between 1996 and 2003, he was a director of Highway Insurance plc, an insurance company listed on the London Stock Exchange.</w:t>
      </w:r>
    </w:p>
    <w:p>
      <w:pPr>
        <w:spacing w:after="0" w:line="59" w:lineRule="exact"/>
        <w:rPr>
          <w:sz w:val="20"/>
          <w:szCs w:val="20"/>
          <w:color w:val="auto"/>
        </w:rPr>
      </w:pPr>
    </w:p>
    <w:p>
      <w:pPr>
        <w:ind w:right="460"/>
        <w:spacing w:after="0" w:line="365" w:lineRule="auto"/>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Dr. Bradley received B.A. (Hons) degree from Middlesex University, and M.A. and Ph.D. degrees from the University of</w:t>
      </w:r>
      <w:r>
        <w:rPr>
          <w:rFonts w:ascii="Arial" w:cs="Arial" w:eastAsia="Arial" w:hAnsi="Arial"/>
          <w:sz w:val="14"/>
          <w:szCs w:val="14"/>
          <w:b w:val="1"/>
          <w:bCs w:val="1"/>
          <w:color w:val="009845"/>
        </w:rPr>
        <w:t xml:space="preserve"> </w:t>
      </w:r>
      <w:r>
        <w:rPr>
          <w:rFonts w:ascii="Arial" w:cs="Arial" w:eastAsia="Arial" w:hAnsi="Arial"/>
          <w:sz w:val="14"/>
          <w:szCs w:val="14"/>
          <w:color w:val="58595B"/>
        </w:rPr>
        <w:t>Essex, UK.</w:t>
      </w:r>
    </w:p>
    <w:p>
      <w:pPr>
        <w:spacing w:after="0" w:line="37" w:lineRule="exact"/>
        <w:rPr>
          <w:sz w:val="20"/>
          <w:szCs w:val="20"/>
          <w:color w:val="auto"/>
        </w:rPr>
      </w:pPr>
    </w:p>
    <w:p>
      <w:pPr>
        <w:ind w:right="60"/>
        <w:spacing w:after="0" w:line="333" w:lineRule="auto"/>
        <w:rPr>
          <w:sz w:val="20"/>
          <w:szCs w:val="20"/>
          <w:color w:val="auto"/>
        </w:rPr>
      </w:pPr>
      <w:r>
        <w:rPr>
          <w:rFonts w:ascii="Arial" w:cs="Arial" w:eastAsia="Arial" w:hAnsi="Arial"/>
          <w:sz w:val="14"/>
          <w:szCs w:val="14"/>
          <w:b w:val="1"/>
          <w:bCs w:val="1"/>
          <w:color w:val="009845"/>
        </w:rPr>
        <w:t xml:space="preserve">Key Experience and Qualifications: </w:t>
      </w:r>
      <w:r>
        <w:rPr>
          <w:rFonts w:ascii="Arial" w:cs="Arial" w:eastAsia="Arial" w:hAnsi="Arial"/>
          <w:sz w:val="14"/>
          <w:szCs w:val="14"/>
          <w:color w:val="58595B"/>
        </w:rPr>
        <w:t>We believe Dr. Bradley's qualifications to serve on our Board include his international experience,</w:t>
      </w:r>
      <w:r>
        <w:rPr>
          <w:rFonts w:ascii="Arial" w:cs="Arial" w:eastAsia="Arial" w:hAnsi="Arial"/>
          <w:sz w:val="14"/>
          <w:szCs w:val="14"/>
          <w:b w:val="1"/>
          <w:bCs w:val="1"/>
          <w:color w:val="009845"/>
        </w:rPr>
        <w:t xml:space="preserve"> </w:t>
      </w:r>
      <w:r>
        <w:rPr>
          <w:rFonts w:ascii="Arial" w:cs="Arial" w:eastAsia="Arial" w:hAnsi="Arial"/>
          <w:sz w:val="14"/>
          <w:szCs w:val="14"/>
          <w:color w:val="58595B"/>
        </w:rPr>
        <w:t>extensive business experience in the healthcare and medical device industries, and financial literacy coupled with his more than 30 years of service on the boards of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206375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454660</wp:posOffset>
            </wp:positionV>
            <wp:extent cx="5631815" cy="2317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31815" cy="231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340"/>
            <w:col w:w="878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354455" cy="10115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54455" cy="1011555"/>
                    </a:xfrm>
                    <a:prstGeom prst="rect">
                      <a:avLst/>
                    </a:prstGeom>
                    <a:noFill/>
                  </pic:spPr>
                </pic:pic>
              </a:graphicData>
            </a:graphic>
          </wp:anchor>
        </w:drawing>
      </w:r>
    </w:p>
    <w:p>
      <w:pPr>
        <w:spacing w:after="0" w:line="9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2021</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Audit, 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 xml:space="preserve">Shaundra D. Clay </w:t>
      </w:r>
      <w:r>
        <w:rPr>
          <w:rFonts w:ascii="Arial" w:cs="Arial" w:eastAsia="Arial" w:hAnsi="Arial"/>
          <w:sz w:val="22"/>
          <w:szCs w:val="22"/>
          <w:color w:val="FFFFFF"/>
        </w:rPr>
        <w:t>– Former Global Vice President, Finance, Beam Suntory</w:t>
      </w:r>
    </w:p>
    <w:p>
      <w:pPr>
        <w:spacing w:after="0" w:line="266" w:lineRule="exact"/>
        <w:rPr>
          <w:sz w:val="20"/>
          <w:szCs w:val="20"/>
          <w:color w:val="auto"/>
        </w:rPr>
      </w:pPr>
    </w:p>
    <w:p>
      <w:pPr>
        <w:ind w:right="200"/>
        <w:spacing w:after="0" w:line="316" w:lineRule="auto"/>
        <w:rPr>
          <w:sz w:val="20"/>
          <w:szCs w:val="20"/>
          <w:color w:val="auto"/>
        </w:rPr>
      </w:pPr>
      <w:r>
        <w:rPr>
          <w:rFonts w:ascii="Arial" w:cs="Arial" w:eastAsia="Arial" w:hAnsi="Arial"/>
          <w:sz w:val="14"/>
          <w:szCs w:val="14"/>
          <w:color w:val="58595B"/>
        </w:rPr>
        <w:t>From 2021 through April 2024, Ms. Clay served as the global vice president of finance at Beam Suntory, Inc., a global premium spirits company, where she was responsible for enterprise-wide financial planning and analysis and led the integration of the short-, mid-, and long-term planning processes to optimize resource deployment. Prior to Beam Suntory, Ms. Clay was a managing director in the commercial banking group at JP Morgan Chase. Ms. Clay also spent 13 years in leadership roles within the healthcare industry in the United States and internationally. She served as chief financial officer for Australia, Canada, and Europe at Eli Lilly and Company and spent a decade at Medtronic in a variety of leadership roles in the U.S. and abroad, including as chief financial officer for the cardiovascular group for Western Europe and Canada. Ms. Clay began her career in accounting and financial analytics at Allstate Insurance Company.</w:t>
      </w:r>
    </w:p>
    <w:p>
      <w:pPr>
        <w:spacing w:after="0" w:line="86" w:lineRule="exact"/>
        <w:rPr>
          <w:sz w:val="20"/>
          <w:szCs w:val="20"/>
          <w:color w:val="auto"/>
        </w:rPr>
      </w:pPr>
    </w:p>
    <w:p>
      <w:pPr>
        <w:ind w:right="80"/>
        <w:spacing w:after="0" w:line="345" w:lineRule="auto"/>
        <w:rPr>
          <w:sz w:val="20"/>
          <w:szCs w:val="20"/>
          <w:color w:val="auto"/>
        </w:rPr>
      </w:pPr>
      <w:r>
        <w:rPr>
          <w:rFonts w:ascii="Arial" w:cs="Arial" w:eastAsia="Arial" w:hAnsi="Arial"/>
          <w:sz w:val="14"/>
          <w:szCs w:val="14"/>
          <w:b w:val="1"/>
          <w:bCs w:val="1"/>
          <w:color w:val="009845"/>
        </w:rPr>
        <w:t xml:space="preserve">Other Professional Experience and Community Involvement: </w:t>
      </w:r>
      <w:r>
        <w:rPr>
          <w:rFonts w:ascii="Arial" w:cs="Arial" w:eastAsia="Arial" w:hAnsi="Arial"/>
          <w:sz w:val="14"/>
          <w:szCs w:val="14"/>
          <w:color w:val="58595B"/>
        </w:rPr>
        <w:t>Ms. Clay currently serves on the board of directors of Just Born Quality</w:t>
      </w:r>
      <w:r>
        <w:rPr>
          <w:rFonts w:ascii="Arial" w:cs="Arial" w:eastAsia="Arial" w:hAnsi="Arial"/>
          <w:sz w:val="14"/>
          <w:szCs w:val="14"/>
          <w:b w:val="1"/>
          <w:bCs w:val="1"/>
          <w:color w:val="009845"/>
        </w:rPr>
        <w:t xml:space="preserve"> </w:t>
      </w:r>
      <w:r>
        <w:rPr>
          <w:rFonts w:ascii="Arial" w:cs="Arial" w:eastAsia="Arial" w:hAnsi="Arial"/>
          <w:sz w:val="14"/>
          <w:szCs w:val="14"/>
          <w:color w:val="58595B"/>
        </w:rPr>
        <w:t>Confections, the Executive Leadership Council, as well as on the board of trustees (ex officio) of Clark Atlanta University.</w:t>
      </w:r>
    </w:p>
    <w:p>
      <w:pPr>
        <w:spacing w:after="0" w:line="64" w:lineRule="exact"/>
        <w:rPr>
          <w:sz w:val="20"/>
          <w:szCs w:val="20"/>
          <w:color w:val="auto"/>
        </w:rPr>
      </w:pPr>
    </w:p>
    <w:p>
      <w:pPr>
        <w:ind w:right="180"/>
        <w:spacing w:after="0" w:line="345" w:lineRule="auto"/>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She earned a Bachelor’s degree in accounting from Clark Atlanta University and her M.B.A. from the University of Illinois at</w:t>
      </w:r>
      <w:r>
        <w:rPr>
          <w:rFonts w:ascii="Arial" w:cs="Arial" w:eastAsia="Arial" w:hAnsi="Arial"/>
          <w:sz w:val="14"/>
          <w:szCs w:val="14"/>
          <w:b w:val="1"/>
          <w:bCs w:val="1"/>
          <w:color w:val="009845"/>
        </w:rPr>
        <w:t xml:space="preserve"> </w:t>
      </w:r>
      <w:r>
        <w:rPr>
          <w:rFonts w:ascii="Arial" w:cs="Arial" w:eastAsia="Arial" w:hAnsi="Arial"/>
          <w:sz w:val="14"/>
          <w:szCs w:val="14"/>
          <w:color w:val="58595B"/>
        </w:rPr>
        <w:t>Chicago. Ms. Clay is an alumna of the Wharton School of the University of Pennsylvania.</w:t>
      </w:r>
    </w:p>
    <w:p>
      <w:pPr>
        <w:spacing w:after="0" w:line="64" w:lineRule="exact"/>
        <w:rPr>
          <w:sz w:val="20"/>
          <w:szCs w:val="20"/>
          <w:color w:val="auto"/>
        </w:rPr>
      </w:pPr>
    </w:p>
    <w:p>
      <w:pPr>
        <w:jc w:val="both"/>
        <w:ind w:right="440"/>
        <w:spacing w:after="0" w:line="333" w:lineRule="auto"/>
        <w:rPr>
          <w:sz w:val="20"/>
          <w:szCs w:val="20"/>
          <w:color w:val="auto"/>
        </w:rPr>
      </w:pPr>
      <w:r>
        <w:rPr>
          <w:rFonts w:ascii="Arial" w:cs="Arial" w:eastAsia="Arial" w:hAnsi="Arial"/>
          <w:sz w:val="14"/>
          <w:szCs w:val="14"/>
          <w:b w:val="1"/>
          <w:bCs w:val="1"/>
          <w:color w:val="009845"/>
        </w:rPr>
        <w:t xml:space="preserve">Key Experience and Qualifications: </w:t>
      </w:r>
      <w:r>
        <w:rPr>
          <w:rFonts w:ascii="Arial" w:cs="Arial" w:eastAsia="Arial" w:hAnsi="Arial"/>
          <w:sz w:val="14"/>
          <w:szCs w:val="14"/>
          <w:color w:val="58595B"/>
        </w:rPr>
        <w:t>We believe Ms. Clay's qualifications to serve on our Board include her record as a corporate</w:t>
      </w:r>
      <w:r>
        <w:rPr>
          <w:rFonts w:ascii="Arial" w:cs="Arial" w:eastAsia="Arial" w:hAnsi="Arial"/>
          <w:sz w:val="14"/>
          <w:szCs w:val="14"/>
          <w:b w:val="1"/>
          <w:bCs w:val="1"/>
          <w:color w:val="009845"/>
        </w:rPr>
        <w:t xml:space="preserve"> </w:t>
      </w:r>
      <w:r>
        <w:rPr>
          <w:rFonts w:ascii="Arial" w:cs="Arial" w:eastAsia="Arial" w:hAnsi="Arial"/>
          <w:sz w:val="14"/>
          <w:szCs w:val="14"/>
          <w:color w:val="58595B"/>
        </w:rPr>
        <w:t>executive coupled with her extensive experience in the fields of finance, the healthcare industry, and international business and her expertise in finance, healthcare, global business management and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463550</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720"/>
            <w:col w:w="878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11060" w:val="left"/>
        </w:tabs>
        <w:rPr>
          <w:sz w:val="20"/>
          <w:szCs w:val="20"/>
          <w:color w:val="auto"/>
        </w:rPr>
      </w:pPr>
      <w:r>
        <w:rPr>
          <w:rFonts w:ascii="Arial" w:cs="Arial" w:eastAsia="Arial" w:hAnsi="Arial"/>
          <w:sz w:val="13"/>
          <w:szCs w:val="13"/>
          <w:color w:val="58595B"/>
        </w:rPr>
        <w:t>2026 Proxy Statement</w:t>
      </w:r>
      <w:r>
        <w:rPr>
          <w:sz w:val="20"/>
          <w:szCs w:val="20"/>
          <w:color w:val="auto"/>
        </w:rPr>
        <w:tab/>
      </w:r>
      <w:r>
        <w:rPr>
          <w:rFonts w:ascii="Arial" w:cs="Arial" w:eastAsia="Arial" w:hAnsi="Arial"/>
          <w:sz w:val="12"/>
          <w:szCs w:val="12"/>
          <w:b w:val="1"/>
          <w:bCs w:val="1"/>
          <w:color w:val="009845"/>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3"/>
          <w:szCs w:val="13"/>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1354455" cy="2442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5445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64</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1997</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Chairman</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Quality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Stuart M. Essig, Ph.D. </w:t>
      </w:r>
      <w:r>
        <w:rPr>
          <w:rFonts w:ascii="Arial" w:cs="Arial" w:eastAsia="Arial" w:hAnsi="Arial"/>
          <w:sz w:val="22"/>
          <w:szCs w:val="22"/>
          <w:color w:val="FFFFFF"/>
        </w:rPr>
        <w:t>– Managing Director, Prettybrook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-184785</wp:posOffset>
            </wp:positionV>
            <wp:extent cx="5554980" cy="2311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54980" cy="231140"/>
                    </a:xfrm>
                    <a:prstGeom prst="rect">
                      <a:avLst/>
                    </a:prstGeom>
                    <a:noFill/>
                  </pic:spPr>
                </pic:pic>
              </a:graphicData>
            </a:graphic>
          </wp:anchor>
        </w:drawing>
      </w:r>
    </w:p>
    <w:p>
      <w:pPr>
        <w:spacing w:after="0" w:line="246" w:lineRule="exact"/>
        <w:rPr>
          <w:sz w:val="20"/>
          <w:szCs w:val="20"/>
          <w:color w:val="auto"/>
        </w:rPr>
      </w:pPr>
    </w:p>
    <w:p>
      <w:pPr>
        <w:ind w:right="20"/>
        <w:spacing w:after="0" w:line="318" w:lineRule="auto"/>
        <w:rPr>
          <w:sz w:val="20"/>
          <w:szCs w:val="20"/>
          <w:color w:val="auto"/>
        </w:rPr>
      </w:pPr>
      <w:r>
        <w:rPr>
          <w:rFonts w:ascii="Arial" w:cs="Arial" w:eastAsia="Arial" w:hAnsi="Arial"/>
          <w:sz w:val="14"/>
          <w:szCs w:val="14"/>
          <w:color w:val="58595B"/>
        </w:rPr>
        <w:t>Dr. Essig is Integra’s Chairman of the Board of Directors. He has been our Chairman since January 2012 and a director since he joined Integra in 1997. He served as our Chief Executive Officer from 1997 through 2012 and our President from 1997 until 2010. From February 2024 to June 2025 he served as the Executive Chairman of the Board. Prior to joining the Company, he acted as the managing director in mergers and acquisitions for the medical technology practice at Goldman, Sachs &amp; Co. He currently serves as managing director of Prettybrook Partners, LLC, a family office dedicated to investing in healthcare companies, which he cofounded in 2012</w:t>
      </w:r>
      <w:r>
        <w:rPr>
          <w:rFonts w:ascii="Arial" w:cs="Arial" w:eastAsia="Arial" w:hAnsi="Arial"/>
          <w:sz w:val="16"/>
          <w:szCs w:val="16"/>
          <w:color w:val="58595B"/>
        </w:rPr>
        <w: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009845"/>
        </w:rPr>
        <w:t xml:space="preserve">Other Public Company Directorships: </w:t>
      </w:r>
      <w:r>
        <w:rPr>
          <w:rFonts w:ascii="Arial" w:cs="Arial" w:eastAsia="Arial" w:hAnsi="Arial"/>
          <w:sz w:val="14"/>
          <w:szCs w:val="14"/>
          <w:color w:val="58595B"/>
        </w:rPr>
        <w:t>Dr. Essig currently serves on the board of directors of IDEXX Laboratories, Inc. (Nasdaq: IDXX)</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58595B"/>
        </w:rPr>
        <w:t>since 2017 and Piper Sandler Companies (NYSE: PIPR) since February 2026. Dr. Essig previously served on the board of directors of</w:t>
      </w:r>
    </w:p>
    <w:p>
      <w:pPr>
        <w:spacing w:after="0" w:line="42" w:lineRule="exact"/>
        <w:rPr>
          <w:sz w:val="20"/>
          <w:szCs w:val="20"/>
          <w:color w:val="auto"/>
        </w:rPr>
      </w:pPr>
    </w:p>
    <w:p>
      <w:pPr>
        <w:ind w:right="240"/>
        <w:spacing w:after="0" w:line="323" w:lineRule="auto"/>
        <w:rPr>
          <w:sz w:val="20"/>
          <w:szCs w:val="20"/>
          <w:color w:val="auto"/>
        </w:rPr>
      </w:pPr>
      <w:r>
        <w:rPr>
          <w:rFonts w:ascii="Arial" w:cs="Arial" w:eastAsia="Arial" w:hAnsi="Arial"/>
          <w:sz w:val="14"/>
          <w:szCs w:val="14"/>
          <w:color w:val="58595B"/>
        </w:rPr>
        <w:t>Orthofix Medical Inc. (Nasdaq: OFIX) from 2023 to 2024, SeaSpine Holdings Corporation from 2014 to 2022, and St. Jude Medical Corporation from 1999 to 2017, prior to its sale to Abbott Corporation. From 2013 until 2019 he served on the board of directors of Owens &amp; Minor, Inc., (NYSE: OMI), from 2005 until 2008 he served on the board of directors of Zimmer Holdings, Inc., (NYSE: ZMH), and from 1998 to 2002, he served on the board of directors of Vital Signs, Inc., (Nasdaq: VITL).</w:t>
      </w:r>
    </w:p>
    <w:p>
      <w:pPr>
        <w:spacing w:after="0" w:line="78" w:lineRule="exact"/>
        <w:rPr>
          <w:sz w:val="20"/>
          <w:szCs w:val="20"/>
          <w:color w:val="auto"/>
        </w:rPr>
      </w:pPr>
    </w:p>
    <w:p>
      <w:pPr>
        <w:ind w:right="100"/>
        <w:spacing w:after="0" w:line="318" w:lineRule="auto"/>
        <w:rPr>
          <w:sz w:val="20"/>
          <w:szCs w:val="20"/>
          <w:color w:val="auto"/>
        </w:rPr>
      </w:pPr>
      <w:r>
        <w:rPr>
          <w:rFonts w:ascii="Arial" w:cs="Arial" w:eastAsia="Arial" w:hAnsi="Arial"/>
          <w:sz w:val="14"/>
          <w:szCs w:val="14"/>
          <w:b w:val="1"/>
          <w:bCs w:val="1"/>
          <w:color w:val="009845"/>
        </w:rPr>
        <w:t xml:space="preserve">Other Professional Experience and Community Involvement: </w:t>
      </w:r>
      <w:r>
        <w:rPr>
          <w:rFonts w:ascii="Arial" w:cs="Arial" w:eastAsia="Arial" w:hAnsi="Arial"/>
          <w:sz w:val="14"/>
          <w:szCs w:val="14"/>
          <w:color w:val="58595B"/>
        </w:rPr>
        <w:t>Dr. Essig currently serves on the board of managers of Availity, LLC,</w:t>
      </w:r>
      <w:r>
        <w:rPr>
          <w:rFonts w:ascii="Arial" w:cs="Arial" w:eastAsia="Arial" w:hAnsi="Arial"/>
          <w:sz w:val="14"/>
          <w:szCs w:val="14"/>
          <w:b w:val="1"/>
          <w:bCs w:val="1"/>
          <w:color w:val="009845"/>
        </w:rPr>
        <w:t xml:space="preserve"> </w:t>
      </w:r>
      <w:r>
        <w:rPr>
          <w:rFonts w:ascii="Arial" w:cs="Arial" w:eastAsia="Arial" w:hAnsi="Arial"/>
          <w:sz w:val="14"/>
          <w:szCs w:val="14"/>
          <w:color w:val="58595B"/>
        </w:rPr>
        <w:t>the nation’s largest real-time health information network. Dr Essig is a venture partner at Wellington Partners Advisory AG, a venture capital firm. He previously served as a senior advisor to TowerBrook Capital Partners and Water Street Healthcare Partners and as an executive-in-residence at Cardinal Partners. Dr. Essig is also the former chairman of the board of directors of venture-backed Mission Bio Inc., and former lead director and executive chairman of the board of directors of private-equity backed Breg, Inc., a premium provider of high-value sports medicine products and services that advance patient care in orthopedics. Dr. Essig has also served on the executive committee, nominating and governance committee, and was the treasurer of, ADVAMED, the Advanced Medical Technology Association.</w:t>
      </w:r>
    </w:p>
    <w:p>
      <w:pPr>
        <w:spacing w:after="0" w:line="289" w:lineRule="exact"/>
        <w:rPr>
          <w:sz w:val="20"/>
          <w:szCs w:val="20"/>
          <w:color w:val="auto"/>
        </w:rPr>
      </w:pPr>
    </w:p>
    <w:p>
      <w:pPr>
        <w:spacing w:after="0" w:line="323" w:lineRule="auto"/>
        <w:rPr>
          <w:sz w:val="20"/>
          <w:szCs w:val="20"/>
          <w:color w:val="auto"/>
        </w:rPr>
      </w:pPr>
      <w:r>
        <w:rPr>
          <w:rFonts w:ascii="Arial" w:cs="Arial" w:eastAsia="Arial" w:hAnsi="Arial"/>
          <w:sz w:val="14"/>
          <w:szCs w:val="14"/>
          <w:color w:val="58595B"/>
        </w:rPr>
        <w:t>Dr. Essig has also been involved in several non-profit and charitable organizations. He serves on the Leadership Council of the Princeton University School of Engineering and Applied Sciences, and previously served on the NACD Compensation Committee Chair Advisory Council. From 2012 to 2018, he served on the board of directors of Trenton-area non-profit, Isles, Inc. and from 2006 to 2023 served as a volunteer and fundraiser for the Children’s Brain Tumor Foundation.</w:t>
      </w:r>
    </w:p>
    <w:p>
      <w:pPr>
        <w:spacing w:after="0" w:line="65" w:lineRule="exact"/>
        <w:rPr>
          <w:sz w:val="20"/>
          <w:szCs w:val="20"/>
          <w:color w:val="auto"/>
        </w:rPr>
      </w:pPr>
    </w:p>
    <w:p>
      <w:pPr>
        <w:jc w:val="both"/>
        <w:ind w:right="200"/>
        <w:spacing w:after="0" w:line="333" w:lineRule="auto"/>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Dr. Essig received an A.B. degree, and graduated with magna cum laude honors, from the Princeton School of Public and</w:t>
      </w:r>
      <w:r>
        <w:rPr>
          <w:rFonts w:ascii="Arial" w:cs="Arial" w:eastAsia="Arial" w:hAnsi="Arial"/>
          <w:sz w:val="14"/>
          <w:szCs w:val="14"/>
          <w:b w:val="1"/>
          <w:bCs w:val="1"/>
          <w:color w:val="009845"/>
        </w:rPr>
        <w:t xml:space="preserve"> </w:t>
      </w:r>
      <w:r>
        <w:rPr>
          <w:rFonts w:ascii="Arial" w:cs="Arial" w:eastAsia="Arial" w:hAnsi="Arial"/>
          <w:sz w:val="14"/>
          <w:szCs w:val="14"/>
          <w:color w:val="58595B"/>
        </w:rPr>
        <w:t>International Affairs at Princeton University and an M.B.A. and Ph.D. in Financial Economics from the University of Chicago, Graduate School of Business.</w:t>
      </w:r>
    </w:p>
    <w:p>
      <w:pPr>
        <w:spacing w:after="0" w:line="72" w:lineRule="exact"/>
        <w:rPr>
          <w:sz w:val="20"/>
          <w:szCs w:val="20"/>
          <w:color w:val="auto"/>
        </w:rPr>
      </w:pPr>
    </w:p>
    <w:p>
      <w:pPr>
        <w:ind w:right="140"/>
        <w:spacing w:after="0" w:line="323" w:lineRule="auto"/>
        <w:rPr>
          <w:sz w:val="20"/>
          <w:szCs w:val="20"/>
          <w:color w:val="auto"/>
        </w:rPr>
      </w:pPr>
      <w:r>
        <w:rPr>
          <w:rFonts w:ascii="Arial" w:cs="Arial" w:eastAsia="Arial" w:hAnsi="Arial"/>
          <w:sz w:val="14"/>
          <w:szCs w:val="14"/>
          <w:b w:val="1"/>
          <w:bCs w:val="1"/>
          <w:color w:val="009845"/>
        </w:rPr>
        <w:t xml:space="preserve">Key Experience and Qualifications: </w:t>
      </w:r>
      <w:r>
        <w:rPr>
          <w:rFonts w:ascii="Arial" w:cs="Arial" w:eastAsia="Arial" w:hAnsi="Arial"/>
          <w:sz w:val="14"/>
          <w:szCs w:val="14"/>
          <w:color w:val="58595B"/>
        </w:rPr>
        <w:t>We believe Dr. Essig's qualifications to serve on our Board include his broad experience in the</w:t>
      </w:r>
      <w:r>
        <w:rPr>
          <w:rFonts w:ascii="Arial" w:cs="Arial" w:eastAsia="Arial" w:hAnsi="Arial"/>
          <w:sz w:val="14"/>
          <w:szCs w:val="14"/>
          <w:b w:val="1"/>
          <w:bCs w:val="1"/>
          <w:color w:val="009845"/>
        </w:rPr>
        <w:t xml:space="preserve"> </w:t>
      </w:r>
      <w:r>
        <w:rPr>
          <w:rFonts w:ascii="Arial" w:cs="Arial" w:eastAsia="Arial" w:hAnsi="Arial"/>
          <w:sz w:val="14"/>
          <w:szCs w:val="14"/>
          <w:color w:val="58595B"/>
        </w:rPr>
        <w:t>medical device and healthcare industries, executive management and oversight, international business, manufacturing, finance, and accounting fields coupled with his service on the boards of publicly traded companies for over 30 years and his extensive knowledge of the health care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741680</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720"/>
            <w:col w:w="870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12</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8" w:name="page19"/>
    <w:bookmarkEnd w:id="18"/>
    <w:p>
      <w:pPr>
        <w:ind w:left="10600"/>
        <w:spacing w:after="0"/>
        <w:rPr>
          <w:sz w:val="20"/>
          <w:szCs w:val="20"/>
          <w:color w:val="auto"/>
        </w:rPr>
      </w:pPr>
      <w:r>
        <w:rPr>
          <w:rFonts w:ascii="Arial" w:cs="Arial" w:eastAsia="Arial" w:hAnsi="Arial"/>
          <w:sz w:val="12"/>
          <w:szCs w:val="12"/>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661035</wp:posOffset>
            </wp:positionV>
            <wp:extent cx="7123430" cy="10890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23430" cy="108902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354455" cy="12687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54455" cy="1268730"/>
                    </a:xfrm>
                    <a:prstGeom prst="rect">
                      <a:avLst/>
                    </a:prstGeom>
                    <a:noFill/>
                  </pic:spPr>
                </pic:pic>
              </a:graphicData>
            </a:graphic>
          </wp:anchor>
        </w:drawing>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2023</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Compensation, Nominating</w:t>
      </w:r>
    </w:p>
    <w:p>
      <w:pPr>
        <w:spacing w:after="0" w:line="24"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and Corporate Governance,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799465</wp:posOffset>
            </wp:positionV>
            <wp:extent cx="1088390" cy="10890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88390" cy="1089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Jeffrey A. Graves, Ph.D. </w:t>
      </w:r>
      <w:r>
        <w:rPr>
          <w:rFonts w:ascii="Arial" w:cs="Arial" w:eastAsia="Arial" w:hAnsi="Arial"/>
          <w:sz w:val="22"/>
          <w:szCs w:val="22"/>
          <w:color w:val="FFFFFF"/>
        </w:rPr>
        <w:t>– President and CEO, 3D Systems Corporation</w:t>
      </w:r>
    </w:p>
    <w:p>
      <w:pPr>
        <w:spacing w:after="0" w:line="266" w:lineRule="exact"/>
        <w:rPr>
          <w:sz w:val="20"/>
          <w:szCs w:val="20"/>
          <w:color w:val="auto"/>
        </w:rPr>
      </w:pPr>
    </w:p>
    <w:p>
      <w:pPr>
        <w:ind w:right="20"/>
        <w:spacing w:after="0" w:line="322" w:lineRule="auto"/>
        <w:rPr>
          <w:sz w:val="20"/>
          <w:szCs w:val="20"/>
          <w:color w:val="auto"/>
        </w:rPr>
      </w:pPr>
      <w:r>
        <w:rPr>
          <w:rFonts w:ascii="Arial" w:cs="Arial" w:eastAsia="Arial" w:hAnsi="Arial"/>
          <w:sz w:val="14"/>
          <w:szCs w:val="14"/>
          <w:color w:val="58595B"/>
        </w:rPr>
        <w:t>Dr. Graves is currently President and CEO of 3D Systems Corporation, a leading additive manufacturing solutions provider to industrial and healthcare companies. From 2012 to May 2020, Dr. Graves served as President and Chief Executive Officer and a director of MTS Systems Corporation, a global supplier of test, simulation, and measurement systems. From 2005 until 2012, he served as President and CEO of C&amp;D Technologies, Inc. Dr. Graves also held leadership roles with Kemet Corporation as Chief Operating Officer (2001 to 2003) and CEO (2003 to 2005). Previously he held a number of leadership and technical roles with GE, Rockwell, and Howmet Corporation.</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009845"/>
        </w:rPr>
        <w:t xml:space="preserve">Other Public Company Directorships: </w:t>
      </w:r>
      <w:r>
        <w:rPr>
          <w:rFonts w:ascii="Arial" w:cs="Arial" w:eastAsia="Arial" w:hAnsi="Arial"/>
          <w:sz w:val="14"/>
          <w:szCs w:val="14"/>
          <w:color w:val="58595B"/>
        </w:rPr>
        <w:t>Since May 2020, Dr. Graves has served as a board member of 3D Systems Corporation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58595B"/>
        </w:rPr>
        <w:t>(NYSE: DDD). Dr. Graves served on the board of Hexcel Corporation (NYSE: HXL) 2007 to 2024. Dr. Graves previously served as a</w:t>
      </w:r>
    </w:p>
    <w:p>
      <w:pPr>
        <w:spacing w:after="0" w:line="42" w:lineRule="exact"/>
        <w:rPr>
          <w:sz w:val="20"/>
          <w:szCs w:val="20"/>
          <w:color w:val="auto"/>
        </w:rPr>
      </w:pPr>
    </w:p>
    <w:p>
      <w:pPr>
        <w:ind w:right="360"/>
        <w:spacing w:after="0" w:line="365" w:lineRule="auto"/>
        <w:rPr>
          <w:sz w:val="20"/>
          <w:szCs w:val="20"/>
          <w:color w:val="auto"/>
        </w:rPr>
      </w:pPr>
      <w:r>
        <w:rPr>
          <w:rFonts w:ascii="Arial" w:cs="Arial" w:eastAsia="Arial" w:hAnsi="Arial"/>
          <w:sz w:val="14"/>
          <w:szCs w:val="14"/>
          <w:color w:val="58595B"/>
        </w:rPr>
        <w:t>board member for FARO Technologies, Inc. (Nasdaq: FARO) from 2019 to 2022, MTS Systems Corporation from 2012 to 2020, and Teleflex Incorporated from 2007 to 2019.</w:t>
      </w:r>
    </w:p>
    <w:p>
      <w:pPr>
        <w:spacing w:after="0" w:line="37" w:lineRule="exact"/>
        <w:rPr>
          <w:sz w:val="20"/>
          <w:szCs w:val="20"/>
          <w:color w:val="auto"/>
        </w:rPr>
      </w:pPr>
    </w:p>
    <w:p>
      <w:pPr>
        <w:ind w:right="280"/>
        <w:spacing w:after="0" w:line="365" w:lineRule="auto"/>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Dr. Graves received a bachelor’s degree in metallurgical engineering from Purdue University and completed his master’s</w:t>
      </w:r>
      <w:r>
        <w:rPr>
          <w:rFonts w:ascii="Arial" w:cs="Arial" w:eastAsia="Arial" w:hAnsi="Arial"/>
          <w:sz w:val="14"/>
          <w:szCs w:val="14"/>
          <w:b w:val="1"/>
          <w:bCs w:val="1"/>
          <w:color w:val="009845"/>
        </w:rPr>
        <w:t xml:space="preserve"> </w:t>
      </w:r>
      <w:r>
        <w:rPr>
          <w:rFonts w:ascii="Arial" w:cs="Arial" w:eastAsia="Arial" w:hAnsi="Arial"/>
          <w:sz w:val="14"/>
          <w:szCs w:val="14"/>
          <w:color w:val="58595B"/>
        </w:rPr>
        <w:t>degree and Ph.D. in metallurgical engineering at the University of Wisconsin.</w:t>
      </w:r>
    </w:p>
    <w:p>
      <w:pPr>
        <w:spacing w:after="0" w:line="37" w:lineRule="exact"/>
        <w:rPr>
          <w:sz w:val="20"/>
          <w:szCs w:val="20"/>
          <w:color w:val="auto"/>
        </w:rPr>
      </w:pPr>
    </w:p>
    <w:p>
      <w:pPr>
        <w:jc w:val="both"/>
        <w:ind w:right="140"/>
        <w:spacing w:after="0" w:line="333" w:lineRule="auto"/>
        <w:rPr>
          <w:sz w:val="20"/>
          <w:szCs w:val="20"/>
          <w:color w:val="auto"/>
        </w:rPr>
      </w:pPr>
      <w:r>
        <w:rPr>
          <w:rFonts w:ascii="Arial" w:cs="Arial" w:eastAsia="Arial" w:hAnsi="Arial"/>
          <w:sz w:val="14"/>
          <w:szCs w:val="14"/>
          <w:b w:val="1"/>
          <w:bCs w:val="1"/>
          <w:color w:val="009845"/>
        </w:rPr>
        <w:t xml:space="preserve">Key Experience and Qualifications: </w:t>
      </w:r>
      <w:r>
        <w:rPr>
          <w:rFonts w:ascii="Arial" w:cs="Arial" w:eastAsia="Arial" w:hAnsi="Arial"/>
          <w:sz w:val="14"/>
          <w:szCs w:val="14"/>
          <w:color w:val="58595B"/>
        </w:rPr>
        <w:t>We believe Dr. Graves' qualifications to serve on our Board include his management experience,</w:t>
      </w:r>
      <w:r>
        <w:rPr>
          <w:rFonts w:ascii="Arial" w:cs="Arial" w:eastAsia="Arial" w:hAnsi="Arial"/>
          <w:sz w:val="14"/>
          <w:szCs w:val="14"/>
          <w:b w:val="1"/>
          <w:bCs w:val="1"/>
          <w:color w:val="009845"/>
        </w:rPr>
        <w:t xml:space="preserve"> </w:t>
      </w:r>
      <w:r>
        <w:rPr>
          <w:rFonts w:ascii="Arial" w:cs="Arial" w:eastAsia="Arial" w:hAnsi="Arial"/>
          <w:sz w:val="14"/>
          <w:szCs w:val="14"/>
          <w:color w:val="58595B"/>
        </w:rPr>
        <w:t>strategic, operational and financial experience and a perspective on strategy and growth for the benefit of our stockholders. In addition, Dr. Graves has extensive experience serving on the boards of other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351790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608965</wp:posOffset>
            </wp:positionV>
            <wp:extent cx="5554980" cy="2317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54980" cy="231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400"/>
            <w:col w:w="872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354455" cy="1543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54455" cy="1543050"/>
                    </a:xfrm>
                    <a:prstGeom prst="rect">
                      <a:avLst/>
                    </a:prstGeom>
                    <a:noFill/>
                  </pic:spPr>
                </pic:pic>
              </a:graphicData>
            </a:graphic>
          </wp:anchor>
        </w:drawing>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2013</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Presiding Director</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Compensation, Nominating</w:t>
      </w:r>
    </w:p>
    <w:p>
      <w:pPr>
        <w:spacing w:after="0" w:line="24"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and Corporate Governance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(Chair), Quality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Barbara B. Hill </w:t>
      </w:r>
      <w:r>
        <w:rPr>
          <w:rFonts w:ascii="Arial" w:cs="Arial" w:eastAsia="Arial" w:hAnsi="Arial"/>
          <w:sz w:val="22"/>
          <w:szCs w:val="22"/>
          <w:color w:val="FFFFFF"/>
        </w:rPr>
        <w:t>– Operating Partner, NexPhase Capital</w:t>
      </w:r>
    </w:p>
    <w:p>
      <w:pPr>
        <w:spacing w:after="0" w:line="266" w:lineRule="exact"/>
        <w:rPr>
          <w:sz w:val="20"/>
          <w:szCs w:val="20"/>
          <w:color w:val="auto"/>
        </w:rPr>
      </w:pPr>
    </w:p>
    <w:p>
      <w:pPr>
        <w:ind w:right="40"/>
        <w:spacing w:after="0" w:line="318" w:lineRule="auto"/>
        <w:rPr>
          <w:sz w:val="20"/>
          <w:szCs w:val="20"/>
          <w:color w:val="auto"/>
        </w:rPr>
      </w:pPr>
      <w:r>
        <w:rPr>
          <w:rFonts w:ascii="Arial" w:cs="Arial" w:eastAsia="Arial" w:hAnsi="Arial"/>
          <w:sz w:val="14"/>
          <w:szCs w:val="14"/>
          <w:color w:val="58595B"/>
        </w:rPr>
        <w:t>Ms. Hill is currently an operating partner of NexPhase Capital, a private equity firm (formerly Moelis Capital Partners), where she focuses on healthcare related investments and has provided strategic operating support for its healthcare portfolio companies since 2011. From March 2006 to September 2010, Ms. Hill served as chief executive officer and a director of ValueOptions, Inc., a managed behavioral health company, and FHC Health Systems, Inc., its parent company. Prior to that, Ms. Hill served as president and a director of Express Scripts, Inc., a pharmacy benefits management company. In previous positions, Ms. Hill was responsible for operations nationally at Cigna HealthCare, and also served as the CEO of health plans owned by Prudential, Aetna and the Johns Hopkins Health System.</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009845"/>
        </w:rPr>
        <w:t xml:space="preserve">Other Public Company Directorships: </w:t>
      </w:r>
      <w:r>
        <w:rPr>
          <w:rFonts w:ascii="Arial" w:cs="Arial" w:eastAsia="Arial" w:hAnsi="Arial"/>
          <w:sz w:val="14"/>
          <w:szCs w:val="14"/>
          <w:color w:val="58595B"/>
        </w:rPr>
        <w:t>Ms. Hill currently serves as a board member of Omega Healthcare Investors, Inc. (NYSE: OHI)</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58595B"/>
        </w:rPr>
        <w:t>and previously as a board member for Owens &amp; Minor Inc. (NYSE: OMI), and St. Jude Medical Corporation (NYSE: STJ).</w:t>
      </w:r>
    </w:p>
    <w:p>
      <w:pPr>
        <w:spacing w:after="0" w:line="150" w:lineRule="exact"/>
        <w:rPr>
          <w:sz w:val="20"/>
          <w:szCs w:val="20"/>
          <w:color w:val="auto"/>
        </w:rPr>
      </w:pPr>
    </w:p>
    <w:p>
      <w:pPr>
        <w:ind w:right="560"/>
        <w:spacing w:after="0" w:line="365" w:lineRule="auto"/>
        <w:rPr>
          <w:sz w:val="20"/>
          <w:szCs w:val="20"/>
          <w:color w:val="auto"/>
        </w:rPr>
      </w:pPr>
      <w:r>
        <w:rPr>
          <w:rFonts w:ascii="Arial" w:cs="Arial" w:eastAsia="Arial" w:hAnsi="Arial"/>
          <w:sz w:val="14"/>
          <w:szCs w:val="14"/>
          <w:b w:val="1"/>
          <w:bCs w:val="1"/>
          <w:color w:val="009845"/>
        </w:rPr>
        <w:t xml:space="preserve">Other Professional Experience and Community Involvement: </w:t>
      </w:r>
      <w:r>
        <w:rPr>
          <w:rFonts w:ascii="Arial" w:cs="Arial" w:eastAsia="Arial" w:hAnsi="Arial"/>
          <w:sz w:val="14"/>
          <w:szCs w:val="14"/>
          <w:color w:val="58595B"/>
        </w:rPr>
        <w:t>Ms. Hill has been active with the boards and committees of the</w:t>
      </w:r>
      <w:r>
        <w:rPr>
          <w:rFonts w:ascii="Arial" w:cs="Arial" w:eastAsia="Arial" w:hAnsi="Arial"/>
          <w:sz w:val="14"/>
          <w:szCs w:val="14"/>
          <w:b w:val="1"/>
          <w:bCs w:val="1"/>
          <w:color w:val="009845"/>
        </w:rPr>
        <w:t xml:space="preserve"> </w:t>
      </w:r>
      <w:r>
        <w:rPr>
          <w:rFonts w:ascii="Arial" w:cs="Arial" w:eastAsia="Arial" w:hAnsi="Arial"/>
          <w:sz w:val="14"/>
          <w:szCs w:val="14"/>
          <w:color w:val="58595B"/>
        </w:rPr>
        <w:t>Association of Health Insurance Plans and other health insurance industry groups.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Ms. Hill received B.A and M.S. degrees from Johns Hopkins University.</w:t>
      </w:r>
    </w:p>
    <w:p>
      <w:pPr>
        <w:spacing w:after="0" w:line="163" w:lineRule="exact"/>
        <w:rPr>
          <w:sz w:val="20"/>
          <w:szCs w:val="20"/>
          <w:color w:val="auto"/>
        </w:rPr>
      </w:pPr>
    </w:p>
    <w:p>
      <w:pPr>
        <w:ind w:right="120"/>
        <w:spacing w:after="0" w:line="333" w:lineRule="auto"/>
        <w:rPr>
          <w:sz w:val="20"/>
          <w:szCs w:val="20"/>
          <w:color w:val="auto"/>
        </w:rPr>
      </w:pPr>
      <w:r>
        <w:rPr>
          <w:rFonts w:ascii="Arial" w:cs="Arial" w:eastAsia="Arial" w:hAnsi="Arial"/>
          <w:sz w:val="14"/>
          <w:szCs w:val="14"/>
          <w:b w:val="1"/>
          <w:bCs w:val="1"/>
          <w:color w:val="009845"/>
        </w:rPr>
        <w:t xml:space="preserve">Key Qualifications: </w:t>
      </w:r>
      <w:r>
        <w:rPr>
          <w:rFonts w:ascii="Arial" w:cs="Arial" w:eastAsia="Arial" w:hAnsi="Arial"/>
          <w:sz w:val="14"/>
          <w:szCs w:val="14"/>
          <w:color w:val="58595B"/>
        </w:rPr>
        <w:t>We believe Ms. Hill's qualifications to serve on our Board include her management experience, strategic and</w:t>
      </w:r>
      <w:r>
        <w:rPr>
          <w:rFonts w:ascii="Arial" w:cs="Arial" w:eastAsia="Arial" w:hAnsi="Arial"/>
          <w:sz w:val="14"/>
          <w:szCs w:val="14"/>
          <w:b w:val="1"/>
          <w:bCs w:val="1"/>
          <w:color w:val="009845"/>
        </w:rPr>
        <w:t xml:space="preserve"> </w:t>
      </w:r>
      <w:r>
        <w:rPr>
          <w:rFonts w:ascii="Arial" w:cs="Arial" w:eastAsia="Arial" w:hAnsi="Arial"/>
          <w:sz w:val="14"/>
          <w:szCs w:val="14"/>
          <w:color w:val="58595B"/>
        </w:rPr>
        <w:t>operational experience in the managed healthcare and pharmaceutical industries, as well as compliance and manufacturing experience in the healthcare industry, coupled with her experience serving on boards of other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583565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460"/>
            <w:col w:w="872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13</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3"/>
          <w:szCs w:val="13"/>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653415</wp:posOffset>
            </wp:positionV>
            <wp:extent cx="1354455" cy="22631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5445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45</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2022</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Compensation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1092200</wp:posOffset>
            </wp:positionV>
            <wp:extent cx="1088390" cy="10890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88390" cy="1089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Renee W. Lo </w:t>
      </w:r>
      <w:r>
        <w:rPr>
          <w:rFonts w:ascii="Arial" w:cs="Arial" w:eastAsia="Arial" w:hAnsi="Arial"/>
          <w:sz w:val="22"/>
          <w:szCs w:val="22"/>
          <w:color w:val="FFFFFF"/>
        </w:rPr>
        <w:t>– Vice President APAC, Sales Solutions, LinkedIn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-184785</wp:posOffset>
            </wp:positionV>
            <wp:extent cx="5554980" cy="2311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54980" cy="231140"/>
                    </a:xfrm>
                    <a:prstGeom prst="rect">
                      <a:avLst/>
                    </a:prstGeom>
                    <a:noFill/>
                  </pic:spPr>
                </pic:pic>
              </a:graphicData>
            </a:graphic>
          </wp:anchor>
        </w:drawing>
      </w:r>
    </w:p>
    <w:p>
      <w:pPr>
        <w:spacing w:after="0" w:line="246" w:lineRule="exact"/>
        <w:rPr>
          <w:sz w:val="20"/>
          <w:szCs w:val="20"/>
          <w:color w:val="auto"/>
        </w:rPr>
      </w:pPr>
    </w:p>
    <w:p>
      <w:pPr>
        <w:spacing w:after="0" w:line="317" w:lineRule="auto"/>
        <w:rPr>
          <w:sz w:val="20"/>
          <w:szCs w:val="20"/>
          <w:color w:val="auto"/>
        </w:rPr>
      </w:pPr>
      <w:r>
        <w:rPr>
          <w:rFonts w:ascii="Arial" w:cs="Arial" w:eastAsia="Arial" w:hAnsi="Arial"/>
          <w:sz w:val="14"/>
          <w:szCs w:val="14"/>
          <w:color w:val="58595B"/>
        </w:rPr>
        <w:t>Since February 2025, Ms. Lo has served as Vice President APAC, Sales Solutions for LinkedIn Corporation, responsible for leading the commercial organization focused on sales and marketing efforts for customers in the Asia Pacific region. From October 2022 to January 2025, Ms. Lo served as partner CTO, APAC Regional Director for Google, responsible for leading the partner technology organization across the Asia Pacific region. From 2019 to September 2022, Ms. Lo was the general manager for Microsoft, leading its data and artificial intelligence business in Asia. Prior to Microsoft, from 2015 to 2019, she built regional technology teams at Amazon Web Services and ran the global business development team for Amazon.com, focusing on telecommunications, consumer hardware devices, and new services. Ms. Lo has more than 13 years of experience in North America, including roles with Microsoft, SAP and Pivotal Software, in addition to Amazon, focusing on collaborative and cloud technologies. She has held leadership roles within product development, commercial, operations, business and corporate strategy.</w:t>
      </w:r>
    </w:p>
    <w:p>
      <w:pPr>
        <w:spacing w:after="0" w:line="71" w:lineRule="exact"/>
        <w:rPr>
          <w:sz w:val="20"/>
          <w:szCs w:val="20"/>
          <w:color w:val="auto"/>
        </w:rPr>
      </w:pPr>
    </w:p>
    <w:p>
      <w:pPr>
        <w:ind w:right="240"/>
        <w:spacing w:after="0" w:line="365" w:lineRule="auto"/>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Ms. Lo received a bachelor’s degree in computer science from the University of British Columbia, and an M.B.A. from the</w:t>
      </w:r>
      <w:r>
        <w:rPr>
          <w:rFonts w:ascii="Arial" w:cs="Arial" w:eastAsia="Arial" w:hAnsi="Arial"/>
          <w:sz w:val="14"/>
          <w:szCs w:val="14"/>
          <w:b w:val="1"/>
          <w:bCs w:val="1"/>
          <w:color w:val="009845"/>
        </w:rPr>
        <w:t xml:space="preserve"> </w:t>
      </w:r>
      <w:r>
        <w:rPr>
          <w:rFonts w:ascii="Arial" w:cs="Arial" w:eastAsia="Arial" w:hAnsi="Arial"/>
          <w:sz w:val="14"/>
          <w:szCs w:val="14"/>
          <w:color w:val="58595B"/>
        </w:rPr>
        <w:t>University of Manchester.</w:t>
      </w:r>
    </w:p>
    <w:p>
      <w:pPr>
        <w:spacing w:after="0" w:line="37" w:lineRule="exact"/>
        <w:rPr>
          <w:sz w:val="20"/>
          <w:szCs w:val="20"/>
          <w:color w:val="auto"/>
        </w:rPr>
      </w:pPr>
    </w:p>
    <w:p>
      <w:pPr>
        <w:ind w:right="200"/>
        <w:spacing w:after="0" w:line="333" w:lineRule="auto"/>
        <w:rPr>
          <w:sz w:val="20"/>
          <w:szCs w:val="20"/>
          <w:color w:val="auto"/>
        </w:rPr>
      </w:pPr>
      <w:r>
        <w:rPr>
          <w:rFonts w:ascii="Arial" w:cs="Arial" w:eastAsia="Arial" w:hAnsi="Arial"/>
          <w:sz w:val="14"/>
          <w:szCs w:val="14"/>
          <w:b w:val="1"/>
          <w:bCs w:val="1"/>
          <w:color w:val="009845"/>
        </w:rPr>
        <w:t xml:space="preserve">Primary Qualifications: </w:t>
      </w:r>
      <w:r>
        <w:rPr>
          <w:rFonts w:ascii="Arial" w:cs="Arial" w:eastAsia="Arial" w:hAnsi="Arial"/>
          <w:sz w:val="14"/>
          <w:szCs w:val="14"/>
          <w:color w:val="58595B"/>
        </w:rPr>
        <w:t>We believe Ms. Lo's qualifications to serve on our Board include her experience driving digital transformation</w:t>
      </w:r>
      <w:r>
        <w:rPr>
          <w:rFonts w:ascii="Arial" w:cs="Arial" w:eastAsia="Arial" w:hAnsi="Arial"/>
          <w:sz w:val="14"/>
          <w:szCs w:val="14"/>
          <w:b w:val="1"/>
          <w:bCs w:val="1"/>
          <w:color w:val="009845"/>
        </w:rPr>
        <w:t xml:space="preserve"> </w:t>
      </w:r>
      <w:r>
        <w:rPr>
          <w:rFonts w:ascii="Arial" w:cs="Arial" w:eastAsia="Arial" w:hAnsi="Arial"/>
          <w:sz w:val="14"/>
          <w:szCs w:val="14"/>
          <w:color w:val="58595B"/>
        </w:rPr>
        <w:t>across industries and implementing global corporate strategies, bolstered by her management experience, including leadership roles within product development, commercial, international operations, business and corporate strategy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463550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720725</wp:posOffset>
            </wp:positionV>
            <wp:extent cx="5554980" cy="2311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54980" cy="231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720"/>
            <w:col w:w="870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354455" cy="6083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54455" cy="608330"/>
                    </a:xfrm>
                    <a:prstGeom prst="rect">
                      <a:avLst/>
                    </a:prstGeom>
                    <a:noFill/>
                  </pic:spPr>
                </pic:pic>
              </a:graphicData>
            </a:graphic>
          </wp:anchor>
        </w:drawing>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Mojdeh Poul </w:t>
      </w:r>
      <w:r>
        <w:rPr>
          <w:rFonts w:ascii="Arial" w:cs="Arial" w:eastAsia="Arial" w:hAnsi="Arial"/>
          <w:sz w:val="22"/>
          <w:szCs w:val="22"/>
          <w:color w:val="FFFFFF"/>
        </w:rPr>
        <w:t>– President and Chief Executive Officer</w:t>
      </w:r>
    </w:p>
    <w:p>
      <w:pPr>
        <w:spacing w:after="0" w:line="266" w:lineRule="exact"/>
        <w:rPr>
          <w:sz w:val="20"/>
          <w:szCs w:val="20"/>
          <w:color w:val="auto"/>
        </w:rPr>
      </w:pPr>
    </w:p>
    <w:p>
      <w:pPr>
        <w:ind w:right="80"/>
        <w:spacing w:after="0" w:line="318" w:lineRule="auto"/>
        <w:rPr>
          <w:sz w:val="20"/>
          <w:szCs w:val="20"/>
          <w:color w:val="auto"/>
        </w:rPr>
      </w:pPr>
      <w:r>
        <w:rPr>
          <w:rFonts w:ascii="Arial" w:cs="Arial" w:eastAsia="Arial" w:hAnsi="Arial"/>
          <w:sz w:val="14"/>
          <w:szCs w:val="14"/>
          <w:color w:val="58595B"/>
        </w:rPr>
        <w:t>Ms. Poul has served as our President and Chief Executive Officer since January 2025. Ms. Poul has over thirty years of experience leading global businesses and operations in large multinational organizations. From April 2019 to June 2022, Ms. Poul served as the Executive Vice President and Group President of 3M Company’s Healthcare Business, where she led the global P&amp;L, strategy, manufacturing and commercial operations, and R&amp;D for the $8.6 billion Healthcare Business Group. Prior to that, Ms. Poul held multiple leadership roles at 3M, including Executive Vice President of Safety &amp; Graphics Business Group, President of 3M Canada, and President of two divisions within the 3M Healthcare Business Group. Before joining 3M in April of 2011, Ms. Poul held global business leadership roles of increasing responsibility with leading global medical technology companies, including Medtronic, Boston Scientific, and Teleflex Medical.</w:t>
      </w:r>
    </w:p>
    <w:p>
      <w:pPr>
        <w:spacing w:after="0" w:line="275" w:lineRule="exact"/>
        <w:rPr>
          <w:sz w:val="20"/>
          <w:szCs w:val="20"/>
          <w:color w:val="auto"/>
        </w:rPr>
      </w:pPr>
    </w:p>
    <w:p>
      <w:pPr>
        <w:jc w:val="both"/>
        <w:ind w:right="60"/>
        <w:spacing w:after="0" w:line="333" w:lineRule="auto"/>
        <w:rPr>
          <w:sz w:val="20"/>
          <w:szCs w:val="20"/>
          <w:color w:val="auto"/>
        </w:rPr>
      </w:pPr>
      <w:r>
        <w:rPr>
          <w:rFonts w:ascii="Arial" w:cs="Arial" w:eastAsia="Arial" w:hAnsi="Arial"/>
          <w:sz w:val="14"/>
          <w:szCs w:val="14"/>
          <w:b w:val="1"/>
          <w:bCs w:val="1"/>
          <w:color w:val="009845"/>
        </w:rPr>
        <w:t xml:space="preserve">Other Public Company Directorships: </w:t>
      </w:r>
      <w:r>
        <w:rPr>
          <w:rFonts w:ascii="Arial" w:cs="Arial" w:eastAsia="Arial" w:hAnsi="Arial"/>
          <w:sz w:val="14"/>
          <w:szCs w:val="14"/>
          <w:color w:val="58595B"/>
        </w:rPr>
        <w:t>Ms. Poul has served on the board of directors of Align Technology since December 2023 and is</w:t>
      </w:r>
      <w:r>
        <w:rPr>
          <w:rFonts w:ascii="Arial" w:cs="Arial" w:eastAsia="Arial" w:hAnsi="Arial"/>
          <w:sz w:val="14"/>
          <w:szCs w:val="14"/>
          <w:b w:val="1"/>
          <w:bCs w:val="1"/>
          <w:color w:val="009845"/>
        </w:rPr>
        <w:t xml:space="preserve"> </w:t>
      </w:r>
      <w:r>
        <w:rPr>
          <w:rFonts w:ascii="Arial" w:cs="Arial" w:eastAsia="Arial" w:hAnsi="Arial"/>
          <w:sz w:val="14"/>
          <w:szCs w:val="14"/>
          <w:color w:val="58595B"/>
        </w:rPr>
        <w:t>a member of the audit committee. Previously, Ms. Poul served on the board of directors of Stanley Black and Decker, Inc. from February 2021 to May 2025 and iRhythm Technologies, Inc. form June 2023 to May 2025.</w:t>
      </w:r>
    </w:p>
    <w:p>
      <w:pPr>
        <w:spacing w:after="0" w:line="72" w:lineRule="exact"/>
        <w:rPr>
          <w:sz w:val="20"/>
          <w:szCs w:val="20"/>
          <w:color w:val="auto"/>
        </w:rPr>
      </w:pPr>
    </w:p>
    <w:p>
      <w:pPr>
        <w:ind w:right="300"/>
        <w:spacing w:after="0" w:line="345" w:lineRule="auto"/>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Ms. Poul holds an M.B.A. from University of North Carolina at Chapel Hill as well as a Master of Engineering and B.S. in</w:t>
      </w:r>
      <w:r>
        <w:rPr>
          <w:rFonts w:ascii="Arial" w:cs="Arial" w:eastAsia="Arial" w:hAnsi="Arial"/>
          <w:sz w:val="14"/>
          <w:szCs w:val="14"/>
          <w:b w:val="1"/>
          <w:bCs w:val="1"/>
          <w:color w:val="009845"/>
        </w:rPr>
        <w:t xml:space="preserve"> </w:t>
      </w:r>
      <w:r>
        <w:rPr>
          <w:rFonts w:ascii="Arial" w:cs="Arial" w:eastAsia="Arial" w:hAnsi="Arial"/>
          <w:sz w:val="14"/>
          <w:szCs w:val="14"/>
          <w:color w:val="58595B"/>
        </w:rPr>
        <w:t>Mechanical Engineering from University of Louisville.</w:t>
      </w:r>
    </w:p>
    <w:p>
      <w:pPr>
        <w:spacing w:after="0" w:line="64" w:lineRule="exact"/>
        <w:rPr>
          <w:sz w:val="20"/>
          <w:szCs w:val="20"/>
          <w:color w:val="auto"/>
        </w:rPr>
      </w:pPr>
    </w:p>
    <w:p>
      <w:pPr>
        <w:ind w:right="100"/>
        <w:spacing w:after="0" w:line="323" w:lineRule="auto"/>
        <w:rPr>
          <w:sz w:val="20"/>
          <w:szCs w:val="20"/>
          <w:color w:val="auto"/>
        </w:rPr>
      </w:pPr>
      <w:r>
        <w:rPr>
          <w:rFonts w:ascii="Arial" w:cs="Arial" w:eastAsia="Arial" w:hAnsi="Arial"/>
          <w:sz w:val="14"/>
          <w:szCs w:val="14"/>
          <w:b w:val="1"/>
          <w:bCs w:val="1"/>
          <w:color w:val="009845"/>
        </w:rPr>
        <w:t xml:space="preserve">Key Experience and Qualifications: </w:t>
      </w:r>
      <w:r>
        <w:rPr>
          <w:rFonts w:ascii="Arial" w:cs="Arial" w:eastAsia="Arial" w:hAnsi="Arial"/>
          <w:sz w:val="14"/>
          <w:szCs w:val="14"/>
          <w:color w:val="58595B"/>
        </w:rPr>
        <w:t>We believe Ms. Poul's qualifications to serve on our Board include her over 30 years of executive</w:t>
      </w:r>
      <w:r>
        <w:rPr>
          <w:rFonts w:ascii="Arial" w:cs="Arial" w:eastAsia="Arial" w:hAnsi="Arial"/>
          <w:sz w:val="14"/>
          <w:szCs w:val="14"/>
          <w:b w:val="1"/>
          <w:bCs w:val="1"/>
          <w:color w:val="009845"/>
        </w:rPr>
        <w:t xml:space="preserve"> </w:t>
      </w:r>
      <w:r>
        <w:rPr>
          <w:rFonts w:ascii="Arial" w:cs="Arial" w:eastAsia="Arial" w:hAnsi="Arial"/>
          <w:sz w:val="14"/>
          <w:szCs w:val="14"/>
          <w:color w:val="58595B"/>
        </w:rPr>
        <w:t>management experience in the Healthcare/MedTech industry and her history of success in development and execution of corporate strategy, business transformation, portfolio management, and innovation. Moreover, Ms. Poul has extensive skills and experience in global business operations, P&amp;L management, marketing and government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535940</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720"/>
            <w:col w:w="870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14</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1354455" cy="23577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5445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65</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2006</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Audit (Chair),</w:t>
      </w:r>
    </w:p>
    <w:p>
      <w:pPr>
        <w:spacing w:after="0" w:line="24"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Finance (Chair)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654050</wp:posOffset>
            </wp:positionV>
            <wp:extent cx="5554980" cy="411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549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Christian S. Schade </w:t>
      </w:r>
      <w:r>
        <w:rPr>
          <w:rFonts w:ascii="Arial" w:cs="Arial" w:eastAsia="Arial" w:hAnsi="Arial"/>
          <w:sz w:val="22"/>
          <w:szCs w:val="22"/>
          <w:color w:val="FFFFFF"/>
        </w:rPr>
        <w:t>– Former Chief Executive Officer, Halda Therapeutics LLC</w:t>
      </w:r>
    </w:p>
    <w:p>
      <w:pPr>
        <w:spacing w:after="0" w:line="200" w:lineRule="exact"/>
        <w:rPr>
          <w:sz w:val="20"/>
          <w:szCs w:val="20"/>
          <w:color w:val="auto"/>
        </w:rPr>
      </w:pPr>
    </w:p>
    <w:p>
      <w:pPr>
        <w:spacing w:after="0" w:line="214" w:lineRule="exact"/>
        <w:rPr>
          <w:sz w:val="20"/>
          <w:szCs w:val="20"/>
          <w:color w:val="auto"/>
        </w:rPr>
      </w:pPr>
    </w:p>
    <w:p>
      <w:pPr>
        <w:ind w:right="60"/>
        <w:spacing w:after="0" w:line="316" w:lineRule="auto"/>
        <w:rPr>
          <w:sz w:val="20"/>
          <w:szCs w:val="20"/>
          <w:color w:val="auto"/>
        </w:rPr>
      </w:pPr>
      <w:r>
        <w:rPr>
          <w:rFonts w:ascii="Arial" w:cs="Arial" w:eastAsia="Arial" w:hAnsi="Arial"/>
          <w:sz w:val="14"/>
          <w:szCs w:val="14"/>
          <w:color w:val="58595B"/>
        </w:rPr>
        <w:t>Mr. Schade served as the Chief Executive Officer of Halda Therapeutics LLC ("Halda"), a clinical-stage biotechnology company, discovering novel medicines to target cancer and overcome drug resistance, from October 2024 until Halda's sale to Johnson &amp; Johnson Co. in December 2025 . Prior to his appointment at Halda, Mr. Schade served as a Growth Partner at Flagship Pioneering, a venture capital company that invests in biotechnology, life sciences, health and sustainability companies from January 2023 to October 2024. Previously, from April 2016 to 2022, he served as the chairman and chief executive officer of Aprea Therapeutics, Inc. Prior to joining Aprea Therapeutics, Mr. Schade was the chief executive officer of Novira Therapeutics, Inc., an antiviral drug discovery company until it was acquired by Johnson &amp; Johnson. He also served as executive vice president and chief financial officer of Omthera Pharmaceuticals, Inc., an emerging specialty pharmaceuticals company until it was purchased by AstraZeneca Plc. Mr. Schade previously held executive level positions with other publicly traded companies such as NRG Energy, serving as executive vice president and chief financial officer and Medarex Inc., as senior vice president administration and chief financial officer. He also held various corporate finance and capital markets positions in New York and London for both Merrill Lynch and JP Morgan Chase &amp; Co.</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009845"/>
        </w:rPr>
        <w:t xml:space="preserve">Other Public Company Directorships: </w:t>
      </w:r>
      <w:r>
        <w:rPr>
          <w:rFonts w:ascii="Arial" w:cs="Arial" w:eastAsia="Arial" w:hAnsi="Arial"/>
          <w:sz w:val="14"/>
          <w:szCs w:val="14"/>
          <w:color w:val="58595B"/>
        </w:rPr>
        <w:t>From July 2023 to January 2025, Mr. Schade served on the board of Omega Therapeutics, Inc.</w:t>
      </w:r>
    </w:p>
    <w:p>
      <w:pPr>
        <w:spacing w:after="0" w:line="42" w:lineRule="exact"/>
        <w:rPr>
          <w:sz w:val="20"/>
          <w:szCs w:val="20"/>
          <w:color w:val="auto"/>
        </w:rPr>
      </w:pPr>
    </w:p>
    <w:p>
      <w:pPr>
        <w:ind w:right="100"/>
        <w:spacing w:after="0" w:line="333" w:lineRule="auto"/>
        <w:rPr>
          <w:sz w:val="20"/>
          <w:szCs w:val="20"/>
          <w:color w:val="auto"/>
        </w:rPr>
      </w:pPr>
      <w:r>
        <w:rPr>
          <w:rFonts w:ascii="Arial" w:cs="Arial" w:eastAsia="Arial" w:hAnsi="Arial"/>
          <w:sz w:val="14"/>
          <w:szCs w:val="14"/>
          <w:color w:val="58595B"/>
        </w:rPr>
        <w:t>(Nasdaq: OMGA), where he served as a member of its compensation committee and as chair of its nominating and corporate governance committee, and as chair of the board from August 2023 to January 2025. From 2016 to August 2023, Mr. Schade served on the board of Aprea Therapeutics, Inc. (Nasdaq: APRE).</w:t>
      </w:r>
    </w:p>
    <w:p>
      <w:pPr>
        <w:spacing w:after="0" w:line="72" w:lineRule="exact"/>
        <w:rPr>
          <w:sz w:val="20"/>
          <w:szCs w:val="20"/>
          <w:color w:val="auto"/>
        </w:rPr>
      </w:pPr>
    </w:p>
    <w:p>
      <w:pPr>
        <w:ind w:right="400"/>
        <w:spacing w:after="0" w:line="345" w:lineRule="auto"/>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Mr. Schade received an A.B. degree from Princeton University, and received an M.B.A. from the Wharton School at the</w:t>
      </w:r>
      <w:r>
        <w:rPr>
          <w:rFonts w:ascii="Arial" w:cs="Arial" w:eastAsia="Arial" w:hAnsi="Arial"/>
          <w:sz w:val="14"/>
          <w:szCs w:val="14"/>
          <w:b w:val="1"/>
          <w:bCs w:val="1"/>
          <w:color w:val="009845"/>
        </w:rPr>
        <w:t xml:space="preserve"> </w:t>
      </w:r>
      <w:r>
        <w:rPr>
          <w:rFonts w:ascii="Arial" w:cs="Arial" w:eastAsia="Arial" w:hAnsi="Arial"/>
          <w:sz w:val="14"/>
          <w:szCs w:val="14"/>
          <w:color w:val="58595B"/>
        </w:rPr>
        <w:t>University of Pennsylvania.</w:t>
      </w:r>
    </w:p>
    <w:p>
      <w:pPr>
        <w:spacing w:after="0" w:line="64" w:lineRule="exact"/>
        <w:rPr>
          <w:sz w:val="20"/>
          <w:szCs w:val="20"/>
          <w:color w:val="auto"/>
        </w:rPr>
      </w:pPr>
    </w:p>
    <w:p>
      <w:pPr>
        <w:jc w:val="both"/>
        <w:ind w:right="220"/>
        <w:spacing w:after="0" w:line="323" w:lineRule="auto"/>
        <w:rPr>
          <w:sz w:val="20"/>
          <w:szCs w:val="20"/>
          <w:color w:val="auto"/>
        </w:rPr>
      </w:pPr>
      <w:r>
        <w:rPr>
          <w:rFonts w:ascii="Arial" w:cs="Arial" w:eastAsia="Arial" w:hAnsi="Arial"/>
          <w:sz w:val="14"/>
          <w:szCs w:val="14"/>
          <w:b w:val="1"/>
          <w:bCs w:val="1"/>
          <w:color w:val="009845"/>
        </w:rPr>
        <w:t xml:space="preserve">Primary Qualifications: </w:t>
      </w:r>
      <w:r>
        <w:rPr>
          <w:rFonts w:ascii="Arial" w:cs="Arial" w:eastAsia="Arial" w:hAnsi="Arial"/>
          <w:sz w:val="14"/>
          <w:szCs w:val="14"/>
          <w:color w:val="58595B"/>
        </w:rPr>
        <w:t>We believe Mr. Schade's qualifications to serve on our Board include his wealth of corporate management,</w:t>
      </w:r>
      <w:r>
        <w:rPr>
          <w:rFonts w:ascii="Arial" w:cs="Arial" w:eastAsia="Arial" w:hAnsi="Arial"/>
          <w:sz w:val="14"/>
          <w:szCs w:val="14"/>
          <w:b w:val="1"/>
          <w:bCs w:val="1"/>
          <w:color w:val="009845"/>
        </w:rPr>
        <w:t xml:space="preserve"> </w:t>
      </w:r>
      <w:r>
        <w:rPr>
          <w:rFonts w:ascii="Arial" w:cs="Arial" w:eastAsia="Arial" w:hAnsi="Arial"/>
          <w:sz w:val="14"/>
          <w:szCs w:val="14"/>
          <w:color w:val="58595B"/>
        </w:rPr>
        <w:t>finance, manufacturing, accounting, human resources, business development and risk management skills coupled with his significant knowledge and experience in the life sciences industry. In addition, he has held several senior leadership positions at both private and public companies and has experience serving on the boards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561340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720"/>
            <w:col w:w="872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15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Information Concerning Meetings, Executive Sessions and Director Independence</w:t>
      </w:r>
    </w:p>
    <w:p>
      <w:pPr>
        <w:spacing w:after="0" w:line="193"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The Board held seven (7) regularly scheduled and one (1) special meetings during 2025. The Company’s independent directors meet at least twice a year in executive session without management present. The Board has determined that all of the Company’s directors, except for Ms. Poul and Dr. Essig, are independent, as defined by the applicable Nasdaq Stock Market listing standards and the rules of the Securities and Exchange Commission. Dr. Essig does not qualify as an independent director due to the fact that he was employed by the Company as Executive Chairman during the past three years, with his employment ending on June 30, 2025 in connection with his transition to our Non-Executive Chairman.</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Standing Committees Of The Board Of Directors</w:t>
      </w:r>
    </w:p>
    <w:p>
      <w:pPr>
        <w:spacing w:after="0" w:line="85"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58595B"/>
        </w:rPr>
        <w:t>The Corporation has standing Audit, Nominating and Corporate Governance, Compensation, Finance, and Quality Committees of the Board. Each committee operates pursuant to a written charter. Copies of these charters are available on our website at www.integralife.com through the “Investors” link under the heading “Corporate Governance.” During 2025, each incumbent director attended in person or by virtual format at least 75% of the total number of meetings of the Board and of each committee of the Board on which he or she then served. Our directors are encouraged to attend our annual meetings of stockholders. At the annual meeting of stockholders held in 2025, all of the directors standing for re-election attended the annual meeting. The following chart and narrative set forth the current composition of our committees of the Board, coupled with the number of committee meetings held in 2025 for each standing committee.</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Committee Composition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00" w:type="dxa"/>
            <w:vAlign w:val="bottom"/>
            <w:shd w:val="clear" w:color="auto" w:fill="009845"/>
          </w:tcPr>
          <w:p>
            <w:pPr>
              <w:spacing w:after="0"/>
              <w:rPr>
                <w:sz w:val="16"/>
                <w:szCs w:val="16"/>
                <w:color w:val="auto"/>
              </w:rPr>
            </w:pPr>
          </w:p>
        </w:tc>
        <w:tc>
          <w:tcPr>
            <w:tcW w:w="1820" w:type="dxa"/>
            <w:vAlign w:val="bottom"/>
            <w:shd w:val="clear" w:color="auto" w:fill="009845"/>
          </w:tcPr>
          <w:p>
            <w:pPr>
              <w:spacing w:after="0"/>
              <w:rPr>
                <w:sz w:val="16"/>
                <w:szCs w:val="16"/>
                <w:color w:val="auto"/>
              </w:rPr>
            </w:pPr>
          </w:p>
        </w:tc>
        <w:tc>
          <w:tcPr>
            <w:tcW w:w="18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Nominating and</w:t>
            </w:r>
          </w:p>
        </w:tc>
        <w:tc>
          <w:tcPr>
            <w:tcW w:w="1680" w:type="dxa"/>
            <w:vAlign w:val="bottom"/>
            <w:shd w:val="clear" w:color="auto" w:fill="009845"/>
          </w:tcPr>
          <w:p>
            <w:pPr>
              <w:spacing w:after="0"/>
              <w:rPr>
                <w:sz w:val="16"/>
                <w:szCs w:val="16"/>
                <w:color w:val="auto"/>
              </w:rPr>
            </w:pPr>
          </w:p>
        </w:tc>
        <w:tc>
          <w:tcPr>
            <w:tcW w:w="1560" w:type="dxa"/>
            <w:vAlign w:val="bottom"/>
            <w:shd w:val="clear" w:color="auto" w:fill="009845"/>
          </w:tcPr>
          <w:p>
            <w:pPr>
              <w:spacing w:after="0"/>
              <w:rPr>
                <w:sz w:val="16"/>
                <w:szCs w:val="16"/>
                <w:color w:val="auto"/>
              </w:rPr>
            </w:pPr>
          </w:p>
        </w:tc>
        <w:tc>
          <w:tcPr>
            <w:tcW w:w="1800" w:type="dxa"/>
            <w:vAlign w:val="bottom"/>
            <w:shd w:val="clear" w:color="auto" w:fill="009845"/>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0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1820" w:type="dxa"/>
            <w:vAlign w:val="bottom"/>
            <w:shd w:val="clear" w:color="auto" w:fill="009845"/>
          </w:tcPr>
          <w:p>
            <w:pPr>
              <w:jc w:val="center"/>
              <w:ind w:left="365"/>
              <w:spacing w:after="0"/>
              <w:rPr>
                <w:sz w:val="20"/>
                <w:szCs w:val="20"/>
                <w:color w:val="auto"/>
              </w:rPr>
            </w:pPr>
            <w:r>
              <w:rPr>
                <w:rFonts w:ascii="Arial" w:cs="Arial" w:eastAsia="Arial" w:hAnsi="Arial"/>
                <w:sz w:val="14"/>
                <w:szCs w:val="14"/>
                <w:b w:val="1"/>
                <w:bCs w:val="1"/>
                <w:color w:val="FFFFFF"/>
              </w:rPr>
              <w:t>Audit</w:t>
            </w:r>
          </w:p>
        </w:tc>
        <w:tc>
          <w:tcPr>
            <w:tcW w:w="18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Corporate Governance</w:t>
            </w:r>
          </w:p>
        </w:tc>
        <w:tc>
          <w:tcPr>
            <w:tcW w:w="1680" w:type="dxa"/>
            <w:vAlign w:val="bottom"/>
            <w:shd w:val="clear" w:color="auto" w:fill="009845"/>
          </w:tcPr>
          <w:p>
            <w:pPr>
              <w:jc w:val="center"/>
              <w:ind w:right="285"/>
              <w:spacing w:after="0"/>
              <w:rPr>
                <w:sz w:val="20"/>
                <w:szCs w:val="20"/>
                <w:color w:val="auto"/>
              </w:rPr>
            </w:pPr>
            <w:r>
              <w:rPr>
                <w:rFonts w:ascii="Arial" w:cs="Arial" w:eastAsia="Arial" w:hAnsi="Arial"/>
                <w:sz w:val="14"/>
                <w:szCs w:val="14"/>
                <w:b w:val="1"/>
                <w:bCs w:val="1"/>
                <w:color w:val="FFFFFF"/>
              </w:rPr>
              <w:t>Compensation</w:t>
            </w:r>
          </w:p>
        </w:tc>
        <w:tc>
          <w:tcPr>
            <w:tcW w:w="15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Finance</w:t>
            </w:r>
          </w:p>
        </w:tc>
        <w:tc>
          <w:tcPr>
            <w:tcW w:w="1800" w:type="dxa"/>
            <w:vAlign w:val="bottom"/>
            <w:shd w:val="clear" w:color="auto" w:fill="009845"/>
          </w:tcPr>
          <w:p>
            <w:pPr>
              <w:jc w:val="center"/>
              <w:ind w:left="108"/>
              <w:spacing w:after="0"/>
              <w:rPr>
                <w:sz w:val="20"/>
                <w:szCs w:val="20"/>
                <w:color w:val="auto"/>
              </w:rPr>
            </w:pPr>
            <w:r>
              <w:rPr>
                <w:rFonts w:ascii="Arial" w:cs="Arial" w:eastAsia="Arial" w:hAnsi="Arial"/>
                <w:sz w:val="14"/>
                <w:szCs w:val="14"/>
                <w:b w:val="1"/>
                <w:bCs w:val="1"/>
                <w:color w:val="FFFFFF"/>
              </w:rPr>
              <w:t>Quality</w:t>
            </w:r>
          </w:p>
        </w:tc>
        <w:tc>
          <w:tcPr>
            <w:tcW w:w="0" w:type="dxa"/>
            <w:vAlign w:val="bottom"/>
          </w:tcPr>
          <w:p>
            <w:pPr>
              <w:spacing w:after="0"/>
              <w:rPr>
                <w:sz w:val="1"/>
                <w:szCs w:val="1"/>
                <w:color w:val="auto"/>
              </w:rPr>
            </w:pPr>
          </w:p>
        </w:tc>
      </w:tr>
      <w:tr>
        <w:trPr>
          <w:trHeight w:val="70"/>
        </w:trPr>
        <w:tc>
          <w:tcPr>
            <w:tcW w:w="2500" w:type="dxa"/>
            <w:vAlign w:val="bottom"/>
            <w:shd w:val="clear" w:color="auto" w:fill="009845"/>
          </w:tcPr>
          <w:p>
            <w:pPr>
              <w:spacing w:after="0"/>
              <w:rPr>
                <w:sz w:val="6"/>
                <w:szCs w:val="6"/>
                <w:color w:val="auto"/>
              </w:rPr>
            </w:pPr>
          </w:p>
        </w:tc>
        <w:tc>
          <w:tcPr>
            <w:tcW w:w="1820" w:type="dxa"/>
            <w:vAlign w:val="bottom"/>
            <w:shd w:val="clear" w:color="auto" w:fill="009845"/>
          </w:tcPr>
          <w:p>
            <w:pPr>
              <w:spacing w:after="0"/>
              <w:rPr>
                <w:sz w:val="6"/>
                <w:szCs w:val="6"/>
                <w:color w:val="auto"/>
              </w:rPr>
            </w:pPr>
          </w:p>
        </w:tc>
        <w:tc>
          <w:tcPr>
            <w:tcW w:w="1880" w:type="dxa"/>
            <w:vAlign w:val="bottom"/>
            <w:shd w:val="clear" w:color="auto" w:fill="009845"/>
          </w:tcPr>
          <w:p>
            <w:pPr>
              <w:spacing w:after="0"/>
              <w:rPr>
                <w:sz w:val="6"/>
                <w:szCs w:val="6"/>
                <w:color w:val="auto"/>
              </w:rPr>
            </w:pPr>
          </w:p>
        </w:tc>
        <w:tc>
          <w:tcPr>
            <w:tcW w:w="1680" w:type="dxa"/>
            <w:vAlign w:val="bottom"/>
            <w:shd w:val="clear" w:color="auto" w:fill="009845"/>
          </w:tcPr>
          <w:p>
            <w:pPr>
              <w:spacing w:after="0"/>
              <w:rPr>
                <w:sz w:val="6"/>
                <w:szCs w:val="6"/>
                <w:color w:val="auto"/>
              </w:rPr>
            </w:pPr>
          </w:p>
        </w:tc>
        <w:tc>
          <w:tcPr>
            <w:tcW w:w="1560" w:type="dxa"/>
            <w:vAlign w:val="bottom"/>
            <w:shd w:val="clear" w:color="auto" w:fill="009845"/>
          </w:tcPr>
          <w:p>
            <w:pPr>
              <w:spacing w:after="0"/>
              <w:rPr>
                <w:sz w:val="6"/>
                <w:szCs w:val="6"/>
                <w:color w:val="auto"/>
              </w:rPr>
            </w:pPr>
          </w:p>
        </w:tc>
        <w:tc>
          <w:tcPr>
            <w:tcW w:w="1800" w:type="dxa"/>
            <w:vAlign w:val="bottom"/>
            <w:shd w:val="clear" w:color="auto" w:fill="009845"/>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250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1820" w:type="dxa"/>
            <w:vAlign w:val="bottom"/>
            <w:shd w:val="clear" w:color="auto" w:fill="EFEDED"/>
          </w:tcPr>
          <w:p>
            <w:pPr>
              <w:spacing w:after="0"/>
              <w:rPr>
                <w:sz w:val="24"/>
                <w:szCs w:val="24"/>
                <w:color w:val="auto"/>
              </w:rPr>
            </w:pPr>
          </w:p>
        </w:tc>
        <w:tc>
          <w:tcPr>
            <w:tcW w:w="1880" w:type="dxa"/>
            <w:vAlign w:val="bottom"/>
            <w:shd w:val="clear" w:color="auto" w:fill="EFEDED"/>
          </w:tcPr>
          <w:p>
            <w:pPr>
              <w:spacing w:after="0"/>
              <w:rPr>
                <w:sz w:val="24"/>
                <w:szCs w:val="24"/>
                <w:color w:val="auto"/>
              </w:rPr>
            </w:pPr>
          </w:p>
        </w:tc>
        <w:tc>
          <w:tcPr>
            <w:tcW w:w="1680" w:type="dxa"/>
            <w:vAlign w:val="bottom"/>
            <w:shd w:val="clear" w:color="auto" w:fill="EFEDED"/>
          </w:tcPr>
          <w:p>
            <w:pPr>
              <w:spacing w:after="0"/>
              <w:rPr>
                <w:sz w:val="24"/>
                <w:szCs w:val="24"/>
                <w:color w:val="auto"/>
              </w:rPr>
            </w:pPr>
          </w:p>
        </w:tc>
        <w:tc>
          <w:tcPr>
            <w:tcW w:w="1560" w:type="dxa"/>
            <w:vAlign w:val="bottom"/>
            <w:shd w:val="clear" w:color="auto" w:fill="EFEDED"/>
          </w:tcPr>
          <w:p>
            <w:pPr>
              <w:spacing w:after="0"/>
              <w:rPr>
                <w:sz w:val="24"/>
                <w:szCs w:val="24"/>
                <w:color w:val="auto"/>
              </w:rPr>
            </w:pPr>
          </w:p>
        </w:tc>
        <w:tc>
          <w:tcPr>
            <w:tcW w:w="180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500" w:type="dxa"/>
            <w:vAlign w:val="bottom"/>
            <w:shd w:val="clear" w:color="auto" w:fill="EFEDED"/>
          </w:tcPr>
          <w:p>
            <w:pPr>
              <w:spacing w:after="0"/>
              <w:rPr>
                <w:sz w:val="7"/>
                <w:szCs w:val="7"/>
                <w:color w:val="auto"/>
              </w:rPr>
            </w:pPr>
          </w:p>
        </w:tc>
        <w:tc>
          <w:tcPr>
            <w:tcW w:w="1820" w:type="dxa"/>
            <w:vAlign w:val="bottom"/>
            <w:shd w:val="clear" w:color="auto" w:fill="EFEDED"/>
          </w:tcPr>
          <w:p>
            <w:pPr>
              <w:spacing w:after="0"/>
              <w:rPr>
                <w:sz w:val="7"/>
                <w:szCs w:val="7"/>
                <w:color w:val="auto"/>
              </w:rPr>
            </w:pPr>
          </w:p>
        </w:tc>
        <w:tc>
          <w:tcPr>
            <w:tcW w:w="1880" w:type="dxa"/>
            <w:vAlign w:val="bottom"/>
            <w:shd w:val="clear" w:color="auto" w:fill="EFEDED"/>
          </w:tcPr>
          <w:p>
            <w:pPr>
              <w:spacing w:after="0"/>
              <w:rPr>
                <w:sz w:val="7"/>
                <w:szCs w:val="7"/>
                <w:color w:val="auto"/>
              </w:rPr>
            </w:pPr>
          </w:p>
        </w:tc>
        <w:tc>
          <w:tcPr>
            <w:tcW w:w="1680" w:type="dxa"/>
            <w:vAlign w:val="bottom"/>
            <w:shd w:val="clear" w:color="auto" w:fill="EFEDED"/>
          </w:tcPr>
          <w:p>
            <w:pPr>
              <w:spacing w:after="0"/>
              <w:rPr>
                <w:sz w:val="7"/>
                <w:szCs w:val="7"/>
                <w:color w:val="auto"/>
              </w:rPr>
            </w:pPr>
          </w:p>
        </w:tc>
        <w:tc>
          <w:tcPr>
            <w:tcW w:w="1560" w:type="dxa"/>
            <w:vAlign w:val="bottom"/>
            <w:shd w:val="clear" w:color="auto" w:fill="EFEDED"/>
          </w:tcPr>
          <w:p>
            <w:pPr>
              <w:spacing w:after="0"/>
              <w:rPr>
                <w:sz w:val="7"/>
                <w:szCs w:val="7"/>
                <w:color w:val="auto"/>
              </w:rPr>
            </w:pPr>
          </w:p>
        </w:tc>
        <w:tc>
          <w:tcPr>
            <w:tcW w:w="180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500" w:type="dxa"/>
            <w:vAlign w:val="bottom"/>
          </w:tcPr>
          <w:p>
            <w:pPr>
              <w:ind w:left="100"/>
              <w:spacing w:after="0"/>
              <w:rPr>
                <w:sz w:val="20"/>
                <w:szCs w:val="20"/>
                <w:color w:val="auto"/>
              </w:rPr>
            </w:pPr>
            <w:r>
              <w:rPr>
                <w:rFonts w:ascii="Arial" w:cs="Arial" w:eastAsia="Arial" w:hAnsi="Arial"/>
                <w:sz w:val="14"/>
                <w:szCs w:val="14"/>
                <w:b w:val="1"/>
                <w:bCs w:val="1"/>
                <w:color w:val="58595B"/>
              </w:rPr>
              <w:t>Shaundra D. Clay</w:t>
            </w:r>
          </w:p>
        </w:tc>
        <w:tc>
          <w:tcPr>
            <w:tcW w:w="1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50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Stuart M. Essig, Ph.D.</w:t>
            </w:r>
          </w:p>
        </w:tc>
        <w:tc>
          <w:tcPr>
            <w:tcW w:w="1820" w:type="dxa"/>
            <w:vAlign w:val="bottom"/>
            <w:shd w:val="clear" w:color="auto" w:fill="EFEDED"/>
          </w:tcPr>
          <w:p>
            <w:pPr>
              <w:spacing w:after="0"/>
              <w:rPr>
                <w:sz w:val="23"/>
                <w:szCs w:val="23"/>
                <w:color w:val="auto"/>
              </w:rPr>
            </w:pPr>
          </w:p>
        </w:tc>
        <w:tc>
          <w:tcPr>
            <w:tcW w:w="1880" w:type="dxa"/>
            <w:vAlign w:val="bottom"/>
            <w:shd w:val="clear" w:color="auto" w:fill="EFEDED"/>
          </w:tcPr>
          <w:p>
            <w:pPr>
              <w:spacing w:after="0"/>
              <w:rPr>
                <w:sz w:val="23"/>
                <w:szCs w:val="23"/>
                <w:color w:val="auto"/>
              </w:rPr>
            </w:pPr>
          </w:p>
        </w:tc>
        <w:tc>
          <w:tcPr>
            <w:tcW w:w="1680" w:type="dxa"/>
            <w:vAlign w:val="bottom"/>
            <w:shd w:val="clear" w:color="auto" w:fill="EFEDED"/>
          </w:tcPr>
          <w:p>
            <w:pPr>
              <w:spacing w:after="0"/>
              <w:rPr>
                <w:sz w:val="23"/>
                <w:szCs w:val="23"/>
                <w:color w:val="auto"/>
              </w:rPr>
            </w:pPr>
          </w:p>
        </w:tc>
        <w:tc>
          <w:tcPr>
            <w:tcW w:w="1560" w:type="dxa"/>
            <w:vAlign w:val="bottom"/>
            <w:shd w:val="clear" w:color="auto" w:fill="EFEDED"/>
          </w:tcPr>
          <w:p>
            <w:pPr>
              <w:spacing w:after="0"/>
              <w:rPr>
                <w:sz w:val="23"/>
                <w:szCs w:val="23"/>
                <w:color w:val="auto"/>
              </w:rPr>
            </w:pPr>
          </w:p>
        </w:tc>
        <w:tc>
          <w:tcPr>
            <w:tcW w:w="1800" w:type="dxa"/>
            <w:vAlign w:val="bottom"/>
            <w:shd w:val="clear" w:color="auto" w:fill="EFEDED"/>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2500" w:type="dxa"/>
            <w:vAlign w:val="bottom"/>
            <w:shd w:val="clear" w:color="auto" w:fill="EFEDED"/>
          </w:tcPr>
          <w:p>
            <w:pPr>
              <w:spacing w:after="0"/>
              <w:rPr>
                <w:sz w:val="6"/>
                <w:szCs w:val="6"/>
                <w:color w:val="auto"/>
              </w:rPr>
            </w:pPr>
          </w:p>
        </w:tc>
        <w:tc>
          <w:tcPr>
            <w:tcW w:w="1820" w:type="dxa"/>
            <w:vAlign w:val="bottom"/>
            <w:shd w:val="clear" w:color="auto" w:fill="EFEDED"/>
          </w:tcPr>
          <w:p>
            <w:pPr>
              <w:spacing w:after="0"/>
              <w:rPr>
                <w:sz w:val="6"/>
                <w:szCs w:val="6"/>
                <w:color w:val="auto"/>
              </w:rPr>
            </w:pPr>
          </w:p>
        </w:tc>
        <w:tc>
          <w:tcPr>
            <w:tcW w:w="1880" w:type="dxa"/>
            <w:vAlign w:val="bottom"/>
            <w:shd w:val="clear" w:color="auto" w:fill="EFEDED"/>
          </w:tcPr>
          <w:p>
            <w:pPr>
              <w:spacing w:after="0"/>
              <w:rPr>
                <w:sz w:val="6"/>
                <w:szCs w:val="6"/>
                <w:color w:val="auto"/>
              </w:rPr>
            </w:pPr>
          </w:p>
        </w:tc>
        <w:tc>
          <w:tcPr>
            <w:tcW w:w="1680" w:type="dxa"/>
            <w:vAlign w:val="bottom"/>
            <w:shd w:val="clear" w:color="auto" w:fill="EFEDED"/>
          </w:tcPr>
          <w:p>
            <w:pPr>
              <w:spacing w:after="0"/>
              <w:rPr>
                <w:sz w:val="6"/>
                <w:szCs w:val="6"/>
                <w:color w:val="auto"/>
              </w:rPr>
            </w:pPr>
          </w:p>
        </w:tc>
        <w:tc>
          <w:tcPr>
            <w:tcW w:w="1560" w:type="dxa"/>
            <w:vAlign w:val="bottom"/>
            <w:shd w:val="clear" w:color="auto" w:fill="EFEDED"/>
          </w:tcPr>
          <w:p>
            <w:pPr>
              <w:spacing w:after="0"/>
              <w:rPr>
                <w:sz w:val="6"/>
                <w:szCs w:val="6"/>
                <w:color w:val="auto"/>
              </w:rPr>
            </w:pPr>
          </w:p>
        </w:tc>
        <w:tc>
          <w:tcPr>
            <w:tcW w:w="180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2500" w:type="dxa"/>
            <w:vAlign w:val="bottom"/>
          </w:tcPr>
          <w:p>
            <w:pPr>
              <w:ind w:left="100"/>
              <w:spacing w:after="0"/>
              <w:rPr>
                <w:sz w:val="20"/>
                <w:szCs w:val="20"/>
                <w:color w:val="auto"/>
              </w:rPr>
            </w:pPr>
            <w:r>
              <w:rPr>
                <w:rFonts w:ascii="Arial" w:cs="Arial" w:eastAsia="Arial" w:hAnsi="Arial"/>
                <w:sz w:val="14"/>
                <w:szCs w:val="14"/>
                <w:b w:val="1"/>
                <w:bCs w:val="1"/>
                <w:color w:val="58595B"/>
              </w:rPr>
              <w:t>Jeffrey A. Graves</w:t>
            </w:r>
          </w:p>
        </w:tc>
        <w:tc>
          <w:tcPr>
            <w:tcW w:w="1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250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Barbara B. Hill</w:t>
            </w:r>
          </w:p>
        </w:tc>
        <w:tc>
          <w:tcPr>
            <w:tcW w:w="1820" w:type="dxa"/>
            <w:vAlign w:val="bottom"/>
            <w:shd w:val="clear" w:color="auto" w:fill="EFEDED"/>
          </w:tcPr>
          <w:p>
            <w:pPr>
              <w:spacing w:after="0"/>
              <w:rPr>
                <w:sz w:val="24"/>
                <w:szCs w:val="24"/>
                <w:color w:val="auto"/>
              </w:rPr>
            </w:pPr>
          </w:p>
        </w:tc>
        <w:tc>
          <w:tcPr>
            <w:tcW w:w="1880" w:type="dxa"/>
            <w:vAlign w:val="bottom"/>
            <w:shd w:val="clear" w:color="auto" w:fill="EFEDED"/>
          </w:tcPr>
          <w:p>
            <w:pPr>
              <w:spacing w:after="0"/>
              <w:rPr>
                <w:sz w:val="24"/>
                <w:szCs w:val="24"/>
                <w:color w:val="auto"/>
              </w:rPr>
            </w:pPr>
          </w:p>
        </w:tc>
        <w:tc>
          <w:tcPr>
            <w:tcW w:w="1680" w:type="dxa"/>
            <w:vAlign w:val="bottom"/>
            <w:shd w:val="clear" w:color="auto" w:fill="EFEDED"/>
          </w:tcPr>
          <w:p>
            <w:pPr>
              <w:spacing w:after="0"/>
              <w:rPr>
                <w:sz w:val="24"/>
                <w:szCs w:val="24"/>
                <w:color w:val="auto"/>
              </w:rPr>
            </w:pPr>
          </w:p>
        </w:tc>
        <w:tc>
          <w:tcPr>
            <w:tcW w:w="1560" w:type="dxa"/>
            <w:vAlign w:val="bottom"/>
            <w:shd w:val="clear" w:color="auto" w:fill="EFEDED"/>
          </w:tcPr>
          <w:p>
            <w:pPr>
              <w:spacing w:after="0"/>
              <w:rPr>
                <w:sz w:val="24"/>
                <w:szCs w:val="24"/>
                <w:color w:val="auto"/>
              </w:rPr>
            </w:pPr>
          </w:p>
        </w:tc>
        <w:tc>
          <w:tcPr>
            <w:tcW w:w="180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500" w:type="dxa"/>
            <w:vAlign w:val="bottom"/>
            <w:shd w:val="clear" w:color="auto" w:fill="EFEDED"/>
          </w:tcPr>
          <w:p>
            <w:pPr>
              <w:spacing w:after="0"/>
              <w:rPr>
                <w:sz w:val="7"/>
                <w:szCs w:val="7"/>
                <w:color w:val="auto"/>
              </w:rPr>
            </w:pPr>
          </w:p>
        </w:tc>
        <w:tc>
          <w:tcPr>
            <w:tcW w:w="1820" w:type="dxa"/>
            <w:vAlign w:val="bottom"/>
            <w:shd w:val="clear" w:color="auto" w:fill="EFEDED"/>
          </w:tcPr>
          <w:p>
            <w:pPr>
              <w:spacing w:after="0"/>
              <w:rPr>
                <w:sz w:val="7"/>
                <w:szCs w:val="7"/>
                <w:color w:val="auto"/>
              </w:rPr>
            </w:pPr>
          </w:p>
        </w:tc>
        <w:tc>
          <w:tcPr>
            <w:tcW w:w="1880" w:type="dxa"/>
            <w:vAlign w:val="bottom"/>
            <w:shd w:val="clear" w:color="auto" w:fill="EFEDED"/>
          </w:tcPr>
          <w:p>
            <w:pPr>
              <w:spacing w:after="0"/>
              <w:rPr>
                <w:sz w:val="7"/>
                <w:szCs w:val="7"/>
                <w:color w:val="auto"/>
              </w:rPr>
            </w:pPr>
          </w:p>
        </w:tc>
        <w:tc>
          <w:tcPr>
            <w:tcW w:w="1680" w:type="dxa"/>
            <w:vAlign w:val="bottom"/>
            <w:shd w:val="clear" w:color="auto" w:fill="EFEDED"/>
          </w:tcPr>
          <w:p>
            <w:pPr>
              <w:spacing w:after="0"/>
              <w:rPr>
                <w:sz w:val="7"/>
                <w:szCs w:val="7"/>
                <w:color w:val="auto"/>
              </w:rPr>
            </w:pPr>
          </w:p>
        </w:tc>
        <w:tc>
          <w:tcPr>
            <w:tcW w:w="1560" w:type="dxa"/>
            <w:vAlign w:val="bottom"/>
            <w:shd w:val="clear" w:color="auto" w:fill="EFEDED"/>
          </w:tcPr>
          <w:p>
            <w:pPr>
              <w:spacing w:after="0"/>
              <w:rPr>
                <w:sz w:val="7"/>
                <w:szCs w:val="7"/>
                <w:color w:val="auto"/>
              </w:rPr>
            </w:pPr>
          </w:p>
        </w:tc>
        <w:tc>
          <w:tcPr>
            <w:tcW w:w="180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500" w:type="dxa"/>
            <w:vAlign w:val="bottom"/>
          </w:tcPr>
          <w:p>
            <w:pPr>
              <w:ind w:left="100"/>
              <w:spacing w:after="0"/>
              <w:rPr>
                <w:sz w:val="20"/>
                <w:szCs w:val="20"/>
                <w:color w:val="auto"/>
              </w:rPr>
            </w:pPr>
            <w:r>
              <w:rPr>
                <w:rFonts w:ascii="Arial" w:cs="Arial" w:eastAsia="Arial" w:hAnsi="Arial"/>
                <w:sz w:val="14"/>
                <w:szCs w:val="14"/>
                <w:b w:val="1"/>
                <w:bCs w:val="1"/>
                <w:color w:val="58595B"/>
              </w:rPr>
              <w:t>Renee W. Lo</w:t>
            </w:r>
          </w:p>
        </w:tc>
        <w:tc>
          <w:tcPr>
            <w:tcW w:w="18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Mojdeh Poul</w:t>
            </w:r>
          </w:p>
        </w:tc>
        <w:tc>
          <w:tcPr>
            <w:tcW w:w="1820" w:type="dxa"/>
            <w:vAlign w:val="bottom"/>
            <w:shd w:val="clear" w:color="auto" w:fill="EFEDED"/>
          </w:tcPr>
          <w:p>
            <w:pPr>
              <w:spacing w:after="0"/>
              <w:rPr>
                <w:sz w:val="19"/>
                <w:szCs w:val="19"/>
                <w:color w:val="auto"/>
              </w:rPr>
            </w:pPr>
          </w:p>
        </w:tc>
        <w:tc>
          <w:tcPr>
            <w:tcW w:w="1880" w:type="dxa"/>
            <w:vAlign w:val="bottom"/>
            <w:shd w:val="clear" w:color="auto" w:fill="EFEDED"/>
          </w:tcPr>
          <w:p>
            <w:pPr>
              <w:spacing w:after="0"/>
              <w:rPr>
                <w:sz w:val="19"/>
                <w:szCs w:val="19"/>
                <w:color w:val="auto"/>
              </w:rPr>
            </w:pPr>
          </w:p>
        </w:tc>
        <w:tc>
          <w:tcPr>
            <w:tcW w:w="1680" w:type="dxa"/>
            <w:vAlign w:val="bottom"/>
            <w:shd w:val="clear" w:color="auto" w:fill="EFEDED"/>
          </w:tcPr>
          <w:p>
            <w:pPr>
              <w:spacing w:after="0"/>
              <w:rPr>
                <w:sz w:val="19"/>
                <w:szCs w:val="19"/>
                <w:color w:val="auto"/>
              </w:rPr>
            </w:pPr>
          </w:p>
        </w:tc>
        <w:tc>
          <w:tcPr>
            <w:tcW w:w="1560" w:type="dxa"/>
            <w:vAlign w:val="bottom"/>
            <w:shd w:val="clear" w:color="auto" w:fill="EFEDED"/>
          </w:tcPr>
          <w:p>
            <w:pPr>
              <w:spacing w:after="0"/>
              <w:rPr>
                <w:sz w:val="19"/>
                <w:szCs w:val="19"/>
                <w:color w:val="auto"/>
              </w:rPr>
            </w:pPr>
          </w:p>
        </w:tc>
        <w:tc>
          <w:tcPr>
            <w:tcW w:w="1800" w:type="dxa"/>
            <w:vAlign w:val="bottom"/>
            <w:shd w:val="clear" w:color="auto" w:fill="EFEDED"/>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500" w:type="dxa"/>
            <w:vAlign w:val="bottom"/>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18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2500" w:type="dxa"/>
            <w:vAlign w:val="bottom"/>
            <w:tcBorders>
              <w:bottom w:val="single" w:sz="8" w:color="58595B"/>
            </w:tcBorders>
          </w:tcPr>
          <w:p>
            <w:pPr>
              <w:spacing w:after="0"/>
              <w:rPr>
                <w:sz w:val="6"/>
                <w:szCs w:val="6"/>
                <w:color w:val="auto"/>
              </w:rPr>
            </w:pPr>
          </w:p>
        </w:tc>
        <w:tc>
          <w:tcPr>
            <w:tcW w:w="1820" w:type="dxa"/>
            <w:vAlign w:val="bottom"/>
            <w:tcBorders>
              <w:bottom w:val="single" w:sz="8" w:color="58595B"/>
            </w:tcBorders>
          </w:tcPr>
          <w:p>
            <w:pPr>
              <w:spacing w:after="0"/>
              <w:rPr>
                <w:sz w:val="6"/>
                <w:szCs w:val="6"/>
                <w:color w:val="auto"/>
              </w:rPr>
            </w:pPr>
          </w:p>
        </w:tc>
        <w:tc>
          <w:tcPr>
            <w:tcW w:w="1880" w:type="dxa"/>
            <w:vAlign w:val="bottom"/>
            <w:tcBorders>
              <w:bottom w:val="single" w:sz="8" w:color="58595B"/>
            </w:tcBorders>
          </w:tcPr>
          <w:p>
            <w:pPr>
              <w:spacing w:after="0"/>
              <w:rPr>
                <w:sz w:val="6"/>
                <w:szCs w:val="6"/>
                <w:color w:val="auto"/>
              </w:rPr>
            </w:pPr>
          </w:p>
        </w:tc>
        <w:tc>
          <w:tcPr>
            <w:tcW w:w="1680" w:type="dxa"/>
            <w:vAlign w:val="bottom"/>
            <w:tcBorders>
              <w:bottom w:val="single" w:sz="8" w:color="58595B"/>
            </w:tcBorders>
          </w:tcPr>
          <w:p>
            <w:pPr>
              <w:spacing w:after="0"/>
              <w:rPr>
                <w:sz w:val="6"/>
                <w:szCs w:val="6"/>
                <w:color w:val="auto"/>
              </w:rPr>
            </w:pPr>
          </w:p>
        </w:tc>
        <w:tc>
          <w:tcPr>
            <w:tcW w:w="1560" w:type="dxa"/>
            <w:vAlign w:val="bottom"/>
            <w:tcBorders>
              <w:bottom w:val="single" w:sz="8" w:color="58595B"/>
            </w:tcBorders>
          </w:tcPr>
          <w:p>
            <w:pPr>
              <w:spacing w:after="0"/>
              <w:rPr>
                <w:sz w:val="6"/>
                <w:szCs w:val="6"/>
                <w:color w:val="auto"/>
              </w:rPr>
            </w:pPr>
          </w:p>
        </w:tc>
        <w:tc>
          <w:tcPr>
            <w:tcW w:w="1800" w:type="dxa"/>
            <w:vAlign w:val="bottom"/>
            <w:tcBorders>
              <w:bottom w:val="single" w:sz="8" w:color="58595B"/>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EFEDED"/>
          </w:tcPr>
          <w:p>
            <w:pPr>
              <w:ind w:left="100"/>
              <w:spacing w:after="0"/>
              <w:rPr>
                <w:sz w:val="20"/>
                <w:szCs w:val="20"/>
                <w:color w:val="auto"/>
              </w:rPr>
            </w:pPr>
            <w:r>
              <w:rPr>
                <w:rFonts w:ascii="Arial" w:cs="Arial" w:eastAsia="Arial" w:hAnsi="Arial"/>
                <w:sz w:val="16"/>
                <w:szCs w:val="16"/>
                <w:b w:val="1"/>
                <w:bCs w:val="1"/>
                <w:color w:val="009845"/>
              </w:rPr>
              <w:t>Number of 2025 Meetings</w:t>
            </w:r>
          </w:p>
        </w:tc>
        <w:tc>
          <w:tcPr>
            <w:tcW w:w="1820" w:type="dxa"/>
            <w:vAlign w:val="bottom"/>
            <w:shd w:val="clear" w:color="auto" w:fill="EFEDED"/>
          </w:tcPr>
          <w:p>
            <w:pPr>
              <w:jc w:val="right"/>
              <w:ind w:right="565"/>
              <w:spacing w:after="0"/>
              <w:rPr>
                <w:sz w:val="20"/>
                <w:szCs w:val="20"/>
                <w:color w:val="auto"/>
              </w:rPr>
            </w:pPr>
            <w:r>
              <w:rPr>
                <w:rFonts w:ascii="Arial" w:cs="Arial" w:eastAsia="Arial" w:hAnsi="Arial"/>
                <w:sz w:val="16"/>
                <w:szCs w:val="16"/>
                <w:b w:val="1"/>
                <w:bCs w:val="1"/>
                <w:color w:val="009845"/>
              </w:rPr>
              <w:t>7</w:t>
            </w:r>
          </w:p>
        </w:tc>
        <w:tc>
          <w:tcPr>
            <w:tcW w:w="1880" w:type="dxa"/>
            <w:vAlign w:val="bottom"/>
            <w:shd w:val="clear" w:color="auto" w:fill="EFEDED"/>
          </w:tcPr>
          <w:p>
            <w:pPr>
              <w:jc w:val="center"/>
              <w:spacing w:after="0"/>
              <w:rPr>
                <w:sz w:val="20"/>
                <w:szCs w:val="20"/>
                <w:color w:val="auto"/>
              </w:rPr>
            </w:pPr>
            <w:r>
              <w:rPr>
                <w:rFonts w:ascii="Arial" w:cs="Arial" w:eastAsia="Arial" w:hAnsi="Arial"/>
                <w:sz w:val="16"/>
                <w:szCs w:val="16"/>
                <w:b w:val="1"/>
                <w:bCs w:val="1"/>
                <w:color w:val="009845"/>
              </w:rPr>
              <w:t>6</w:t>
            </w:r>
          </w:p>
        </w:tc>
        <w:tc>
          <w:tcPr>
            <w:tcW w:w="1680" w:type="dxa"/>
            <w:vAlign w:val="bottom"/>
            <w:shd w:val="clear" w:color="auto" w:fill="EFEDED"/>
          </w:tcPr>
          <w:p>
            <w:pPr>
              <w:jc w:val="right"/>
              <w:ind w:right="885"/>
              <w:spacing w:after="0"/>
              <w:rPr>
                <w:sz w:val="20"/>
                <w:szCs w:val="20"/>
                <w:color w:val="auto"/>
              </w:rPr>
            </w:pPr>
            <w:r>
              <w:rPr>
                <w:rFonts w:ascii="Arial" w:cs="Arial" w:eastAsia="Arial" w:hAnsi="Arial"/>
                <w:sz w:val="16"/>
                <w:szCs w:val="16"/>
                <w:b w:val="1"/>
                <w:bCs w:val="1"/>
                <w:color w:val="009845"/>
              </w:rPr>
              <w:t>6</w:t>
            </w:r>
          </w:p>
        </w:tc>
        <w:tc>
          <w:tcPr>
            <w:tcW w:w="1560" w:type="dxa"/>
            <w:vAlign w:val="bottom"/>
            <w:shd w:val="clear" w:color="auto" w:fill="EFEDED"/>
          </w:tcPr>
          <w:p>
            <w:pPr>
              <w:jc w:val="right"/>
              <w:ind w:right="664"/>
              <w:spacing w:after="0"/>
              <w:rPr>
                <w:sz w:val="20"/>
                <w:szCs w:val="20"/>
                <w:color w:val="auto"/>
              </w:rPr>
            </w:pPr>
            <w:r>
              <w:rPr>
                <w:rFonts w:ascii="Arial" w:cs="Arial" w:eastAsia="Arial" w:hAnsi="Arial"/>
                <w:sz w:val="16"/>
                <w:szCs w:val="16"/>
                <w:b w:val="1"/>
                <w:bCs w:val="1"/>
                <w:color w:val="009845"/>
              </w:rPr>
              <w:t>3</w:t>
            </w:r>
          </w:p>
        </w:tc>
        <w:tc>
          <w:tcPr>
            <w:tcW w:w="1800" w:type="dxa"/>
            <w:vAlign w:val="bottom"/>
            <w:shd w:val="clear" w:color="auto" w:fill="EFEDED"/>
          </w:tcPr>
          <w:p>
            <w:pPr>
              <w:jc w:val="right"/>
              <w:ind w:right="688"/>
              <w:spacing w:after="0"/>
              <w:rPr>
                <w:sz w:val="20"/>
                <w:szCs w:val="20"/>
                <w:color w:val="auto"/>
              </w:rPr>
            </w:pPr>
            <w:r>
              <w:rPr>
                <w:rFonts w:ascii="Arial" w:cs="Arial" w:eastAsia="Arial" w:hAnsi="Arial"/>
                <w:sz w:val="16"/>
                <w:szCs w:val="16"/>
                <w:b w:val="1"/>
                <w:bCs w:val="1"/>
                <w:color w:val="009845"/>
              </w:rPr>
              <w:t>4</w:t>
            </w:r>
          </w:p>
        </w:tc>
        <w:tc>
          <w:tcPr>
            <w:tcW w:w="0" w:type="dxa"/>
            <w:vAlign w:val="bottom"/>
          </w:tcPr>
          <w:p>
            <w:pPr>
              <w:spacing w:after="0"/>
              <w:rPr>
                <w:sz w:val="1"/>
                <w:szCs w:val="1"/>
                <w:color w:val="auto"/>
              </w:rPr>
            </w:pPr>
          </w:p>
        </w:tc>
      </w:tr>
      <w:tr>
        <w:trPr>
          <w:trHeight w:val="197"/>
        </w:trPr>
        <w:tc>
          <w:tcPr>
            <w:tcW w:w="2500" w:type="dxa"/>
            <w:vAlign w:val="bottom"/>
            <w:tcBorders>
              <w:bottom w:val="single" w:sz="8" w:color="58595B"/>
            </w:tcBorders>
            <w:shd w:val="clear" w:color="auto" w:fill="EFEDED"/>
          </w:tcPr>
          <w:p>
            <w:pPr>
              <w:spacing w:after="0"/>
              <w:rPr>
                <w:sz w:val="17"/>
                <w:szCs w:val="17"/>
                <w:color w:val="auto"/>
              </w:rPr>
            </w:pPr>
          </w:p>
        </w:tc>
        <w:tc>
          <w:tcPr>
            <w:tcW w:w="1820" w:type="dxa"/>
            <w:vAlign w:val="bottom"/>
            <w:tcBorders>
              <w:bottom w:val="single" w:sz="8" w:color="58595B"/>
            </w:tcBorders>
            <w:shd w:val="clear" w:color="auto" w:fill="EFEDED"/>
          </w:tcPr>
          <w:p>
            <w:pPr>
              <w:spacing w:after="0"/>
              <w:rPr>
                <w:sz w:val="17"/>
                <w:szCs w:val="17"/>
                <w:color w:val="auto"/>
              </w:rPr>
            </w:pPr>
          </w:p>
        </w:tc>
        <w:tc>
          <w:tcPr>
            <w:tcW w:w="1880" w:type="dxa"/>
            <w:vAlign w:val="bottom"/>
            <w:tcBorders>
              <w:bottom w:val="single" w:sz="8" w:color="58595B"/>
            </w:tcBorders>
            <w:shd w:val="clear" w:color="auto" w:fill="EFEDED"/>
          </w:tcPr>
          <w:p>
            <w:pPr>
              <w:spacing w:after="0"/>
              <w:rPr>
                <w:sz w:val="17"/>
                <w:szCs w:val="17"/>
                <w:color w:val="auto"/>
              </w:rPr>
            </w:pPr>
          </w:p>
        </w:tc>
        <w:tc>
          <w:tcPr>
            <w:tcW w:w="1680" w:type="dxa"/>
            <w:vAlign w:val="bottom"/>
            <w:tcBorders>
              <w:bottom w:val="single" w:sz="8" w:color="58595B"/>
            </w:tcBorders>
            <w:shd w:val="clear" w:color="auto" w:fill="EFEDED"/>
          </w:tcPr>
          <w:p>
            <w:pPr>
              <w:spacing w:after="0"/>
              <w:rPr>
                <w:sz w:val="17"/>
                <w:szCs w:val="17"/>
                <w:color w:val="auto"/>
              </w:rPr>
            </w:pPr>
          </w:p>
        </w:tc>
        <w:tc>
          <w:tcPr>
            <w:tcW w:w="1560" w:type="dxa"/>
            <w:vAlign w:val="bottom"/>
            <w:tcBorders>
              <w:bottom w:val="single" w:sz="8" w:color="58595B"/>
            </w:tcBorders>
            <w:shd w:val="clear" w:color="auto" w:fill="EFEDED"/>
          </w:tcPr>
          <w:p>
            <w:pPr>
              <w:spacing w:after="0"/>
              <w:rPr>
                <w:sz w:val="17"/>
                <w:szCs w:val="17"/>
                <w:color w:val="auto"/>
              </w:rPr>
            </w:pPr>
          </w:p>
        </w:tc>
        <w:tc>
          <w:tcPr>
            <w:tcW w:w="1800" w:type="dxa"/>
            <w:vAlign w:val="bottom"/>
            <w:tcBorders>
              <w:bottom w:val="single" w:sz="8" w:color="58595B"/>
            </w:tcBorders>
            <w:shd w:val="clear" w:color="auto" w:fill="EFEDED"/>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2500" w:type="dxa"/>
            <w:vAlign w:val="bottom"/>
          </w:tcPr>
          <w:p>
            <w:pPr>
              <w:ind w:left="380"/>
              <w:spacing w:after="0"/>
              <w:rPr>
                <w:sz w:val="20"/>
                <w:szCs w:val="20"/>
                <w:color w:val="auto"/>
              </w:rPr>
            </w:pPr>
            <w:r>
              <w:rPr>
                <w:rFonts w:ascii="Arial" w:cs="Arial" w:eastAsia="Arial" w:hAnsi="Arial"/>
                <w:sz w:val="14"/>
                <w:szCs w:val="14"/>
                <w:color w:val="58595B"/>
              </w:rPr>
              <w:t>= Chairman of the Board</w:t>
            </w:r>
          </w:p>
        </w:tc>
        <w:tc>
          <w:tcPr>
            <w:tcW w:w="1820" w:type="dxa"/>
            <w:vAlign w:val="bottom"/>
          </w:tcPr>
          <w:p>
            <w:pPr>
              <w:ind w:left="420"/>
              <w:spacing w:after="0"/>
              <w:rPr>
                <w:sz w:val="20"/>
                <w:szCs w:val="20"/>
                <w:color w:val="auto"/>
              </w:rPr>
            </w:pPr>
            <w:r>
              <w:rPr>
                <w:rFonts w:ascii="Arial" w:cs="Arial" w:eastAsia="Arial" w:hAnsi="Arial"/>
                <w:sz w:val="14"/>
                <w:szCs w:val="14"/>
                <w:color w:val="58595B"/>
              </w:rPr>
              <w:t>= Presiding Director</w:t>
            </w:r>
          </w:p>
        </w:tc>
        <w:tc>
          <w:tcPr>
            <w:tcW w:w="1880" w:type="dxa"/>
            <w:vAlign w:val="bottom"/>
            <w:vMerge w:val="restart"/>
          </w:tcPr>
          <w:p>
            <w:pPr>
              <w:ind w:left="800"/>
              <w:spacing w:after="0"/>
              <w:rPr>
                <w:sz w:val="20"/>
                <w:szCs w:val="20"/>
                <w:color w:val="auto"/>
              </w:rPr>
            </w:pPr>
            <w:r>
              <w:rPr>
                <w:rFonts w:ascii="Arial" w:cs="Arial" w:eastAsia="Arial" w:hAnsi="Arial"/>
                <w:sz w:val="14"/>
                <w:szCs w:val="14"/>
                <w:color w:val="58595B"/>
              </w:rPr>
              <w:t>= Chair</w:t>
            </w:r>
          </w:p>
        </w:tc>
        <w:tc>
          <w:tcPr>
            <w:tcW w:w="1680" w:type="dxa"/>
            <w:vAlign w:val="bottom"/>
            <w:vMerge w:val="restart"/>
          </w:tcPr>
          <w:p>
            <w:pPr>
              <w:ind w:left="260"/>
              <w:spacing w:after="0"/>
              <w:rPr>
                <w:sz w:val="20"/>
                <w:szCs w:val="20"/>
                <w:color w:val="auto"/>
              </w:rPr>
            </w:pPr>
            <w:r>
              <w:rPr>
                <w:rFonts w:ascii="Arial" w:cs="Arial" w:eastAsia="Arial" w:hAnsi="Arial"/>
                <w:sz w:val="14"/>
                <w:szCs w:val="14"/>
                <w:color w:val="58595B"/>
              </w:rPr>
              <w:t>= Member</w:t>
            </w: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3"/>
        </w:trPr>
        <w:tc>
          <w:tcPr>
            <w:tcW w:w="2500" w:type="dxa"/>
            <w:vAlign w:val="bottom"/>
          </w:tcPr>
          <w:p>
            <w:pPr>
              <w:ind w:left="20"/>
              <w:spacing w:after="0"/>
              <w:rPr>
                <w:sz w:val="20"/>
                <w:szCs w:val="20"/>
                <w:color w:val="auto"/>
              </w:rPr>
            </w:pPr>
            <w:r>
              <w:rPr>
                <w:rFonts w:ascii="Arial" w:cs="Arial" w:eastAsia="Arial" w:hAnsi="Arial"/>
                <w:sz w:val="13"/>
                <w:szCs w:val="13"/>
                <w:b w:val="1"/>
                <w:bCs w:val="1"/>
                <w:color w:val="009845"/>
              </w:rPr>
              <w:t>16</w:t>
            </w:r>
          </w:p>
        </w:tc>
        <w:tc>
          <w:tcPr>
            <w:tcW w:w="1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0" w:type="dxa"/>
            <w:vAlign w:val="bottom"/>
          </w:tcPr>
          <w:p>
            <w:pPr>
              <w:ind w:left="540"/>
              <w:spacing w:after="0"/>
              <w:rPr>
                <w:sz w:val="20"/>
                <w:szCs w:val="20"/>
                <w:color w:val="auto"/>
              </w:rPr>
            </w:pPr>
            <w:r>
              <w:rPr>
                <w:rFonts w:ascii="Arial" w:cs="Arial" w:eastAsia="Arial" w:hAnsi="Arial"/>
                <w:sz w:val="13"/>
                <w:szCs w:val="13"/>
                <w:color w:val="58595B"/>
                <w:w w:val="96"/>
              </w:rPr>
              <w:t>2026 Proxy Statement</w:t>
            </w:r>
          </w:p>
        </w:tc>
        <w:tc>
          <w:tcPr>
            <w:tcW w:w="0" w:type="dxa"/>
            <w:vAlign w:val="bottom"/>
          </w:tcPr>
          <w:p>
            <w:pPr>
              <w:spacing w:after="0"/>
              <w:rPr>
                <w:sz w:val="1"/>
                <w:szCs w:val="1"/>
                <w:color w:val="auto"/>
              </w:rPr>
            </w:pPr>
          </w:p>
        </w:tc>
      </w:tr>
      <w:tr>
        <w:trPr>
          <w:trHeight w:val="231"/>
        </w:trPr>
        <w:tc>
          <w:tcPr>
            <w:tcW w:w="2500" w:type="dxa"/>
            <w:vAlign w:val="bottom"/>
            <w:tcBorders>
              <w:bottom w:val="single" w:sz="8" w:color="9A9A9A"/>
            </w:tcBorders>
          </w:tcPr>
          <w:p>
            <w:pPr>
              <w:spacing w:after="0"/>
              <w:rPr>
                <w:sz w:val="20"/>
                <w:szCs w:val="20"/>
                <w:color w:val="auto"/>
              </w:rPr>
            </w:pPr>
          </w:p>
        </w:tc>
        <w:tc>
          <w:tcPr>
            <w:tcW w:w="1820" w:type="dxa"/>
            <w:vAlign w:val="bottom"/>
            <w:tcBorders>
              <w:bottom w:val="single" w:sz="8" w:color="9A9A9A"/>
            </w:tcBorders>
          </w:tcPr>
          <w:p>
            <w:pPr>
              <w:spacing w:after="0"/>
              <w:rPr>
                <w:sz w:val="20"/>
                <w:szCs w:val="20"/>
                <w:color w:val="auto"/>
              </w:rPr>
            </w:pPr>
          </w:p>
        </w:tc>
        <w:tc>
          <w:tcPr>
            <w:tcW w:w="1880" w:type="dxa"/>
            <w:vAlign w:val="bottom"/>
            <w:tcBorders>
              <w:bottom w:val="single" w:sz="8" w:color="9A9A9A"/>
            </w:tcBorders>
          </w:tcPr>
          <w:p>
            <w:pPr>
              <w:spacing w:after="0"/>
              <w:rPr>
                <w:sz w:val="20"/>
                <w:szCs w:val="20"/>
                <w:color w:val="auto"/>
              </w:rPr>
            </w:pPr>
          </w:p>
        </w:tc>
        <w:tc>
          <w:tcPr>
            <w:tcW w:w="168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-2948305</wp:posOffset>
            </wp:positionV>
            <wp:extent cx="20574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-2948305</wp:posOffset>
            </wp:positionV>
            <wp:extent cx="20574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-2948305</wp:posOffset>
            </wp:positionV>
            <wp:extent cx="20574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-2717165</wp:posOffset>
            </wp:positionV>
            <wp:extent cx="20574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-2717165</wp:posOffset>
            </wp:positionV>
            <wp:extent cx="20574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-2485390</wp:posOffset>
            </wp:positionV>
            <wp:extent cx="15430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-2485390</wp:posOffset>
            </wp:positionV>
            <wp:extent cx="120015"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-2271395</wp:posOffset>
            </wp:positionV>
            <wp:extent cx="20574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-2271395</wp:posOffset>
            </wp:positionV>
            <wp:extent cx="20574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-2271395</wp:posOffset>
            </wp:positionV>
            <wp:extent cx="20574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-2031365</wp:posOffset>
            </wp:positionV>
            <wp:extent cx="154305"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-2031365</wp:posOffset>
            </wp:positionV>
            <wp:extent cx="120015"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-2039620</wp:posOffset>
            </wp:positionV>
            <wp:extent cx="20574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-2039620</wp:posOffset>
            </wp:positionV>
            <wp:extent cx="20574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-1808480</wp:posOffset>
            </wp:positionV>
            <wp:extent cx="12001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-1448435</wp:posOffset>
            </wp:positionV>
            <wp:extent cx="12001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-1448435</wp:posOffset>
            </wp:positionV>
            <wp:extent cx="120015"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-788035</wp:posOffset>
            </wp:positionV>
            <wp:extent cx="13716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-788035</wp:posOffset>
            </wp:positionV>
            <wp:extent cx="13716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-788035</wp:posOffset>
            </wp:positionV>
            <wp:extent cx="111125"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-805180</wp:posOffset>
            </wp:positionV>
            <wp:extent cx="21463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463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10600"/>
        <w:spacing w:after="0"/>
        <w:rPr>
          <w:sz w:val="20"/>
          <w:szCs w:val="20"/>
          <w:color w:val="auto"/>
        </w:rPr>
      </w:pPr>
      <w:r>
        <w:rPr>
          <w:rFonts w:ascii="Arial" w:cs="Arial" w:eastAsia="Arial" w:hAnsi="Arial"/>
          <w:sz w:val="12"/>
          <w:szCs w:val="12"/>
          <w:b w:val="1"/>
          <w:bCs w:val="1"/>
          <w:color w:val="009845"/>
        </w:rPr>
        <w:t>Proposal 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009845"/>
        </w:rPr>
        <w:t>Audit Committee</w:t>
      </w: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Members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Mr. Schade (chair)</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Ms. Clay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Dr. Bradley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Number of Meetings: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58595B"/>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-235585</wp:posOffset>
            </wp:positionV>
            <wp:extent cx="7132320" cy="1954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954530"/>
                    </a:xfrm>
                    <a:prstGeom prst="rect">
                      <a:avLst/>
                    </a:prstGeom>
                    <a:noFill/>
                  </pic:spPr>
                </pic:pic>
              </a:graphicData>
            </a:graphic>
          </wp:anchor>
        </w:drawing>
      </w:r>
    </w:p>
    <w:p>
      <w:pPr>
        <w:spacing w:after="0" w:line="93" w:lineRule="exact"/>
        <w:rPr>
          <w:sz w:val="20"/>
          <w:szCs w:val="20"/>
          <w:color w:val="auto"/>
        </w:rPr>
      </w:pPr>
    </w:p>
    <w:p>
      <w:pPr>
        <w:ind w:left="164" w:right="900" w:hanging="164"/>
        <w:spacing w:after="0" w:line="339" w:lineRule="auto"/>
        <w:tabs>
          <w:tab w:leader="none" w:pos="126" w:val="left"/>
        </w:tabs>
        <w:numPr>
          <w:ilvl w:val="0"/>
          <w:numId w:val="10"/>
        </w:numPr>
        <w:rPr>
          <w:rFonts w:ascii="Arial" w:cs="Arial" w:eastAsia="Arial" w:hAnsi="Arial"/>
          <w:sz w:val="16"/>
          <w:szCs w:val="16"/>
          <w:color w:val="58595B"/>
        </w:rPr>
      </w:pPr>
      <w:r>
        <w:rPr>
          <w:rFonts w:ascii="Arial" w:cs="Arial" w:eastAsia="Arial" w:hAnsi="Arial"/>
          <w:sz w:val="16"/>
          <w:szCs w:val="16"/>
          <w:color w:val="58595B"/>
        </w:rPr>
        <w:t>Oversee the Company’s accounting and financial reporting process and the audits of the Company’s financial statements.</w:t>
      </w:r>
    </w:p>
    <w:p>
      <w:pPr>
        <w:spacing w:after="0" w:line="114" w:lineRule="exact"/>
        <w:rPr>
          <w:rFonts w:ascii="Arial" w:cs="Arial" w:eastAsia="Arial" w:hAnsi="Arial"/>
          <w:sz w:val="16"/>
          <w:szCs w:val="16"/>
          <w:color w:val="58595B"/>
        </w:rPr>
      </w:pPr>
    </w:p>
    <w:p>
      <w:pPr>
        <w:ind w:left="164" w:right="620" w:hanging="164"/>
        <w:spacing w:after="0" w:line="339" w:lineRule="auto"/>
        <w:tabs>
          <w:tab w:leader="none" w:pos="126" w:val="left"/>
        </w:tabs>
        <w:numPr>
          <w:ilvl w:val="0"/>
          <w:numId w:val="10"/>
        </w:numPr>
        <w:rPr>
          <w:rFonts w:ascii="Arial" w:cs="Arial" w:eastAsia="Arial" w:hAnsi="Arial"/>
          <w:sz w:val="16"/>
          <w:szCs w:val="16"/>
          <w:color w:val="58595B"/>
        </w:rPr>
      </w:pPr>
      <w:r>
        <w:rPr>
          <w:rFonts w:ascii="Arial" w:cs="Arial" w:eastAsia="Arial" w:hAnsi="Arial"/>
          <w:sz w:val="16"/>
          <w:szCs w:val="16"/>
          <w:color w:val="58595B"/>
        </w:rPr>
        <w:t>Oversee the independence, quality control and work of the Company’s external independent auditor and the appointment and performance evaluation of the internal auditor.</w:t>
      </w:r>
    </w:p>
    <w:p>
      <w:pPr>
        <w:spacing w:after="0" w:line="101" w:lineRule="exact"/>
        <w:rPr>
          <w:rFonts w:ascii="Arial" w:cs="Arial" w:eastAsia="Arial" w:hAnsi="Arial"/>
          <w:sz w:val="16"/>
          <w:szCs w:val="16"/>
          <w:color w:val="58595B"/>
        </w:rPr>
      </w:pPr>
    </w:p>
    <w:p>
      <w:pPr>
        <w:ind w:left="124" w:hanging="124"/>
        <w:spacing w:after="0"/>
        <w:tabs>
          <w:tab w:leader="none" w:pos="124" w:val="left"/>
        </w:tabs>
        <w:numPr>
          <w:ilvl w:val="0"/>
          <w:numId w:val="10"/>
        </w:numPr>
        <w:rPr>
          <w:rFonts w:ascii="Arial" w:cs="Arial" w:eastAsia="Arial" w:hAnsi="Arial"/>
          <w:sz w:val="16"/>
          <w:szCs w:val="16"/>
          <w:color w:val="58595B"/>
        </w:rPr>
      </w:pPr>
      <w:r>
        <w:rPr>
          <w:rFonts w:ascii="Arial" w:cs="Arial" w:eastAsia="Arial" w:hAnsi="Arial"/>
          <w:sz w:val="16"/>
          <w:szCs w:val="16"/>
          <w:color w:val="58595B"/>
        </w:rPr>
        <w:t>Oversee the Company’s compliance program, including but not limited to the Company’s compliance</w:t>
      </w:r>
    </w:p>
    <w:p>
      <w:pPr>
        <w:spacing w:after="0" w:line="59" w:lineRule="exact"/>
        <w:rPr>
          <w:rFonts w:ascii="Arial" w:cs="Arial" w:eastAsia="Arial" w:hAnsi="Arial"/>
          <w:sz w:val="16"/>
          <w:szCs w:val="16"/>
          <w:color w:val="58595B"/>
        </w:rPr>
      </w:pPr>
    </w:p>
    <w:p>
      <w:pPr>
        <w:ind w:left="164" w:right="700"/>
        <w:spacing w:after="0" w:line="339" w:lineRule="auto"/>
        <w:rPr>
          <w:rFonts w:ascii="Arial" w:cs="Arial" w:eastAsia="Arial" w:hAnsi="Arial"/>
          <w:sz w:val="16"/>
          <w:szCs w:val="16"/>
          <w:color w:val="58595B"/>
        </w:rPr>
      </w:pPr>
      <w:r>
        <w:rPr>
          <w:rFonts w:ascii="Arial" w:cs="Arial" w:eastAsia="Arial" w:hAnsi="Arial"/>
          <w:sz w:val="16"/>
          <w:szCs w:val="16"/>
          <w:color w:val="58595B"/>
        </w:rPr>
        <w:t>with the Foreign Corrupt Practices Act, False Claims Act, Physician Self-Referral Law (Stark) and Anti-Kickback Statute, and similar foreign requirements.</w:t>
      </w:r>
    </w:p>
    <w:p>
      <w:pPr>
        <w:spacing w:after="0" w:line="200" w:lineRule="exact"/>
        <w:rPr>
          <w:sz w:val="20"/>
          <w:szCs w:val="20"/>
          <w:color w:val="auto"/>
        </w:rPr>
      </w:pPr>
    </w:p>
    <w:p>
      <w:pPr>
        <w:sectPr>
          <w:pgSz w:w="11900" w:h="16838" w:orient="portrait"/>
          <w:cols w:equalWidth="0" w:num="2">
            <w:col w:w="2316" w:space="720"/>
            <w:col w:w="8204"/>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i w:val="1"/>
          <w:iCs w:val="1"/>
          <w:color w:val="58595B"/>
        </w:rPr>
        <w:t>Audit Committee</w:t>
      </w:r>
      <w:r>
        <w:rPr>
          <w:rFonts w:ascii="Arial" w:cs="Arial" w:eastAsia="Arial" w:hAnsi="Arial"/>
          <w:sz w:val="16"/>
          <w:szCs w:val="16"/>
          <w:color w:val="58595B"/>
        </w:rPr>
        <w:t>. The members of the Audit Committee are Mr. Schade (chair), Dr. Bradley and Ms. Clay. The Committee met seven (7) times in 2025. The</w:t>
      </w:r>
      <w:r>
        <w:rPr>
          <w:rFonts w:ascii="Arial" w:cs="Arial" w:eastAsia="Arial" w:hAnsi="Arial"/>
          <w:sz w:val="16"/>
          <w:szCs w:val="16"/>
          <w:i w:val="1"/>
          <w:iCs w:val="1"/>
          <w:color w:val="58595B"/>
        </w:rPr>
        <w:t xml:space="preserve"> </w:t>
      </w:r>
      <w:r>
        <w:rPr>
          <w:rFonts w:ascii="Arial" w:cs="Arial" w:eastAsia="Arial" w:hAnsi="Arial"/>
          <w:sz w:val="16"/>
          <w:szCs w:val="16"/>
          <w:color w:val="58595B"/>
        </w:rPr>
        <w:t>Board has determined that all the members of the Audit Committee are independent within the meaning of the rules of the SEC and the applicable Nasdaq Stock Market listing standards. The Board also has determined that Ms. Clay, Dr. Bradley and Mr. Schade are “audit committee financial experts,” as defined under Item 407(d) of Regulation S-K, and that each of them is “financially sophisticated” in accordance with Nasdaq Stock Market listing standards.</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009845"/>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6314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26314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Members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Ms. Hill (chair)</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Dr. Bradley</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Dr. Graves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Number of Meetings: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6</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58595B"/>
        </w:rPr>
        <w:t>Purpose</w:t>
      </w:r>
    </w:p>
    <w:p>
      <w:pPr>
        <w:spacing w:after="0" w:line="100" w:lineRule="exact"/>
        <w:rPr>
          <w:sz w:val="20"/>
          <w:szCs w:val="20"/>
          <w:color w:val="auto"/>
        </w:rPr>
      </w:pPr>
    </w:p>
    <w:p>
      <w:pPr>
        <w:ind w:left="164" w:right="620" w:hanging="164"/>
        <w:spacing w:after="0" w:line="356" w:lineRule="auto"/>
        <w:tabs>
          <w:tab w:leader="none" w:pos="126"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The identification of qualified candidates to become Board members consistent with criteria approved by the Board.</w:t>
      </w:r>
    </w:p>
    <w:p>
      <w:pPr>
        <w:spacing w:after="0" w:line="88" w:lineRule="exact"/>
        <w:rPr>
          <w:rFonts w:ascii="Arial" w:cs="Arial" w:eastAsia="Arial" w:hAnsi="Arial"/>
          <w:sz w:val="16"/>
          <w:szCs w:val="16"/>
          <w:color w:val="58595B"/>
        </w:rPr>
      </w:pPr>
    </w:p>
    <w:p>
      <w:pPr>
        <w:ind w:left="164" w:right="1140" w:hanging="164"/>
        <w:spacing w:after="0" w:line="356" w:lineRule="auto"/>
        <w:tabs>
          <w:tab w:leader="none" w:pos="126"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The selection of nominees for election as directors at the next annual meeting of stockholders (or special meeting of stockholders at which directors are to be elected).</w:t>
      </w:r>
    </w:p>
    <w:p>
      <w:pPr>
        <w:spacing w:after="0" w:line="88" w:lineRule="exact"/>
        <w:rPr>
          <w:rFonts w:ascii="Arial" w:cs="Arial" w:eastAsia="Arial" w:hAnsi="Arial"/>
          <w:sz w:val="16"/>
          <w:szCs w:val="16"/>
          <w:color w:val="58595B"/>
        </w:rPr>
      </w:pPr>
    </w:p>
    <w:p>
      <w:pPr>
        <w:ind w:left="124" w:hanging="124"/>
        <w:spacing w:after="0"/>
        <w:tabs>
          <w:tab w:leader="none" w:pos="124"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The selection of candidates to fill any vacancies on the Board.</w:t>
      </w:r>
    </w:p>
    <w:p>
      <w:pPr>
        <w:spacing w:after="0" w:line="207" w:lineRule="exact"/>
        <w:rPr>
          <w:rFonts w:ascii="Arial" w:cs="Arial" w:eastAsia="Arial" w:hAnsi="Arial"/>
          <w:sz w:val="16"/>
          <w:szCs w:val="16"/>
          <w:color w:val="58595B"/>
        </w:rPr>
      </w:pPr>
    </w:p>
    <w:p>
      <w:pPr>
        <w:ind w:left="164" w:right="860" w:hanging="164"/>
        <w:spacing w:after="0" w:line="356" w:lineRule="auto"/>
        <w:tabs>
          <w:tab w:leader="none" w:pos="126"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The development and recommendation to the Board of a set of corporate governance guidelines and principles applicable to the Corporation.</w:t>
      </w:r>
    </w:p>
    <w:p>
      <w:pPr>
        <w:spacing w:after="0" w:line="88" w:lineRule="exact"/>
        <w:rPr>
          <w:rFonts w:ascii="Arial" w:cs="Arial" w:eastAsia="Arial" w:hAnsi="Arial"/>
          <w:sz w:val="16"/>
          <w:szCs w:val="16"/>
          <w:color w:val="58595B"/>
        </w:rPr>
      </w:pPr>
    </w:p>
    <w:p>
      <w:pPr>
        <w:ind w:left="124" w:hanging="124"/>
        <w:spacing w:after="0"/>
        <w:tabs>
          <w:tab w:leader="none" w:pos="124"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Oversight of the Corporation’s corporate sustainability policies and practices.</w:t>
      </w:r>
    </w:p>
    <w:p>
      <w:pPr>
        <w:spacing w:after="0" w:line="221" w:lineRule="exact"/>
        <w:rPr>
          <w:rFonts w:ascii="Arial" w:cs="Arial" w:eastAsia="Arial" w:hAnsi="Arial"/>
          <w:sz w:val="16"/>
          <w:szCs w:val="16"/>
          <w:color w:val="58595B"/>
        </w:rPr>
      </w:pPr>
    </w:p>
    <w:p>
      <w:pPr>
        <w:ind w:left="124" w:hanging="124"/>
        <w:spacing w:after="0"/>
        <w:tabs>
          <w:tab w:leader="none" w:pos="124"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Oversight of the Company’s cybersecurity programs, policies and procedures.</w:t>
      </w:r>
    </w:p>
    <w:p>
      <w:pPr>
        <w:spacing w:after="0" w:line="207" w:lineRule="exact"/>
        <w:rPr>
          <w:rFonts w:ascii="Arial" w:cs="Arial" w:eastAsia="Arial" w:hAnsi="Arial"/>
          <w:sz w:val="16"/>
          <w:szCs w:val="16"/>
          <w:color w:val="58595B"/>
        </w:rPr>
      </w:pPr>
    </w:p>
    <w:p>
      <w:pPr>
        <w:ind w:left="124" w:hanging="124"/>
        <w:spacing w:after="0"/>
        <w:tabs>
          <w:tab w:leader="none" w:pos="124"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Oversight of the evaluation of the Board.</w:t>
      </w:r>
    </w:p>
    <w:p>
      <w:pPr>
        <w:spacing w:after="0" w:line="200" w:lineRule="exact"/>
        <w:rPr>
          <w:sz w:val="20"/>
          <w:szCs w:val="20"/>
          <w:color w:val="auto"/>
        </w:rPr>
      </w:pPr>
    </w:p>
    <w:p>
      <w:pPr>
        <w:sectPr>
          <w:pgSz w:w="11900" w:h="16838" w:orient="portrait"/>
          <w:cols w:equalWidth="0" w:num="2">
            <w:col w:w="2316" w:space="720"/>
            <w:col w:w="8204"/>
          </w:cols>
          <w:pgMar w:left="320" w:top="121" w:right="3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both"/>
        <w:ind w:right="80"/>
        <w:spacing w:after="0" w:line="319" w:lineRule="auto"/>
        <w:rPr>
          <w:sz w:val="20"/>
          <w:szCs w:val="20"/>
          <w:color w:val="auto"/>
        </w:rPr>
      </w:pPr>
      <w:r>
        <w:rPr>
          <w:rFonts w:ascii="Arial" w:cs="Arial" w:eastAsia="Arial" w:hAnsi="Arial"/>
          <w:sz w:val="16"/>
          <w:szCs w:val="16"/>
          <w:i w:val="1"/>
          <w:iCs w:val="1"/>
          <w:color w:val="58595B"/>
        </w:rPr>
        <w:t xml:space="preserve">Nominating and Corporate Governance Committee. </w:t>
      </w:r>
      <w:r>
        <w:rPr>
          <w:rFonts w:ascii="Arial" w:cs="Arial" w:eastAsia="Arial" w:hAnsi="Arial"/>
          <w:sz w:val="16"/>
          <w:szCs w:val="16"/>
          <w:color w:val="58595B"/>
        </w:rPr>
        <w:t>The members of the Nominating and Corporate Governance Committee are Ms. Hill (chair), Dr. Bradley</w:t>
      </w:r>
      <w:r>
        <w:rPr>
          <w:rFonts w:ascii="Arial" w:cs="Arial" w:eastAsia="Arial" w:hAnsi="Arial"/>
          <w:sz w:val="16"/>
          <w:szCs w:val="16"/>
          <w:i w:val="1"/>
          <w:iCs w:val="1"/>
          <w:color w:val="58595B"/>
        </w:rPr>
        <w:t xml:space="preserve"> </w:t>
      </w:r>
      <w:r>
        <w:rPr>
          <w:rFonts w:ascii="Arial" w:cs="Arial" w:eastAsia="Arial" w:hAnsi="Arial"/>
          <w:sz w:val="16"/>
          <w:szCs w:val="16"/>
          <w:color w:val="58595B"/>
        </w:rPr>
        <w:t>and Dr. Graves. The Committee met six (6) times in 2025. The Board has determined that all of the members of the Nominating and Corporate Governance Committee are independent, as defined by the applicable Nasdaq Stock Market listing standards.</w:t>
      </w:r>
    </w:p>
    <w:p>
      <w:pPr>
        <w:spacing w:after="0" w:line="130" w:lineRule="exact"/>
        <w:rPr>
          <w:sz w:val="20"/>
          <w:szCs w:val="20"/>
          <w:color w:val="auto"/>
        </w:rPr>
      </w:pPr>
    </w:p>
    <w:p>
      <w:pPr>
        <w:ind w:right="100"/>
        <w:spacing w:after="0" w:line="313" w:lineRule="auto"/>
        <w:rPr>
          <w:sz w:val="20"/>
          <w:szCs w:val="20"/>
          <w:color w:val="auto"/>
        </w:rPr>
      </w:pPr>
      <w:r>
        <w:rPr>
          <w:rFonts w:ascii="Arial" w:cs="Arial" w:eastAsia="Arial" w:hAnsi="Arial"/>
          <w:sz w:val="16"/>
          <w:szCs w:val="16"/>
          <w:color w:val="58595B"/>
        </w:rPr>
        <w:t>When considering a candidate for nomination as a director, the Nominating and Corporate Governance Committee may consider, among other things it deems appropriate, the qualifications described above under “Criteria for Board Membership and Director Qualifications.” The Nominating and Corporate Governance Committee will consider stockholder-nominated candidates for director, provided that the nominating stockholder provides timely notice of such nomination pursuant to the Company’s bylaws, and such notice includes, among other things: a questionnaire completed by the candidate in the form provided by the Company (which</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11060" w:val="left"/>
        </w:tabs>
        <w:rPr>
          <w:sz w:val="20"/>
          <w:szCs w:val="20"/>
          <w:color w:val="auto"/>
        </w:rPr>
      </w:pPr>
      <w:r>
        <w:rPr>
          <w:rFonts w:ascii="Arial" w:cs="Arial" w:eastAsia="Arial" w:hAnsi="Arial"/>
          <w:sz w:val="13"/>
          <w:szCs w:val="13"/>
          <w:color w:val="58595B"/>
        </w:rPr>
        <w:t>2026 Proxy Statement</w:t>
      </w:r>
      <w:r>
        <w:rPr>
          <w:sz w:val="20"/>
          <w:szCs w:val="20"/>
          <w:color w:val="auto"/>
        </w:rPr>
        <w:tab/>
      </w:r>
      <w:r>
        <w:rPr>
          <w:rFonts w:ascii="Arial" w:cs="Arial" w:eastAsia="Arial" w:hAnsi="Arial"/>
          <w:sz w:val="12"/>
          <w:szCs w:val="12"/>
          <w:b w:val="1"/>
          <w:bCs w:val="1"/>
          <w:color w:val="009845"/>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58595B"/>
        </w:rPr>
        <w:t>questionnaire shall be provided by the Secretary upon written request) with respect to the background and qualifications of the candidate; a representation and agreement of the candidate in the form provided by the Company (which form shall be provided by the Secretary upon written request) that the nominee will, among other things, comply with all applicable rules and regulations of Nasdaq and each of the Company’s corporate policies applicable to directors; the number of shares of the Company’s common stock that such candidate beneficially owns; a description of all arrangements or understandings between the nominating stockholder and such candidate and/or any other person or persons (naming such person or persons) pursuant to which the nominations are to be made by the stockholder; information regarding any relationships between the candidate and the nominating stockholder within the past three years; represents in the nomination notice an intention to solicit proxies from stockholders representing at least 67% of the voting power of shares entitled to vote on the election of directors; and provides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12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58595B"/>
        </w:rPr>
        <w:t>A stockholder’s recommendation also must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 statement from the recommending stockholder in support of the candidate; references for the candidate; and an indication of the candidate’s willingness to serve, if elected. Recommendations for candidates to the Board must be submitted in writing to Integra LifeSciences Holdings Corporation, 1100 Campus Road, Princeton, New Jersey 08540, Attention: Executive Vice President, Chief Legal Officer and Secretary.</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009845"/>
        </w:rPr>
        <w:t>Compensation Committee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411"/>
        </w:trPr>
        <w:tc>
          <w:tcPr>
            <w:tcW w:w="220" w:type="dxa"/>
            <w:vAlign w:val="bottom"/>
            <w:shd w:val="clear" w:color="auto" w:fill="EFEDED"/>
          </w:tcPr>
          <w:p>
            <w:pPr>
              <w:spacing w:after="0"/>
              <w:rPr>
                <w:sz w:val="24"/>
                <w:szCs w:val="24"/>
                <w:color w:val="auto"/>
              </w:rPr>
            </w:pPr>
          </w:p>
        </w:tc>
        <w:tc>
          <w:tcPr>
            <w:tcW w:w="2440" w:type="dxa"/>
            <w:vAlign w:val="bottom"/>
            <w:shd w:val="clear" w:color="auto" w:fill="EFEDED"/>
          </w:tcPr>
          <w:p>
            <w:pPr>
              <w:ind w:left="20"/>
              <w:spacing w:after="0"/>
              <w:rPr>
                <w:sz w:val="20"/>
                <w:szCs w:val="20"/>
                <w:color w:val="auto"/>
              </w:rPr>
            </w:pPr>
            <w:r>
              <w:rPr>
                <w:rFonts w:ascii="Arial" w:cs="Arial" w:eastAsia="Arial" w:hAnsi="Arial"/>
                <w:sz w:val="16"/>
                <w:szCs w:val="16"/>
                <w:b w:val="1"/>
                <w:bCs w:val="1"/>
                <w:color w:val="58595B"/>
              </w:rPr>
              <w:t>Members</w:t>
            </w:r>
          </w:p>
        </w:tc>
        <w:tc>
          <w:tcPr>
            <w:tcW w:w="360" w:type="dxa"/>
            <w:vAlign w:val="bottom"/>
            <w:shd w:val="clear" w:color="auto" w:fill="EFEDED"/>
          </w:tcPr>
          <w:p>
            <w:pPr>
              <w:spacing w:after="0"/>
              <w:rPr>
                <w:sz w:val="24"/>
                <w:szCs w:val="24"/>
                <w:color w:val="auto"/>
              </w:rPr>
            </w:pPr>
          </w:p>
        </w:tc>
        <w:tc>
          <w:tcPr>
            <w:tcW w:w="7640" w:type="dxa"/>
            <w:vAlign w:val="bottom"/>
            <w:shd w:val="clear" w:color="auto" w:fill="EFEDED"/>
          </w:tcPr>
          <w:p>
            <w:pPr>
              <w:ind w:left="20"/>
              <w:spacing w:after="0"/>
              <w:rPr>
                <w:sz w:val="20"/>
                <w:szCs w:val="20"/>
                <w:color w:val="auto"/>
              </w:rPr>
            </w:pPr>
            <w:r>
              <w:rPr>
                <w:rFonts w:ascii="Arial" w:cs="Arial" w:eastAsia="Arial" w:hAnsi="Arial"/>
                <w:sz w:val="16"/>
                <w:szCs w:val="16"/>
                <w:b w:val="1"/>
                <w:bCs w:val="1"/>
                <w:color w:val="58595B"/>
              </w:rPr>
              <w:t>Purpose</w:t>
            </w:r>
          </w:p>
        </w:tc>
        <w:tc>
          <w:tcPr>
            <w:tcW w:w="360" w:type="dxa"/>
            <w:vAlign w:val="bottom"/>
            <w:shd w:val="clear" w:color="auto" w:fill="EFEDED"/>
          </w:tcPr>
          <w:p>
            <w:pPr>
              <w:spacing w:after="0"/>
              <w:rPr>
                <w:sz w:val="24"/>
                <w:szCs w:val="24"/>
                <w:color w:val="auto"/>
              </w:rPr>
            </w:pPr>
          </w:p>
        </w:tc>
        <w:tc>
          <w:tcPr>
            <w:tcW w:w="22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0" w:type="dxa"/>
            <w:vAlign w:val="bottom"/>
            <w:shd w:val="clear" w:color="auto" w:fill="EFEDED"/>
          </w:tcPr>
          <w:p>
            <w:pPr>
              <w:spacing w:after="0"/>
              <w:rPr>
                <w:sz w:val="19"/>
                <w:szCs w:val="19"/>
                <w:color w:val="auto"/>
              </w:rPr>
            </w:pPr>
          </w:p>
        </w:tc>
        <w:tc>
          <w:tcPr>
            <w:tcW w:w="2440" w:type="dxa"/>
            <w:vAlign w:val="bottom"/>
            <w:shd w:val="clear" w:color="auto" w:fill="EFEDED"/>
          </w:tcPr>
          <w:p>
            <w:pPr>
              <w:ind w:left="20"/>
              <w:spacing w:after="0"/>
              <w:rPr>
                <w:sz w:val="20"/>
                <w:szCs w:val="20"/>
                <w:color w:val="auto"/>
              </w:rPr>
            </w:pPr>
            <w:r>
              <w:rPr>
                <w:rFonts w:ascii="Arial" w:cs="Arial" w:eastAsia="Arial" w:hAnsi="Arial"/>
                <w:sz w:val="16"/>
                <w:szCs w:val="16"/>
                <w:color w:val="58595B"/>
              </w:rPr>
              <w:t>Ms. Lo (chair)</w:t>
            </w:r>
          </w:p>
        </w:tc>
        <w:tc>
          <w:tcPr>
            <w:tcW w:w="360" w:type="dxa"/>
            <w:vAlign w:val="bottom"/>
            <w:shd w:val="clear" w:color="auto" w:fill="EFEDED"/>
          </w:tcPr>
          <w:p>
            <w:pPr>
              <w:spacing w:after="0"/>
              <w:rPr>
                <w:sz w:val="19"/>
                <w:szCs w:val="19"/>
                <w:color w:val="auto"/>
              </w:rPr>
            </w:pPr>
          </w:p>
        </w:tc>
        <w:tc>
          <w:tcPr>
            <w:tcW w:w="7640" w:type="dxa"/>
            <w:vAlign w:val="bottom"/>
            <w:vMerge w:val="restart"/>
            <w:shd w:val="clear" w:color="auto" w:fill="EFEDED"/>
          </w:tcPr>
          <w:p>
            <w:pPr>
              <w:ind w:left="20"/>
              <w:spacing w:after="0"/>
              <w:rPr>
                <w:sz w:val="20"/>
                <w:szCs w:val="20"/>
                <w:color w:val="auto"/>
              </w:rPr>
            </w:pPr>
            <w:r>
              <w:rPr>
                <w:rFonts w:ascii="Arial" w:cs="Arial" w:eastAsia="Arial" w:hAnsi="Arial"/>
                <w:sz w:val="16"/>
                <w:szCs w:val="16"/>
                <w:color w:val="58595B"/>
              </w:rPr>
              <w:t>• Discharge the Board’s responsibilities relating to compensation of the Corporation’s executives,</w:t>
            </w:r>
          </w:p>
        </w:tc>
        <w:tc>
          <w:tcPr>
            <w:tcW w:w="360" w:type="dxa"/>
            <w:vAlign w:val="bottom"/>
            <w:shd w:val="clear" w:color="auto" w:fill="EFEDED"/>
          </w:tcPr>
          <w:p>
            <w:pPr>
              <w:spacing w:after="0"/>
              <w:rPr>
                <w:sz w:val="19"/>
                <w:szCs w:val="19"/>
                <w:color w:val="auto"/>
              </w:rPr>
            </w:pPr>
          </w:p>
        </w:tc>
        <w:tc>
          <w:tcPr>
            <w:tcW w:w="220" w:type="dxa"/>
            <w:vAlign w:val="bottom"/>
            <w:shd w:val="clear" w:color="auto" w:fill="EFEDED"/>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20" w:type="dxa"/>
            <w:vAlign w:val="bottom"/>
            <w:shd w:val="clear" w:color="auto" w:fill="EFEDED"/>
          </w:tcPr>
          <w:p>
            <w:pPr>
              <w:spacing w:after="0"/>
              <w:rPr>
                <w:sz w:val="4"/>
                <w:szCs w:val="4"/>
                <w:color w:val="auto"/>
              </w:rPr>
            </w:pPr>
          </w:p>
        </w:tc>
        <w:tc>
          <w:tcPr>
            <w:tcW w:w="2440" w:type="dxa"/>
            <w:vAlign w:val="bottom"/>
            <w:vMerge w:val="restart"/>
            <w:shd w:val="clear" w:color="auto" w:fill="EFEDED"/>
          </w:tcPr>
          <w:p>
            <w:pPr>
              <w:ind w:left="20"/>
              <w:spacing w:after="0"/>
              <w:rPr>
                <w:sz w:val="20"/>
                <w:szCs w:val="20"/>
                <w:color w:val="auto"/>
              </w:rPr>
            </w:pPr>
            <w:r>
              <w:rPr>
                <w:rFonts w:ascii="Arial" w:cs="Arial" w:eastAsia="Arial" w:hAnsi="Arial"/>
                <w:sz w:val="16"/>
                <w:szCs w:val="16"/>
                <w:color w:val="58595B"/>
              </w:rPr>
              <w:t>Dr. Graves</w:t>
            </w:r>
          </w:p>
        </w:tc>
        <w:tc>
          <w:tcPr>
            <w:tcW w:w="360" w:type="dxa"/>
            <w:vAlign w:val="bottom"/>
            <w:shd w:val="clear" w:color="auto" w:fill="EFEDED"/>
          </w:tcPr>
          <w:p>
            <w:pPr>
              <w:spacing w:after="0"/>
              <w:rPr>
                <w:sz w:val="4"/>
                <w:szCs w:val="4"/>
                <w:color w:val="auto"/>
              </w:rPr>
            </w:pPr>
          </w:p>
        </w:tc>
        <w:tc>
          <w:tcPr>
            <w:tcW w:w="7640" w:type="dxa"/>
            <w:vAlign w:val="bottom"/>
            <w:vMerge w:val="continue"/>
            <w:shd w:val="clear" w:color="auto" w:fill="EFEDED"/>
          </w:tcPr>
          <w:p>
            <w:pPr>
              <w:spacing w:after="0"/>
              <w:rPr>
                <w:sz w:val="4"/>
                <w:szCs w:val="4"/>
                <w:color w:val="auto"/>
              </w:rPr>
            </w:pPr>
          </w:p>
        </w:tc>
        <w:tc>
          <w:tcPr>
            <w:tcW w:w="360" w:type="dxa"/>
            <w:vAlign w:val="bottom"/>
            <w:shd w:val="clear" w:color="auto" w:fill="EFEDED"/>
          </w:tcPr>
          <w:p>
            <w:pPr>
              <w:spacing w:after="0"/>
              <w:rPr>
                <w:sz w:val="4"/>
                <w:szCs w:val="4"/>
                <w:color w:val="auto"/>
              </w:rPr>
            </w:pPr>
          </w:p>
        </w:tc>
        <w:tc>
          <w:tcPr>
            <w:tcW w:w="220" w:type="dxa"/>
            <w:vAlign w:val="bottom"/>
            <w:shd w:val="clear" w:color="auto" w:fill="EFEDED"/>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0" w:type="dxa"/>
            <w:vAlign w:val="bottom"/>
            <w:shd w:val="clear" w:color="auto" w:fill="EFEDED"/>
          </w:tcPr>
          <w:p>
            <w:pPr>
              <w:spacing w:after="0"/>
              <w:rPr>
                <w:sz w:val="16"/>
                <w:szCs w:val="16"/>
                <w:color w:val="auto"/>
              </w:rPr>
            </w:pPr>
          </w:p>
        </w:tc>
        <w:tc>
          <w:tcPr>
            <w:tcW w:w="2440" w:type="dxa"/>
            <w:vAlign w:val="bottom"/>
            <w:vMerge w:val="continue"/>
            <w:shd w:val="clear" w:color="auto" w:fill="EFEDED"/>
          </w:tcPr>
          <w:p>
            <w:pPr>
              <w:spacing w:after="0"/>
              <w:rPr>
                <w:sz w:val="16"/>
                <w:szCs w:val="16"/>
                <w:color w:val="auto"/>
              </w:rPr>
            </w:pPr>
          </w:p>
        </w:tc>
        <w:tc>
          <w:tcPr>
            <w:tcW w:w="360" w:type="dxa"/>
            <w:vAlign w:val="bottom"/>
            <w:shd w:val="clear" w:color="auto" w:fill="EFEDED"/>
          </w:tcPr>
          <w:p>
            <w:pPr>
              <w:spacing w:after="0"/>
              <w:rPr>
                <w:sz w:val="16"/>
                <w:szCs w:val="16"/>
                <w:color w:val="auto"/>
              </w:rPr>
            </w:pPr>
          </w:p>
        </w:tc>
        <w:tc>
          <w:tcPr>
            <w:tcW w:w="7640" w:type="dxa"/>
            <w:vAlign w:val="bottom"/>
            <w:vMerge w:val="restart"/>
            <w:shd w:val="clear" w:color="auto" w:fill="EFEDED"/>
          </w:tcPr>
          <w:p>
            <w:pPr>
              <w:ind w:left="180"/>
              <w:spacing w:after="0"/>
              <w:rPr>
                <w:sz w:val="20"/>
                <w:szCs w:val="20"/>
                <w:color w:val="auto"/>
              </w:rPr>
            </w:pPr>
            <w:r>
              <w:rPr>
                <w:rFonts w:ascii="Arial" w:cs="Arial" w:eastAsia="Arial" w:hAnsi="Arial"/>
                <w:sz w:val="16"/>
                <w:szCs w:val="16"/>
                <w:color w:val="58595B"/>
              </w:rPr>
              <w:t>including by designing (in consultation with management or the Board), recommending to the Board for</w:t>
            </w:r>
          </w:p>
        </w:tc>
        <w:tc>
          <w:tcPr>
            <w:tcW w:w="360" w:type="dxa"/>
            <w:vAlign w:val="bottom"/>
            <w:shd w:val="clear" w:color="auto" w:fill="EFEDED"/>
          </w:tcPr>
          <w:p>
            <w:pPr>
              <w:spacing w:after="0"/>
              <w:rPr>
                <w:sz w:val="16"/>
                <w:szCs w:val="16"/>
                <w:color w:val="auto"/>
              </w:rPr>
            </w:pPr>
          </w:p>
        </w:tc>
        <w:tc>
          <w:tcPr>
            <w:tcW w:w="220" w:type="dxa"/>
            <w:vAlign w:val="bottom"/>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20" w:type="dxa"/>
            <w:vAlign w:val="bottom"/>
            <w:shd w:val="clear" w:color="auto" w:fill="EFEDED"/>
          </w:tcPr>
          <w:p>
            <w:pPr>
              <w:spacing w:after="0"/>
              <w:rPr>
                <w:sz w:val="4"/>
                <w:szCs w:val="4"/>
                <w:color w:val="auto"/>
              </w:rPr>
            </w:pPr>
          </w:p>
        </w:tc>
        <w:tc>
          <w:tcPr>
            <w:tcW w:w="2440" w:type="dxa"/>
            <w:vAlign w:val="bottom"/>
            <w:vMerge w:val="restart"/>
            <w:shd w:val="clear" w:color="auto" w:fill="EFEDED"/>
          </w:tcPr>
          <w:p>
            <w:pPr>
              <w:ind w:left="20"/>
              <w:spacing w:after="0"/>
              <w:rPr>
                <w:sz w:val="20"/>
                <w:szCs w:val="20"/>
                <w:color w:val="auto"/>
              </w:rPr>
            </w:pPr>
            <w:r>
              <w:rPr>
                <w:rFonts w:ascii="Arial" w:cs="Arial" w:eastAsia="Arial" w:hAnsi="Arial"/>
                <w:sz w:val="16"/>
                <w:szCs w:val="16"/>
                <w:color w:val="58595B"/>
              </w:rPr>
              <w:t>Ms. Hill</w:t>
            </w:r>
          </w:p>
        </w:tc>
        <w:tc>
          <w:tcPr>
            <w:tcW w:w="360" w:type="dxa"/>
            <w:vAlign w:val="bottom"/>
            <w:shd w:val="clear" w:color="auto" w:fill="EFEDED"/>
          </w:tcPr>
          <w:p>
            <w:pPr>
              <w:spacing w:after="0"/>
              <w:rPr>
                <w:sz w:val="4"/>
                <w:szCs w:val="4"/>
                <w:color w:val="auto"/>
              </w:rPr>
            </w:pPr>
          </w:p>
        </w:tc>
        <w:tc>
          <w:tcPr>
            <w:tcW w:w="7640" w:type="dxa"/>
            <w:vAlign w:val="bottom"/>
            <w:vMerge w:val="continue"/>
            <w:shd w:val="clear" w:color="auto" w:fill="EFEDED"/>
          </w:tcPr>
          <w:p>
            <w:pPr>
              <w:spacing w:after="0"/>
              <w:rPr>
                <w:sz w:val="4"/>
                <w:szCs w:val="4"/>
                <w:color w:val="auto"/>
              </w:rPr>
            </w:pPr>
          </w:p>
        </w:tc>
        <w:tc>
          <w:tcPr>
            <w:tcW w:w="360" w:type="dxa"/>
            <w:vAlign w:val="bottom"/>
            <w:shd w:val="clear" w:color="auto" w:fill="EFEDED"/>
          </w:tcPr>
          <w:p>
            <w:pPr>
              <w:spacing w:after="0"/>
              <w:rPr>
                <w:sz w:val="4"/>
                <w:szCs w:val="4"/>
                <w:color w:val="auto"/>
              </w:rPr>
            </w:pPr>
          </w:p>
        </w:tc>
        <w:tc>
          <w:tcPr>
            <w:tcW w:w="220" w:type="dxa"/>
            <w:vAlign w:val="bottom"/>
            <w:shd w:val="clear" w:color="auto" w:fill="EFEDED"/>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20" w:type="dxa"/>
            <w:vAlign w:val="bottom"/>
            <w:shd w:val="clear" w:color="auto" w:fill="EFEDED"/>
          </w:tcPr>
          <w:p>
            <w:pPr>
              <w:spacing w:after="0"/>
              <w:rPr>
                <w:sz w:val="15"/>
                <w:szCs w:val="15"/>
                <w:color w:val="auto"/>
              </w:rPr>
            </w:pPr>
          </w:p>
        </w:tc>
        <w:tc>
          <w:tcPr>
            <w:tcW w:w="2440" w:type="dxa"/>
            <w:vAlign w:val="bottom"/>
            <w:vMerge w:val="continue"/>
            <w:shd w:val="clear" w:color="auto" w:fill="EFEDED"/>
          </w:tcPr>
          <w:p>
            <w:pPr>
              <w:spacing w:after="0"/>
              <w:rPr>
                <w:sz w:val="15"/>
                <w:szCs w:val="15"/>
                <w:color w:val="auto"/>
              </w:rPr>
            </w:pPr>
          </w:p>
        </w:tc>
        <w:tc>
          <w:tcPr>
            <w:tcW w:w="360" w:type="dxa"/>
            <w:vAlign w:val="bottom"/>
            <w:shd w:val="clear" w:color="auto" w:fill="EFEDED"/>
          </w:tcPr>
          <w:p>
            <w:pPr>
              <w:spacing w:after="0"/>
              <w:rPr>
                <w:sz w:val="15"/>
                <w:szCs w:val="15"/>
                <w:color w:val="auto"/>
              </w:rPr>
            </w:pPr>
          </w:p>
        </w:tc>
        <w:tc>
          <w:tcPr>
            <w:tcW w:w="7640" w:type="dxa"/>
            <w:vAlign w:val="bottom"/>
            <w:vMerge w:val="restart"/>
            <w:shd w:val="clear" w:color="auto" w:fill="EFEDED"/>
          </w:tcPr>
          <w:p>
            <w:pPr>
              <w:ind w:left="180"/>
              <w:spacing w:after="0"/>
              <w:rPr>
                <w:sz w:val="20"/>
                <w:szCs w:val="20"/>
                <w:color w:val="auto"/>
              </w:rPr>
            </w:pPr>
            <w:r>
              <w:rPr>
                <w:rFonts w:ascii="Arial" w:cs="Arial" w:eastAsia="Arial" w:hAnsi="Arial"/>
                <w:sz w:val="16"/>
                <w:szCs w:val="16"/>
                <w:color w:val="58595B"/>
              </w:rPr>
              <w:t>approval, and evaluating the compensation plans, policies and programs of the Corporation applicable</w:t>
            </w:r>
          </w:p>
        </w:tc>
        <w:tc>
          <w:tcPr>
            <w:tcW w:w="360" w:type="dxa"/>
            <w:vAlign w:val="bottom"/>
            <w:shd w:val="clear" w:color="auto" w:fill="EFEDED"/>
          </w:tcPr>
          <w:p>
            <w:pPr>
              <w:spacing w:after="0"/>
              <w:rPr>
                <w:sz w:val="15"/>
                <w:szCs w:val="15"/>
                <w:color w:val="auto"/>
              </w:rPr>
            </w:pPr>
          </w:p>
        </w:tc>
        <w:tc>
          <w:tcPr>
            <w:tcW w:w="220" w:type="dxa"/>
            <w:vAlign w:val="bottom"/>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20" w:type="dxa"/>
            <w:vAlign w:val="bottom"/>
            <w:shd w:val="clear" w:color="auto" w:fill="EFEDED"/>
          </w:tcPr>
          <w:p>
            <w:pPr>
              <w:spacing w:after="0"/>
              <w:rPr>
                <w:sz w:val="4"/>
                <w:szCs w:val="4"/>
                <w:color w:val="auto"/>
              </w:rPr>
            </w:pPr>
          </w:p>
        </w:tc>
        <w:tc>
          <w:tcPr>
            <w:tcW w:w="2440" w:type="dxa"/>
            <w:vAlign w:val="bottom"/>
            <w:shd w:val="clear" w:color="auto" w:fill="EFEDED"/>
          </w:tcPr>
          <w:p>
            <w:pPr>
              <w:spacing w:after="0"/>
              <w:rPr>
                <w:sz w:val="4"/>
                <w:szCs w:val="4"/>
                <w:color w:val="auto"/>
              </w:rPr>
            </w:pPr>
          </w:p>
        </w:tc>
        <w:tc>
          <w:tcPr>
            <w:tcW w:w="360" w:type="dxa"/>
            <w:vAlign w:val="bottom"/>
            <w:shd w:val="clear" w:color="auto" w:fill="EFEDED"/>
          </w:tcPr>
          <w:p>
            <w:pPr>
              <w:spacing w:after="0"/>
              <w:rPr>
                <w:sz w:val="4"/>
                <w:szCs w:val="4"/>
                <w:color w:val="auto"/>
              </w:rPr>
            </w:pPr>
          </w:p>
        </w:tc>
        <w:tc>
          <w:tcPr>
            <w:tcW w:w="7640" w:type="dxa"/>
            <w:vAlign w:val="bottom"/>
            <w:vMerge w:val="continue"/>
            <w:shd w:val="clear" w:color="auto" w:fill="EFEDED"/>
          </w:tcPr>
          <w:p>
            <w:pPr>
              <w:spacing w:after="0"/>
              <w:rPr>
                <w:sz w:val="4"/>
                <w:szCs w:val="4"/>
                <w:color w:val="auto"/>
              </w:rPr>
            </w:pPr>
          </w:p>
        </w:tc>
        <w:tc>
          <w:tcPr>
            <w:tcW w:w="360" w:type="dxa"/>
            <w:vAlign w:val="bottom"/>
            <w:shd w:val="clear" w:color="auto" w:fill="EFEDED"/>
          </w:tcPr>
          <w:p>
            <w:pPr>
              <w:spacing w:after="0"/>
              <w:rPr>
                <w:sz w:val="4"/>
                <w:szCs w:val="4"/>
                <w:color w:val="auto"/>
              </w:rPr>
            </w:pPr>
          </w:p>
        </w:tc>
        <w:tc>
          <w:tcPr>
            <w:tcW w:w="220" w:type="dxa"/>
            <w:vAlign w:val="bottom"/>
            <w:shd w:val="clear" w:color="auto" w:fill="EFEDED"/>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20" w:type="dxa"/>
            <w:vAlign w:val="bottom"/>
            <w:shd w:val="clear" w:color="auto" w:fill="EFEDED"/>
          </w:tcPr>
          <w:p>
            <w:pPr>
              <w:spacing w:after="0"/>
              <w:rPr>
                <w:sz w:val="21"/>
                <w:szCs w:val="21"/>
                <w:color w:val="auto"/>
              </w:rPr>
            </w:pPr>
          </w:p>
        </w:tc>
        <w:tc>
          <w:tcPr>
            <w:tcW w:w="2440" w:type="dxa"/>
            <w:vAlign w:val="bottom"/>
            <w:shd w:val="clear" w:color="auto" w:fill="EFEDED"/>
          </w:tcPr>
          <w:p>
            <w:pPr>
              <w:spacing w:after="0"/>
              <w:rPr>
                <w:sz w:val="21"/>
                <w:szCs w:val="21"/>
                <w:color w:val="auto"/>
              </w:rPr>
            </w:pPr>
          </w:p>
        </w:tc>
        <w:tc>
          <w:tcPr>
            <w:tcW w:w="360" w:type="dxa"/>
            <w:vAlign w:val="bottom"/>
            <w:shd w:val="clear" w:color="auto" w:fill="EFEDED"/>
          </w:tcPr>
          <w:p>
            <w:pPr>
              <w:spacing w:after="0"/>
              <w:rPr>
                <w:sz w:val="21"/>
                <w:szCs w:val="21"/>
                <w:color w:val="auto"/>
              </w:rPr>
            </w:pPr>
          </w:p>
        </w:tc>
        <w:tc>
          <w:tcPr>
            <w:tcW w:w="7640" w:type="dxa"/>
            <w:vAlign w:val="bottom"/>
            <w:shd w:val="clear" w:color="auto" w:fill="EFEDED"/>
          </w:tcPr>
          <w:p>
            <w:pPr>
              <w:ind w:left="180"/>
              <w:spacing w:after="0"/>
              <w:rPr>
                <w:sz w:val="20"/>
                <w:szCs w:val="20"/>
                <w:color w:val="auto"/>
              </w:rPr>
            </w:pPr>
            <w:r>
              <w:rPr>
                <w:rFonts w:ascii="Arial" w:cs="Arial" w:eastAsia="Arial" w:hAnsi="Arial"/>
                <w:sz w:val="16"/>
                <w:szCs w:val="16"/>
                <w:color w:val="58595B"/>
              </w:rPr>
              <w:t>to executives.</w:t>
            </w:r>
          </w:p>
        </w:tc>
        <w:tc>
          <w:tcPr>
            <w:tcW w:w="360" w:type="dxa"/>
            <w:vAlign w:val="bottom"/>
            <w:shd w:val="clear" w:color="auto" w:fill="EFEDED"/>
          </w:tcPr>
          <w:p>
            <w:pPr>
              <w:spacing w:after="0"/>
              <w:rPr>
                <w:sz w:val="21"/>
                <w:szCs w:val="21"/>
                <w:color w:val="auto"/>
              </w:rPr>
            </w:pPr>
          </w:p>
        </w:tc>
        <w:tc>
          <w:tcPr>
            <w:tcW w:w="220" w:type="dxa"/>
            <w:vAlign w:val="bottom"/>
            <w:shd w:val="clear" w:color="auto" w:fill="EFEDED"/>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20" w:type="dxa"/>
            <w:vAlign w:val="bottom"/>
            <w:tcBorders>
              <w:bottom w:val="single" w:sz="8" w:color="EFEDED"/>
            </w:tcBorders>
            <w:shd w:val="clear" w:color="auto" w:fill="EFEDED"/>
          </w:tcPr>
          <w:p>
            <w:pPr>
              <w:spacing w:after="0"/>
              <w:rPr>
                <w:sz w:val="14"/>
                <w:szCs w:val="14"/>
                <w:color w:val="auto"/>
              </w:rPr>
            </w:pPr>
          </w:p>
        </w:tc>
        <w:tc>
          <w:tcPr>
            <w:tcW w:w="2440" w:type="dxa"/>
            <w:vAlign w:val="bottom"/>
            <w:tcBorders>
              <w:bottom w:val="single" w:sz="8" w:color="58595B"/>
            </w:tcBorders>
            <w:shd w:val="clear" w:color="auto" w:fill="EFEDED"/>
          </w:tcPr>
          <w:p>
            <w:pPr>
              <w:spacing w:after="0"/>
              <w:rPr>
                <w:sz w:val="14"/>
                <w:szCs w:val="14"/>
                <w:color w:val="auto"/>
              </w:rPr>
            </w:pPr>
          </w:p>
        </w:tc>
        <w:tc>
          <w:tcPr>
            <w:tcW w:w="360" w:type="dxa"/>
            <w:vAlign w:val="bottom"/>
            <w:tcBorders>
              <w:bottom w:val="single" w:sz="8" w:color="EFEDED"/>
            </w:tcBorders>
            <w:shd w:val="clear" w:color="auto" w:fill="EFEDED"/>
          </w:tcPr>
          <w:p>
            <w:pPr>
              <w:spacing w:after="0"/>
              <w:rPr>
                <w:sz w:val="14"/>
                <w:szCs w:val="14"/>
                <w:color w:val="auto"/>
              </w:rPr>
            </w:pPr>
          </w:p>
        </w:tc>
        <w:tc>
          <w:tcPr>
            <w:tcW w:w="8000" w:type="dxa"/>
            <w:vAlign w:val="bottom"/>
            <w:tcBorders>
              <w:bottom w:val="single" w:sz="8" w:color="EFEDED"/>
            </w:tcBorders>
            <w:gridSpan w:val="2"/>
            <w:vMerge w:val="restart"/>
            <w:shd w:val="clear" w:color="auto" w:fill="EFEDED"/>
          </w:tcPr>
          <w:p>
            <w:pPr>
              <w:ind w:left="20"/>
              <w:spacing w:after="0"/>
              <w:rPr>
                <w:sz w:val="20"/>
                <w:szCs w:val="20"/>
                <w:color w:val="auto"/>
              </w:rPr>
            </w:pPr>
            <w:r>
              <w:rPr>
                <w:rFonts w:ascii="Arial" w:cs="Arial" w:eastAsia="Arial" w:hAnsi="Arial"/>
                <w:sz w:val="16"/>
                <w:szCs w:val="16"/>
                <w:color w:val="58595B"/>
              </w:rPr>
              <w:t>• Produce an annual report on executive compensation for inclusion in the Corporation’s proxy materials.</w:t>
            </w:r>
          </w:p>
        </w:tc>
        <w:tc>
          <w:tcPr>
            <w:tcW w:w="220" w:type="dxa"/>
            <w:vAlign w:val="bottom"/>
            <w:tcBorders>
              <w:bottom w:val="single" w:sz="8" w:color="EFEDED"/>
            </w:tcBorders>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20" w:type="dxa"/>
            <w:vAlign w:val="bottom"/>
            <w:shd w:val="clear" w:color="auto" w:fill="EFEDED"/>
          </w:tcPr>
          <w:p>
            <w:pPr>
              <w:spacing w:after="0"/>
              <w:rPr>
                <w:sz w:val="18"/>
                <w:szCs w:val="18"/>
                <w:color w:val="auto"/>
              </w:rPr>
            </w:pPr>
          </w:p>
        </w:tc>
        <w:tc>
          <w:tcPr>
            <w:tcW w:w="2440" w:type="dxa"/>
            <w:vAlign w:val="bottom"/>
            <w:vMerge w:val="restart"/>
            <w:shd w:val="clear" w:color="auto" w:fill="EFEDED"/>
          </w:tcPr>
          <w:p>
            <w:pPr>
              <w:ind w:left="20"/>
              <w:spacing w:after="0"/>
              <w:rPr>
                <w:sz w:val="20"/>
                <w:szCs w:val="20"/>
                <w:color w:val="auto"/>
              </w:rPr>
            </w:pPr>
            <w:r>
              <w:rPr>
                <w:rFonts w:ascii="Arial" w:cs="Arial" w:eastAsia="Arial" w:hAnsi="Arial"/>
                <w:sz w:val="16"/>
                <w:szCs w:val="16"/>
                <w:b w:val="1"/>
                <w:bCs w:val="1"/>
                <w:color w:val="58595B"/>
              </w:rPr>
              <w:t>Number of Meetings:</w:t>
            </w:r>
          </w:p>
        </w:tc>
        <w:tc>
          <w:tcPr>
            <w:tcW w:w="360" w:type="dxa"/>
            <w:vAlign w:val="bottom"/>
            <w:shd w:val="clear" w:color="auto" w:fill="EFEDED"/>
          </w:tcPr>
          <w:p>
            <w:pPr>
              <w:spacing w:after="0"/>
              <w:rPr>
                <w:sz w:val="18"/>
                <w:szCs w:val="18"/>
                <w:color w:val="auto"/>
              </w:rPr>
            </w:pPr>
          </w:p>
        </w:tc>
        <w:tc>
          <w:tcPr>
            <w:tcW w:w="8000" w:type="dxa"/>
            <w:vAlign w:val="bottom"/>
            <w:gridSpan w:val="2"/>
            <w:vMerge w:val="continue"/>
            <w:shd w:val="clear" w:color="auto" w:fill="EFEDED"/>
          </w:tcPr>
          <w:p>
            <w:pPr>
              <w:spacing w:after="0"/>
              <w:rPr>
                <w:sz w:val="18"/>
                <w:szCs w:val="18"/>
                <w:color w:val="auto"/>
              </w:rPr>
            </w:pPr>
          </w:p>
        </w:tc>
        <w:tc>
          <w:tcPr>
            <w:tcW w:w="220" w:type="dxa"/>
            <w:vAlign w:val="bottom"/>
            <w:shd w:val="clear" w:color="auto" w:fill="EFEDED"/>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20" w:type="dxa"/>
            <w:vAlign w:val="bottom"/>
            <w:shd w:val="clear" w:color="auto" w:fill="EFEDED"/>
          </w:tcPr>
          <w:p>
            <w:pPr>
              <w:spacing w:after="0"/>
              <w:rPr>
                <w:sz w:val="15"/>
                <w:szCs w:val="15"/>
                <w:color w:val="auto"/>
              </w:rPr>
            </w:pPr>
          </w:p>
        </w:tc>
        <w:tc>
          <w:tcPr>
            <w:tcW w:w="2440" w:type="dxa"/>
            <w:vAlign w:val="bottom"/>
            <w:vMerge w:val="continue"/>
            <w:shd w:val="clear" w:color="auto" w:fill="EFEDED"/>
          </w:tcPr>
          <w:p>
            <w:pPr>
              <w:spacing w:after="0"/>
              <w:rPr>
                <w:sz w:val="15"/>
                <w:szCs w:val="15"/>
                <w:color w:val="auto"/>
              </w:rPr>
            </w:pPr>
          </w:p>
        </w:tc>
        <w:tc>
          <w:tcPr>
            <w:tcW w:w="360" w:type="dxa"/>
            <w:vAlign w:val="bottom"/>
            <w:shd w:val="clear" w:color="auto" w:fill="EFEDED"/>
          </w:tcPr>
          <w:p>
            <w:pPr>
              <w:spacing w:after="0"/>
              <w:rPr>
                <w:sz w:val="15"/>
                <w:szCs w:val="15"/>
                <w:color w:val="auto"/>
              </w:rPr>
            </w:pPr>
          </w:p>
        </w:tc>
        <w:tc>
          <w:tcPr>
            <w:tcW w:w="7640" w:type="dxa"/>
            <w:vAlign w:val="bottom"/>
            <w:shd w:val="clear" w:color="auto" w:fill="EFEDED"/>
          </w:tcPr>
          <w:p>
            <w:pPr>
              <w:spacing w:after="0"/>
              <w:rPr>
                <w:sz w:val="15"/>
                <w:szCs w:val="15"/>
                <w:color w:val="auto"/>
              </w:rPr>
            </w:pPr>
          </w:p>
        </w:tc>
        <w:tc>
          <w:tcPr>
            <w:tcW w:w="360" w:type="dxa"/>
            <w:vAlign w:val="bottom"/>
            <w:shd w:val="clear" w:color="auto" w:fill="EFEDED"/>
          </w:tcPr>
          <w:p>
            <w:pPr>
              <w:spacing w:after="0"/>
              <w:rPr>
                <w:sz w:val="15"/>
                <w:szCs w:val="15"/>
                <w:color w:val="auto"/>
              </w:rPr>
            </w:pPr>
          </w:p>
        </w:tc>
        <w:tc>
          <w:tcPr>
            <w:tcW w:w="220" w:type="dxa"/>
            <w:vAlign w:val="bottom"/>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20" w:type="dxa"/>
            <w:vAlign w:val="bottom"/>
            <w:shd w:val="clear" w:color="auto" w:fill="EFEDED"/>
          </w:tcPr>
          <w:p>
            <w:pPr>
              <w:spacing w:after="0"/>
              <w:rPr>
                <w:sz w:val="19"/>
                <w:szCs w:val="19"/>
                <w:color w:val="auto"/>
              </w:rPr>
            </w:pPr>
          </w:p>
        </w:tc>
        <w:tc>
          <w:tcPr>
            <w:tcW w:w="2440" w:type="dxa"/>
            <w:vAlign w:val="bottom"/>
            <w:shd w:val="clear" w:color="auto" w:fill="EFEDED"/>
          </w:tcPr>
          <w:p>
            <w:pPr>
              <w:ind w:left="20"/>
              <w:spacing w:after="0"/>
              <w:rPr>
                <w:sz w:val="20"/>
                <w:szCs w:val="20"/>
                <w:color w:val="auto"/>
              </w:rPr>
            </w:pPr>
            <w:r>
              <w:rPr>
                <w:rFonts w:ascii="Arial" w:cs="Arial" w:eastAsia="Arial" w:hAnsi="Arial"/>
                <w:sz w:val="16"/>
                <w:szCs w:val="16"/>
                <w:color w:val="58595B"/>
              </w:rPr>
              <w:t>6</w:t>
            </w:r>
          </w:p>
        </w:tc>
        <w:tc>
          <w:tcPr>
            <w:tcW w:w="360" w:type="dxa"/>
            <w:vAlign w:val="bottom"/>
            <w:shd w:val="clear" w:color="auto" w:fill="EFEDED"/>
          </w:tcPr>
          <w:p>
            <w:pPr>
              <w:spacing w:after="0"/>
              <w:rPr>
                <w:sz w:val="19"/>
                <w:szCs w:val="19"/>
                <w:color w:val="auto"/>
              </w:rPr>
            </w:pPr>
          </w:p>
        </w:tc>
        <w:tc>
          <w:tcPr>
            <w:tcW w:w="7640" w:type="dxa"/>
            <w:vAlign w:val="bottom"/>
            <w:shd w:val="clear" w:color="auto" w:fill="EFEDED"/>
          </w:tcPr>
          <w:p>
            <w:pPr>
              <w:spacing w:after="0"/>
              <w:rPr>
                <w:sz w:val="19"/>
                <w:szCs w:val="19"/>
                <w:color w:val="auto"/>
              </w:rPr>
            </w:pPr>
          </w:p>
        </w:tc>
        <w:tc>
          <w:tcPr>
            <w:tcW w:w="360" w:type="dxa"/>
            <w:vAlign w:val="bottom"/>
            <w:shd w:val="clear" w:color="auto" w:fill="EFEDED"/>
          </w:tcPr>
          <w:p>
            <w:pPr>
              <w:spacing w:after="0"/>
              <w:rPr>
                <w:sz w:val="19"/>
                <w:szCs w:val="19"/>
                <w:color w:val="auto"/>
              </w:rPr>
            </w:pPr>
          </w:p>
        </w:tc>
        <w:tc>
          <w:tcPr>
            <w:tcW w:w="220" w:type="dxa"/>
            <w:vAlign w:val="bottom"/>
            <w:shd w:val="clear" w:color="auto" w:fill="EFEDED"/>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20" w:type="dxa"/>
            <w:vAlign w:val="bottom"/>
            <w:shd w:val="clear" w:color="auto" w:fill="EFEDED"/>
          </w:tcPr>
          <w:p>
            <w:pPr>
              <w:spacing w:after="0"/>
              <w:rPr>
                <w:sz w:val="24"/>
                <w:szCs w:val="24"/>
                <w:color w:val="auto"/>
              </w:rPr>
            </w:pPr>
          </w:p>
        </w:tc>
        <w:tc>
          <w:tcPr>
            <w:tcW w:w="2440" w:type="dxa"/>
            <w:vAlign w:val="bottom"/>
            <w:shd w:val="clear" w:color="auto" w:fill="EFEDED"/>
          </w:tcPr>
          <w:p>
            <w:pPr>
              <w:spacing w:after="0"/>
              <w:rPr>
                <w:sz w:val="24"/>
                <w:szCs w:val="24"/>
                <w:color w:val="auto"/>
              </w:rPr>
            </w:pPr>
          </w:p>
        </w:tc>
        <w:tc>
          <w:tcPr>
            <w:tcW w:w="360" w:type="dxa"/>
            <w:vAlign w:val="bottom"/>
            <w:shd w:val="clear" w:color="auto" w:fill="EFEDED"/>
          </w:tcPr>
          <w:p>
            <w:pPr>
              <w:spacing w:after="0"/>
              <w:rPr>
                <w:sz w:val="24"/>
                <w:szCs w:val="24"/>
                <w:color w:val="auto"/>
              </w:rPr>
            </w:pPr>
          </w:p>
        </w:tc>
        <w:tc>
          <w:tcPr>
            <w:tcW w:w="7640" w:type="dxa"/>
            <w:vAlign w:val="bottom"/>
            <w:shd w:val="clear" w:color="auto" w:fill="EFEDED"/>
          </w:tcPr>
          <w:p>
            <w:pPr>
              <w:spacing w:after="0"/>
              <w:rPr>
                <w:sz w:val="24"/>
                <w:szCs w:val="24"/>
                <w:color w:val="auto"/>
              </w:rPr>
            </w:pPr>
          </w:p>
        </w:tc>
        <w:tc>
          <w:tcPr>
            <w:tcW w:w="360" w:type="dxa"/>
            <w:vAlign w:val="bottom"/>
            <w:shd w:val="clear" w:color="auto" w:fill="EFEDED"/>
          </w:tcPr>
          <w:p>
            <w:pPr>
              <w:spacing w:after="0"/>
              <w:rPr>
                <w:sz w:val="24"/>
                <w:szCs w:val="24"/>
                <w:color w:val="auto"/>
              </w:rPr>
            </w:pPr>
          </w:p>
        </w:tc>
        <w:tc>
          <w:tcPr>
            <w:tcW w:w="22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i w:val="1"/>
          <w:iCs w:val="1"/>
          <w:color w:val="58595B"/>
        </w:rPr>
        <w:t xml:space="preserve">Compensation Committee. </w:t>
      </w:r>
      <w:r>
        <w:rPr>
          <w:rFonts w:ascii="Arial" w:cs="Arial" w:eastAsia="Arial" w:hAnsi="Arial"/>
          <w:sz w:val="16"/>
          <w:szCs w:val="16"/>
          <w:color w:val="58595B"/>
        </w:rPr>
        <w:t>The members of the Compensation Committee are Ms. Lo (chair), Dr. Graves and Ms. Hill. The Compensation Committee met</w:t>
      </w:r>
      <w:r>
        <w:rPr>
          <w:rFonts w:ascii="Arial" w:cs="Arial" w:eastAsia="Arial" w:hAnsi="Arial"/>
          <w:sz w:val="16"/>
          <w:szCs w:val="16"/>
          <w:i w:val="1"/>
          <w:iCs w:val="1"/>
          <w:color w:val="58595B"/>
        </w:rPr>
        <w:t xml:space="preserve"> </w:t>
      </w:r>
      <w:r>
        <w:rPr>
          <w:rFonts w:ascii="Arial" w:cs="Arial" w:eastAsia="Arial" w:hAnsi="Arial"/>
          <w:sz w:val="16"/>
          <w:szCs w:val="16"/>
          <w:color w:val="58595B"/>
        </w:rPr>
        <w:t>six (6) times in 2025. The Compensation Committee makes decisions concerning salaries and incentive compensation, including the issuance of equity awards, for executive officers of the Company. The Compensation Committee also administers the Company’s 2003 Equity Incentive Plan, the Company’s Deferred Compensation Plan and the Company’s Employee Stock Purchase Plan (collectively, the “Approved Plans”). Each member of the Compensation Committee is a “non-employee” director within the meaning of Rule 16b-3 under the Exchange Act. The Board has determined that each of the members of the Compensation Committee is independent, as defined by the applicable Nasdaq Stock Market listing standards.</w:t>
      </w:r>
    </w:p>
    <w:p>
      <w:pPr>
        <w:spacing w:after="0" w:line="122"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58595B"/>
        </w:rPr>
        <w:t>The Compensation Committee may delegate any or all of its responsibilities to the extent consistent with the Company’s certificate of incorporation, bylaws, Corporate Governance Guidelines and applicable laws and rules of markets in which the Company’s securities then trade.</w:t>
      </w:r>
    </w:p>
    <w:p>
      <w:pPr>
        <w:spacing w:after="0" w:line="115" w:lineRule="exact"/>
        <w:rPr>
          <w:sz w:val="20"/>
          <w:szCs w:val="20"/>
          <w:color w:val="auto"/>
        </w:rPr>
      </w:pPr>
    </w:p>
    <w:p>
      <w:pPr>
        <w:spacing w:after="0" w:line="313" w:lineRule="auto"/>
        <w:rPr>
          <w:sz w:val="20"/>
          <w:szCs w:val="20"/>
          <w:color w:val="auto"/>
        </w:rPr>
      </w:pPr>
      <w:r>
        <w:rPr>
          <w:rFonts w:ascii="Arial" w:cs="Arial" w:eastAsia="Arial" w:hAnsi="Arial"/>
          <w:sz w:val="16"/>
          <w:szCs w:val="16"/>
          <w:color w:val="58595B"/>
        </w:rPr>
        <w:t>The Compensation Committee has delegated authority for making equity awards to non-executive officer employees under the Approved Plans to a Special Award Committee, consisting of the Chief Executive Officer, provided, however, that this delegation is limited to grants whose cumulative value in any twelve-month period does not exceed $450,000 for any individual recipient. On an annual basis, the Compensation Committee establishes the maximum aggregate value of the awards the Special Award Committee may make. The Compensation Committee authorized the Special Award Committee to grant awards with a maximum aggregate value of $22,000,000 during the one-year period beginning May 8, 2025.</w:t>
      </w: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18</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318" w:lineRule="auto"/>
        <w:rPr>
          <w:sz w:val="20"/>
          <w:szCs w:val="20"/>
          <w:color w:val="auto"/>
        </w:rPr>
      </w:pPr>
      <w:r>
        <w:rPr>
          <w:rFonts w:ascii="Arial" w:cs="Arial" w:eastAsia="Arial" w:hAnsi="Arial"/>
          <w:sz w:val="16"/>
          <w:szCs w:val="16"/>
          <w:color w:val="58595B"/>
        </w:rPr>
        <w:t>The Company’s Chief Executive Officer provides significant input on the compensation, including annual merit adjustments and equity awards, of the other executive officers. As discussed below in “Compensation Discussion and Analysis — Compensation Best Practices — Role of the Compensation Committee,” the Compensation Committee approves the compensation of these officers, taking into consideration the recommendations of the Chief Executive Officer.</w:t>
      </w:r>
    </w:p>
    <w:p>
      <w:pPr>
        <w:spacing w:after="0" w:line="132"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58595B"/>
        </w:rPr>
        <w:t>The Compensation Committee has established a process for considering the independence of compensation consultants, outside counsel and other advisers (other than in-house legal counsel) who serve as compensation advisers before the Compensation Committee selects or receives advice from such compensation advisers and has concluded that no conflict of interest issues currently exist regarding such compensation advisers.</w:t>
      </w:r>
    </w:p>
    <w:p>
      <w:pPr>
        <w:spacing w:after="0" w:line="130" w:lineRule="exact"/>
        <w:rPr>
          <w:sz w:val="20"/>
          <w:szCs w:val="20"/>
          <w:color w:val="auto"/>
        </w:rPr>
      </w:pPr>
    </w:p>
    <w:p>
      <w:pPr>
        <w:jc w:val="both"/>
        <w:ind w:right="420"/>
        <w:spacing w:after="0" w:line="305" w:lineRule="auto"/>
        <w:rPr>
          <w:sz w:val="20"/>
          <w:szCs w:val="20"/>
          <w:color w:val="auto"/>
        </w:rPr>
      </w:pPr>
      <w:r>
        <w:rPr>
          <w:rFonts w:ascii="Arial" w:cs="Arial" w:eastAsia="Arial" w:hAnsi="Arial"/>
          <w:sz w:val="16"/>
          <w:szCs w:val="16"/>
          <w:color w:val="58595B"/>
        </w:rPr>
        <w:t>During 2026, the Compensation Committee engaged WTW (f/k/a Willis Towers Watson) to provide consulting services relating to (i) the Compensation Discussion and Analysis and Say on Pay Proposal, (ii) stockholder advisory matters, (iii) compensation arrangements for the CEO and other executive officers for their performance during the 2025 calendar year, and (iv) Amendment No. 3 to the Fifth Amended and Restated 2003 Equity Incentive Plan.</w:t>
      </w:r>
    </w:p>
    <w:p>
      <w:pPr>
        <w:spacing w:after="0" w:line="1" w:lineRule="exact"/>
        <w:rPr>
          <w:sz w:val="20"/>
          <w:szCs w:val="20"/>
          <w:color w:val="auto"/>
        </w:rPr>
      </w:pPr>
    </w:p>
    <w:p>
      <w:pPr>
        <w:jc w:val="both"/>
        <w:ind w:right="20"/>
        <w:spacing w:after="0" w:line="328" w:lineRule="auto"/>
        <w:rPr>
          <w:sz w:val="20"/>
          <w:szCs w:val="20"/>
          <w:color w:val="auto"/>
        </w:rPr>
      </w:pPr>
      <w:r>
        <w:rPr>
          <w:rFonts w:ascii="Arial" w:cs="Arial" w:eastAsia="Arial" w:hAnsi="Arial"/>
          <w:sz w:val="16"/>
          <w:szCs w:val="16"/>
          <w:color w:val="58595B"/>
        </w:rPr>
        <w:t>During 2025, the Compensation Committee engaged WTW to provide consulting services relating to (i) the Compensation Discussion and Analysis and Say on Pay Proposal, (ii) stockholder advisory matters, (iii) compensation arrangements for the CEO and other executive officers for their performance during the 2024 calendar year, and (iv) Amendment No. 2 to the Fifth Amended and Restated 2003 Equity Incentive Plan.</w:t>
      </w:r>
    </w:p>
    <w:p>
      <w:pPr>
        <w:sectPr>
          <w:pgSz w:w="11900" w:h="16838" w:orient="portrait"/>
          <w:cols w:equalWidth="0" w:num="1">
            <w:col w:w="11240"/>
          </w:cols>
          <w:pgMar w:left="320" w:top="121" w:right="3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09845"/>
        </w:rPr>
        <w:t>Finance Committee</w:t>
      </w: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Members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Mr. Schade (chair)</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Dr. Bradley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Ms. Clay</w:t>
      </w:r>
    </w:p>
    <w:p>
      <w:pPr>
        <w:spacing w:after="0" w:line="200" w:lineRule="exact"/>
        <w:rPr>
          <w:sz w:val="20"/>
          <w:szCs w:val="20"/>
          <w:color w:val="auto"/>
        </w:rPr>
      </w:pPr>
    </w:p>
    <w:p>
      <w:pPr>
        <w:spacing w:after="0" w:line="39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Number of Meetings: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58595B"/>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-235585</wp:posOffset>
            </wp:positionV>
            <wp:extent cx="7132320" cy="15944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94485"/>
                    </a:xfrm>
                    <a:prstGeom prst="rect">
                      <a:avLst/>
                    </a:prstGeom>
                    <a:noFill/>
                  </pic:spPr>
                </pic:pic>
              </a:graphicData>
            </a:graphic>
          </wp:anchor>
        </w:drawing>
      </w:r>
    </w:p>
    <w:p>
      <w:pPr>
        <w:spacing w:after="0" w:line="93" w:lineRule="exact"/>
        <w:rPr>
          <w:sz w:val="20"/>
          <w:szCs w:val="20"/>
          <w:color w:val="auto"/>
        </w:rPr>
      </w:pPr>
    </w:p>
    <w:p>
      <w:pPr>
        <w:ind w:left="164" w:right="940" w:hanging="164"/>
        <w:spacing w:after="0" w:line="339" w:lineRule="auto"/>
        <w:tabs>
          <w:tab w:leader="none" w:pos="126" w:val="left"/>
        </w:tabs>
        <w:numPr>
          <w:ilvl w:val="0"/>
          <w:numId w:val="12"/>
        </w:numPr>
        <w:rPr>
          <w:rFonts w:ascii="Arial" w:cs="Arial" w:eastAsia="Arial" w:hAnsi="Arial"/>
          <w:sz w:val="16"/>
          <w:szCs w:val="16"/>
          <w:color w:val="58595B"/>
        </w:rPr>
      </w:pPr>
      <w:r>
        <w:rPr>
          <w:rFonts w:ascii="Arial" w:cs="Arial" w:eastAsia="Arial" w:hAnsi="Arial"/>
          <w:sz w:val="16"/>
          <w:szCs w:val="16"/>
          <w:color w:val="58595B"/>
        </w:rPr>
        <w:t>Provide advice to management on matters related to financing strategy, as well as the Corporation's capital structure and capital allocation initiatives</w:t>
      </w:r>
    </w:p>
    <w:p>
      <w:pPr>
        <w:spacing w:after="0" w:line="1308" w:lineRule="exact"/>
        <w:rPr>
          <w:sz w:val="20"/>
          <w:szCs w:val="20"/>
          <w:color w:val="auto"/>
        </w:rPr>
      </w:pPr>
    </w:p>
    <w:p>
      <w:pPr>
        <w:sectPr>
          <w:pgSz w:w="11900" w:h="16838" w:orient="portrait"/>
          <w:cols w:equalWidth="0" w:num="2">
            <w:col w:w="2316" w:space="720"/>
            <w:col w:w="8204"/>
          </w:cols>
          <w:pgMar w:left="320" w:top="121" w:right="3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right="100"/>
        <w:spacing w:after="0" w:line="328" w:lineRule="auto"/>
        <w:rPr>
          <w:sz w:val="20"/>
          <w:szCs w:val="20"/>
          <w:color w:val="auto"/>
        </w:rPr>
      </w:pPr>
      <w:r>
        <w:rPr>
          <w:rFonts w:ascii="Arial" w:cs="Arial" w:eastAsia="Arial" w:hAnsi="Arial"/>
          <w:sz w:val="16"/>
          <w:szCs w:val="16"/>
          <w:i w:val="1"/>
          <w:iCs w:val="1"/>
          <w:color w:val="58595B"/>
        </w:rPr>
        <w:t xml:space="preserve">Finance Committee. </w:t>
      </w:r>
      <w:r>
        <w:rPr>
          <w:rFonts w:ascii="Arial" w:cs="Arial" w:eastAsia="Arial" w:hAnsi="Arial"/>
          <w:sz w:val="16"/>
          <w:szCs w:val="16"/>
          <w:color w:val="58595B"/>
        </w:rPr>
        <w:t>The members of the Finance Committee are Mr. Schade (chair), Dr. Bradley and Ms. Clay. The Committee met three (3) times in 2025.</w:t>
      </w:r>
      <w:r>
        <w:rPr>
          <w:rFonts w:ascii="Arial" w:cs="Arial" w:eastAsia="Arial" w:hAnsi="Arial"/>
          <w:sz w:val="16"/>
          <w:szCs w:val="16"/>
          <w:i w:val="1"/>
          <w:iCs w:val="1"/>
          <w:color w:val="58595B"/>
        </w:rPr>
        <w:t xml:space="preserve"> </w:t>
      </w:r>
      <w:r>
        <w:rPr>
          <w:rFonts w:ascii="Arial" w:cs="Arial" w:eastAsia="Arial" w:hAnsi="Arial"/>
          <w:sz w:val="16"/>
          <w:szCs w:val="16"/>
          <w:color w:val="58595B"/>
        </w:rPr>
        <w:t>The Board has determined that each of the members of the Finance Committee is independent, as defined by the applicable Nasdaq Stock Market listing standards.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09845"/>
        </w:rPr>
        <w:t>Quality Committee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411"/>
        </w:trPr>
        <w:tc>
          <w:tcPr>
            <w:tcW w:w="220" w:type="dxa"/>
            <w:vAlign w:val="bottom"/>
            <w:shd w:val="clear" w:color="auto" w:fill="EFEDED"/>
          </w:tcPr>
          <w:p>
            <w:pPr>
              <w:spacing w:after="0"/>
              <w:rPr>
                <w:sz w:val="24"/>
                <w:szCs w:val="24"/>
                <w:color w:val="auto"/>
              </w:rPr>
            </w:pPr>
          </w:p>
        </w:tc>
        <w:tc>
          <w:tcPr>
            <w:tcW w:w="2460" w:type="dxa"/>
            <w:vAlign w:val="bottom"/>
            <w:shd w:val="clear" w:color="auto" w:fill="EFEDED"/>
          </w:tcPr>
          <w:p>
            <w:pPr>
              <w:ind w:left="20"/>
              <w:spacing w:after="0"/>
              <w:rPr>
                <w:sz w:val="20"/>
                <w:szCs w:val="20"/>
                <w:color w:val="auto"/>
              </w:rPr>
            </w:pPr>
            <w:r>
              <w:rPr>
                <w:rFonts w:ascii="Arial" w:cs="Arial" w:eastAsia="Arial" w:hAnsi="Arial"/>
                <w:sz w:val="16"/>
                <w:szCs w:val="16"/>
                <w:b w:val="1"/>
                <w:bCs w:val="1"/>
                <w:color w:val="58595B"/>
              </w:rPr>
              <w:t>Members</w:t>
            </w:r>
          </w:p>
        </w:tc>
        <w:tc>
          <w:tcPr>
            <w:tcW w:w="360" w:type="dxa"/>
            <w:vAlign w:val="bottom"/>
            <w:shd w:val="clear" w:color="auto" w:fill="EFEDED"/>
          </w:tcPr>
          <w:p>
            <w:pPr>
              <w:spacing w:after="0"/>
              <w:rPr>
                <w:sz w:val="24"/>
                <w:szCs w:val="24"/>
                <w:color w:val="auto"/>
              </w:rPr>
            </w:pPr>
          </w:p>
        </w:tc>
        <w:tc>
          <w:tcPr>
            <w:tcW w:w="7620" w:type="dxa"/>
            <w:vAlign w:val="bottom"/>
            <w:shd w:val="clear" w:color="auto" w:fill="EFEDED"/>
          </w:tcPr>
          <w:p>
            <w:pPr>
              <w:ind w:left="20"/>
              <w:spacing w:after="0"/>
              <w:rPr>
                <w:sz w:val="20"/>
                <w:szCs w:val="20"/>
                <w:color w:val="auto"/>
              </w:rPr>
            </w:pPr>
            <w:r>
              <w:rPr>
                <w:rFonts w:ascii="Arial" w:cs="Arial" w:eastAsia="Arial" w:hAnsi="Arial"/>
                <w:sz w:val="16"/>
                <w:szCs w:val="16"/>
                <w:b w:val="1"/>
                <w:bCs w:val="1"/>
                <w:color w:val="58595B"/>
              </w:rPr>
              <w:t>Purpose</w:t>
            </w:r>
          </w:p>
        </w:tc>
        <w:tc>
          <w:tcPr>
            <w:tcW w:w="58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0" w:type="dxa"/>
            <w:vAlign w:val="bottom"/>
            <w:shd w:val="clear" w:color="auto" w:fill="EFEDED"/>
          </w:tcPr>
          <w:p>
            <w:pPr>
              <w:spacing w:after="0"/>
              <w:rPr>
                <w:sz w:val="19"/>
                <w:szCs w:val="19"/>
                <w:color w:val="auto"/>
              </w:rPr>
            </w:pPr>
          </w:p>
        </w:tc>
        <w:tc>
          <w:tcPr>
            <w:tcW w:w="2460" w:type="dxa"/>
            <w:vAlign w:val="bottom"/>
            <w:shd w:val="clear" w:color="auto" w:fill="EFEDED"/>
          </w:tcPr>
          <w:p>
            <w:pPr>
              <w:ind w:left="20"/>
              <w:spacing w:after="0"/>
              <w:rPr>
                <w:sz w:val="20"/>
                <w:szCs w:val="20"/>
                <w:color w:val="auto"/>
              </w:rPr>
            </w:pPr>
            <w:r>
              <w:rPr>
                <w:rFonts w:ascii="Arial" w:cs="Arial" w:eastAsia="Arial" w:hAnsi="Arial"/>
                <w:sz w:val="16"/>
                <w:szCs w:val="16"/>
                <w:color w:val="58595B"/>
              </w:rPr>
              <w:t>Dr. Essig (chair)</w:t>
            </w:r>
          </w:p>
        </w:tc>
        <w:tc>
          <w:tcPr>
            <w:tcW w:w="360" w:type="dxa"/>
            <w:vAlign w:val="bottom"/>
            <w:shd w:val="clear" w:color="auto" w:fill="EFEDED"/>
          </w:tcPr>
          <w:p>
            <w:pPr>
              <w:spacing w:after="0"/>
              <w:rPr>
                <w:sz w:val="19"/>
                <w:szCs w:val="19"/>
                <w:color w:val="auto"/>
              </w:rPr>
            </w:pPr>
          </w:p>
        </w:tc>
        <w:tc>
          <w:tcPr>
            <w:tcW w:w="7620" w:type="dxa"/>
            <w:vAlign w:val="bottom"/>
            <w:vMerge w:val="restart"/>
            <w:shd w:val="clear" w:color="auto" w:fill="EFEDED"/>
          </w:tcPr>
          <w:p>
            <w:pPr>
              <w:ind w:left="20"/>
              <w:spacing w:after="0"/>
              <w:rPr>
                <w:sz w:val="20"/>
                <w:szCs w:val="20"/>
                <w:color w:val="auto"/>
              </w:rPr>
            </w:pPr>
            <w:r>
              <w:rPr>
                <w:rFonts w:ascii="Arial" w:cs="Arial" w:eastAsia="Arial" w:hAnsi="Arial"/>
                <w:sz w:val="16"/>
                <w:szCs w:val="16"/>
                <w:color w:val="58595B"/>
              </w:rPr>
              <w:t>• Assist the Board in its oversight of the quality and safety of the Company’s products and services.</w:t>
            </w:r>
          </w:p>
        </w:tc>
        <w:tc>
          <w:tcPr>
            <w:tcW w:w="580" w:type="dxa"/>
            <w:vAlign w:val="bottom"/>
            <w:shd w:val="clear" w:color="auto" w:fill="EFEDED"/>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20" w:type="dxa"/>
            <w:vAlign w:val="bottom"/>
            <w:shd w:val="clear" w:color="auto" w:fill="EFEDED"/>
          </w:tcPr>
          <w:p>
            <w:pPr>
              <w:spacing w:after="0"/>
              <w:rPr>
                <w:sz w:val="4"/>
                <w:szCs w:val="4"/>
                <w:color w:val="auto"/>
              </w:rPr>
            </w:pPr>
          </w:p>
        </w:tc>
        <w:tc>
          <w:tcPr>
            <w:tcW w:w="2460" w:type="dxa"/>
            <w:vAlign w:val="bottom"/>
            <w:vMerge w:val="restart"/>
            <w:shd w:val="clear" w:color="auto" w:fill="EFEDED"/>
          </w:tcPr>
          <w:p>
            <w:pPr>
              <w:ind w:left="20"/>
              <w:spacing w:after="0"/>
              <w:rPr>
                <w:sz w:val="20"/>
                <w:szCs w:val="20"/>
                <w:color w:val="auto"/>
              </w:rPr>
            </w:pPr>
            <w:r>
              <w:rPr>
                <w:rFonts w:ascii="Arial" w:cs="Arial" w:eastAsia="Arial" w:hAnsi="Arial"/>
                <w:sz w:val="16"/>
                <w:szCs w:val="16"/>
                <w:color w:val="58595B"/>
              </w:rPr>
              <w:t>Dr. Graves</w:t>
            </w:r>
          </w:p>
        </w:tc>
        <w:tc>
          <w:tcPr>
            <w:tcW w:w="360" w:type="dxa"/>
            <w:vAlign w:val="bottom"/>
            <w:shd w:val="clear" w:color="auto" w:fill="EFEDED"/>
          </w:tcPr>
          <w:p>
            <w:pPr>
              <w:spacing w:after="0"/>
              <w:rPr>
                <w:sz w:val="4"/>
                <w:szCs w:val="4"/>
                <w:color w:val="auto"/>
              </w:rPr>
            </w:pPr>
          </w:p>
        </w:tc>
        <w:tc>
          <w:tcPr>
            <w:tcW w:w="7620" w:type="dxa"/>
            <w:vAlign w:val="bottom"/>
            <w:vMerge w:val="continue"/>
            <w:shd w:val="clear" w:color="auto" w:fill="EFEDED"/>
          </w:tcPr>
          <w:p>
            <w:pPr>
              <w:spacing w:after="0"/>
              <w:rPr>
                <w:sz w:val="4"/>
                <w:szCs w:val="4"/>
                <w:color w:val="auto"/>
              </w:rPr>
            </w:pPr>
          </w:p>
        </w:tc>
        <w:tc>
          <w:tcPr>
            <w:tcW w:w="580" w:type="dxa"/>
            <w:vAlign w:val="bottom"/>
            <w:shd w:val="clear" w:color="auto" w:fill="EFEDED"/>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20" w:type="dxa"/>
            <w:vAlign w:val="bottom"/>
            <w:shd w:val="clear" w:color="auto" w:fill="EFEDED"/>
          </w:tcPr>
          <w:p>
            <w:pPr>
              <w:spacing w:after="0"/>
              <w:rPr>
                <w:sz w:val="15"/>
                <w:szCs w:val="15"/>
                <w:color w:val="auto"/>
              </w:rPr>
            </w:pPr>
          </w:p>
        </w:tc>
        <w:tc>
          <w:tcPr>
            <w:tcW w:w="2460" w:type="dxa"/>
            <w:vAlign w:val="bottom"/>
            <w:vMerge w:val="continue"/>
            <w:shd w:val="clear" w:color="auto" w:fill="EFEDED"/>
          </w:tcPr>
          <w:p>
            <w:pPr>
              <w:spacing w:after="0"/>
              <w:rPr>
                <w:sz w:val="15"/>
                <w:szCs w:val="15"/>
                <w:color w:val="auto"/>
              </w:rPr>
            </w:pPr>
          </w:p>
        </w:tc>
        <w:tc>
          <w:tcPr>
            <w:tcW w:w="360" w:type="dxa"/>
            <w:vAlign w:val="bottom"/>
            <w:shd w:val="clear" w:color="auto" w:fill="EFEDED"/>
          </w:tcPr>
          <w:p>
            <w:pPr>
              <w:spacing w:after="0"/>
              <w:rPr>
                <w:sz w:val="15"/>
                <w:szCs w:val="15"/>
                <w:color w:val="auto"/>
              </w:rPr>
            </w:pPr>
          </w:p>
        </w:tc>
        <w:tc>
          <w:tcPr>
            <w:tcW w:w="7620" w:type="dxa"/>
            <w:vAlign w:val="bottom"/>
            <w:shd w:val="clear" w:color="auto" w:fill="EFEDED"/>
          </w:tcPr>
          <w:p>
            <w:pPr>
              <w:spacing w:after="0"/>
              <w:rPr>
                <w:sz w:val="15"/>
                <w:szCs w:val="15"/>
                <w:color w:val="auto"/>
              </w:rPr>
            </w:pPr>
          </w:p>
        </w:tc>
        <w:tc>
          <w:tcPr>
            <w:tcW w:w="580" w:type="dxa"/>
            <w:vAlign w:val="bottom"/>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 w:type="dxa"/>
            <w:vAlign w:val="bottom"/>
            <w:shd w:val="clear" w:color="auto" w:fill="EFEDED"/>
          </w:tcPr>
          <w:p>
            <w:pPr>
              <w:spacing w:after="0"/>
              <w:rPr>
                <w:sz w:val="21"/>
                <w:szCs w:val="21"/>
                <w:color w:val="auto"/>
              </w:rPr>
            </w:pPr>
          </w:p>
        </w:tc>
        <w:tc>
          <w:tcPr>
            <w:tcW w:w="2460" w:type="dxa"/>
            <w:vAlign w:val="bottom"/>
            <w:shd w:val="clear" w:color="auto" w:fill="EFEDED"/>
          </w:tcPr>
          <w:p>
            <w:pPr>
              <w:ind w:left="20"/>
              <w:spacing w:after="0"/>
              <w:rPr>
                <w:sz w:val="20"/>
                <w:szCs w:val="20"/>
                <w:color w:val="auto"/>
              </w:rPr>
            </w:pPr>
            <w:r>
              <w:rPr>
                <w:rFonts w:ascii="Arial" w:cs="Arial" w:eastAsia="Arial" w:hAnsi="Arial"/>
                <w:sz w:val="16"/>
                <w:szCs w:val="16"/>
                <w:color w:val="58595B"/>
              </w:rPr>
              <w:t>Ms. Hill</w:t>
            </w:r>
          </w:p>
        </w:tc>
        <w:tc>
          <w:tcPr>
            <w:tcW w:w="360" w:type="dxa"/>
            <w:vAlign w:val="bottom"/>
            <w:shd w:val="clear" w:color="auto" w:fill="EFEDED"/>
          </w:tcPr>
          <w:p>
            <w:pPr>
              <w:spacing w:after="0"/>
              <w:rPr>
                <w:sz w:val="21"/>
                <w:szCs w:val="21"/>
                <w:color w:val="auto"/>
              </w:rPr>
            </w:pPr>
          </w:p>
        </w:tc>
        <w:tc>
          <w:tcPr>
            <w:tcW w:w="7620" w:type="dxa"/>
            <w:vAlign w:val="bottom"/>
            <w:shd w:val="clear" w:color="auto" w:fill="EFEDED"/>
          </w:tcPr>
          <w:p>
            <w:pPr>
              <w:spacing w:after="0"/>
              <w:rPr>
                <w:sz w:val="21"/>
                <w:szCs w:val="21"/>
                <w:color w:val="auto"/>
              </w:rPr>
            </w:pPr>
          </w:p>
        </w:tc>
        <w:tc>
          <w:tcPr>
            <w:tcW w:w="580" w:type="dxa"/>
            <w:vAlign w:val="bottom"/>
            <w:shd w:val="clear" w:color="auto" w:fill="EFEDED"/>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20" w:type="dxa"/>
            <w:vAlign w:val="bottom"/>
            <w:tcBorders>
              <w:bottom w:val="single" w:sz="8" w:color="EFEDED"/>
            </w:tcBorders>
            <w:shd w:val="clear" w:color="auto" w:fill="EFEDED"/>
          </w:tcPr>
          <w:p>
            <w:pPr>
              <w:spacing w:after="0"/>
              <w:rPr>
                <w:sz w:val="18"/>
                <w:szCs w:val="18"/>
                <w:color w:val="auto"/>
              </w:rPr>
            </w:pPr>
          </w:p>
        </w:tc>
        <w:tc>
          <w:tcPr>
            <w:tcW w:w="2460" w:type="dxa"/>
            <w:vAlign w:val="bottom"/>
            <w:tcBorders>
              <w:bottom w:val="single" w:sz="8" w:color="58595B"/>
            </w:tcBorders>
            <w:shd w:val="clear" w:color="auto" w:fill="EFEDED"/>
          </w:tcPr>
          <w:p>
            <w:pPr>
              <w:spacing w:after="0"/>
              <w:rPr>
                <w:sz w:val="18"/>
                <w:szCs w:val="18"/>
                <w:color w:val="auto"/>
              </w:rPr>
            </w:pPr>
          </w:p>
        </w:tc>
        <w:tc>
          <w:tcPr>
            <w:tcW w:w="360" w:type="dxa"/>
            <w:vAlign w:val="bottom"/>
            <w:tcBorders>
              <w:bottom w:val="single" w:sz="8" w:color="EFEDED"/>
            </w:tcBorders>
            <w:shd w:val="clear" w:color="auto" w:fill="EFEDED"/>
          </w:tcPr>
          <w:p>
            <w:pPr>
              <w:spacing w:after="0"/>
              <w:rPr>
                <w:sz w:val="18"/>
                <w:szCs w:val="18"/>
                <w:color w:val="auto"/>
              </w:rPr>
            </w:pPr>
          </w:p>
        </w:tc>
        <w:tc>
          <w:tcPr>
            <w:tcW w:w="7620" w:type="dxa"/>
            <w:vAlign w:val="bottom"/>
            <w:tcBorders>
              <w:bottom w:val="single" w:sz="8" w:color="EFEDED"/>
            </w:tcBorders>
            <w:shd w:val="clear" w:color="auto" w:fill="EFEDED"/>
          </w:tcPr>
          <w:p>
            <w:pPr>
              <w:spacing w:after="0"/>
              <w:rPr>
                <w:sz w:val="18"/>
                <w:szCs w:val="18"/>
                <w:color w:val="auto"/>
              </w:rPr>
            </w:pPr>
          </w:p>
        </w:tc>
        <w:tc>
          <w:tcPr>
            <w:tcW w:w="580" w:type="dxa"/>
            <w:vAlign w:val="bottom"/>
            <w:tcBorders>
              <w:bottom w:val="single" w:sz="8" w:color="EFEDED"/>
            </w:tcBorders>
            <w:shd w:val="clear" w:color="auto" w:fill="EFEDED"/>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20" w:type="dxa"/>
            <w:vAlign w:val="bottom"/>
            <w:shd w:val="clear" w:color="auto" w:fill="EFEDED"/>
          </w:tcPr>
          <w:p>
            <w:pPr>
              <w:spacing w:after="0"/>
              <w:rPr>
                <w:sz w:val="24"/>
                <w:szCs w:val="24"/>
                <w:color w:val="auto"/>
              </w:rPr>
            </w:pPr>
          </w:p>
        </w:tc>
        <w:tc>
          <w:tcPr>
            <w:tcW w:w="2460" w:type="dxa"/>
            <w:vAlign w:val="bottom"/>
            <w:shd w:val="clear" w:color="auto" w:fill="EFEDED"/>
          </w:tcPr>
          <w:p>
            <w:pPr>
              <w:ind w:left="20"/>
              <w:spacing w:after="0"/>
              <w:rPr>
                <w:sz w:val="20"/>
                <w:szCs w:val="20"/>
                <w:color w:val="auto"/>
              </w:rPr>
            </w:pPr>
            <w:r>
              <w:rPr>
                <w:rFonts w:ascii="Arial" w:cs="Arial" w:eastAsia="Arial" w:hAnsi="Arial"/>
                <w:sz w:val="16"/>
                <w:szCs w:val="16"/>
                <w:b w:val="1"/>
                <w:bCs w:val="1"/>
                <w:color w:val="58595B"/>
              </w:rPr>
              <w:t>Number of Meetings:</w:t>
            </w:r>
          </w:p>
        </w:tc>
        <w:tc>
          <w:tcPr>
            <w:tcW w:w="360" w:type="dxa"/>
            <w:vAlign w:val="bottom"/>
            <w:shd w:val="clear" w:color="auto" w:fill="EFEDED"/>
          </w:tcPr>
          <w:p>
            <w:pPr>
              <w:spacing w:after="0"/>
              <w:rPr>
                <w:sz w:val="24"/>
                <w:szCs w:val="24"/>
                <w:color w:val="auto"/>
              </w:rPr>
            </w:pPr>
          </w:p>
        </w:tc>
        <w:tc>
          <w:tcPr>
            <w:tcW w:w="7620" w:type="dxa"/>
            <w:vAlign w:val="bottom"/>
            <w:shd w:val="clear" w:color="auto" w:fill="EFEDED"/>
          </w:tcPr>
          <w:p>
            <w:pPr>
              <w:spacing w:after="0"/>
              <w:rPr>
                <w:sz w:val="24"/>
                <w:szCs w:val="24"/>
                <w:color w:val="auto"/>
              </w:rPr>
            </w:pPr>
          </w:p>
        </w:tc>
        <w:tc>
          <w:tcPr>
            <w:tcW w:w="58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0" w:type="dxa"/>
            <w:vAlign w:val="bottom"/>
            <w:shd w:val="clear" w:color="auto" w:fill="EFEDED"/>
          </w:tcPr>
          <w:p>
            <w:pPr>
              <w:spacing w:after="0"/>
              <w:rPr>
                <w:sz w:val="19"/>
                <w:szCs w:val="19"/>
                <w:color w:val="auto"/>
              </w:rPr>
            </w:pPr>
          </w:p>
        </w:tc>
        <w:tc>
          <w:tcPr>
            <w:tcW w:w="2460" w:type="dxa"/>
            <w:vAlign w:val="bottom"/>
            <w:shd w:val="clear" w:color="auto" w:fill="EFEDED"/>
          </w:tcPr>
          <w:p>
            <w:pPr>
              <w:ind w:left="20"/>
              <w:spacing w:after="0"/>
              <w:rPr>
                <w:sz w:val="20"/>
                <w:szCs w:val="20"/>
                <w:color w:val="auto"/>
              </w:rPr>
            </w:pPr>
            <w:r>
              <w:rPr>
                <w:rFonts w:ascii="Arial" w:cs="Arial" w:eastAsia="Arial" w:hAnsi="Arial"/>
                <w:sz w:val="16"/>
                <w:szCs w:val="16"/>
                <w:color w:val="58595B"/>
              </w:rPr>
              <w:t>4</w:t>
            </w:r>
          </w:p>
        </w:tc>
        <w:tc>
          <w:tcPr>
            <w:tcW w:w="360" w:type="dxa"/>
            <w:vAlign w:val="bottom"/>
            <w:shd w:val="clear" w:color="auto" w:fill="EFEDED"/>
          </w:tcPr>
          <w:p>
            <w:pPr>
              <w:spacing w:after="0"/>
              <w:rPr>
                <w:sz w:val="19"/>
                <w:szCs w:val="19"/>
                <w:color w:val="auto"/>
              </w:rPr>
            </w:pPr>
          </w:p>
        </w:tc>
        <w:tc>
          <w:tcPr>
            <w:tcW w:w="7620" w:type="dxa"/>
            <w:vAlign w:val="bottom"/>
            <w:shd w:val="clear" w:color="auto" w:fill="EFEDED"/>
          </w:tcPr>
          <w:p>
            <w:pPr>
              <w:spacing w:after="0"/>
              <w:rPr>
                <w:sz w:val="19"/>
                <w:szCs w:val="19"/>
                <w:color w:val="auto"/>
              </w:rPr>
            </w:pPr>
          </w:p>
        </w:tc>
        <w:tc>
          <w:tcPr>
            <w:tcW w:w="580" w:type="dxa"/>
            <w:vAlign w:val="bottom"/>
            <w:shd w:val="clear" w:color="auto" w:fill="EFEDED"/>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20" w:type="dxa"/>
            <w:vAlign w:val="bottom"/>
            <w:shd w:val="clear" w:color="auto" w:fill="EFEDED"/>
          </w:tcPr>
          <w:p>
            <w:pPr>
              <w:spacing w:after="0"/>
              <w:rPr>
                <w:sz w:val="24"/>
                <w:szCs w:val="24"/>
                <w:color w:val="auto"/>
              </w:rPr>
            </w:pPr>
          </w:p>
        </w:tc>
        <w:tc>
          <w:tcPr>
            <w:tcW w:w="2460" w:type="dxa"/>
            <w:vAlign w:val="bottom"/>
            <w:shd w:val="clear" w:color="auto" w:fill="EFEDED"/>
          </w:tcPr>
          <w:p>
            <w:pPr>
              <w:spacing w:after="0"/>
              <w:rPr>
                <w:sz w:val="24"/>
                <w:szCs w:val="24"/>
                <w:color w:val="auto"/>
              </w:rPr>
            </w:pPr>
          </w:p>
        </w:tc>
        <w:tc>
          <w:tcPr>
            <w:tcW w:w="360" w:type="dxa"/>
            <w:vAlign w:val="bottom"/>
            <w:shd w:val="clear" w:color="auto" w:fill="EFEDED"/>
          </w:tcPr>
          <w:p>
            <w:pPr>
              <w:spacing w:after="0"/>
              <w:rPr>
                <w:sz w:val="24"/>
                <w:szCs w:val="24"/>
                <w:color w:val="auto"/>
              </w:rPr>
            </w:pPr>
          </w:p>
        </w:tc>
        <w:tc>
          <w:tcPr>
            <w:tcW w:w="7620" w:type="dxa"/>
            <w:vAlign w:val="bottom"/>
            <w:shd w:val="clear" w:color="auto" w:fill="EFEDED"/>
          </w:tcPr>
          <w:p>
            <w:pPr>
              <w:spacing w:after="0"/>
              <w:rPr>
                <w:sz w:val="24"/>
                <w:szCs w:val="24"/>
                <w:color w:val="auto"/>
              </w:rPr>
            </w:pPr>
          </w:p>
        </w:tc>
        <w:tc>
          <w:tcPr>
            <w:tcW w:w="58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20"/>
        <w:spacing w:after="0" w:line="356" w:lineRule="auto"/>
        <w:rPr>
          <w:sz w:val="20"/>
          <w:szCs w:val="20"/>
          <w:color w:val="auto"/>
        </w:rPr>
      </w:pPr>
      <w:r>
        <w:rPr>
          <w:rFonts w:ascii="Arial" w:cs="Arial" w:eastAsia="Arial" w:hAnsi="Arial"/>
          <w:sz w:val="16"/>
          <w:szCs w:val="16"/>
          <w:i w:val="1"/>
          <w:iCs w:val="1"/>
          <w:color w:val="58595B"/>
        </w:rPr>
        <w:t xml:space="preserve">Quality Committee. </w:t>
      </w:r>
      <w:r>
        <w:rPr>
          <w:rFonts w:ascii="Arial" w:cs="Arial" w:eastAsia="Arial" w:hAnsi="Arial"/>
          <w:sz w:val="16"/>
          <w:szCs w:val="16"/>
          <w:color w:val="58595B"/>
        </w:rPr>
        <w:t>The members of the Quality Committee are Drs. Essig (chair) and Graves and Ms. Hill. The Quality Committee met four (4) times in</w:t>
      </w:r>
      <w:r>
        <w:rPr>
          <w:rFonts w:ascii="Arial" w:cs="Arial" w:eastAsia="Arial" w:hAnsi="Arial"/>
          <w:sz w:val="16"/>
          <w:szCs w:val="16"/>
          <w:i w:val="1"/>
          <w:iCs w:val="1"/>
          <w:color w:val="58595B"/>
        </w:rPr>
        <w:t xml:space="preserve"> </w:t>
      </w:r>
      <w:r>
        <w:rPr>
          <w:rFonts w:ascii="Arial" w:cs="Arial" w:eastAsia="Arial" w:hAnsi="Arial"/>
          <w:sz w:val="16"/>
          <w:szCs w:val="16"/>
          <w:color w:val="58595B"/>
        </w:rPr>
        <w:t>2025.</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19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Board Evaluations</w:t>
      </w:r>
    </w:p>
    <w:p>
      <w:pPr>
        <w:spacing w:after="0" w:line="72" w:lineRule="exact"/>
        <w:rPr>
          <w:sz w:val="20"/>
          <w:szCs w:val="20"/>
          <w:color w:val="auto"/>
        </w:rPr>
      </w:pPr>
    </w:p>
    <w:p>
      <w:pPr>
        <w:spacing w:after="0" w:line="314" w:lineRule="auto"/>
        <w:rPr>
          <w:sz w:val="20"/>
          <w:szCs w:val="20"/>
          <w:color w:val="auto"/>
        </w:rPr>
      </w:pPr>
      <w:r>
        <w:rPr>
          <w:rFonts w:ascii="Arial" w:cs="Arial" w:eastAsia="Arial" w:hAnsi="Arial"/>
          <w:sz w:val="16"/>
          <w:szCs w:val="16"/>
          <w:color w:val="58595B"/>
        </w:rPr>
        <w:t>The Board performs a rigorous evaluation annually. Each Director evaluates each other and all of the Committees as well as the Board as a whole. The evaluation process is primarily managed by the Corporate Secretary’s office with oversight from the Nominating and Corporate Governance Committee. As part of the evaluation, the Directors assess individual skill sets, board leadership, and the effectiveness of each Committee. The results of the evaluation are then provided to, and reviewed by, each Director. Afterwards, the Directors and management collaborate towards making improvements based on the feedback disclosed. The Company believes this overall process leads to purposeful results. In addition to the evaluations, each Committee also reviews its charter annually. For information about the factors considered by the Board and Nominating and Corporate Governance Committee in evaluating candidates, please refer to "Criteria for Board Membership and Director Qualifications" above.</w:t>
      </w:r>
    </w:p>
    <w:p>
      <w:pPr>
        <w:spacing w:after="0" w:line="124" w:lineRule="exact"/>
        <w:rPr>
          <w:sz w:val="20"/>
          <w:szCs w:val="20"/>
          <w:color w:val="auto"/>
        </w:rPr>
      </w:pPr>
    </w:p>
    <w:p>
      <w:pPr>
        <w:spacing w:after="0" w:line="328" w:lineRule="auto"/>
        <w:rPr>
          <w:sz w:val="20"/>
          <w:szCs w:val="20"/>
          <w:color w:val="auto"/>
        </w:rPr>
      </w:pPr>
      <w:r>
        <w:rPr>
          <w:rFonts w:ascii="Arial" w:cs="Arial" w:eastAsia="Arial" w:hAnsi="Arial"/>
          <w:sz w:val="16"/>
          <w:szCs w:val="16"/>
          <w:color w:val="58595B"/>
        </w:rPr>
        <w:t>Our Board is committed to ensuring that it serves the best interests of its stockholders and positions the Company for future success. Accordingly, the Board, as it deems necessary, may have conversations with individual Directors in connection with evaluations, the board refreshment process, and the consideration of the annual slate of Director nominees. The Company expects to continue these practices going forward.</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09845"/>
        </w:rPr>
        <w:t>Board Leadership Structure</w:t>
      </w:r>
    </w:p>
    <w:p>
      <w:pPr>
        <w:spacing w:after="0" w:line="193" w:lineRule="exact"/>
        <w:rPr>
          <w:sz w:val="20"/>
          <w:szCs w:val="20"/>
          <w:color w:val="auto"/>
        </w:rPr>
      </w:pPr>
    </w:p>
    <w:p>
      <w:pPr>
        <w:jc w:val="both"/>
        <w:ind w:right="400"/>
        <w:spacing w:after="0" w:line="328" w:lineRule="auto"/>
        <w:rPr>
          <w:sz w:val="20"/>
          <w:szCs w:val="20"/>
          <w:color w:val="auto"/>
        </w:rPr>
      </w:pPr>
      <w:r>
        <w:rPr>
          <w:rFonts w:ascii="Arial" w:cs="Arial" w:eastAsia="Arial" w:hAnsi="Arial"/>
          <w:sz w:val="16"/>
          <w:szCs w:val="16"/>
          <w:color w:val="58595B"/>
        </w:rPr>
        <w:t>The Board recognizes that one of its key responsibilities is to evaluate and determine the optimal leadership structure to best serve the interests of our stockholders. Given the dynamic and competitive environment in which we operate, the optimal size and structure of the Board may vary with changing internal and competitive circumstances.</w:t>
      </w:r>
    </w:p>
    <w:p>
      <w:pPr>
        <w:spacing w:after="0" w:line="123" w:lineRule="exact"/>
        <w:rPr>
          <w:sz w:val="20"/>
          <w:szCs w:val="20"/>
          <w:color w:val="auto"/>
        </w:rPr>
      </w:pPr>
    </w:p>
    <w:p>
      <w:pPr>
        <w:ind w:right="320"/>
        <w:spacing w:after="0" w:line="313" w:lineRule="auto"/>
        <w:rPr>
          <w:sz w:val="20"/>
          <w:szCs w:val="20"/>
          <w:color w:val="auto"/>
        </w:rPr>
      </w:pPr>
      <w:r>
        <w:rPr>
          <w:rFonts w:ascii="Arial" w:cs="Arial" w:eastAsia="Arial" w:hAnsi="Arial"/>
          <w:sz w:val="16"/>
          <w:szCs w:val="16"/>
          <w:color w:val="58595B"/>
        </w:rPr>
        <w:t>The Company currently has eight members of the Board, who will serve until the conclusion of the Annual Meeting and until their successors are duly elected and qualified. The current directors are Keith Bradley, Ph.D., Shaundra D. Clay, Stuart M. Essig, Ph.D., Jeffrey A. Graves, Ph.D., Barbara B. Hill, Renee W. Lo, Mojdeh Poul, and Christian S. Schade. All current members of the Board are nominees for election to the Board at the Annual Meeting. Following the conclusion of the Annual Meeting, assuming all of the nominees for election are duly elected by our stockholders, the Board will consist of eight members.</w:t>
      </w:r>
    </w:p>
    <w:p>
      <w:pPr>
        <w:spacing w:after="0" w:line="137"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58595B"/>
        </w:rPr>
        <w:t>As indicated above, Ms. Poul has served as both President and Chief Executive Officer and as a director of the Company since January 2025. Her position is separate from that of the Chairman of the Board. We view having the Chairman position separate from the Chief Executive Officer as a good governance practice because it puts the Board in the best position to oversee all executives of the Company and set a pro-stockholder agenda without presenting potential conflicts that having the two positions combined might pose, thus resulting in a more effective Board.</w:t>
      </w:r>
    </w:p>
    <w:p>
      <w:pPr>
        <w:spacing w:after="0" w:line="118"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58595B"/>
        </w:rPr>
        <w:t>Stuart M. Essig, Ph.D. has served as Chairman of the Board since June 2012 and has been a director since 1997. He served as Non-Executive Chairman of the Board from June 2012 to February 2024 and since July 1, 2025. He served as Executive Chairman of the Board from January 2012 to June 2012 and from February 2024 to June 2025 as well as President from 1997 to 2010 and as Chief Executive Officer from 1997 to 2012. He has significant experience with, and knowledge of, the Company, its operations, products and history. In addition, he is a significant stockholder of the Company. We believe we benefit greatly by having a Chairman with his level of experience with the Company and whose interests are strongly aligned with those of our stockholders. We believe his experience and knowledge of the Company will aid our efforts to solidify and strengthen the operational foundations of the Company and enhance our ability to drive improved stockholder value.</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58595B"/>
        </w:rPr>
        <w:t>Barbara B. Hill has served as Presiding Director since September 2018 and she has been a director since 2013. Ms. Hill has significant experience with, and knowledge of, the Company, its operations, products and history. We believe the Company significantly benefits from having a Presiding Director with deep knowledge of the Company. In addition, the presence of an active and independent Presiding Director ensures independent oversight of the Board and its responsibilities. Further, we believe having a separate Presiding Director to, among other things, (1) serve as the primary liaison between the independent directors and the Chief Executive Officer, (2) counsel the Chief Executive Officer on key board governance issues, and (3) preside over board meetings if the Chairman of the Board is absent, leads to a more effective board of directors. The Presiding Director also serves as a contact person to facilitate communications between stockholders and other third parties and the independent directors. Please see “Communications with Directors” for additional information on contacting the Board.</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20</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300"/>
        <w:spacing w:after="0" w:line="318" w:lineRule="auto"/>
        <w:rPr>
          <w:sz w:val="20"/>
          <w:szCs w:val="20"/>
          <w:color w:val="auto"/>
        </w:rPr>
      </w:pPr>
      <w:r>
        <w:rPr>
          <w:rFonts w:ascii="Arial" w:cs="Arial" w:eastAsia="Arial" w:hAnsi="Arial"/>
          <w:sz w:val="16"/>
          <w:szCs w:val="16"/>
          <w:color w:val="58595B"/>
        </w:rPr>
        <w:t>We believe the mix of backgrounds, experience, attributes and skills of our directors provides a good balance for the Board composition. See “Criteria for Board Membership and Director Qualifications” above for a description of the specific experience, qualifications, attributes or skills of each of our director nominees that the Nominating and Corporate Governance Committee considered relevant in nominating them and “Proposal 1. Election of Directors” for each director nominee’s biographical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58595B"/>
        </w:rPr>
        <w:t>In addition, we believe the current size of the Board and Board Committees is appropriate, given the size, nature, structure and complexity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The Board continues, however, to monitor and evaluate the optimal size and composition of the Board to ensure an optimal leadership structure.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58595B"/>
        </w:rPr>
        <w:t>Accordingly, we believe our Board leadership structure is appropriate at this time.</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009845"/>
        </w:rPr>
        <w:t>The Board’s Role in Risk Oversight</w:t>
      </w:r>
    </w:p>
    <w:p>
      <w:pPr>
        <w:spacing w:after="0" w:line="193"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58595B"/>
        </w:rPr>
        <w:t>The Board has overall responsibility for the oversight of risk management at the Company, which includes overseeing our process for identifying, assessing and mitigating significant financial, operational, strategic, cybersecurity and other risks that may affect the Company. A fundamental part of risk oversight is understanding the risks that Integra faces, the steps management is taking to manage those risks, and assessing the Company's appetite for risk. The risk assessment process also considers whether risks are short-, medium-, or long-term, such that the management of significant risks can be prioritized, in part, based on the timeframe of such risks. Risk management systems, including our internal auditing procedures, internal control over financial reporting and corporate compliance programs, are designed in part to inform management about our material risks. Our Board receives regular reports from management on matters relating to strategic and operational initiatives, financial performance, cybersecurity and legal developments, including the related enterprise-risk exposures. The involvement of the Board in the oversight of our strategic planning process is a key part of its assessment of the risks inherent in our corporate strategy.</w:t>
      </w:r>
    </w:p>
    <w:p>
      <w:pPr>
        <w:spacing w:after="0" w:line="143"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The Board has delegated responsibility for the oversight of certain areas of risk management to the standing Committees of the Board, as described below. Each standing Board committee reports to the full Board following each committee meeting. In performing this function, each committee meets in executive session with key management personnel and representatives of outside advisors as needed and has full access to management, as well as the ability to engage advisors. The Board believes that delegating certain responsibilities and oversight functions to its committees, as described below, allows for more nuanced oversight processes, reflecting the technical expertise and subject matter focus of the Board's individual committees, and is also more conducive to a proactive oversight of management's actions. Summarized below are the specific risk areas of focus for each standing committee.</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661035</wp:posOffset>
            </wp:positionV>
            <wp:extent cx="7132320" cy="25292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25292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Audit</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1197610</wp:posOffset>
            </wp:positionV>
            <wp:extent cx="1242695" cy="1423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4269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 w:right="400"/>
        <w:spacing w:after="0" w:line="296" w:lineRule="auto"/>
        <w:rPr>
          <w:sz w:val="20"/>
          <w:szCs w:val="20"/>
          <w:color w:val="auto"/>
        </w:rPr>
      </w:pPr>
      <w:r>
        <w:rPr>
          <w:rFonts w:ascii="Arial" w:cs="Arial" w:eastAsia="Arial" w:hAnsi="Arial"/>
          <w:sz w:val="18"/>
          <w:szCs w:val="18"/>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622300</wp:posOffset>
            </wp:positionV>
            <wp:extent cx="1242695" cy="13030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42695"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0" w:right="300"/>
        <w:spacing w:after="0" w:line="265" w:lineRule="auto"/>
        <w:rPr>
          <w:sz w:val="20"/>
          <w:szCs w:val="20"/>
          <w:color w:val="auto"/>
        </w:rPr>
      </w:pPr>
      <w:r>
        <w:rPr>
          <w:rFonts w:ascii="Arial" w:cs="Arial" w:eastAsia="Arial" w:hAnsi="Arial"/>
          <w:sz w:val="18"/>
          <w:szCs w:val="18"/>
          <w:b w:val="1"/>
          <w:bCs w:val="1"/>
          <w:color w:val="FFFFFF"/>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1242695" cy="643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4269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1242695" cy="4883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4269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Quality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right="360" w:hanging="160"/>
        <w:spacing w:after="0" w:line="339" w:lineRule="auto"/>
        <w:tabs>
          <w:tab w:leader="none" w:pos="122" w:val="left"/>
        </w:tabs>
        <w:numPr>
          <w:ilvl w:val="0"/>
          <w:numId w:val="13"/>
        </w:numPr>
        <w:rPr>
          <w:rFonts w:ascii="Arial" w:cs="Arial" w:eastAsia="Arial" w:hAnsi="Arial"/>
          <w:sz w:val="16"/>
          <w:szCs w:val="16"/>
          <w:color w:val="58595B"/>
        </w:rPr>
      </w:pPr>
      <w:r>
        <w:rPr>
          <w:rFonts w:ascii="Arial" w:cs="Arial" w:eastAsia="Arial" w:hAnsi="Arial"/>
          <w:sz w:val="16"/>
          <w:szCs w:val="16"/>
          <w:color w:val="58595B"/>
        </w:rPr>
        <w:t>Oversees risks relating to the accounting and financial reporting process of the Company and audits of the Company’s financial statements</w:t>
      </w:r>
    </w:p>
    <w:p>
      <w:pPr>
        <w:spacing w:after="0" w:line="6" w:lineRule="exact"/>
        <w:rPr>
          <w:rFonts w:ascii="Arial" w:cs="Arial" w:eastAsia="Arial" w:hAnsi="Arial"/>
          <w:sz w:val="16"/>
          <w:szCs w:val="16"/>
          <w:color w:val="58595B"/>
        </w:rPr>
      </w:pPr>
    </w:p>
    <w:p>
      <w:pPr>
        <w:ind w:left="160" w:right="220" w:hanging="160"/>
        <w:spacing w:after="0" w:line="328" w:lineRule="auto"/>
        <w:tabs>
          <w:tab w:leader="none" w:pos="122" w:val="left"/>
        </w:tabs>
        <w:numPr>
          <w:ilvl w:val="0"/>
          <w:numId w:val="13"/>
        </w:numPr>
        <w:rPr>
          <w:rFonts w:ascii="Arial" w:cs="Arial" w:eastAsia="Arial" w:hAnsi="Arial"/>
          <w:sz w:val="16"/>
          <w:szCs w:val="16"/>
          <w:color w:val="58595B"/>
        </w:rPr>
      </w:pPr>
      <w:r>
        <w:rPr>
          <w:rFonts w:ascii="Arial" w:cs="Arial" w:eastAsia="Arial" w:hAnsi="Arial"/>
          <w:sz w:val="16"/>
          <w:szCs w:val="16"/>
          <w:color w:val="58595B"/>
        </w:rPr>
        <w:t>Meets regularly with management to review and discuss the financial risk management processes, including compliance with Sarbanes-Oxley and related internal controls and procedures, disclosure controls and procedures and accounting and reporting compliance, as well as tax, treasury and compliance matters</w:t>
      </w:r>
    </w:p>
    <w:p>
      <w:pPr>
        <w:spacing w:after="0" w:line="1" w:lineRule="exact"/>
        <w:rPr>
          <w:rFonts w:ascii="Arial" w:cs="Arial" w:eastAsia="Arial" w:hAnsi="Arial"/>
          <w:sz w:val="16"/>
          <w:szCs w:val="16"/>
          <w:color w:val="58595B"/>
        </w:rPr>
      </w:pPr>
    </w:p>
    <w:p>
      <w:pPr>
        <w:ind w:left="160" w:right="260" w:hanging="160"/>
        <w:spacing w:after="0" w:line="308" w:lineRule="auto"/>
        <w:tabs>
          <w:tab w:leader="none" w:pos="122" w:val="left"/>
        </w:tabs>
        <w:numPr>
          <w:ilvl w:val="0"/>
          <w:numId w:val="13"/>
        </w:numPr>
        <w:rPr>
          <w:rFonts w:ascii="Arial" w:cs="Arial" w:eastAsia="Arial" w:hAnsi="Arial"/>
          <w:sz w:val="16"/>
          <w:szCs w:val="16"/>
          <w:color w:val="58595B"/>
        </w:rPr>
      </w:pPr>
      <w:r>
        <w:rPr>
          <w:rFonts w:ascii="Arial" w:cs="Arial" w:eastAsia="Arial" w:hAnsi="Arial"/>
          <w:sz w:val="16"/>
          <w:szCs w:val="16"/>
          <w:color w:val="58595B"/>
        </w:rPr>
        <w:t>Receives periodic reports from the internal audit team, which is responsible for providing an annual audit assessment of the Company’s processes and controls; developing an annual audit plan using risk-based methodology; implementing</w:t>
      </w:r>
    </w:p>
    <w:p>
      <w:pPr>
        <w:ind w:left="160" w:right="160"/>
        <w:spacing w:after="0" w:line="328" w:lineRule="auto"/>
        <w:rPr>
          <w:rFonts w:ascii="Arial" w:cs="Arial" w:eastAsia="Arial" w:hAnsi="Arial"/>
          <w:sz w:val="16"/>
          <w:szCs w:val="16"/>
          <w:color w:val="58595B"/>
        </w:rPr>
      </w:pPr>
      <w:r>
        <w:rPr>
          <w:rFonts w:ascii="Arial" w:cs="Arial" w:eastAsia="Arial" w:hAnsi="Arial"/>
          <w:sz w:val="16"/>
          <w:szCs w:val="16"/>
          <w:color w:val="58595B"/>
        </w:rPr>
        <w:t>the annual audit plan; coordinating with other control and monitoring functions; issuing periodic reports to the Audit Committee and management summarizing the results of audit activities; assisting with investigations of significant suspected fraudulent activities within the organization; and notifying management and the Audit Committee of the results</w:t>
      </w:r>
    </w:p>
    <w:p>
      <w:pPr>
        <w:spacing w:after="0" w:line="1" w:lineRule="exact"/>
        <w:rPr>
          <w:rFonts w:ascii="Arial" w:cs="Arial" w:eastAsia="Arial" w:hAnsi="Arial"/>
          <w:sz w:val="16"/>
          <w:szCs w:val="16"/>
          <w:color w:val="58595B"/>
        </w:rPr>
      </w:pPr>
    </w:p>
    <w:p>
      <w:pPr>
        <w:ind w:left="120" w:hanging="120"/>
        <w:spacing w:after="0"/>
        <w:tabs>
          <w:tab w:leader="none" w:pos="120" w:val="left"/>
        </w:tabs>
        <w:numPr>
          <w:ilvl w:val="0"/>
          <w:numId w:val="13"/>
        </w:numPr>
        <w:rPr>
          <w:rFonts w:ascii="Arial" w:cs="Arial" w:eastAsia="Arial" w:hAnsi="Arial"/>
          <w:sz w:val="16"/>
          <w:szCs w:val="16"/>
          <w:color w:val="58595B"/>
        </w:rPr>
      </w:pPr>
      <w:r>
        <w:rPr>
          <w:rFonts w:ascii="Arial" w:cs="Arial" w:eastAsia="Arial" w:hAnsi="Arial"/>
          <w:sz w:val="16"/>
          <w:szCs w:val="16"/>
          <w:color w:val="58595B"/>
        </w:rPr>
        <w:t>Provides oversight for the Company's major technology initiatives in conjunction with the internal audit team</w:t>
      </w:r>
    </w:p>
    <w:p>
      <w:pPr>
        <w:spacing w:after="0" w:line="99" w:lineRule="exact"/>
        <w:rPr>
          <w:rFonts w:ascii="Arial" w:cs="Arial" w:eastAsia="Arial" w:hAnsi="Arial"/>
          <w:sz w:val="16"/>
          <w:szCs w:val="16"/>
          <w:color w:val="58595B"/>
        </w:rPr>
      </w:pPr>
    </w:p>
    <w:p>
      <w:pPr>
        <w:ind w:left="120" w:hanging="120"/>
        <w:spacing w:after="0"/>
        <w:tabs>
          <w:tab w:leader="none" w:pos="120" w:val="left"/>
        </w:tabs>
        <w:numPr>
          <w:ilvl w:val="0"/>
          <w:numId w:val="13"/>
        </w:numPr>
        <w:rPr>
          <w:rFonts w:ascii="Arial" w:cs="Arial" w:eastAsia="Arial" w:hAnsi="Arial"/>
          <w:sz w:val="16"/>
          <w:szCs w:val="16"/>
          <w:color w:val="58595B"/>
        </w:rPr>
      </w:pPr>
      <w:r>
        <w:rPr>
          <w:rFonts w:ascii="Arial" w:cs="Arial" w:eastAsia="Arial" w:hAnsi="Arial"/>
          <w:sz w:val="16"/>
          <w:szCs w:val="16"/>
          <w:color w:val="58595B"/>
        </w:rPr>
        <w:t>Regularly discusses liquidity, capital, funding needs and other financial matters with management</w:t>
      </w:r>
    </w:p>
    <w:p>
      <w:pPr>
        <w:spacing w:after="0" w:line="113" w:lineRule="exact"/>
        <w:rPr>
          <w:rFonts w:ascii="Arial" w:cs="Arial" w:eastAsia="Arial" w:hAnsi="Arial"/>
          <w:sz w:val="16"/>
          <w:szCs w:val="16"/>
          <w:color w:val="58595B"/>
        </w:rPr>
      </w:pPr>
    </w:p>
    <w:p>
      <w:pPr>
        <w:ind w:left="160" w:right="160" w:hanging="160"/>
        <w:spacing w:after="0" w:line="339" w:lineRule="auto"/>
        <w:tabs>
          <w:tab w:leader="none" w:pos="122" w:val="left"/>
        </w:tabs>
        <w:numPr>
          <w:ilvl w:val="0"/>
          <w:numId w:val="13"/>
        </w:numPr>
        <w:rPr>
          <w:rFonts w:ascii="Arial" w:cs="Arial" w:eastAsia="Arial" w:hAnsi="Arial"/>
          <w:sz w:val="16"/>
          <w:szCs w:val="16"/>
          <w:color w:val="58595B"/>
        </w:rPr>
      </w:pPr>
      <w:r>
        <w:rPr>
          <w:rFonts w:ascii="Arial" w:cs="Arial" w:eastAsia="Arial" w:hAnsi="Arial"/>
          <w:sz w:val="16"/>
          <w:szCs w:val="16"/>
          <w:color w:val="58595B"/>
        </w:rPr>
        <w:t>Oversees risks relating to the quality and integrity of the Company's data relating to climate change and similar corporate sustainability matters</w:t>
      </w:r>
    </w:p>
    <w:p>
      <w:pPr>
        <w:spacing w:after="0" w:line="200" w:lineRule="exact"/>
        <w:rPr>
          <w:rFonts w:ascii="Arial" w:cs="Arial" w:eastAsia="Arial" w:hAnsi="Arial"/>
          <w:sz w:val="16"/>
          <w:szCs w:val="16"/>
          <w:color w:val="58595B"/>
        </w:rPr>
      </w:pPr>
    </w:p>
    <w:p>
      <w:pPr>
        <w:spacing w:after="0" w:line="265" w:lineRule="exact"/>
        <w:rPr>
          <w:rFonts w:ascii="Arial" w:cs="Arial" w:eastAsia="Arial" w:hAnsi="Arial"/>
          <w:sz w:val="16"/>
          <w:szCs w:val="16"/>
          <w:color w:val="58595B"/>
        </w:rPr>
      </w:pPr>
    </w:p>
    <w:p>
      <w:pPr>
        <w:ind w:left="120" w:hanging="120"/>
        <w:spacing w:after="0"/>
        <w:tabs>
          <w:tab w:leader="none" w:pos="120" w:val="left"/>
        </w:tabs>
        <w:numPr>
          <w:ilvl w:val="0"/>
          <w:numId w:val="13"/>
        </w:numPr>
        <w:rPr>
          <w:rFonts w:ascii="Arial" w:cs="Arial" w:eastAsia="Arial" w:hAnsi="Arial"/>
          <w:sz w:val="16"/>
          <w:szCs w:val="16"/>
          <w:color w:val="58595B"/>
        </w:rPr>
      </w:pPr>
      <w:r>
        <w:rPr>
          <w:rFonts w:ascii="Arial" w:cs="Arial" w:eastAsia="Arial" w:hAnsi="Arial"/>
          <w:sz w:val="16"/>
          <w:szCs w:val="16"/>
          <w:color w:val="58595B"/>
        </w:rPr>
        <w:t>Oversees risks relating to executive compensation and other incentive programs in the Company</w:t>
      </w:r>
    </w:p>
    <w:p>
      <w:pPr>
        <w:spacing w:after="0" w:line="99" w:lineRule="exact"/>
        <w:rPr>
          <w:rFonts w:ascii="Arial" w:cs="Arial" w:eastAsia="Arial" w:hAnsi="Arial"/>
          <w:sz w:val="16"/>
          <w:szCs w:val="16"/>
          <w:color w:val="58595B"/>
        </w:rPr>
      </w:pPr>
    </w:p>
    <w:p>
      <w:pPr>
        <w:ind w:left="120" w:hanging="120"/>
        <w:spacing w:after="0"/>
        <w:tabs>
          <w:tab w:leader="none" w:pos="120" w:val="left"/>
        </w:tabs>
        <w:numPr>
          <w:ilvl w:val="0"/>
          <w:numId w:val="13"/>
        </w:numPr>
        <w:rPr>
          <w:rFonts w:ascii="Arial" w:cs="Arial" w:eastAsia="Arial" w:hAnsi="Arial"/>
          <w:sz w:val="16"/>
          <w:szCs w:val="16"/>
          <w:color w:val="58595B"/>
        </w:rPr>
      </w:pPr>
      <w:r>
        <w:rPr>
          <w:rFonts w:ascii="Arial" w:cs="Arial" w:eastAsia="Arial" w:hAnsi="Arial"/>
          <w:sz w:val="16"/>
          <w:szCs w:val="16"/>
          <w:color w:val="58595B"/>
        </w:rPr>
        <w:t>Considers risks during its deliberations on the design of the Company’s executive compensation programs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-415925</wp:posOffset>
            </wp:positionV>
            <wp:extent cx="5803265" cy="1423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03265" cy="1423035"/>
                    </a:xfrm>
                    <a:prstGeom prst="rect">
                      <a:avLst/>
                    </a:prstGeom>
                    <a:noFill/>
                  </pic:spPr>
                </pic:pic>
              </a:graphicData>
            </a:graphic>
          </wp:anchor>
        </w:drawing>
      </w:r>
    </w:p>
    <w:p>
      <w:pPr>
        <w:spacing w:after="0" w:line="39" w:lineRule="exact"/>
        <w:rPr>
          <w:sz w:val="20"/>
          <w:szCs w:val="20"/>
          <w:color w:val="auto"/>
        </w:rPr>
      </w:pPr>
    </w:p>
    <w:p>
      <w:pPr>
        <w:ind w:left="160" w:right="460"/>
        <w:spacing w:after="0" w:line="339" w:lineRule="auto"/>
        <w:rPr>
          <w:sz w:val="20"/>
          <w:szCs w:val="20"/>
          <w:color w:val="auto"/>
        </w:rPr>
      </w:pPr>
      <w:r>
        <w:rPr>
          <w:rFonts w:ascii="Arial" w:cs="Arial" w:eastAsia="Arial" w:hAnsi="Arial"/>
          <w:sz w:val="16"/>
          <w:szCs w:val="16"/>
          <w:color w:val="58595B"/>
        </w:rPr>
        <w:t>goal of appropriately balancing short-term objectives and long-term performance without encouraging excessive and unnecessary risk-taking behaviors</w:t>
      </w:r>
    </w:p>
    <w:p>
      <w:pPr>
        <w:spacing w:after="0" w:line="7" w:lineRule="exact"/>
        <w:rPr>
          <w:sz w:val="20"/>
          <w:szCs w:val="20"/>
          <w:color w:val="auto"/>
        </w:rPr>
      </w:pPr>
    </w:p>
    <w:p>
      <w:pPr>
        <w:ind w:left="120" w:hanging="120"/>
        <w:spacing w:after="0"/>
        <w:tabs>
          <w:tab w:leader="none" w:pos="120"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Reviews and evaluates management reports on the Company’s incentive compensation programs</w:t>
      </w:r>
    </w:p>
    <w:p>
      <w:pPr>
        <w:spacing w:after="0" w:line="99" w:lineRule="exact"/>
        <w:rPr>
          <w:rFonts w:ascii="Arial" w:cs="Arial" w:eastAsia="Arial" w:hAnsi="Arial"/>
          <w:sz w:val="16"/>
          <w:szCs w:val="16"/>
          <w:color w:val="58595B"/>
        </w:rPr>
      </w:pPr>
    </w:p>
    <w:p>
      <w:pPr>
        <w:ind w:left="160" w:right="520" w:hanging="160"/>
        <w:spacing w:after="0" w:line="339" w:lineRule="auto"/>
        <w:tabs>
          <w:tab w:leader="none" w:pos="122"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Assesses how executive compensation practices may impact the Company's reputation through Say-on-Pay among stockholders, employees, customers and the public</w:t>
      </w:r>
    </w:p>
    <w:p>
      <w:pPr>
        <w:spacing w:after="0" w:line="200" w:lineRule="exact"/>
        <w:rPr>
          <w:rFonts w:ascii="Arial" w:cs="Arial" w:eastAsia="Arial" w:hAnsi="Arial"/>
          <w:sz w:val="16"/>
          <w:szCs w:val="16"/>
          <w:color w:val="58595B"/>
        </w:rPr>
      </w:pPr>
    </w:p>
    <w:p>
      <w:pPr>
        <w:spacing w:after="0" w:line="319" w:lineRule="exact"/>
        <w:rPr>
          <w:rFonts w:ascii="Arial" w:cs="Arial" w:eastAsia="Arial" w:hAnsi="Arial"/>
          <w:sz w:val="16"/>
          <w:szCs w:val="16"/>
          <w:color w:val="58595B"/>
        </w:rPr>
      </w:pPr>
    </w:p>
    <w:p>
      <w:pPr>
        <w:ind w:left="120" w:hanging="120"/>
        <w:spacing w:after="0"/>
        <w:tabs>
          <w:tab w:leader="none" w:pos="120"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Oversees risks relating to the Company’s governance structures and processes</w:t>
      </w:r>
    </w:p>
    <w:p>
      <w:pPr>
        <w:spacing w:after="0" w:line="99" w:lineRule="exact"/>
        <w:rPr>
          <w:rFonts w:ascii="Arial" w:cs="Arial" w:eastAsia="Arial" w:hAnsi="Arial"/>
          <w:sz w:val="16"/>
          <w:szCs w:val="16"/>
          <w:color w:val="58595B"/>
        </w:rPr>
      </w:pPr>
    </w:p>
    <w:p>
      <w:pPr>
        <w:ind w:left="120" w:hanging="120"/>
        <w:spacing w:after="0"/>
        <w:tabs>
          <w:tab w:leader="none" w:pos="120"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Oversees corporate governance matters, including the annual evaluations of the Board, its Committees and members</w:t>
      </w:r>
    </w:p>
    <w:p>
      <w:pPr>
        <w:spacing w:after="0" w:line="113" w:lineRule="exact"/>
        <w:rPr>
          <w:rFonts w:ascii="Arial" w:cs="Arial" w:eastAsia="Arial" w:hAnsi="Arial"/>
          <w:sz w:val="16"/>
          <w:szCs w:val="16"/>
          <w:color w:val="58595B"/>
        </w:rPr>
      </w:pPr>
    </w:p>
    <w:p>
      <w:pPr>
        <w:ind w:left="120" w:hanging="120"/>
        <w:spacing w:after="0"/>
        <w:tabs>
          <w:tab w:leader="none" w:pos="120"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Establishes policies and procedures for good corporate governance</w:t>
      </w:r>
    </w:p>
    <w:p>
      <w:pPr>
        <w:spacing w:after="0" w:line="99" w:lineRule="exact"/>
        <w:rPr>
          <w:rFonts w:ascii="Arial" w:cs="Arial" w:eastAsia="Arial" w:hAnsi="Arial"/>
          <w:sz w:val="16"/>
          <w:szCs w:val="16"/>
          <w:color w:val="58595B"/>
        </w:rPr>
      </w:pPr>
    </w:p>
    <w:p>
      <w:pPr>
        <w:ind w:left="160" w:right="480" w:hanging="160"/>
        <w:spacing w:after="0" w:line="343" w:lineRule="auto"/>
        <w:tabs>
          <w:tab w:leader="none" w:pos="122"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Oversees the Company's corporate sustainability policies and practices, including material risk assessment and goal tracking and reporting</w:t>
      </w:r>
    </w:p>
    <w:p>
      <w:pPr>
        <w:ind w:left="120" w:hanging="120"/>
        <w:spacing w:after="0"/>
        <w:tabs>
          <w:tab w:leader="none" w:pos="120"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Oversees the Company's cybersecurity programs, policies and procedures</w:t>
      </w:r>
    </w:p>
    <w:p>
      <w:pPr>
        <w:spacing w:after="0" w:line="200" w:lineRule="exact"/>
        <w:rPr>
          <w:rFonts w:ascii="Arial" w:cs="Arial" w:eastAsia="Arial" w:hAnsi="Arial"/>
          <w:sz w:val="16"/>
          <w:szCs w:val="16"/>
          <w:color w:val="58595B"/>
        </w:rPr>
      </w:pPr>
    </w:p>
    <w:p>
      <w:pPr>
        <w:spacing w:after="0" w:line="372" w:lineRule="exact"/>
        <w:rPr>
          <w:rFonts w:ascii="Arial" w:cs="Arial" w:eastAsia="Arial" w:hAnsi="Arial"/>
          <w:sz w:val="16"/>
          <w:szCs w:val="16"/>
          <w:color w:val="58595B"/>
        </w:rPr>
      </w:pPr>
    </w:p>
    <w:p>
      <w:pPr>
        <w:ind w:left="160" w:right="680" w:hanging="160"/>
        <w:spacing w:after="0" w:line="339" w:lineRule="auto"/>
        <w:tabs>
          <w:tab w:leader="none" w:pos="122"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Oversees matters relating to the Company’s financing strategy, as well as the Company’s capital structure, capital allocation initiatives and other financial matters</w:t>
      </w:r>
    </w:p>
    <w:p>
      <w:pPr>
        <w:spacing w:after="0" w:line="200" w:lineRule="exact"/>
        <w:rPr>
          <w:rFonts w:ascii="Arial" w:cs="Arial" w:eastAsia="Arial" w:hAnsi="Arial"/>
          <w:sz w:val="16"/>
          <w:szCs w:val="16"/>
          <w:color w:val="58595B"/>
        </w:rPr>
      </w:pPr>
    </w:p>
    <w:p>
      <w:pPr>
        <w:spacing w:after="0" w:line="387" w:lineRule="exact"/>
        <w:rPr>
          <w:rFonts w:ascii="Arial" w:cs="Arial" w:eastAsia="Arial" w:hAnsi="Arial"/>
          <w:sz w:val="16"/>
          <w:szCs w:val="16"/>
          <w:color w:val="58595B"/>
        </w:rPr>
      </w:pPr>
    </w:p>
    <w:p>
      <w:pPr>
        <w:ind w:left="120" w:hanging="120"/>
        <w:spacing w:after="0"/>
        <w:tabs>
          <w:tab w:leader="none" w:pos="120"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Oversees matters relating to operations, quality and regulatory compliance within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-2301875</wp:posOffset>
            </wp:positionV>
            <wp:extent cx="5803265" cy="2554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03265" cy="2554605"/>
                    </a:xfrm>
                    <a:prstGeom prst="rect">
                      <a:avLst/>
                    </a:prstGeom>
                    <a:noFill/>
                  </pic:spPr>
                </pic:pic>
              </a:graphicData>
            </a:graphic>
          </wp:anchor>
        </w:drawing>
      </w:r>
    </w:p>
    <w:p>
      <w:pPr>
        <w:spacing w:after="0" w:line="285" w:lineRule="exact"/>
        <w:rPr>
          <w:sz w:val="20"/>
          <w:szCs w:val="20"/>
          <w:color w:val="auto"/>
        </w:rPr>
      </w:pPr>
    </w:p>
    <w:p>
      <w:pPr>
        <w:sectPr>
          <w:pgSz w:w="11900" w:h="16838" w:orient="portrait"/>
          <w:cols w:equalWidth="0" w:num="2">
            <w:col w:w="1760" w:space="520"/>
            <w:col w:w="894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22</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spacing w:after="0" w:line="328" w:lineRule="auto"/>
        <w:rPr>
          <w:sz w:val="20"/>
          <w:szCs w:val="20"/>
          <w:color w:val="auto"/>
        </w:rPr>
      </w:pPr>
      <w:r>
        <w:rPr>
          <w:rFonts w:ascii="Arial" w:cs="Arial" w:eastAsia="Arial" w:hAnsi="Arial"/>
          <w:sz w:val="16"/>
          <w:szCs w:val="16"/>
          <w:color w:val="58595B"/>
        </w:rPr>
        <w:t>The Board is committed to oversight of the Company’s business strategy and strategic planning, including through the work of the Board committees and regular Board meetings. This ongoing effort enables the Board to focus on Company performance over the short, intermediate and long term. In addition to financial and operational performance, non-financial measures, including sustainability goals, are addressed by the Board and Board committees.</w:t>
      </w:r>
    </w:p>
    <w:p>
      <w:pPr>
        <w:spacing w:after="0" w:line="110"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The Company has also implemented an Enterprise Risk Management (“ERM”) program to further enhance its oversight of risks inherent to the business. The ERM programs helps Integra's management to identify, assess, manage and mitigate a broad range of risks across our businesses, regions and functions, and to ensure alignment of our risk assessment and mitigation efforts with our overall corporate strategy. This ERM program allows the Board and management to gain a greater understanding and awareness of risks facing the business and the efforts being undertaken to mitigate those risks. Additionally, the executive leadership team’s individual performance objectives are aligned with the top risks identified in the annual ERM process.</w:t>
      </w:r>
    </w:p>
    <w:p>
      <w:pPr>
        <w:spacing w:after="0" w:line="118" w:lineRule="exact"/>
        <w:rPr>
          <w:sz w:val="20"/>
          <w:szCs w:val="20"/>
          <w:color w:val="auto"/>
        </w:rPr>
      </w:pPr>
    </w:p>
    <w:p>
      <w:pPr>
        <w:ind w:right="180"/>
        <w:spacing w:after="0" w:line="356" w:lineRule="auto"/>
        <w:rPr>
          <w:sz w:val="20"/>
          <w:szCs w:val="20"/>
          <w:color w:val="auto"/>
        </w:rPr>
      </w:pPr>
      <w:r>
        <w:rPr>
          <w:rFonts w:ascii="Arial" w:cs="Arial" w:eastAsia="Arial" w:hAnsi="Arial"/>
          <w:sz w:val="16"/>
          <w:szCs w:val="16"/>
          <w:color w:val="58595B"/>
        </w:rPr>
        <w:t>In addition to periodic updates management provides to the Board on the ERM program, management presents an annual report to the Board detailing the Company’s processes for (1) assessing and addressing risks, (2) compliance reporting, and (3) the reporting of other material information.</w:t>
      </w:r>
    </w:p>
    <w:p>
      <w:pPr>
        <w:spacing w:after="0" w:line="89"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58595B"/>
        </w:rPr>
        <w:t>Our President and Chief Executive Officer, who functions as our chief risk officer, is supported in this role by both our Chief Legal Officer and our Chief Compliance Officer, who reports to our Chief Legal Officer. As chief risk officer, our President and Chief Executive Officer has responsibility for ensuring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corporate sustainability risks and opportunities, corporate development, operations and sales, marketing and cybersecurity. Both formal reports and less formal communications between the Board and our President and Chief Executive Officer derive from a continual flow of communication throughout the Company regarding risk and compliance. We believe our Board and senior management team promote a culture that actively identifies and manages risk.</w:t>
      </w:r>
    </w:p>
    <w:p>
      <w:pPr>
        <w:spacing w:after="0" w:line="140" w:lineRule="exact"/>
        <w:rPr>
          <w:sz w:val="20"/>
          <w:szCs w:val="20"/>
          <w:color w:val="auto"/>
        </w:rPr>
      </w:pPr>
    </w:p>
    <w:p>
      <w:pPr>
        <w:jc w:val="both"/>
        <w:ind w:right="60"/>
        <w:spacing w:after="0" w:line="319" w:lineRule="auto"/>
        <w:rPr>
          <w:sz w:val="20"/>
          <w:szCs w:val="20"/>
          <w:color w:val="auto"/>
        </w:rPr>
      </w:pPr>
      <w:r>
        <w:rPr>
          <w:rFonts w:ascii="Arial" w:cs="Arial" w:eastAsia="Arial" w:hAnsi="Arial"/>
          <w:sz w:val="16"/>
          <w:szCs w:val="16"/>
          <w:color w:val="58595B"/>
        </w:rPr>
        <w:t>The ERM program, along with our annual processes for creating and reviewing with the Board our strategic plan, budget and internal audit plans, as well as regular processes and communications throughout the Company, including between management and the Board and Board committees, combine to ensure the Company is continually addressing its business risks in a disciplined fashion.</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color w:val="009845"/>
        </w:rPr>
        <w:t>Compensation Committee Interlocks and Insider Participation</w:t>
      </w:r>
    </w:p>
    <w:p>
      <w:pPr>
        <w:spacing w:after="0" w:line="193"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rPr>
        <w:t>Ms. Lo (chair), Ms. Hill and Dr. Graves are the current members of the Compensation Committee and served as members during the last completed fiscal year. None of our Compensation Committee members currently serves, nor did they ever serve, as an officer or employee or former officer of the Company or had any relationship requiring disclosure herein pursuant to SEC regulations. No executive officer of the Company served as a member of a Compensation Committee or a director of another entity under circumstances requiring disclosure under SEC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009845"/>
        </w:rPr>
        <w:t>Corporate Sustainability Strategy</w:t>
      </w:r>
    </w:p>
    <w:p>
      <w:pPr>
        <w:spacing w:after="0" w:line="193"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rPr>
        <w:t>At Integra, our purpose of restoring lives is at the core of everything we do and informs our corporate sustainability strategy. Guided by our values, we seek to advance health with integrity and accountability. We strive to embed our purpose and values across every aspect of our business —from ethical governance to sustainable practices and transformational care and high-quality innovations. With our purpose and values as our guide, we are shaping a tomorrow where we play our part in making people, workplaces, and the world healthier.</w:t>
      </w:r>
    </w:p>
    <w:p>
      <w:pPr>
        <w:spacing w:after="0" w:line="132"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58595B"/>
        </w:rPr>
        <w:t>We view our corporate sustainability strategy as an extension of our company strategy, driving our success, stockholder value and the positive impact we strive to make in the lives of every patient and healthcare professional who encounter an Integra product, service or employee.</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311" w:lineRule="auto"/>
        <w:rPr>
          <w:sz w:val="20"/>
          <w:szCs w:val="20"/>
          <w:color w:val="auto"/>
        </w:rPr>
      </w:pPr>
      <w:r>
        <w:rPr>
          <w:rFonts w:ascii="Arial" w:cs="Arial" w:eastAsia="Arial" w:hAnsi="Arial"/>
          <w:sz w:val="16"/>
          <w:szCs w:val="16"/>
          <w:color w:val="58595B"/>
        </w:rPr>
        <w:t>In 2025, we made meaningful improvements to our corporate sustainability strategy by shifting to a broader approach that considers financial health and how our actions impact environmental and social factors. A double materiality approach aligns with evolving global standards, and strengthens stakeholder trust by providing greater transparency on our corporate sustainability impacts. Investors, customers, employees and regulators increasingly expect businesses to account for their contribution to a sustainable future. In addition to reinforcing our commitment to accountability and progress, double materiality enhances integration across strategy, decision-making and innovation, ensuring long-term business resilience. Our latest materiality assessment, conducted with input from key stakeholders, has provided deep insights into priority sustainability issues. As we continue to advance of our corporate sustainability efforts, we remain dedicated to refining our strategy to drive both business value and positive global impact. For more information regarding Integra's corporate sustainability strategy see our 2024 Environmental, Social, and Governance Report, which is available at https://www.integralife.com/esg-report. Such report, or any other information from the Integra website, are not part of, or incorporated by reference into, this proxy statement. Some of the statements and reports contain cautionary statements regarding forward-looking information that should be carefully considered.</w:t>
      </w:r>
    </w:p>
    <w:p>
      <w:pPr>
        <w:spacing w:after="0" w:line="127"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58595B"/>
        </w:rPr>
        <w:t>The Company recognizes its responsibility to be a good corporate citizen, guided by high moral and ethical standards in its interactions with customers, stockholders, employees and the community in which we operate. Our company purpose and values have long guided our corporate responsibility priorities. Such efforts include the following:</w:t>
      </w:r>
    </w:p>
    <w:p>
      <w:pPr>
        <w:spacing w:after="0" w:line="110"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58595B"/>
        </w:rPr>
        <w:t xml:space="preserve">Community &amp; Philanthropy: </w:t>
      </w:r>
      <w:r>
        <w:rPr>
          <w:rFonts w:ascii="Arial" w:cs="Arial" w:eastAsia="Arial" w:hAnsi="Arial"/>
          <w:sz w:val="16"/>
          <w:szCs w:val="16"/>
          <w:color w:val="58595B"/>
        </w:rPr>
        <w:t>Integra’s commitment improving patients’ lives goes beyond the walls of the operating room and extends to the global</w:t>
      </w:r>
      <w:r>
        <w:rPr>
          <w:rFonts w:ascii="Arial" w:cs="Arial" w:eastAsia="Arial" w:hAnsi="Arial"/>
          <w:sz w:val="16"/>
          <w:szCs w:val="16"/>
          <w:b w:val="1"/>
          <w:bCs w:val="1"/>
          <w:color w:val="58595B"/>
        </w:rPr>
        <w:t xml:space="preserve"> </w:t>
      </w:r>
      <w:r>
        <w:rPr>
          <w:rFonts w:ascii="Arial" w:cs="Arial" w:eastAsia="Arial" w:hAnsi="Arial"/>
          <w:sz w:val="16"/>
          <w:szCs w:val="16"/>
          <w:color w:val="58595B"/>
        </w:rPr>
        <w:t>communities in which the Company participates. Integra has an extensive history of partnering with patients and working alongside organizations such as Wounded Warriors, the Children’s Brain Tumor Foundation, the Phoenix Burn Society, and the Hydrocephalus Association, among many others. In addition, we donate products to organizations where our products can be used in teaching and research and development. The logistics of product donations are often complex, with many different regulatory and international rules, but we strive to make our products available to make a meaningful difference and change lives.</w:t>
      </w:r>
    </w:p>
    <w:p>
      <w:pPr>
        <w:spacing w:after="0" w:line="122" w:lineRule="exact"/>
        <w:rPr>
          <w:sz w:val="20"/>
          <w:szCs w:val="20"/>
          <w:color w:val="auto"/>
        </w:rPr>
      </w:pPr>
    </w:p>
    <w:p>
      <w:pPr>
        <w:ind w:right="100"/>
        <w:spacing w:after="0" w:line="318" w:lineRule="auto"/>
        <w:rPr>
          <w:sz w:val="20"/>
          <w:szCs w:val="20"/>
          <w:color w:val="auto"/>
        </w:rPr>
      </w:pPr>
      <w:r>
        <w:rPr>
          <w:rFonts w:ascii="Arial" w:cs="Arial" w:eastAsia="Arial" w:hAnsi="Arial"/>
          <w:sz w:val="16"/>
          <w:szCs w:val="16"/>
          <w:color w:val="58595B"/>
        </w:rPr>
        <w:t>The Company works closely with the Integra Foundation, a 501(c)(3) organization which awards grants to other nonprofits that support medical education in plastic and reconstructive surgery, wound care, neurosurgery, neurotrauma, and neuromonitoring. It also provides grants for needs-based patient support and health education programs in our clinical areas of focus and within our regional communities. Each year Integra colleagues have the opportunity to connect with their communities and volunteer their time for community improvement projects such as supporting disaster relief efforts, charity walks and other charitable initiatives.</w:t>
      </w:r>
    </w:p>
    <w:p>
      <w:pPr>
        <w:spacing w:after="0" w:line="118"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58595B"/>
        </w:rPr>
        <w:t xml:space="preserve">Compliance &amp; Ethics: </w:t>
      </w:r>
      <w:r>
        <w:rPr>
          <w:rFonts w:ascii="Arial" w:cs="Arial" w:eastAsia="Arial" w:hAnsi="Arial"/>
          <w:sz w:val="16"/>
          <w:szCs w:val="16"/>
          <w:color w:val="58595B"/>
        </w:rPr>
        <w:t>Integra is committed to its Code of Conduct and to holding the Company accountable as a leader in the medical technology industry.</w:t>
      </w:r>
      <w:r>
        <w:rPr>
          <w:rFonts w:ascii="Arial" w:cs="Arial" w:eastAsia="Arial" w:hAnsi="Arial"/>
          <w:sz w:val="16"/>
          <w:szCs w:val="16"/>
          <w:b w:val="1"/>
          <w:bCs w:val="1"/>
          <w:color w:val="58595B"/>
        </w:rPr>
        <w:t xml:space="preserve"> </w:t>
      </w:r>
      <w:r>
        <w:rPr>
          <w:rFonts w:ascii="Arial" w:cs="Arial" w:eastAsia="Arial" w:hAnsi="Arial"/>
          <w:sz w:val="16"/>
          <w:szCs w:val="16"/>
          <w:color w:val="58595B"/>
        </w:rPr>
        <w:t>The Company operates a comprehensive compliance program, which is supported by a training program led by Integra’s Chief Compliance Officer. Our comprehensive Code of Conduct reflects our expectation of compliance with laws, regulations, and codes of ethics relevant to our industry around the world. This Code of Conduct is on the Integra website and applies to all employees, including officers and directors, individuals and organizations that are suppliers to or third-party intermediaries for Integra. It establishes minimum requirements and expectations for the conduct of Integra’s business partners, and Integra encourages its partners to establish stricter or more extensive requirements where appropriate. Consistent with this policy, Integra will not tolerate any forms of slavery, servitude, forced labor and human trafficking, and business partners must not engage in any practice that constitutes any form of modern slavery.</w:t>
      </w:r>
    </w:p>
    <w:p>
      <w:pPr>
        <w:spacing w:after="0" w:line="12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color w:val="58595B"/>
        </w:rPr>
        <w:t xml:space="preserve">People: </w:t>
      </w:r>
      <w:r>
        <w:rPr>
          <w:rFonts w:ascii="Arial" w:cs="Arial" w:eastAsia="Arial" w:hAnsi="Arial"/>
          <w:sz w:val="16"/>
          <w:szCs w:val="16"/>
          <w:color w:val="58595B"/>
        </w:rPr>
        <w:t>Integra believes its people are its greatest assets and understands that the work we do every day makes a significant, positive difference in</w:t>
      </w:r>
      <w:r>
        <w:rPr>
          <w:rFonts w:ascii="Arial" w:cs="Arial" w:eastAsia="Arial" w:hAnsi="Arial"/>
          <w:sz w:val="16"/>
          <w:szCs w:val="16"/>
          <w:b w:val="1"/>
          <w:bCs w:val="1"/>
          <w:color w:val="58595B"/>
        </w:rPr>
        <w:t xml:space="preserve"> </w:t>
      </w:r>
      <w:r>
        <w:rPr>
          <w:rFonts w:ascii="Arial" w:cs="Arial" w:eastAsia="Arial" w:hAnsi="Arial"/>
          <w:sz w:val="16"/>
          <w:szCs w:val="16"/>
          <w:color w:val="58595B"/>
        </w:rPr>
        <w:t>improving patients’ lives. Attracting, developing, and retaining key talent is a high priority for our management team and our Board. We value creating an inclusive workplace environment and are committed to leveraging our different ideas, backgrounds, interests, and beliefs to make Integra a stronger, higher performing company and a place our employees, partners, and potential employees want to work. Education is critical to cultivating a culture of growth and development. Our onboarding approach includes learning about our business, products and markets, our culture, and creating meaningful and inclusive connections with colleagues on a broad-base. Our comprehensive human capital development programs are designed to support the personal success of our colleagues, because without them, we could not secure the success of our business. Continued learning and development is a critical component of employee job satisfaction, retention, and career advancement—and ultimately, a driver of business success. We regularly seek employee feedback and sentiment about our workplace through global engagement surveys conducted on an annual basis and we are committed to improving the quality of life of our employees and their families by offering numerous well-being programs and initiatives.</w:t>
      </w: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24</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b w:val="1"/>
          <w:bCs w:val="1"/>
          <w:color w:val="58595B"/>
        </w:rPr>
        <w:t xml:space="preserve">Organizational Culture: </w:t>
      </w:r>
      <w:r>
        <w:rPr>
          <w:rFonts w:ascii="Arial" w:cs="Arial" w:eastAsia="Arial" w:hAnsi="Arial"/>
          <w:sz w:val="16"/>
          <w:szCs w:val="16"/>
          <w:color w:val="58595B"/>
        </w:rPr>
        <w:t>At all levels of the Company, Integra focuses on creating an inclusive culture that values the diversity of ideas, backgrounds and</w:t>
      </w:r>
      <w:r>
        <w:rPr>
          <w:rFonts w:ascii="Arial" w:cs="Arial" w:eastAsia="Arial" w:hAnsi="Arial"/>
          <w:sz w:val="16"/>
          <w:szCs w:val="16"/>
          <w:b w:val="1"/>
          <w:bCs w:val="1"/>
          <w:color w:val="58595B"/>
        </w:rPr>
        <w:t xml:space="preserve"> </w:t>
      </w:r>
      <w:r>
        <w:rPr>
          <w:rFonts w:ascii="Arial" w:cs="Arial" w:eastAsia="Arial" w:hAnsi="Arial"/>
          <w:sz w:val="16"/>
          <w:szCs w:val="16"/>
          <w:color w:val="58595B"/>
        </w:rPr>
        <w:t>interests of our employees and community. Having a culture and workforce in line with this focus area is a business priority and key to the Company’s long-term success. The Company’s commitment to our culture starts at the top with our Board and Chief Executive Officer. A few of the Company’s notable efforts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7886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100" w:right="500"/>
        <w:spacing w:after="0" w:line="296" w:lineRule="auto"/>
        <w:rPr>
          <w:sz w:val="20"/>
          <w:szCs w:val="20"/>
          <w:color w:val="auto"/>
        </w:rPr>
      </w:pPr>
      <w:r>
        <w:rPr>
          <w:rFonts w:ascii="Arial" w:cs="Arial" w:eastAsia="Arial" w:hAnsi="Arial"/>
          <w:sz w:val="18"/>
          <w:szCs w:val="18"/>
          <w:b w:val="1"/>
          <w:bCs w:val="1"/>
          <w:color w:val="FFFFFF"/>
        </w:rPr>
        <w:t>Board and Leadership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1663065" cy="942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6306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Business Resource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1663065" cy="13887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6306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line="296" w:lineRule="auto"/>
        <w:rPr>
          <w:sz w:val="20"/>
          <w:szCs w:val="20"/>
          <w:color w:val="auto"/>
        </w:rPr>
      </w:pPr>
      <w:r>
        <w:rPr>
          <w:rFonts w:ascii="Arial" w:cs="Arial" w:eastAsia="Arial" w:hAnsi="Arial"/>
          <w:sz w:val="18"/>
          <w:szCs w:val="18"/>
          <w:b w:val="1"/>
          <w:bCs w:val="1"/>
          <w:color w:val="FFFFFF"/>
        </w:rPr>
        <w:t>Commitment to an Inclusive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1663065" cy="9429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6306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Building Our Talent Pipeline</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right="240"/>
        <w:spacing w:after="0" w:line="319" w:lineRule="auto"/>
        <w:rPr>
          <w:sz w:val="20"/>
          <w:szCs w:val="20"/>
          <w:color w:val="auto"/>
        </w:rPr>
      </w:pPr>
      <w:r>
        <w:rPr>
          <w:rFonts w:ascii="Arial" w:cs="Arial" w:eastAsia="Arial" w:hAnsi="Arial"/>
          <w:sz w:val="16"/>
          <w:szCs w:val="16"/>
          <w:color w:val="58595B"/>
        </w:rPr>
        <w:t>Through mentorship, sponsorship, recruitment efforts, and development programs the Company looks to continue to develop its leadership talent. Currently, 50% of the Board, 46% of our executive leaders and 37% of senior leaders (non-executive vice presidents) are female.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262890</wp:posOffset>
            </wp:positionV>
            <wp:extent cx="5383530" cy="9429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83530" cy="94297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180"/>
        <w:spacing w:after="0" w:line="318" w:lineRule="auto"/>
        <w:rPr>
          <w:sz w:val="20"/>
          <w:szCs w:val="20"/>
          <w:color w:val="auto"/>
        </w:rPr>
      </w:pPr>
      <w:r>
        <w:rPr>
          <w:rFonts w:ascii="Arial" w:cs="Arial" w:eastAsia="Arial" w:hAnsi="Arial"/>
          <w:sz w:val="16"/>
          <w:szCs w:val="16"/>
          <w:color w:val="58595B"/>
        </w:rPr>
        <w:t>The Company supports representative resource groups, totaling eight in 2025. These resource groups provide opportunities for employees with shared interests and backgrounds to connect, learn and grow, while also working together to empower our employees, enhancing team dynamics, develop new skills and build a more inclusive and collaborative work environment across Integra.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264160</wp:posOffset>
            </wp:positionV>
            <wp:extent cx="5383530" cy="13887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83530" cy="13887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58595B"/>
        </w:rPr>
        <w:t>We consider a welcoming and inclusive work environment central to our business strategy and long-term success. As an equal opportunity employer, Integra is committed to providing equal employment opportunities to all qualified applicants and employees. A healthy, safe and respectful workplace, free from harassment, discrimination, intimidation and retaliation, is among our most important priorities as a company. Upon joining Integra, colleagues globally participate in two programs to promote a culture of inclusion: Introduction to Managing Unconscious Bias and Practicing Inclusion, courses that create awareness of different perspectives in the workplace and provide tools to build better collaboration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269240</wp:posOffset>
            </wp:positionV>
            <wp:extent cx="5383530" cy="9429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83530" cy="94297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right="260"/>
        <w:spacing w:after="0" w:line="318" w:lineRule="auto"/>
        <w:rPr>
          <w:sz w:val="20"/>
          <w:szCs w:val="20"/>
          <w:color w:val="auto"/>
        </w:rPr>
      </w:pPr>
      <w:r>
        <w:rPr>
          <w:rFonts w:ascii="Arial" w:cs="Arial" w:eastAsia="Arial" w:hAnsi="Arial"/>
          <w:sz w:val="16"/>
          <w:szCs w:val="16"/>
          <w:color w:val="58595B"/>
        </w:rPr>
        <w:t>The Integra Rotational Leadership Program (IRLP) has been a significant avenue for recruiting, educating, and retaining talent since it was established 14 years ago. Each new Rotational Associate serves in three eight-month assignments over two years that can include Operations, Quality, Regulatory, R&amp;D, and other functions. These emerging leaders receive extensive onboarding, coaching, and exposure to Integra executives.</w:t>
      </w:r>
    </w:p>
    <w:p>
      <w:pPr>
        <w:spacing w:after="0" w:line="200" w:lineRule="exact"/>
        <w:rPr>
          <w:sz w:val="20"/>
          <w:szCs w:val="20"/>
          <w:color w:val="auto"/>
        </w:rPr>
      </w:pPr>
    </w:p>
    <w:p>
      <w:pPr>
        <w:sectPr>
          <w:pgSz w:w="11900" w:h="16838" w:orient="portrait"/>
          <w:cols w:equalWidth="0" w:num="2">
            <w:col w:w="2500" w:space="360"/>
            <w:col w:w="8380"/>
          </w:cols>
          <w:pgMar w:left="320" w:top="121" w:right="3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color w:val="58595B"/>
        </w:rPr>
        <w:t xml:space="preserve">Environmental Health, Safety &amp; Security: </w:t>
      </w:r>
      <w:r>
        <w:rPr>
          <w:rFonts w:ascii="Arial" w:cs="Arial" w:eastAsia="Arial" w:hAnsi="Arial"/>
          <w:sz w:val="16"/>
          <w:szCs w:val="16"/>
          <w:color w:val="58595B"/>
        </w:rPr>
        <w:t>Integra is committed to providing a safe environment for all employees and visitors and we seek to achieve the</w:t>
      </w:r>
      <w:r>
        <w:rPr>
          <w:rFonts w:ascii="Arial" w:cs="Arial" w:eastAsia="Arial" w:hAnsi="Arial"/>
          <w:sz w:val="16"/>
          <w:szCs w:val="16"/>
          <w:b w:val="1"/>
          <w:bCs w:val="1"/>
          <w:color w:val="58595B"/>
        </w:rPr>
        <w:t xml:space="preserve"> </w:t>
      </w:r>
      <w:r>
        <w:rPr>
          <w:rFonts w:ascii="Arial" w:cs="Arial" w:eastAsia="Arial" w:hAnsi="Arial"/>
          <w:sz w:val="16"/>
          <w:szCs w:val="16"/>
          <w:color w:val="58595B"/>
        </w:rPr>
        <w:t>highest environmental health, safety and security ("EHS&amp;S") standards for our employees, contractors and the communities where we work. Our EHS&amp;S policy is implemented through a comprehensive EHS&amp;S Management System, with oversight at every level of Integra. There are several core components to our EHS&amp;S Management System, including leadership; employee participation; risk management, emergency preparedness and event management; monitoring performance and continuous improvement; and the management of contractors, third parties and external manufacturers in our supply chain. Managers are also entrusted to oversee and ensure health and safety at their respective sites and foster a workplace culture to achieve that end. We implement our approach globally by our systems and support at regional and country levels from colleagues that implement proper safety protocols, identify and correct hazards, and remain safety conscious at all times. Managers are expected to enforce health and safety regulations, including compliance with applicable federal, state and local laws. All employees at our sites receive training on workplace hazards. When needed, we perform exposure assessments, ergonomic assessments and industrial hygiene evaluations, using the expertise of local laboratories or third-party service providers. We continue to develop and refine our standards to our sites to address any identified issues and implement industry best practices. We conduct EHS&amp;S audits for our locations to both ensure our compliance with regulatory requirements and identify opportunities for improvement.</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Our EHS&amp;S organizational structure incorporates both workplace EHS&amp;S coordinators and compliance teams. We have developed an Incident Procedure Policy and General Safety Rules that guide our colleagues to improve our workplace environment, monitor our performance, improve safety, and reduce risk and costs. An EHS&amp;S council includes key executives and business leaders and oversees the Company’s EHS&amp;S policies, programs and performance, including approval of our policy, available on our corporate website. The corporate EHS&amp;S team works with businesses and operational teams at our global sites to strengthen our EHS&amp;S culture. Monthly, EHS&amp;S joins a network of colleagues, from sites and functions and across the business to discuss key topics covering, for example, leadership skills, employee engagement and continuous improvement.</w:t>
      </w:r>
    </w:p>
    <w:p>
      <w:pPr>
        <w:spacing w:after="0" w:line="122"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58595B"/>
        </w:rPr>
        <w:t>For more information regarding Integra’s corporate responsibility efforts, including specific policies and programs, please visit https://www.integralife.com/csr. Information on that website is updated periodically and believed to be true at the time it is posted. References to our website throughout this proxy statement are provided for convenience only and the content on our website does not constitute a part of this proxy statement.</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color w:val="009845"/>
        </w:rPr>
        <w:t>Risk Assessment Regarding Compensation Policies and Practices</w:t>
      </w:r>
    </w:p>
    <w:p>
      <w:pPr>
        <w:spacing w:after="0" w:line="193"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58595B"/>
        </w:rPr>
        <w:t>The Company recently conducted a risk assessment of our compensation policies and programs, including our executive compensation programs (which also covers certain other employees globally). We reviewed and discussed the findings of the assessment with the Compensation Committee and the full Board at its meeting in February 2026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management’s report on the review and assessment of such compensation programs and approved these conclusions. In conducting this review, we considered the following attributes of our programs:</w:t>
      </w:r>
    </w:p>
    <w:p>
      <w:pPr>
        <w:spacing w:after="0" w:line="140" w:lineRule="exact"/>
        <w:rPr>
          <w:sz w:val="20"/>
          <w:szCs w:val="20"/>
          <w:color w:val="auto"/>
        </w:rPr>
      </w:pPr>
    </w:p>
    <w:p>
      <w:pPr>
        <w:ind w:left="620" w:hanging="126"/>
        <w:spacing w:after="0"/>
        <w:tabs>
          <w:tab w:leader="none" w:pos="620"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Mix of base salary, annual bonus opportunities and long-term equity compensation;</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Balance between annual and long-term performance opportunities;</w:t>
      </w:r>
    </w:p>
    <w:p>
      <w:pPr>
        <w:spacing w:after="0" w:line="207" w:lineRule="exact"/>
        <w:rPr>
          <w:rFonts w:ascii="Arial" w:cs="Arial" w:eastAsia="Arial" w:hAnsi="Arial"/>
          <w:sz w:val="16"/>
          <w:szCs w:val="16"/>
          <w:color w:val="58595B"/>
        </w:rPr>
      </w:pPr>
    </w:p>
    <w:p>
      <w:pPr>
        <w:ind w:left="660" w:right="500" w:hanging="166"/>
        <w:spacing w:after="0" w:line="356" w:lineRule="auto"/>
        <w:tabs>
          <w:tab w:leader="none" w:pos="622"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Alignment of annual and long-term incentives to ensure that the awards encourage consistent behaviors and achievable performance results, without encouraging excessive or unnecessary risk-taking;</w:t>
      </w:r>
    </w:p>
    <w:p>
      <w:pPr>
        <w:spacing w:after="0" w:line="88" w:lineRule="exact"/>
        <w:rPr>
          <w:rFonts w:ascii="Arial" w:cs="Arial" w:eastAsia="Arial" w:hAnsi="Arial"/>
          <w:sz w:val="16"/>
          <w:szCs w:val="16"/>
          <w:color w:val="58595B"/>
        </w:rPr>
      </w:pPr>
    </w:p>
    <w:p>
      <w:pPr>
        <w:ind w:left="620" w:hanging="126"/>
        <w:spacing w:after="0"/>
        <w:tabs>
          <w:tab w:leader="none" w:pos="620"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Ability to use non-financial and other qualitative performance factors in determining actual compensation payouts;</w:t>
      </w:r>
    </w:p>
    <w:p>
      <w:pPr>
        <w:spacing w:after="0" w:line="221" w:lineRule="exact"/>
        <w:rPr>
          <w:rFonts w:ascii="Arial" w:cs="Arial" w:eastAsia="Arial" w:hAnsi="Arial"/>
          <w:sz w:val="16"/>
          <w:szCs w:val="16"/>
          <w:color w:val="58595B"/>
        </w:rPr>
      </w:pPr>
    </w:p>
    <w:p>
      <w:pPr>
        <w:ind w:left="620" w:hanging="126"/>
        <w:spacing w:after="0"/>
        <w:tabs>
          <w:tab w:leader="none" w:pos="620"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Use of equity awards that vest over time, discouraging excessive or unnecessary risk-taking by senior leadership;</w:t>
      </w:r>
    </w:p>
    <w:p>
      <w:pPr>
        <w:spacing w:after="0" w:line="207" w:lineRule="exact"/>
        <w:rPr>
          <w:rFonts w:ascii="Arial" w:cs="Arial" w:eastAsia="Arial" w:hAnsi="Arial"/>
          <w:sz w:val="16"/>
          <w:szCs w:val="16"/>
          <w:color w:val="58595B"/>
        </w:rPr>
      </w:pPr>
    </w:p>
    <w:p>
      <w:pPr>
        <w:ind w:left="660" w:right="300" w:hanging="166"/>
        <w:spacing w:after="0" w:line="339" w:lineRule="auto"/>
        <w:tabs>
          <w:tab w:leader="none" w:pos="622"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The provision of senior executives with long-term equity-based compensation on an annual basis. We believe as executives accumulate awards over a period of time, they are encouraged to take actions that promote the long-term sustainability of our business;</w:t>
      </w:r>
    </w:p>
    <w:p>
      <w:pPr>
        <w:spacing w:after="0" w:line="114" w:lineRule="exact"/>
        <w:rPr>
          <w:rFonts w:ascii="Arial" w:cs="Arial" w:eastAsia="Arial" w:hAnsi="Arial"/>
          <w:sz w:val="16"/>
          <w:szCs w:val="16"/>
          <w:color w:val="58595B"/>
        </w:rPr>
      </w:pPr>
    </w:p>
    <w:p>
      <w:pPr>
        <w:ind w:left="660" w:right="720" w:hanging="166"/>
        <w:spacing w:after="0" w:line="339" w:lineRule="auto"/>
        <w:tabs>
          <w:tab w:leader="none" w:pos="622"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Stock ownership guidelines and vesting requirements that are reasonable and align the interests of the executive officers with those of our stockholders while discouraging executive officers from focusing on short-term results without regard for long-term consequences; and</w:t>
      </w:r>
    </w:p>
    <w:p>
      <w:pPr>
        <w:spacing w:after="0" w:line="114" w:lineRule="exact"/>
        <w:rPr>
          <w:rFonts w:ascii="Arial" w:cs="Arial" w:eastAsia="Arial" w:hAnsi="Arial"/>
          <w:sz w:val="16"/>
          <w:szCs w:val="16"/>
          <w:color w:val="58595B"/>
        </w:rPr>
      </w:pPr>
    </w:p>
    <w:p>
      <w:pPr>
        <w:ind w:left="620" w:hanging="126"/>
        <w:spacing w:after="0"/>
        <w:tabs>
          <w:tab w:leader="none" w:pos="620"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Systems and processes in place to identify and assess risk.</w:t>
      </w:r>
    </w:p>
    <w:p>
      <w:pPr>
        <w:spacing w:after="0" w:line="208"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58595B"/>
        </w:rPr>
        <w:t>Our Compensation Committee considered the implications of our compensation practices during its deliberations on the design of our 2026 executive compensation programs, with the goal of appropriately balancing short-term incentives and long-term performance, in order to appropriately address risk.</w:t>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26</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Director Attendance at Annual Meetings</w:t>
      </w:r>
    </w:p>
    <w:p>
      <w:pPr>
        <w:spacing w:after="0" w:line="193" w:lineRule="exact"/>
        <w:rPr>
          <w:sz w:val="20"/>
          <w:szCs w:val="20"/>
          <w:color w:val="auto"/>
        </w:rPr>
      </w:pPr>
    </w:p>
    <w:p>
      <w:pPr>
        <w:ind w:right="180"/>
        <w:spacing w:after="0" w:line="356" w:lineRule="auto"/>
        <w:rPr>
          <w:sz w:val="20"/>
          <w:szCs w:val="20"/>
          <w:color w:val="auto"/>
        </w:rPr>
      </w:pPr>
      <w:r>
        <w:rPr>
          <w:rFonts w:ascii="Arial" w:cs="Arial" w:eastAsia="Arial" w:hAnsi="Arial"/>
          <w:sz w:val="16"/>
          <w:szCs w:val="16"/>
          <w:color w:val="58595B"/>
        </w:rPr>
        <w:t>It is our policy to encourage our directors to attend the annual meeting of stockholders. All of our directors who served at the time of the prior year’s annual meeting of stockholders, and who were also director nominees at such meeting, attended last year’s meeting.</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color w:val="009845"/>
        </w:rPr>
        <w:t>Communications With the Board</w:t>
      </w:r>
    </w:p>
    <w:p>
      <w:pPr>
        <w:spacing w:after="0" w:line="207"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58595B"/>
        </w:rPr>
        <w:t>Stockholders may communicate with our Board, any of its constituent committees or any member thereof by means of a letter addressed to the Board, its constituent committees or individual directors and sent care of Integra LifeSciences Holdings Corporation, 1100 Campus Road, Princeton, NJ 08540, Attention: Executive Vice President, Chief Legal Officer and Secretary. The Corporate Secretary reviews correspondence addressed to our Directors and forwards to the appropriate member of the Board those communications that deal with the functions of our Board or its committees, or that otherwise require Board attention. The Corporate Secretary will not forward communications that are unrelated to the duties and responsibilities of our Board, such as business solicitations or advertisements.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27</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36"/>
          <w:szCs w:val="36"/>
          <w:color w:val="009845"/>
        </w:rPr>
        <w:t>DIRECTOR COMPENSATION</w:t>
      </w:r>
    </w:p>
    <w:p>
      <w:pPr>
        <w:spacing w:after="0" w:line="200" w:lineRule="exact"/>
        <w:rPr>
          <w:sz w:val="20"/>
          <w:szCs w:val="20"/>
          <w:color w:val="auto"/>
        </w:rPr>
      </w:pPr>
    </w:p>
    <w:p>
      <w:pPr>
        <w:spacing w:after="0" w:line="220"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color w:val="58595B"/>
        </w:rPr>
        <w:t>The Board believes that providing competitive compensation is necessary to attract and retain qualified non-employee directors. The key components of non-employee director compensation are an annual equity grant and an annual retainer, as described below.</w:t>
      </w:r>
    </w:p>
    <w:p>
      <w:pPr>
        <w:spacing w:after="0" w:line="115"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58595B"/>
        </w:rPr>
        <w:t>The Compensation Committee annually reviews compensation paid to non-employee directors and makes adjustments, as appropriate. In December 2024, the Compensation Committee reviewed the compensation structure for non-employee directors, considered advice from its independent compensation consultant and approved: (i) an increase to the annual equity grant to all independent directors by $20,000 (from $220,000 to $240,000); (ii) an increase to the cash retainer paid to all non-executive directors by $5,000 (from $80,000 to $85,000); (iii) an increase to the equity retainer paid to the Chairman from $50,000 to $65,000; and (iv) an increase to the cash retainer paid to the Presiding Director by $2,500 (from $37,500 to $40,000). These increases, which took effect for the compensation period beginning with the Company's 2025 Annual Meeting of Stockholders, were designed to elevate total director remuneration from below the market median to a level more closely aligned with the market median for the peer group of the Company. Additionally, in December 2024, to capture both the significance of the Company's Quality Committee and the time commitment associated with service on the Committee, the Compensation Committee approved payment of annual cash fee of $20,000 for the Chair of the Quality Committee and an annual cash fee of $7,500 for the other directors serving on the Quality Committee, effective, in each case, as of the Corporation's 2025 Annual Meeting of Stockholders.</w:t>
      </w:r>
    </w:p>
    <w:p>
      <w:pPr>
        <w:spacing w:after="0" w:line="142" w:lineRule="exact"/>
        <w:rPr>
          <w:sz w:val="20"/>
          <w:szCs w:val="20"/>
          <w:color w:val="auto"/>
        </w:rPr>
      </w:pPr>
    </w:p>
    <w:p>
      <w:pPr>
        <w:spacing w:after="0" w:line="311" w:lineRule="auto"/>
        <w:rPr>
          <w:sz w:val="20"/>
          <w:szCs w:val="20"/>
          <w:color w:val="auto"/>
        </w:rPr>
      </w:pPr>
      <w:r>
        <w:rPr>
          <w:rFonts w:ascii="Arial" w:cs="Arial" w:eastAsia="Arial" w:hAnsi="Arial"/>
          <w:sz w:val="16"/>
          <w:szCs w:val="16"/>
          <w:color w:val="58595B"/>
        </w:rPr>
        <w:t>As compensation for their service during the period beginning with the Company’s 2025 Annual Meeting of Stockholders, non-employee directors received an annual equity grant in the form of restricted stock with a fair market value on the date of grant of $240,000 (or $305,000 for the Chairman). Directors were slated to receive an annual retainer of $85,000, payable in one of three ways, at their election: (1) in cash, (2) in restricted stock, or (3) one half in cash and one half in restricted stock. In addition, the Company paid the following separate annual cash fees to certain directors as follows: (1) $15,000 for the Nominating and Corporate Governance Committee Chair, (2) $15,000 for the Compensation Committee Chair, (3) $20,000 for the Audit Committee Chair, (4) $15,000 for the Finance Committee Chair, (5) $20,000 for the Quality Committee Chair, (6) $7,500 for members of the Quality Committee, (7) $40,000 for the Presiding Director and (8) $75,000 for the Chairman.</w:t>
      </w:r>
    </w:p>
    <w:p>
      <w:pPr>
        <w:spacing w:after="0" w:line="127"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58595B"/>
        </w:rPr>
        <w:t>The Company pays reasonable travel and out-of-pocket expenses incurred by non-employee directors in connection with attendance at meetings to transact business of the Company or attendance at meetings of the Board or any committee thereof.</w:t>
      </w:r>
    </w:p>
    <w:p>
      <w:pPr>
        <w:spacing w:after="0" w:line="89" w:lineRule="exact"/>
        <w:rPr>
          <w:sz w:val="20"/>
          <w:szCs w:val="20"/>
          <w:color w:val="auto"/>
        </w:rPr>
      </w:pPr>
    </w:p>
    <w:p>
      <w:pPr>
        <w:ind w:right="160"/>
        <w:spacing w:after="0" w:line="318" w:lineRule="auto"/>
        <w:rPr>
          <w:sz w:val="20"/>
          <w:szCs w:val="20"/>
          <w:color w:val="auto"/>
        </w:rPr>
      </w:pPr>
      <w:r>
        <w:rPr>
          <w:rFonts w:ascii="Arial" w:cs="Arial" w:eastAsia="Arial" w:hAnsi="Arial"/>
          <w:sz w:val="16"/>
          <w:szCs w:val="16"/>
          <w:color w:val="58595B"/>
        </w:rPr>
        <w:t>The following table provides details of the total compensation for non-employee directors in 2025. In addition, compensation paid to Dr. Essig in 2025 includes compensation paid to him in connection with his service as our Executive Chairman and, effective as of July 1, 2025, as the Non-Executive Chairman of the Board. There was no change to Dr. Essig's aggregate compensation in connection with his appointment to the role of Executive Chairman nor his transition to the role of Non-Executive Chairman.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4060" w:type="dxa"/>
            <w:vAlign w:val="bottom"/>
            <w:shd w:val="clear" w:color="auto" w:fill="009845"/>
          </w:tcPr>
          <w:p>
            <w:pPr>
              <w:spacing w:after="0"/>
              <w:rPr>
                <w:sz w:val="24"/>
                <w:szCs w:val="24"/>
                <w:color w:val="auto"/>
              </w:rPr>
            </w:pPr>
          </w:p>
        </w:tc>
        <w:tc>
          <w:tcPr>
            <w:tcW w:w="1760" w:type="dxa"/>
            <w:vAlign w:val="bottom"/>
            <w:shd w:val="clear" w:color="auto" w:fill="009845"/>
          </w:tcPr>
          <w:p>
            <w:pPr>
              <w:ind w:left="360"/>
              <w:spacing w:after="0"/>
              <w:rPr>
                <w:sz w:val="20"/>
                <w:szCs w:val="20"/>
                <w:color w:val="auto"/>
              </w:rPr>
            </w:pPr>
            <w:r>
              <w:rPr>
                <w:rFonts w:ascii="Arial" w:cs="Arial" w:eastAsia="Arial" w:hAnsi="Arial"/>
                <w:sz w:val="14"/>
                <w:szCs w:val="14"/>
                <w:b w:val="1"/>
                <w:bCs w:val="1"/>
                <w:color w:val="FFFFFF"/>
              </w:rPr>
              <w:t>Fees Earned or</w:t>
            </w:r>
          </w:p>
        </w:tc>
        <w:tc>
          <w:tcPr>
            <w:tcW w:w="1740" w:type="dxa"/>
            <w:vAlign w:val="bottom"/>
            <w:shd w:val="clear" w:color="auto" w:fill="009845"/>
          </w:tcPr>
          <w:p>
            <w:pPr>
              <w:ind w:left="700"/>
              <w:spacing w:after="0"/>
              <w:rPr>
                <w:sz w:val="20"/>
                <w:szCs w:val="20"/>
                <w:color w:val="auto"/>
              </w:rPr>
            </w:pPr>
            <w:r>
              <w:rPr>
                <w:rFonts w:ascii="Arial" w:cs="Arial" w:eastAsia="Arial" w:hAnsi="Arial"/>
                <w:sz w:val="14"/>
                <w:szCs w:val="14"/>
                <w:b w:val="1"/>
                <w:bCs w:val="1"/>
                <w:color w:val="FFFFFF"/>
              </w:rPr>
              <w:t>Stock</w:t>
            </w:r>
          </w:p>
        </w:tc>
        <w:tc>
          <w:tcPr>
            <w:tcW w:w="1920" w:type="dxa"/>
            <w:vAlign w:val="bottom"/>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All Other</w:t>
            </w:r>
          </w:p>
        </w:tc>
        <w:tc>
          <w:tcPr>
            <w:tcW w:w="1660" w:type="dxa"/>
            <w:vAlign w:val="bottom"/>
            <w:vMerge w:val="restart"/>
            <w:shd w:val="clear" w:color="auto" w:fill="009845"/>
          </w:tcPr>
          <w:p>
            <w:pPr>
              <w:ind w:left="60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2"/>
        </w:trPr>
        <w:tc>
          <w:tcPr>
            <w:tcW w:w="4060" w:type="dxa"/>
            <w:vAlign w:val="bottom"/>
            <w:shd w:val="clear" w:color="auto" w:fill="009845"/>
          </w:tcPr>
          <w:p>
            <w:pPr>
              <w:spacing w:after="0"/>
              <w:rPr>
                <w:sz w:val="14"/>
                <w:szCs w:val="14"/>
                <w:color w:val="auto"/>
              </w:rPr>
            </w:pPr>
          </w:p>
        </w:tc>
        <w:tc>
          <w:tcPr>
            <w:tcW w:w="1760" w:type="dxa"/>
            <w:vAlign w:val="bottom"/>
            <w:shd w:val="clear" w:color="auto" w:fill="009845"/>
          </w:tcPr>
          <w:p>
            <w:pPr>
              <w:ind w:left="360"/>
              <w:spacing w:after="0"/>
              <w:rPr>
                <w:sz w:val="20"/>
                <w:szCs w:val="20"/>
                <w:color w:val="auto"/>
              </w:rPr>
            </w:pPr>
            <w:r>
              <w:rPr>
                <w:rFonts w:ascii="Arial" w:cs="Arial" w:eastAsia="Arial" w:hAnsi="Arial"/>
                <w:sz w:val="14"/>
                <w:szCs w:val="14"/>
                <w:b w:val="1"/>
                <w:bCs w:val="1"/>
                <w:color w:val="FFFFFF"/>
              </w:rPr>
              <w:t>Paid in Cash(1)</w:t>
            </w:r>
          </w:p>
        </w:tc>
        <w:tc>
          <w:tcPr>
            <w:tcW w:w="17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Awards(2)(3)</w:t>
            </w:r>
          </w:p>
        </w:tc>
        <w:tc>
          <w:tcPr>
            <w:tcW w:w="1920" w:type="dxa"/>
            <w:vAlign w:val="bottom"/>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Compensation</w:t>
            </w:r>
          </w:p>
        </w:tc>
        <w:tc>
          <w:tcPr>
            <w:tcW w:w="1660" w:type="dxa"/>
            <w:vAlign w:val="bottom"/>
            <w:vMerge w:val="continue"/>
            <w:shd w:val="clear" w:color="auto" w:fill="00984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17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w:t>
            </w:r>
          </w:p>
        </w:tc>
        <w:tc>
          <w:tcPr>
            <w:tcW w:w="17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w:t>
            </w:r>
          </w:p>
        </w:tc>
        <w:tc>
          <w:tcPr>
            <w:tcW w:w="1920" w:type="dxa"/>
            <w:vAlign w:val="bottom"/>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w w:val="93"/>
              </w:rPr>
              <w:t>($)</w:t>
            </w:r>
          </w:p>
        </w:tc>
        <w:tc>
          <w:tcPr>
            <w:tcW w:w="1660" w:type="dxa"/>
            <w:vAlign w:val="bottom"/>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69"/>
        </w:trPr>
        <w:tc>
          <w:tcPr>
            <w:tcW w:w="4060" w:type="dxa"/>
            <w:vAlign w:val="bottom"/>
            <w:shd w:val="clear" w:color="auto" w:fill="009845"/>
          </w:tcPr>
          <w:p>
            <w:pPr>
              <w:spacing w:after="0"/>
              <w:rPr>
                <w:sz w:val="6"/>
                <w:szCs w:val="6"/>
                <w:color w:val="auto"/>
              </w:rPr>
            </w:pPr>
          </w:p>
        </w:tc>
        <w:tc>
          <w:tcPr>
            <w:tcW w:w="1760" w:type="dxa"/>
            <w:vAlign w:val="bottom"/>
            <w:shd w:val="clear" w:color="auto" w:fill="009845"/>
          </w:tcPr>
          <w:p>
            <w:pPr>
              <w:spacing w:after="0"/>
              <w:rPr>
                <w:sz w:val="6"/>
                <w:szCs w:val="6"/>
                <w:color w:val="auto"/>
              </w:rPr>
            </w:pPr>
          </w:p>
        </w:tc>
        <w:tc>
          <w:tcPr>
            <w:tcW w:w="1740" w:type="dxa"/>
            <w:vAlign w:val="bottom"/>
            <w:shd w:val="clear" w:color="auto" w:fill="009845"/>
          </w:tcPr>
          <w:p>
            <w:pPr>
              <w:spacing w:after="0"/>
              <w:rPr>
                <w:sz w:val="6"/>
                <w:szCs w:val="6"/>
                <w:color w:val="auto"/>
              </w:rPr>
            </w:pPr>
          </w:p>
        </w:tc>
        <w:tc>
          <w:tcPr>
            <w:tcW w:w="1920" w:type="dxa"/>
            <w:vAlign w:val="bottom"/>
            <w:shd w:val="clear" w:color="auto" w:fill="009845"/>
          </w:tcPr>
          <w:p>
            <w:pPr>
              <w:spacing w:after="0"/>
              <w:rPr>
                <w:sz w:val="6"/>
                <w:szCs w:val="6"/>
                <w:color w:val="auto"/>
              </w:rPr>
            </w:pPr>
          </w:p>
        </w:tc>
        <w:tc>
          <w:tcPr>
            <w:tcW w:w="1660" w:type="dxa"/>
            <w:vAlign w:val="bottom"/>
            <w:shd w:val="clear" w:color="auto" w:fill="009845"/>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17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88,438</w:t>
            </w:r>
          </w:p>
        </w:tc>
        <w:tc>
          <w:tcPr>
            <w:tcW w:w="17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240,002</w:t>
            </w:r>
          </w:p>
        </w:tc>
        <w:tc>
          <w:tcPr>
            <w:tcW w:w="192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shd w:val="clear" w:color="auto" w:fill="EFEDED"/>
          </w:tcPr>
          <w:p>
            <w:pPr>
              <w:jc w:val="center"/>
              <w:ind w:right="68"/>
              <w:spacing w:after="0"/>
              <w:rPr>
                <w:sz w:val="20"/>
                <w:szCs w:val="20"/>
                <w:color w:val="auto"/>
              </w:rPr>
            </w:pPr>
            <w:r>
              <w:rPr>
                <w:rFonts w:ascii="Arial" w:cs="Arial" w:eastAsia="Arial" w:hAnsi="Arial"/>
                <w:sz w:val="14"/>
                <w:szCs w:val="14"/>
                <w:color w:val="58595B"/>
              </w:rPr>
              <w:t>328,440</w:t>
            </w:r>
          </w:p>
        </w:tc>
        <w:tc>
          <w:tcPr>
            <w:tcW w:w="0" w:type="dxa"/>
            <w:vAlign w:val="bottom"/>
          </w:tcPr>
          <w:p>
            <w:pPr>
              <w:spacing w:after="0"/>
              <w:rPr>
                <w:sz w:val="1"/>
                <w:szCs w:val="1"/>
                <w:color w:val="auto"/>
              </w:rPr>
            </w:pPr>
          </w:p>
        </w:tc>
      </w:tr>
      <w:tr>
        <w:trPr>
          <w:trHeight w:val="222"/>
        </w:trPr>
        <w:tc>
          <w:tcPr>
            <w:tcW w:w="4060" w:type="dxa"/>
            <w:vAlign w:val="bottom"/>
          </w:tcPr>
          <w:p>
            <w:pPr>
              <w:ind w:left="100"/>
              <w:spacing w:after="0"/>
              <w:rPr>
                <w:sz w:val="20"/>
                <w:szCs w:val="20"/>
                <w:color w:val="auto"/>
              </w:rPr>
            </w:pPr>
            <w:r>
              <w:rPr>
                <w:rFonts w:ascii="Arial" w:cs="Arial" w:eastAsia="Arial" w:hAnsi="Arial"/>
                <w:sz w:val="14"/>
                <w:szCs w:val="14"/>
                <w:b w:val="1"/>
                <w:bCs w:val="1"/>
                <w:color w:val="58595B"/>
              </w:rPr>
              <w:t>Shaundra D. Clay</w:t>
            </w:r>
          </w:p>
        </w:tc>
        <w:tc>
          <w:tcPr>
            <w:tcW w:w="1760" w:type="dxa"/>
            <w:vAlign w:val="bottom"/>
          </w:tcPr>
          <w:p>
            <w:pPr>
              <w:jc w:val="center"/>
              <w:spacing w:after="0"/>
              <w:rPr>
                <w:sz w:val="20"/>
                <w:szCs w:val="20"/>
                <w:color w:val="auto"/>
              </w:rPr>
            </w:pPr>
            <w:r>
              <w:rPr>
                <w:rFonts w:ascii="Arial" w:cs="Arial" w:eastAsia="Arial" w:hAnsi="Arial"/>
                <w:sz w:val="14"/>
                <w:szCs w:val="14"/>
                <w:color w:val="58595B"/>
              </w:rPr>
              <w:t>82,500</w:t>
            </w:r>
          </w:p>
        </w:tc>
        <w:tc>
          <w:tcPr>
            <w:tcW w:w="1740" w:type="dxa"/>
            <w:vAlign w:val="bottom"/>
          </w:tcPr>
          <w:p>
            <w:pPr>
              <w:jc w:val="center"/>
              <w:spacing w:after="0"/>
              <w:rPr>
                <w:sz w:val="20"/>
                <w:szCs w:val="20"/>
                <w:color w:val="auto"/>
              </w:rPr>
            </w:pPr>
            <w:r>
              <w:rPr>
                <w:rFonts w:ascii="Arial" w:cs="Arial" w:eastAsia="Arial" w:hAnsi="Arial"/>
                <w:sz w:val="14"/>
                <w:szCs w:val="14"/>
                <w:color w:val="58595B"/>
              </w:rPr>
              <w:t>240,002</w:t>
            </w:r>
          </w:p>
        </w:tc>
        <w:tc>
          <w:tcPr>
            <w:tcW w:w="1920" w:type="dxa"/>
            <w:vAlign w:val="bottom"/>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tcPr>
          <w:p>
            <w:pPr>
              <w:jc w:val="center"/>
              <w:ind w:right="68"/>
              <w:spacing w:after="0"/>
              <w:rPr>
                <w:sz w:val="20"/>
                <w:szCs w:val="20"/>
                <w:color w:val="auto"/>
              </w:rPr>
            </w:pPr>
            <w:r>
              <w:rPr>
                <w:rFonts w:ascii="Arial" w:cs="Arial" w:eastAsia="Arial" w:hAnsi="Arial"/>
                <w:sz w:val="14"/>
                <w:szCs w:val="14"/>
                <w:color w:val="58595B"/>
              </w:rPr>
              <w:t>322,502</w:t>
            </w:r>
          </w:p>
        </w:tc>
        <w:tc>
          <w:tcPr>
            <w:tcW w:w="0" w:type="dxa"/>
            <w:vAlign w:val="bottom"/>
          </w:tcPr>
          <w:p>
            <w:pPr>
              <w:spacing w:after="0"/>
              <w:rPr>
                <w:sz w:val="1"/>
                <w:szCs w:val="1"/>
                <w:color w:val="auto"/>
              </w:rPr>
            </w:pPr>
          </w:p>
        </w:tc>
      </w:tr>
      <w:tr>
        <w:trPr>
          <w:trHeight w:val="237"/>
        </w:trPr>
        <w:tc>
          <w:tcPr>
            <w:tcW w:w="40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Stuart M. Essig, Ph.D. (4)</w:t>
            </w:r>
          </w:p>
        </w:tc>
        <w:tc>
          <w:tcPr>
            <w:tcW w:w="17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85,000</w:t>
            </w:r>
          </w:p>
        </w:tc>
        <w:tc>
          <w:tcPr>
            <w:tcW w:w="17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390,003</w:t>
            </w:r>
          </w:p>
        </w:tc>
        <w:tc>
          <w:tcPr>
            <w:tcW w:w="192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shd w:val="clear" w:color="auto" w:fill="EFEDED"/>
          </w:tcPr>
          <w:p>
            <w:pPr>
              <w:jc w:val="center"/>
              <w:ind w:right="68"/>
              <w:spacing w:after="0"/>
              <w:rPr>
                <w:sz w:val="20"/>
                <w:szCs w:val="20"/>
                <w:color w:val="auto"/>
              </w:rPr>
            </w:pPr>
            <w:r>
              <w:rPr>
                <w:rFonts w:ascii="Arial" w:cs="Arial" w:eastAsia="Arial" w:hAnsi="Arial"/>
                <w:sz w:val="14"/>
                <w:szCs w:val="14"/>
                <w:color w:val="58595B"/>
              </w:rPr>
              <w:t>475,003</w:t>
            </w:r>
          </w:p>
        </w:tc>
        <w:tc>
          <w:tcPr>
            <w:tcW w:w="0" w:type="dxa"/>
            <w:vAlign w:val="bottom"/>
          </w:tcPr>
          <w:p>
            <w:pPr>
              <w:spacing w:after="0"/>
              <w:rPr>
                <w:sz w:val="1"/>
                <w:szCs w:val="1"/>
                <w:color w:val="auto"/>
              </w:rPr>
            </w:pPr>
          </w:p>
        </w:tc>
      </w:tr>
      <w:tr>
        <w:trPr>
          <w:trHeight w:val="222"/>
        </w:trPr>
        <w:tc>
          <w:tcPr>
            <w:tcW w:w="4060" w:type="dxa"/>
            <w:vAlign w:val="bottom"/>
          </w:tcPr>
          <w:p>
            <w:pPr>
              <w:ind w:left="100"/>
              <w:spacing w:after="0"/>
              <w:rPr>
                <w:sz w:val="20"/>
                <w:szCs w:val="20"/>
                <w:color w:val="auto"/>
              </w:rPr>
            </w:pPr>
            <w:r>
              <w:rPr>
                <w:rFonts w:ascii="Arial" w:cs="Arial" w:eastAsia="Arial" w:hAnsi="Arial"/>
                <w:sz w:val="14"/>
                <w:szCs w:val="14"/>
                <w:b w:val="1"/>
                <w:bCs w:val="1"/>
                <w:color w:val="58595B"/>
              </w:rPr>
              <w:t>Jeffrey A. Graves, Ph.D.</w:t>
            </w:r>
          </w:p>
        </w:tc>
        <w:tc>
          <w:tcPr>
            <w:tcW w:w="1760" w:type="dxa"/>
            <w:vAlign w:val="bottom"/>
          </w:tcPr>
          <w:p>
            <w:pPr>
              <w:jc w:val="center"/>
              <w:spacing w:after="0"/>
              <w:rPr>
                <w:sz w:val="20"/>
                <w:szCs w:val="20"/>
                <w:color w:val="auto"/>
              </w:rPr>
            </w:pPr>
            <w:r>
              <w:rPr>
                <w:rFonts w:ascii="Arial" w:cs="Arial" w:eastAsia="Arial" w:hAnsi="Arial"/>
                <w:sz w:val="14"/>
                <w:szCs w:val="14"/>
                <w:color w:val="58595B"/>
              </w:rPr>
              <w:t>66,250</w:t>
            </w:r>
          </w:p>
        </w:tc>
        <w:tc>
          <w:tcPr>
            <w:tcW w:w="1740" w:type="dxa"/>
            <w:vAlign w:val="bottom"/>
          </w:tcPr>
          <w:p>
            <w:pPr>
              <w:jc w:val="center"/>
              <w:spacing w:after="0"/>
              <w:rPr>
                <w:sz w:val="20"/>
                <w:szCs w:val="20"/>
                <w:color w:val="auto"/>
              </w:rPr>
            </w:pPr>
            <w:r>
              <w:rPr>
                <w:rFonts w:ascii="Arial" w:cs="Arial" w:eastAsia="Arial" w:hAnsi="Arial"/>
                <w:sz w:val="14"/>
                <w:szCs w:val="14"/>
                <w:color w:val="58595B"/>
              </w:rPr>
              <w:t>240,002</w:t>
            </w:r>
          </w:p>
        </w:tc>
        <w:tc>
          <w:tcPr>
            <w:tcW w:w="1920" w:type="dxa"/>
            <w:vAlign w:val="bottom"/>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tcPr>
          <w:p>
            <w:pPr>
              <w:jc w:val="center"/>
              <w:ind w:right="68"/>
              <w:spacing w:after="0"/>
              <w:rPr>
                <w:sz w:val="20"/>
                <w:szCs w:val="20"/>
                <w:color w:val="auto"/>
              </w:rPr>
            </w:pPr>
            <w:r>
              <w:rPr>
                <w:rFonts w:ascii="Arial" w:cs="Arial" w:eastAsia="Arial" w:hAnsi="Arial"/>
                <w:sz w:val="14"/>
                <w:szCs w:val="14"/>
                <w:color w:val="58595B"/>
              </w:rPr>
              <w:t>306,252</w:t>
            </w:r>
          </w:p>
        </w:tc>
        <w:tc>
          <w:tcPr>
            <w:tcW w:w="0" w:type="dxa"/>
            <w:vAlign w:val="bottom"/>
          </w:tcPr>
          <w:p>
            <w:pPr>
              <w:spacing w:after="0"/>
              <w:rPr>
                <w:sz w:val="1"/>
                <w:szCs w:val="1"/>
                <w:color w:val="auto"/>
              </w:rPr>
            </w:pPr>
          </w:p>
        </w:tc>
      </w:tr>
      <w:tr>
        <w:trPr>
          <w:trHeight w:val="237"/>
        </w:trPr>
        <w:tc>
          <w:tcPr>
            <w:tcW w:w="40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Barbara B. Hill</w:t>
            </w:r>
          </w:p>
        </w:tc>
        <w:tc>
          <w:tcPr>
            <w:tcW w:w="17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57,500</w:t>
            </w:r>
          </w:p>
        </w:tc>
        <w:tc>
          <w:tcPr>
            <w:tcW w:w="17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325,005</w:t>
            </w:r>
          </w:p>
        </w:tc>
        <w:tc>
          <w:tcPr>
            <w:tcW w:w="192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shd w:val="clear" w:color="auto" w:fill="EFEDED"/>
          </w:tcPr>
          <w:p>
            <w:pPr>
              <w:jc w:val="center"/>
              <w:ind w:right="68"/>
              <w:spacing w:after="0"/>
              <w:rPr>
                <w:sz w:val="20"/>
                <w:szCs w:val="20"/>
                <w:color w:val="auto"/>
              </w:rPr>
            </w:pPr>
            <w:r>
              <w:rPr>
                <w:rFonts w:ascii="Arial" w:cs="Arial" w:eastAsia="Arial" w:hAnsi="Arial"/>
                <w:sz w:val="14"/>
                <w:szCs w:val="14"/>
                <w:color w:val="58595B"/>
              </w:rPr>
              <w:t>382,505</w:t>
            </w:r>
          </w:p>
        </w:tc>
        <w:tc>
          <w:tcPr>
            <w:tcW w:w="0" w:type="dxa"/>
            <w:vAlign w:val="bottom"/>
          </w:tcPr>
          <w:p>
            <w:pPr>
              <w:spacing w:after="0"/>
              <w:rPr>
                <w:sz w:val="1"/>
                <w:szCs w:val="1"/>
                <w:color w:val="auto"/>
              </w:rPr>
            </w:pPr>
          </w:p>
        </w:tc>
      </w:tr>
      <w:tr>
        <w:trPr>
          <w:trHeight w:val="222"/>
        </w:trPr>
        <w:tc>
          <w:tcPr>
            <w:tcW w:w="4060" w:type="dxa"/>
            <w:vAlign w:val="bottom"/>
          </w:tcPr>
          <w:p>
            <w:pPr>
              <w:ind w:left="100"/>
              <w:spacing w:after="0"/>
              <w:rPr>
                <w:sz w:val="20"/>
                <w:szCs w:val="20"/>
                <w:color w:val="auto"/>
              </w:rPr>
            </w:pPr>
            <w:r>
              <w:rPr>
                <w:rFonts w:ascii="Arial" w:cs="Arial" w:eastAsia="Arial" w:hAnsi="Arial"/>
                <w:sz w:val="14"/>
                <w:szCs w:val="14"/>
                <w:b w:val="1"/>
                <w:bCs w:val="1"/>
                <w:color w:val="58595B"/>
              </w:rPr>
              <w:t>Renee W. Lo</w:t>
            </w:r>
          </w:p>
        </w:tc>
        <w:tc>
          <w:tcPr>
            <w:tcW w:w="1760" w:type="dxa"/>
            <w:vAlign w:val="bottom"/>
          </w:tcPr>
          <w:p>
            <w:pPr>
              <w:jc w:val="center"/>
              <w:spacing w:after="0"/>
              <w:rPr>
                <w:sz w:val="20"/>
                <w:szCs w:val="20"/>
                <w:color w:val="auto"/>
              </w:rPr>
            </w:pPr>
            <w:r>
              <w:rPr>
                <w:rFonts w:ascii="Arial" w:cs="Arial" w:eastAsia="Arial" w:hAnsi="Arial"/>
                <w:sz w:val="14"/>
                <w:szCs w:val="14"/>
                <w:color w:val="58595B"/>
              </w:rPr>
              <w:t>91,562</w:t>
            </w:r>
          </w:p>
        </w:tc>
        <w:tc>
          <w:tcPr>
            <w:tcW w:w="1740" w:type="dxa"/>
            <w:vAlign w:val="bottom"/>
          </w:tcPr>
          <w:p>
            <w:pPr>
              <w:jc w:val="center"/>
              <w:spacing w:after="0"/>
              <w:rPr>
                <w:sz w:val="20"/>
                <w:szCs w:val="20"/>
                <w:color w:val="auto"/>
              </w:rPr>
            </w:pPr>
            <w:r>
              <w:rPr>
                <w:rFonts w:ascii="Arial" w:cs="Arial" w:eastAsia="Arial" w:hAnsi="Arial"/>
                <w:sz w:val="14"/>
                <w:szCs w:val="14"/>
                <w:color w:val="58595B"/>
              </w:rPr>
              <w:t>240,002</w:t>
            </w:r>
          </w:p>
        </w:tc>
        <w:tc>
          <w:tcPr>
            <w:tcW w:w="1920" w:type="dxa"/>
            <w:vAlign w:val="bottom"/>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tcPr>
          <w:p>
            <w:pPr>
              <w:jc w:val="center"/>
              <w:ind w:right="68"/>
              <w:spacing w:after="0"/>
              <w:rPr>
                <w:sz w:val="20"/>
                <w:szCs w:val="20"/>
                <w:color w:val="auto"/>
              </w:rPr>
            </w:pPr>
            <w:r>
              <w:rPr>
                <w:rFonts w:ascii="Arial" w:cs="Arial" w:eastAsia="Arial" w:hAnsi="Arial"/>
                <w:sz w:val="14"/>
                <w:szCs w:val="14"/>
                <w:color w:val="58595B"/>
              </w:rPr>
              <w:t>331,564</w:t>
            </w:r>
          </w:p>
        </w:tc>
        <w:tc>
          <w:tcPr>
            <w:tcW w:w="0" w:type="dxa"/>
            <w:vAlign w:val="bottom"/>
          </w:tcPr>
          <w:p>
            <w:pPr>
              <w:spacing w:after="0"/>
              <w:rPr>
                <w:sz w:val="1"/>
                <w:szCs w:val="1"/>
                <w:color w:val="auto"/>
              </w:rPr>
            </w:pPr>
          </w:p>
        </w:tc>
      </w:tr>
      <w:tr>
        <w:trPr>
          <w:trHeight w:val="237"/>
        </w:trPr>
        <w:tc>
          <w:tcPr>
            <w:tcW w:w="40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Raymond L. Murphy (5)</w:t>
            </w:r>
          </w:p>
        </w:tc>
        <w:tc>
          <w:tcPr>
            <w:tcW w:w="17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40,000</w:t>
            </w:r>
          </w:p>
        </w:tc>
        <w:tc>
          <w:tcPr>
            <w:tcW w:w="1740" w:type="dxa"/>
            <w:vAlign w:val="bottom"/>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192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shd w:val="clear" w:color="auto" w:fill="EFEDED"/>
          </w:tcPr>
          <w:p>
            <w:pPr>
              <w:jc w:val="center"/>
              <w:ind w:right="68"/>
              <w:spacing w:after="0"/>
              <w:rPr>
                <w:sz w:val="20"/>
                <w:szCs w:val="20"/>
                <w:color w:val="auto"/>
              </w:rPr>
            </w:pPr>
            <w:r>
              <w:rPr>
                <w:rFonts w:ascii="Arial" w:cs="Arial" w:eastAsia="Arial" w:hAnsi="Arial"/>
                <w:sz w:val="14"/>
                <w:szCs w:val="14"/>
                <w:color w:val="58595B"/>
              </w:rPr>
              <w:t>40,000</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1760" w:type="dxa"/>
            <w:vAlign w:val="bottom"/>
            <w:tcBorders>
              <w:bottom w:val="single" w:sz="8" w:color="58595B"/>
            </w:tcBorders>
          </w:tcPr>
          <w:p>
            <w:pPr>
              <w:jc w:val="center"/>
              <w:spacing w:after="0"/>
              <w:rPr>
                <w:sz w:val="20"/>
                <w:szCs w:val="20"/>
                <w:color w:val="auto"/>
              </w:rPr>
            </w:pPr>
            <w:r>
              <w:rPr>
                <w:rFonts w:ascii="Arial" w:cs="Arial" w:eastAsia="Arial" w:hAnsi="Arial"/>
                <w:sz w:val="14"/>
                <w:szCs w:val="14"/>
                <w:color w:val="58595B"/>
              </w:rPr>
              <w:t>75,000</w:t>
            </w:r>
          </w:p>
        </w:tc>
        <w:tc>
          <w:tcPr>
            <w:tcW w:w="1740" w:type="dxa"/>
            <w:vAlign w:val="bottom"/>
            <w:tcBorders>
              <w:bottom w:val="single" w:sz="8" w:color="58595B"/>
            </w:tcBorders>
          </w:tcPr>
          <w:p>
            <w:pPr>
              <w:jc w:val="center"/>
              <w:spacing w:after="0"/>
              <w:rPr>
                <w:sz w:val="20"/>
                <w:szCs w:val="20"/>
                <w:color w:val="auto"/>
              </w:rPr>
            </w:pPr>
            <w:r>
              <w:rPr>
                <w:rFonts w:ascii="Arial" w:cs="Arial" w:eastAsia="Arial" w:hAnsi="Arial"/>
                <w:sz w:val="14"/>
                <w:szCs w:val="14"/>
                <w:color w:val="58595B"/>
              </w:rPr>
              <w:t>325,005</w:t>
            </w:r>
          </w:p>
        </w:tc>
        <w:tc>
          <w:tcPr>
            <w:tcW w:w="1920" w:type="dxa"/>
            <w:vAlign w:val="bottom"/>
            <w:tcBorders>
              <w:bottom w:val="single" w:sz="8" w:color="58595B"/>
            </w:tcBorders>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tcBorders>
              <w:bottom w:val="single" w:sz="8" w:color="58595B"/>
            </w:tcBorders>
          </w:tcPr>
          <w:p>
            <w:pPr>
              <w:jc w:val="center"/>
              <w:ind w:right="68"/>
              <w:spacing w:after="0"/>
              <w:rPr>
                <w:sz w:val="20"/>
                <w:szCs w:val="20"/>
                <w:color w:val="auto"/>
              </w:rPr>
            </w:pPr>
            <w:r>
              <w:rPr>
                <w:rFonts w:ascii="Arial" w:cs="Arial" w:eastAsia="Arial" w:hAnsi="Arial"/>
                <w:sz w:val="14"/>
                <w:szCs w:val="14"/>
                <w:color w:val="58595B"/>
              </w:rPr>
              <w:t>400,005</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200" w:hanging="332"/>
        <w:spacing w:after="0" w:line="305" w:lineRule="auto"/>
        <w:tabs>
          <w:tab w:leader="none" w:pos="338"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Fees earned or paid in cash includes the annual retainer awarded to directors. The annual retainer is payable in one of three ways, at the election of each director: (1) in cash, (2) in restricted stock, or (3) one half in cash and one half in restricted stock.</w:t>
      </w:r>
    </w:p>
    <w:p>
      <w:pPr>
        <w:spacing w:after="0" w:line="31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28</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3"/>
          <w:szCs w:val="13"/>
          <w:b w:val="1"/>
          <w:bCs w:val="1"/>
          <w:color w:val="009845"/>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20" w:hanging="332"/>
        <w:spacing w:after="0" w:line="301" w:lineRule="auto"/>
        <w:tabs>
          <w:tab w:leader="none" w:pos="338"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computed in accordance with FASB ASC Topic 718, based on the closing price of the Company’s common stock on the grant date.</w:t>
      </w:r>
    </w:p>
    <w:p>
      <w:pPr>
        <w:spacing w:after="0" w:line="1" w:lineRule="exact"/>
        <w:rPr>
          <w:rFonts w:ascii="Arial" w:cs="Arial" w:eastAsia="Arial" w:hAnsi="Arial"/>
          <w:sz w:val="14"/>
          <w:szCs w:val="14"/>
          <w:color w:val="auto"/>
        </w:rPr>
      </w:pPr>
    </w:p>
    <w:p>
      <w:pPr>
        <w:ind w:left="340" w:right="120" w:hanging="332"/>
        <w:spacing w:after="0" w:line="269" w:lineRule="auto"/>
        <w:tabs>
          <w:tab w:leader="none" w:pos="338" w:val="left"/>
        </w:tabs>
        <w:numPr>
          <w:ilvl w:val="0"/>
          <w:numId w:val="17"/>
        </w:numPr>
        <w:rPr>
          <w:rFonts w:ascii="Arial" w:cs="Arial" w:eastAsia="Arial" w:hAnsi="Arial"/>
          <w:sz w:val="14"/>
          <w:szCs w:val="14"/>
          <w:color w:val="auto"/>
        </w:rPr>
      </w:pPr>
      <w:r>
        <w:rPr>
          <w:rFonts w:ascii="Arial" w:cs="Arial" w:eastAsia="Arial" w:hAnsi="Arial"/>
          <w:sz w:val="14"/>
          <w:szCs w:val="14"/>
          <w:color w:val="auto"/>
        </w:rPr>
        <w:t>Stock awards outstanding as of December 31, 2025 for each incumbent director consisted of restricted shares of common stock, as follows: Keith Bradley — 19,592; Shaundra D. Clay — 19,592; Stuart M. Essig — 31,837; Jeffrey A. Graves — 19,592; Barbara B. Hill — 26,531; Renee W. Lo — 19,592; and Christian S. Schade — 26,531. These stock awards represent each director's annual equity grant for 2025 and any portion of a director's annual retainer which such director elected to have paid in equity. These awards were granted on May 9, 2025, the date of last year's annual meeting and will vest on the one-year anniversary of that date.</w:t>
      </w:r>
    </w:p>
    <w:p>
      <w:pPr>
        <w:spacing w:after="0" w:line="20" w:lineRule="exact"/>
        <w:rPr>
          <w:rFonts w:ascii="Arial" w:cs="Arial" w:eastAsia="Arial" w:hAnsi="Arial"/>
          <w:sz w:val="14"/>
          <w:szCs w:val="14"/>
          <w:color w:val="auto"/>
        </w:rPr>
      </w:pPr>
    </w:p>
    <w:p>
      <w:pPr>
        <w:ind w:left="340" w:right="240" w:hanging="332"/>
        <w:spacing w:after="0" w:line="273" w:lineRule="auto"/>
        <w:tabs>
          <w:tab w:leader="none" w:pos="338"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Effective June 30, 2025, Dr. Essig transitioned from the role of Executive Chairman to the role of Non-Executive Chairman. The amounts appearing in the table above reflect both the compensation Dr. Essig received for his service as our Executive Chairman and the compensation he received following his transition to the role of Non-Executive Chairman. .</w:t>
      </w:r>
    </w:p>
    <w:p>
      <w:pPr>
        <w:spacing w:after="0" w:line="17" w:lineRule="exact"/>
        <w:rPr>
          <w:rFonts w:ascii="Arial" w:cs="Arial" w:eastAsia="Arial" w:hAnsi="Arial"/>
          <w:sz w:val="14"/>
          <w:szCs w:val="14"/>
          <w:color w:val="auto"/>
        </w:rPr>
      </w:pPr>
    </w:p>
    <w:p>
      <w:pPr>
        <w:ind w:left="340" w:right="180" w:hanging="332"/>
        <w:spacing w:after="0" w:line="293" w:lineRule="auto"/>
        <w:tabs>
          <w:tab w:leader="none" w:pos="338"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Murphy was a member of our Board from 2009 through May 2025. Mr. Murphy did not stand for re-election at the 2025 annual meeting of stockholders and ceased to serve as a director following the conclusion of such meeting</w:t>
      </w:r>
      <w:r>
        <w:rPr>
          <w:rFonts w:ascii="Times New Roman" w:cs="Times New Roman" w:eastAsia="Times New Roman" w:hAnsi="Times New Roman"/>
          <w:sz w:val="17"/>
          <w:szCs w:val="17"/>
          <w:color w:val="FF0090"/>
        </w:rPr>
        <w: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36"/>
          <w:szCs w:val="36"/>
          <w:color w:val="009845"/>
        </w:rPr>
        <w:t>INFORMATION ABOUT EXECUTIVE OFFICERS</w:t>
      </w:r>
    </w:p>
    <w:p>
      <w:pPr>
        <w:spacing w:after="0" w:line="200" w:lineRule="exact"/>
        <w:rPr>
          <w:sz w:val="20"/>
          <w:szCs w:val="20"/>
          <w:color w:val="auto"/>
        </w:rPr>
      </w:pPr>
    </w:p>
    <w:p>
      <w:pPr>
        <w:spacing w:after="0" w:line="220" w:lineRule="exact"/>
        <w:rPr>
          <w:sz w:val="20"/>
          <w:szCs w:val="20"/>
          <w:color w:val="auto"/>
        </w:rPr>
      </w:pPr>
    </w:p>
    <w:p>
      <w:pPr>
        <w:ind w:right="180"/>
        <w:spacing w:after="0" w:line="328" w:lineRule="auto"/>
        <w:rPr>
          <w:sz w:val="20"/>
          <w:szCs w:val="20"/>
          <w:color w:val="auto"/>
        </w:rPr>
      </w:pPr>
      <w:r>
        <w:rPr>
          <w:rFonts w:ascii="Arial" w:cs="Arial" w:eastAsia="Arial" w:hAnsi="Arial"/>
          <w:sz w:val="16"/>
          <w:szCs w:val="16"/>
          <w:color w:val="58595B"/>
        </w:rPr>
        <w:t>Executive officers are chosen by and serve at the discretion of the Board. Set forth below is the name, age, position, along with certain biographical information for our executive officers, not including Mojdeh Poul, our President and Chief Executive Officer. For Ms. Poul's biographical information, please see page 14 of this proxy statement.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560" w:type="dxa"/>
            <w:vAlign w:val="bottom"/>
            <w:shd w:val="clear" w:color="auto" w:fill="009845"/>
          </w:tcPr>
          <w:p>
            <w:pPr>
              <w:jc w:val="center"/>
              <w:ind w:left="28"/>
              <w:spacing w:after="0"/>
              <w:rPr>
                <w:sz w:val="20"/>
                <w:szCs w:val="20"/>
                <w:color w:val="auto"/>
              </w:rPr>
            </w:pPr>
            <w:r>
              <w:rPr>
                <w:rFonts w:ascii="Arial" w:cs="Arial" w:eastAsia="Arial" w:hAnsi="Arial"/>
                <w:sz w:val="14"/>
                <w:szCs w:val="14"/>
                <w:b w:val="1"/>
                <w:bCs w:val="1"/>
                <w:color w:val="FFFFFF"/>
                <w:w w:val="98"/>
              </w:rPr>
              <w:t>Age</w:t>
            </w:r>
          </w:p>
        </w:tc>
        <w:tc>
          <w:tcPr>
            <w:tcW w:w="792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Position</w:t>
            </w:r>
          </w:p>
        </w:tc>
      </w:tr>
      <w:tr>
        <w:trPr>
          <w:trHeight w:val="67"/>
        </w:trPr>
        <w:tc>
          <w:tcPr>
            <w:tcW w:w="2760" w:type="dxa"/>
            <w:vAlign w:val="bottom"/>
            <w:shd w:val="clear" w:color="auto" w:fill="009845"/>
          </w:tcPr>
          <w:p>
            <w:pPr>
              <w:spacing w:after="0"/>
              <w:rPr>
                <w:sz w:val="5"/>
                <w:szCs w:val="5"/>
                <w:color w:val="auto"/>
              </w:rPr>
            </w:pPr>
          </w:p>
        </w:tc>
        <w:tc>
          <w:tcPr>
            <w:tcW w:w="560" w:type="dxa"/>
            <w:vAlign w:val="bottom"/>
            <w:shd w:val="clear" w:color="auto" w:fill="009845"/>
          </w:tcPr>
          <w:p>
            <w:pPr>
              <w:spacing w:after="0"/>
              <w:rPr>
                <w:sz w:val="5"/>
                <w:szCs w:val="5"/>
                <w:color w:val="auto"/>
              </w:rPr>
            </w:pPr>
          </w:p>
        </w:tc>
        <w:tc>
          <w:tcPr>
            <w:tcW w:w="7920" w:type="dxa"/>
            <w:vAlign w:val="bottom"/>
            <w:shd w:val="clear" w:color="auto" w:fill="009845"/>
          </w:tcPr>
          <w:p>
            <w:pPr>
              <w:spacing w:after="0"/>
              <w:rPr>
                <w:sz w:val="5"/>
                <w:szCs w:val="5"/>
                <w:color w:val="auto"/>
              </w:rPr>
            </w:pPr>
          </w:p>
        </w:tc>
      </w:tr>
      <w:tr>
        <w:trPr>
          <w:trHeight w:val="230"/>
        </w:trPr>
        <w:tc>
          <w:tcPr>
            <w:tcW w:w="27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560" w:type="dxa"/>
            <w:vAlign w:val="bottom"/>
            <w:shd w:val="clear" w:color="auto" w:fill="EFEDED"/>
          </w:tcPr>
          <w:p>
            <w:pPr>
              <w:jc w:val="center"/>
              <w:ind w:left="8"/>
              <w:spacing w:after="0"/>
              <w:rPr>
                <w:sz w:val="20"/>
                <w:szCs w:val="20"/>
                <w:color w:val="auto"/>
              </w:rPr>
            </w:pPr>
            <w:r>
              <w:rPr>
                <w:rFonts w:ascii="Arial" w:cs="Arial" w:eastAsia="Arial" w:hAnsi="Arial"/>
                <w:sz w:val="14"/>
                <w:szCs w:val="14"/>
                <w:color w:val="58595B"/>
              </w:rPr>
              <w:t>67</w:t>
            </w:r>
          </w:p>
        </w:tc>
        <w:tc>
          <w:tcPr>
            <w:tcW w:w="79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Executive Vice President, President, Tissue Technologies</w:t>
            </w:r>
          </w:p>
        </w:tc>
      </w:tr>
      <w:tr>
        <w:trPr>
          <w:trHeight w:val="222"/>
        </w:trPr>
        <w:tc>
          <w:tcPr>
            <w:tcW w:w="2760" w:type="dxa"/>
            <w:vAlign w:val="bottom"/>
          </w:tcPr>
          <w:p>
            <w:pPr>
              <w:ind w:left="100"/>
              <w:spacing w:after="0"/>
              <w:rPr>
                <w:sz w:val="20"/>
                <w:szCs w:val="20"/>
                <w:color w:val="auto"/>
              </w:rPr>
            </w:pPr>
            <w:r>
              <w:rPr>
                <w:rFonts w:ascii="Arial" w:cs="Arial" w:eastAsia="Arial" w:hAnsi="Arial"/>
                <w:sz w:val="14"/>
                <w:szCs w:val="14"/>
                <w:b w:val="1"/>
                <w:bCs w:val="1"/>
                <w:color w:val="58595B"/>
              </w:rPr>
              <w:t>Michael Hutchinson</w:t>
            </w:r>
          </w:p>
        </w:tc>
        <w:tc>
          <w:tcPr>
            <w:tcW w:w="560" w:type="dxa"/>
            <w:vAlign w:val="bottom"/>
          </w:tcPr>
          <w:p>
            <w:pPr>
              <w:jc w:val="center"/>
              <w:ind w:left="8"/>
              <w:spacing w:after="0"/>
              <w:rPr>
                <w:sz w:val="20"/>
                <w:szCs w:val="20"/>
                <w:color w:val="auto"/>
              </w:rPr>
            </w:pPr>
            <w:r>
              <w:rPr>
                <w:rFonts w:ascii="Arial" w:cs="Arial" w:eastAsia="Arial" w:hAnsi="Arial"/>
                <w:sz w:val="14"/>
                <w:szCs w:val="14"/>
                <w:color w:val="58595B"/>
              </w:rPr>
              <w:t>55</w:t>
            </w:r>
          </w:p>
        </w:tc>
        <w:tc>
          <w:tcPr>
            <w:tcW w:w="7920" w:type="dxa"/>
            <w:vAlign w:val="bottom"/>
          </w:tcPr>
          <w:p>
            <w:pPr>
              <w:ind w:left="100"/>
              <w:spacing w:after="0"/>
              <w:rPr>
                <w:sz w:val="20"/>
                <w:szCs w:val="20"/>
                <w:color w:val="auto"/>
              </w:rPr>
            </w:pPr>
            <w:r>
              <w:rPr>
                <w:rFonts w:ascii="Arial" w:cs="Arial" w:eastAsia="Arial" w:hAnsi="Arial"/>
                <w:sz w:val="14"/>
                <w:szCs w:val="14"/>
                <w:color w:val="58595B"/>
              </w:rPr>
              <w:t>Executive Vice President, Chief Legal Officer and Secretary</w:t>
            </w:r>
          </w:p>
        </w:tc>
      </w:tr>
      <w:tr>
        <w:trPr>
          <w:trHeight w:val="237"/>
        </w:trPr>
        <w:tc>
          <w:tcPr>
            <w:tcW w:w="27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Lea Knight</w:t>
            </w:r>
          </w:p>
        </w:tc>
        <w:tc>
          <w:tcPr>
            <w:tcW w:w="560" w:type="dxa"/>
            <w:vAlign w:val="bottom"/>
            <w:shd w:val="clear" w:color="auto" w:fill="EFEDED"/>
          </w:tcPr>
          <w:p>
            <w:pPr>
              <w:jc w:val="center"/>
              <w:ind w:left="8"/>
              <w:spacing w:after="0"/>
              <w:rPr>
                <w:sz w:val="20"/>
                <w:szCs w:val="20"/>
                <w:color w:val="auto"/>
              </w:rPr>
            </w:pPr>
            <w:r>
              <w:rPr>
                <w:rFonts w:ascii="Arial" w:cs="Arial" w:eastAsia="Arial" w:hAnsi="Arial"/>
                <w:sz w:val="14"/>
                <w:szCs w:val="14"/>
                <w:color w:val="58595B"/>
              </w:rPr>
              <w:t>54</w:t>
            </w:r>
          </w:p>
        </w:tc>
        <w:tc>
          <w:tcPr>
            <w:tcW w:w="79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Executive Vice President and Chief Financial Officer</w:t>
            </w:r>
          </w:p>
        </w:tc>
      </w:tr>
      <w:tr>
        <w:trPr>
          <w:trHeight w:val="222"/>
        </w:trPr>
        <w:tc>
          <w:tcPr>
            <w:tcW w:w="2760" w:type="dxa"/>
            <w:vAlign w:val="bottom"/>
          </w:tcPr>
          <w:p>
            <w:pPr>
              <w:ind w:left="100"/>
              <w:spacing w:after="0"/>
              <w:rPr>
                <w:sz w:val="20"/>
                <w:szCs w:val="20"/>
                <w:color w:val="auto"/>
              </w:rPr>
            </w:pPr>
            <w:r>
              <w:rPr>
                <w:rFonts w:ascii="Arial" w:cs="Arial" w:eastAsia="Arial" w:hAnsi="Arial"/>
                <w:sz w:val="14"/>
                <w:szCs w:val="14"/>
                <w:b w:val="1"/>
                <w:bCs w:val="1"/>
                <w:color w:val="58595B"/>
              </w:rPr>
              <w:t>Michael McBreen</w:t>
            </w:r>
          </w:p>
        </w:tc>
        <w:tc>
          <w:tcPr>
            <w:tcW w:w="560" w:type="dxa"/>
            <w:vAlign w:val="bottom"/>
          </w:tcPr>
          <w:p>
            <w:pPr>
              <w:jc w:val="center"/>
              <w:ind w:left="8"/>
              <w:spacing w:after="0"/>
              <w:rPr>
                <w:sz w:val="20"/>
                <w:szCs w:val="20"/>
                <w:color w:val="auto"/>
              </w:rPr>
            </w:pPr>
            <w:r>
              <w:rPr>
                <w:rFonts w:ascii="Arial" w:cs="Arial" w:eastAsia="Arial" w:hAnsi="Arial"/>
                <w:sz w:val="14"/>
                <w:szCs w:val="14"/>
                <w:color w:val="58595B"/>
              </w:rPr>
              <w:t>60</w:t>
            </w:r>
          </w:p>
        </w:tc>
        <w:tc>
          <w:tcPr>
            <w:tcW w:w="7920" w:type="dxa"/>
            <w:vAlign w:val="bottom"/>
          </w:tcPr>
          <w:p>
            <w:pPr>
              <w:ind w:left="100"/>
              <w:spacing w:after="0"/>
              <w:rPr>
                <w:sz w:val="20"/>
                <w:szCs w:val="20"/>
                <w:color w:val="auto"/>
              </w:rPr>
            </w:pPr>
            <w:r>
              <w:rPr>
                <w:rFonts w:ascii="Arial" w:cs="Arial" w:eastAsia="Arial" w:hAnsi="Arial"/>
                <w:sz w:val="14"/>
                <w:szCs w:val="14"/>
                <w:color w:val="58595B"/>
              </w:rPr>
              <w:t>Executive Vice President, President, Codman Specialty Surgical</w:t>
            </w:r>
          </w:p>
        </w:tc>
      </w:tr>
      <w:tr>
        <w:trPr>
          <w:trHeight w:val="237"/>
        </w:trPr>
        <w:tc>
          <w:tcPr>
            <w:tcW w:w="27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Jeffrey Mosebrook</w:t>
            </w:r>
          </w:p>
        </w:tc>
        <w:tc>
          <w:tcPr>
            <w:tcW w:w="560" w:type="dxa"/>
            <w:vAlign w:val="bottom"/>
            <w:shd w:val="clear" w:color="auto" w:fill="EFEDED"/>
          </w:tcPr>
          <w:p>
            <w:pPr>
              <w:jc w:val="center"/>
              <w:ind w:left="8"/>
              <w:spacing w:after="0"/>
              <w:rPr>
                <w:sz w:val="20"/>
                <w:szCs w:val="20"/>
                <w:color w:val="auto"/>
              </w:rPr>
            </w:pPr>
            <w:r>
              <w:rPr>
                <w:rFonts w:ascii="Arial" w:cs="Arial" w:eastAsia="Arial" w:hAnsi="Arial"/>
                <w:sz w:val="14"/>
                <w:szCs w:val="14"/>
                <w:color w:val="58595B"/>
              </w:rPr>
              <w:t>49</w:t>
            </w:r>
          </w:p>
        </w:tc>
        <w:tc>
          <w:tcPr>
            <w:tcW w:w="79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Senior Vice President, Finance and Principal Accounting Officer</w:t>
            </w:r>
          </w:p>
        </w:tc>
      </w:tr>
      <w:tr>
        <w:trPr>
          <w:trHeight w:val="222"/>
        </w:trPr>
        <w:tc>
          <w:tcPr>
            <w:tcW w:w="2760" w:type="dxa"/>
            <w:vAlign w:val="bottom"/>
          </w:tcPr>
          <w:p>
            <w:pPr>
              <w:ind w:left="100"/>
              <w:spacing w:after="0"/>
              <w:rPr>
                <w:sz w:val="20"/>
                <w:szCs w:val="20"/>
                <w:color w:val="auto"/>
              </w:rPr>
            </w:pPr>
            <w:r>
              <w:rPr>
                <w:rFonts w:ascii="Arial" w:cs="Arial" w:eastAsia="Arial" w:hAnsi="Arial"/>
                <w:sz w:val="14"/>
                <w:szCs w:val="14"/>
                <w:b w:val="1"/>
                <w:bCs w:val="1"/>
                <w:color w:val="58595B"/>
              </w:rPr>
              <w:t>Mojdeh Poul</w:t>
            </w:r>
          </w:p>
        </w:tc>
        <w:tc>
          <w:tcPr>
            <w:tcW w:w="560" w:type="dxa"/>
            <w:vAlign w:val="bottom"/>
          </w:tcPr>
          <w:p>
            <w:pPr>
              <w:jc w:val="center"/>
              <w:ind w:left="8"/>
              <w:spacing w:after="0"/>
              <w:rPr>
                <w:sz w:val="20"/>
                <w:szCs w:val="20"/>
                <w:color w:val="auto"/>
              </w:rPr>
            </w:pPr>
            <w:r>
              <w:rPr>
                <w:rFonts w:ascii="Arial" w:cs="Arial" w:eastAsia="Arial" w:hAnsi="Arial"/>
                <w:sz w:val="14"/>
                <w:szCs w:val="14"/>
                <w:color w:val="58595B"/>
              </w:rPr>
              <w:t>63</w:t>
            </w:r>
          </w:p>
        </w:tc>
        <w:tc>
          <w:tcPr>
            <w:tcW w:w="7920" w:type="dxa"/>
            <w:vAlign w:val="bottom"/>
          </w:tcPr>
          <w:p>
            <w:pPr>
              <w:ind w:left="100"/>
              <w:spacing w:after="0"/>
              <w:rPr>
                <w:sz w:val="20"/>
                <w:szCs w:val="20"/>
                <w:color w:val="auto"/>
              </w:rPr>
            </w:pPr>
            <w:r>
              <w:rPr>
                <w:rFonts w:ascii="Arial" w:cs="Arial" w:eastAsia="Arial" w:hAnsi="Arial"/>
                <w:sz w:val="14"/>
                <w:szCs w:val="14"/>
                <w:color w:val="58595B"/>
              </w:rPr>
              <w:t>President and Chief Executive Officer and Director</w:t>
            </w:r>
          </w:p>
        </w:tc>
      </w:tr>
      <w:tr>
        <w:trPr>
          <w:trHeight w:val="237"/>
        </w:trPr>
        <w:tc>
          <w:tcPr>
            <w:tcW w:w="27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Harvinder Singh</w:t>
            </w:r>
          </w:p>
        </w:tc>
        <w:tc>
          <w:tcPr>
            <w:tcW w:w="560" w:type="dxa"/>
            <w:vAlign w:val="bottom"/>
            <w:shd w:val="clear" w:color="auto" w:fill="EFEDED"/>
          </w:tcPr>
          <w:p>
            <w:pPr>
              <w:jc w:val="center"/>
              <w:ind w:left="8"/>
              <w:spacing w:after="0"/>
              <w:rPr>
                <w:sz w:val="20"/>
                <w:szCs w:val="20"/>
                <w:color w:val="auto"/>
              </w:rPr>
            </w:pPr>
            <w:r>
              <w:rPr>
                <w:rFonts w:ascii="Arial" w:cs="Arial" w:eastAsia="Arial" w:hAnsi="Arial"/>
                <w:sz w:val="14"/>
                <w:szCs w:val="14"/>
                <w:color w:val="58595B"/>
              </w:rPr>
              <w:t>58</w:t>
            </w:r>
          </w:p>
        </w:tc>
        <w:tc>
          <w:tcPr>
            <w:tcW w:w="79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Executive Vice President &amp; President, International</w:t>
            </w:r>
          </w:p>
        </w:tc>
      </w:tr>
      <w:tr>
        <w:trPr>
          <w:trHeight w:val="223"/>
        </w:trPr>
        <w:tc>
          <w:tcPr>
            <w:tcW w:w="276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Chantal Veillon</w:t>
            </w:r>
          </w:p>
        </w:tc>
        <w:tc>
          <w:tcPr>
            <w:tcW w:w="560" w:type="dxa"/>
            <w:vAlign w:val="bottom"/>
            <w:tcBorders>
              <w:bottom w:val="single" w:sz="8" w:color="58595B"/>
            </w:tcBorders>
          </w:tcPr>
          <w:p>
            <w:pPr>
              <w:jc w:val="center"/>
              <w:ind w:left="8"/>
              <w:spacing w:after="0"/>
              <w:rPr>
                <w:sz w:val="20"/>
                <w:szCs w:val="20"/>
                <w:color w:val="auto"/>
              </w:rPr>
            </w:pPr>
            <w:r>
              <w:rPr>
                <w:rFonts w:ascii="Arial" w:cs="Arial" w:eastAsia="Arial" w:hAnsi="Arial"/>
                <w:sz w:val="14"/>
                <w:szCs w:val="14"/>
                <w:color w:val="58595B"/>
              </w:rPr>
              <w:t>55</w:t>
            </w:r>
          </w:p>
        </w:tc>
        <w:tc>
          <w:tcPr>
            <w:tcW w:w="7920" w:type="dxa"/>
            <w:vAlign w:val="bottom"/>
            <w:tcBorders>
              <w:bottom w:val="single" w:sz="8" w:color="58595B"/>
            </w:tcBorders>
          </w:tcPr>
          <w:p>
            <w:pPr>
              <w:ind w:left="100"/>
              <w:spacing w:after="0"/>
              <w:rPr>
                <w:sz w:val="20"/>
                <w:szCs w:val="20"/>
                <w:color w:val="auto"/>
              </w:rPr>
            </w:pPr>
            <w:r>
              <w:rPr>
                <w:rFonts w:ascii="Arial" w:cs="Arial" w:eastAsia="Arial" w:hAnsi="Arial"/>
                <w:sz w:val="14"/>
                <w:szCs w:val="14"/>
                <w:color w:val="58595B"/>
              </w:rPr>
              <w:t>Executive Vice President and Chief Human Resources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317500</wp:posOffset>
            </wp:positionV>
            <wp:extent cx="1088390" cy="10883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520" w:right="120"/>
        <w:spacing w:after="0" w:line="310" w:lineRule="auto"/>
        <w:rPr>
          <w:sz w:val="20"/>
          <w:szCs w:val="20"/>
          <w:color w:val="auto"/>
        </w:rPr>
      </w:pPr>
      <w:r>
        <w:rPr>
          <w:rFonts w:ascii="Arial" w:cs="Arial" w:eastAsia="Arial" w:hAnsi="Arial"/>
          <w:sz w:val="16"/>
          <w:szCs w:val="16"/>
          <w:b w:val="1"/>
          <w:bCs w:val="1"/>
          <w:color w:val="009845"/>
        </w:rPr>
        <w:t xml:space="preserve">Robert T. Davis, Jr. </w:t>
      </w:r>
      <w:r>
        <w:rPr>
          <w:rFonts w:ascii="Arial" w:cs="Arial" w:eastAsia="Arial" w:hAnsi="Arial"/>
          <w:sz w:val="16"/>
          <w:szCs w:val="16"/>
          <w:color w:val="58595B"/>
        </w:rPr>
        <w:t>is Integra’s Executive Vice President, President, Tissue Technologies. Mr. Davis leads global</w:t>
      </w:r>
      <w:r>
        <w:rPr>
          <w:rFonts w:ascii="Arial" w:cs="Arial" w:eastAsia="Arial" w:hAnsi="Arial"/>
          <w:sz w:val="16"/>
          <w:szCs w:val="16"/>
          <w:b w:val="1"/>
          <w:bCs w:val="1"/>
          <w:color w:val="009845"/>
        </w:rPr>
        <w:t xml:space="preserve"> </w:t>
      </w:r>
      <w:r>
        <w:rPr>
          <w:rFonts w:ascii="Arial" w:cs="Arial" w:eastAsia="Arial" w:hAnsi="Arial"/>
          <w:sz w:val="16"/>
          <w:szCs w:val="16"/>
          <w:color w:val="58595B"/>
        </w:rPr>
        <w:t>business unit operations across sales, commercial functions, marketing and strategy, product management and development, regulatory affairs, quality assurance, manufacturing services and repair and business development. Mr. Davis joined Integra in July 2012 as President of the global neurosurgery business and was appointed Integra’s Corporate Vice President in December 2012 and President — Specialty Surgical Solutions in 2014. He brings more than 25 years of executive management experience in the global healthcare industry. Prior to joining Integra, Mr. Davis was the general manager for the global anesthesia &amp; critical care business at Baxter Healthcare and held various general management positions at GE Healthcare in the areas of interventional therapeutics, cardiovascular imaging and diagnostic ultrasound.</w:t>
      </w:r>
    </w:p>
    <w:p>
      <w:pPr>
        <w:spacing w:after="0" w:line="129" w:lineRule="exact"/>
        <w:rPr>
          <w:sz w:val="20"/>
          <w:szCs w:val="20"/>
          <w:color w:val="auto"/>
        </w:rPr>
      </w:pPr>
    </w:p>
    <w:p>
      <w:pPr>
        <w:ind w:left="2520" w:right="840"/>
        <w:spacing w:after="0" w:line="356" w:lineRule="auto"/>
        <w:rPr>
          <w:sz w:val="20"/>
          <w:szCs w:val="20"/>
          <w:color w:val="auto"/>
        </w:rPr>
      </w:pPr>
      <w:r>
        <w:rPr>
          <w:rFonts w:ascii="Arial" w:cs="Arial" w:eastAsia="Arial" w:hAnsi="Arial"/>
          <w:sz w:val="16"/>
          <w:szCs w:val="16"/>
          <w:color w:val="58595B"/>
        </w:rPr>
        <w:t>Mr. Davis earned his B.S. in Sports Medicine from the University of Delaware, a Master’s degree in Exercise &amp; Cardiovascular Physiology from Temple University, and an M.B.A. from Drexel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30</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3"/>
          <w:szCs w:val="13"/>
          <w:b w:val="1"/>
          <w:bCs w:val="1"/>
          <w:color w:val="009845"/>
        </w:rPr>
        <w:t>Information About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653415</wp:posOffset>
            </wp:positionV>
            <wp:extent cx="1088390" cy="10883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520" w:right="40"/>
        <w:spacing w:after="0" w:line="310" w:lineRule="auto"/>
        <w:rPr>
          <w:sz w:val="20"/>
          <w:szCs w:val="20"/>
          <w:color w:val="auto"/>
        </w:rPr>
      </w:pPr>
      <w:r>
        <w:rPr>
          <w:rFonts w:ascii="Arial" w:cs="Arial" w:eastAsia="Arial" w:hAnsi="Arial"/>
          <w:sz w:val="16"/>
          <w:szCs w:val="16"/>
          <w:b w:val="1"/>
          <w:bCs w:val="1"/>
          <w:color w:val="009845"/>
        </w:rPr>
        <w:t xml:space="preserve">Michael Hutchinson </w:t>
      </w:r>
      <w:r>
        <w:rPr>
          <w:rFonts w:ascii="Arial" w:cs="Arial" w:eastAsia="Arial" w:hAnsi="Arial"/>
          <w:sz w:val="16"/>
          <w:szCs w:val="16"/>
          <w:color w:val="58595B"/>
        </w:rPr>
        <w:t>is Integra’s Executive Vice President, Chief Legal Officer and Secretary. Mr. Hutchinson joined</w:t>
      </w:r>
      <w:r>
        <w:rPr>
          <w:rFonts w:ascii="Arial" w:cs="Arial" w:eastAsia="Arial" w:hAnsi="Arial"/>
          <w:sz w:val="16"/>
          <w:szCs w:val="16"/>
          <w:b w:val="1"/>
          <w:bCs w:val="1"/>
          <w:color w:val="009845"/>
        </w:rPr>
        <w:t xml:space="preserve"> </w:t>
      </w:r>
      <w:r>
        <w:rPr>
          <w:rFonts w:ascii="Arial" w:cs="Arial" w:eastAsia="Arial" w:hAnsi="Arial"/>
          <w:sz w:val="16"/>
          <w:szCs w:val="16"/>
          <w:color w:val="58595B"/>
        </w:rPr>
        <w:t>Integra in January 2026. Before joining Integra, Mr. Hutchinson served as Senior Vice President, Chief Legal Officer and Company Secretary at LivaNova PLC from November 2022 to January 2026. Prior to his role at LivaNova, from March 2022 to November 2022, Mr. Hutchinson served as Senior Vice President, Chief Legal Officer and Corporate Secretary at ByHeart, Inc., a clinical research-based infant nutrition company. Mr. Hutchinson served as Senior Vice President, General Counsel at Varian Medical Systems, a Siemens Healthineers Company, from April 2021 to March 2022 and from June 2020 to April 2021, Senior Vice President, Chief Legal Officer and Corporate Secretary, at Varian Medical Systems, a publicly traded medical technology company that was acquired by Siemens Healthineers in April 2021. Prior to joining Varian Medical Systems, Inc., Mr. Hutchinson spent 12 years with Stryker Corporation, a multinational medical technologies company, where he served as Vice President and Advisor to the Chairman and CEO from March 2019 to May 2020 and Vice President, Chief Legal Officer, Corporate Secretary and General Counsel, from September 2013 to March 2019 and other roles of increasing responsibility, including Deputy General Counsel and Chief Legal Counsel at Orthopaedics Group between 2008 and 2013.</w:t>
      </w:r>
    </w:p>
    <w:p>
      <w:pPr>
        <w:spacing w:after="0" w:line="124" w:lineRule="exact"/>
        <w:rPr>
          <w:sz w:val="20"/>
          <w:szCs w:val="20"/>
          <w:color w:val="auto"/>
        </w:rPr>
      </w:pPr>
    </w:p>
    <w:p>
      <w:pPr>
        <w:ind w:left="2520" w:right="240"/>
        <w:spacing w:after="0" w:line="339" w:lineRule="auto"/>
        <w:rPr>
          <w:sz w:val="20"/>
          <w:szCs w:val="20"/>
          <w:color w:val="auto"/>
        </w:rPr>
      </w:pPr>
      <w:r>
        <w:rPr>
          <w:rFonts w:ascii="Arial" w:cs="Arial" w:eastAsia="Arial" w:hAnsi="Arial"/>
          <w:sz w:val="16"/>
          <w:szCs w:val="16"/>
          <w:color w:val="58595B"/>
        </w:rPr>
        <w:t>Mr. Hutchinson holds a J.D. degree from The George Washington University Law School and a B.A. degree from Clark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518795</wp:posOffset>
            </wp:positionV>
            <wp:extent cx="1088390" cy="10883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520" w:right="80"/>
        <w:spacing w:after="0" w:line="310" w:lineRule="auto"/>
        <w:rPr>
          <w:sz w:val="20"/>
          <w:szCs w:val="20"/>
          <w:color w:val="auto"/>
        </w:rPr>
      </w:pPr>
      <w:r>
        <w:rPr>
          <w:rFonts w:ascii="Arial" w:cs="Arial" w:eastAsia="Arial" w:hAnsi="Arial"/>
          <w:sz w:val="16"/>
          <w:szCs w:val="16"/>
          <w:b w:val="1"/>
          <w:bCs w:val="1"/>
          <w:color w:val="009845"/>
        </w:rPr>
        <w:t xml:space="preserve">Lea Knight </w:t>
      </w:r>
      <w:r>
        <w:rPr>
          <w:rFonts w:ascii="Arial" w:cs="Arial" w:eastAsia="Arial" w:hAnsi="Arial"/>
          <w:sz w:val="16"/>
          <w:szCs w:val="16"/>
          <w:color w:val="58595B"/>
        </w:rPr>
        <w:t>is Integra’s Executive Vice President and Chief Financial Officer. Ms. Knight joined Integra in June 2023 and</w:t>
      </w:r>
      <w:r>
        <w:rPr>
          <w:rFonts w:ascii="Arial" w:cs="Arial" w:eastAsia="Arial" w:hAnsi="Arial"/>
          <w:sz w:val="16"/>
          <w:szCs w:val="16"/>
          <w:b w:val="1"/>
          <w:bCs w:val="1"/>
          <w:color w:val="009845"/>
        </w:rPr>
        <w:t xml:space="preserve"> </w:t>
      </w:r>
      <w:r>
        <w:rPr>
          <w:rFonts w:ascii="Arial" w:cs="Arial" w:eastAsia="Arial" w:hAnsi="Arial"/>
          <w:sz w:val="16"/>
          <w:szCs w:val="16"/>
          <w:color w:val="58595B"/>
        </w:rPr>
        <w:t>is responsible for overseeing accounting and financial reporting, budgeting, internal audit, tax, treasury, investor relations and information systems. Prior to joining Integra, Ms. Knight served as the executive vice president of business finance for Booz Allen Hamilton from September 2022 until June 2023, where she was responsible for providing strategic and financial leadership to their business sectors. Prior to her role at Booz Allen Hamilton, Ms. Knight worked for Johnson &amp; Johnson for over 18 years, where she held various financial roles of increasing responsibility, including the chief financial officer of Johnson and Johnson’s North America pharmaceuticals business from September 2021 through July 2022. Ms. Knight started her career in public accounting at Arthur Andersen LLP where she managed audit engagements and helped to stand-up the firm’s Healthcare Consulting and Mergers &amp; Acquisitions practices for the Philadelphia office.</w:t>
      </w:r>
    </w:p>
    <w:p>
      <w:pPr>
        <w:spacing w:after="0" w:line="129" w:lineRule="exact"/>
        <w:rPr>
          <w:sz w:val="20"/>
          <w:szCs w:val="20"/>
          <w:color w:val="auto"/>
        </w:rPr>
      </w:pPr>
    </w:p>
    <w:p>
      <w:pPr>
        <w:ind w:left="2520" w:right="160"/>
        <w:spacing w:after="0" w:line="328" w:lineRule="auto"/>
        <w:rPr>
          <w:sz w:val="20"/>
          <w:szCs w:val="20"/>
          <w:color w:val="auto"/>
        </w:rPr>
      </w:pPr>
      <w:r>
        <w:rPr>
          <w:rFonts w:ascii="Arial" w:cs="Arial" w:eastAsia="Arial" w:hAnsi="Arial"/>
          <w:sz w:val="16"/>
          <w:szCs w:val="16"/>
          <w:color w:val="58595B"/>
        </w:rPr>
        <w:t>Ms. Knight is a board trustee of Thomas Jefferson University and Health System. She is also a member of the Philadelphia Forum of Executive Women and a former member and chair of the board of directors for the Public Interest Law Center.</w:t>
      </w:r>
    </w:p>
    <w:p>
      <w:pPr>
        <w:spacing w:after="0" w:line="110" w:lineRule="exact"/>
        <w:rPr>
          <w:sz w:val="20"/>
          <w:szCs w:val="20"/>
          <w:color w:val="auto"/>
        </w:rPr>
      </w:pPr>
    </w:p>
    <w:p>
      <w:pPr>
        <w:ind w:left="2520" w:right="140"/>
        <w:spacing w:after="0" w:line="328" w:lineRule="auto"/>
        <w:rPr>
          <w:sz w:val="20"/>
          <w:szCs w:val="20"/>
          <w:color w:val="auto"/>
        </w:rPr>
      </w:pPr>
      <w:r>
        <w:rPr>
          <w:rFonts w:ascii="Arial" w:cs="Arial" w:eastAsia="Arial" w:hAnsi="Arial"/>
          <w:sz w:val="16"/>
          <w:szCs w:val="16"/>
          <w:color w:val="58595B"/>
        </w:rPr>
        <w:t>Ms. Knight earned an undergraduate degree in accounting from the University of Virginia and holds an M.B.A. in finance and strategic management from the Wharton School, University of Pennsylvania. She is a certified public accountant licensed in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31</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009845"/>
        </w:rPr>
        <w:t>Information About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653415</wp:posOffset>
            </wp:positionV>
            <wp:extent cx="1088390" cy="10883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520" w:right="20"/>
        <w:spacing w:after="0" w:line="311" w:lineRule="auto"/>
        <w:rPr>
          <w:sz w:val="20"/>
          <w:szCs w:val="20"/>
          <w:color w:val="auto"/>
        </w:rPr>
      </w:pPr>
      <w:r>
        <w:rPr>
          <w:rFonts w:ascii="Arial" w:cs="Arial" w:eastAsia="Arial" w:hAnsi="Arial"/>
          <w:sz w:val="16"/>
          <w:szCs w:val="16"/>
          <w:b w:val="1"/>
          <w:bCs w:val="1"/>
          <w:color w:val="009845"/>
        </w:rPr>
        <w:t xml:space="preserve">Michael McBreen </w:t>
      </w:r>
      <w:r>
        <w:rPr>
          <w:rFonts w:ascii="Arial" w:cs="Arial" w:eastAsia="Arial" w:hAnsi="Arial"/>
          <w:sz w:val="16"/>
          <w:szCs w:val="16"/>
          <w:color w:val="58595B"/>
        </w:rPr>
        <w:t>is Integra’s Executive Vice President, President, Codman Specialty Surgical. His responsibilities within</w:t>
      </w:r>
      <w:r>
        <w:rPr>
          <w:rFonts w:ascii="Arial" w:cs="Arial" w:eastAsia="Arial" w:hAnsi="Arial"/>
          <w:sz w:val="16"/>
          <w:szCs w:val="16"/>
          <w:b w:val="1"/>
          <w:bCs w:val="1"/>
          <w:color w:val="009845"/>
        </w:rPr>
        <w:t xml:space="preserve"> </w:t>
      </w:r>
      <w:r>
        <w:rPr>
          <w:rFonts w:ascii="Arial" w:cs="Arial" w:eastAsia="Arial" w:hAnsi="Arial"/>
          <w:sz w:val="16"/>
          <w:szCs w:val="16"/>
          <w:color w:val="58595B"/>
        </w:rPr>
        <w:t>Codman Specialty Surgical include leadership of sales, marketing, product development, regulatory affairs, quality assurance, global services and repair and manufacturing worldwide. He joined Integra following the acquisition of Codman Neurosurgery from Johnson &amp; Johnson in October 2017 as President of Integra’s international business and led the expansion of Integra’s business in all regions of the world outside of the United States. In May 2020, he was promoted to Executive Vice President and President, Codman Specialty Surgical. Mr. McBreen also held numerous U.S. and global roles of increasing responsibilities in sales and marketing at DePuy Mitek Sports Medicine, a division of Johnson &amp; Johnson, since joining the company in 1996. Prior to Johnson &amp; Johnson, he held various sales and marketing roles at Zimmer Biomet. Mr. McBreen has over 30 years of experience in the medical technology field, including holding various executive level positions in sales, marketing and general management.</w:t>
      </w:r>
    </w:p>
    <w:p>
      <w:pPr>
        <w:spacing w:after="0" w:line="127" w:lineRule="exact"/>
        <w:rPr>
          <w:sz w:val="20"/>
          <w:szCs w:val="20"/>
          <w:color w:val="auto"/>
        </w:rPr>
      </w:pPr>
    </w:p>
    <w:p>
      <w:pPr>
        <w:ind w:left="2520"/>
        <w:spacing w:after="0"/>
        <w:rPr>
          <w:sz w:val="20"/>
          <w:szCs w:val="20"/>
          <w:color w:val="auto"/>
        </w:rPr>
      </w:pPr>
      <w:r>
        <w:rPr>
          <w:rFonts w:ascii="Arial" w:cs="Arial" w:eastAsia="Arial" w:hAnsi="Arial"/>
          <w:sz w:val="16"/>
          <w:szCs w:val="16"/>
          <w:color w:val="58595B"/>
        </w:rPr>
        <w:t>Mr. McBreen completed his bachelor’s degree in business administration at Providence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577850</wp:posOffset>
            </wp:positionV>
            <wp:extent cx="1088390" cy="10883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520" w:right="20"/>
        <w:spacing w:after="0" w:line="310" w:lineRule="auto"/>
        <w:rPr>
          <w:sz w:val="20"/>
          <w:szCs w:val="20"/>
          <w:color w:val="auto"/>
        </w:rPr>
      </w:pPr>
      <w:r>
        <w:rPr>
          <w:rFonts w:ascii="Arial" w:cs="Arial" w:eastAsia="Arial" w:hAnsi="Arial"/>
          <w:sz w:val="16"/>
          <w:szCs w:val="16"/>
          <w:b w:val="1"/>
          <w:bCs w:val="1"/>
          <w:color w:val="009845"/>
        </w:rPr>
        <w:t xml:space="preserve">Jeffrey Mosebrook </w:t>
      </w:r>
      <w:r>
        <w:rPr>
          <w:rFonts w:ascii="Arial" w:cs="Arial" w:eastAsia="Arial" w:hAnsi="Arial"/>
          <w:sz w:val="16"/>
          <w:szCs w:val="16"/>
          <w:color w:val="58595B"/>
        </w:rPr>
        <w:t>is Integra’s Senior Vice President, Finance. Mr. Mosebrook also serves as Integra's Principal</w:t>
      </w:r>
      <w:r>
        <w:rPr>
          <w:rFonts w:ascii="Arial" w:cs="Arial" w:eastAsia="Arial" w:hAnsi="Arial"/>
          <w:sz w:val="16"/>
          <w:szCs w:val="16"/>
          <w:b w:val="1"/>
          <w:bCs w:val="1"/>
          <w:color w:val="009845"/>
        </w:rPr>
        <w:t xml:space="preserve"> </w:t>
      </w:r>
      <w:r>
        <w:rPr>
          <w:rFonts w:ascii="Arial" w:cs="Arial" w:eastAsia="Arial" w:hAnsi="Arial"/>
          <w:sz w:val="16"/>
          <w:szCs w:val="16"/>
          <w:color w:val="58595B"/>
        </w:rPr>
        <w:t>Accounting Officer. He was appointed Principal Accounting Officer in October 2017. From February 2023 to June 2023, Mr. Mosebrook also served as our Principal Financial Officer. Mr. Mosebrook joined Integra in 2006 through Integra’s acquisition of Miltex, Inc. where he served as a financial reporting manager. Since joining Integra, he has served in a number of managerial positions with increasing responsibilities. In May 2010, he was named instruments Group Controller and went on to be named Group Controller, US in March 2012. In September 2014, Mr. Mosebrook was named as Vice President, Corporate Controller. Prior to Miltex, Inc., Mr. Mosebrook spent four years at Beard Miller Company, LLP (now known as Baker Tilly US, LLP) in various accounting roles.</w:t>
      </w:r>
    </w:p>
    <w:p>
      <w:pPr>
        <w:spacing w:after="0" w:line="137" w:lineRule="exact"/>
        <w:rPr>
          <w:sz w:val="20"/>
          <w:szCs w:val="20"/>
          <w:color w:val="auto"/>
        </w:rPr>
      </w:pPr>
    </w:p>
    <w:p>
      <w:pPr>
        <w:ind w:left="2520" w:right="820"/>
        <w:spacing w:after="0" w:line="339" w:lineRule="auto"/>
        <w:rPr>
          <w:sz w:val="20"/>
          <w:szCs w:val="20"/>
          <w:color w:val="auto"/>
        </w:rPr>
      </w:pPr>
      <w:r>
        <w:rPr>
          <w:rFonts w:ascii="Arial" w:cs="Arial" w:eastAsia="Arial" w:hAnsi="Arial"/>
          <w:sz w:val="16"/>
          <w:szCs w:val="16"/>
          <w:color w:val="58595B"/>
        </w:rPr>
        <w:t>Mr. Mosebrook received a B.S. in accounting from York College and is a certified public accountant licensed in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32</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jc w:val="right"/>
        <w:spacing w:after="0"/>
        <w:rPr>
          <w:sz w:val="20"/>
          <w:szCs w:val="20"/>
          <w:color w:val="auto"/>
        </w:rPr>
      </w:pPr>
      <w:r>
        <w:rPr>
          <w:rFonts w:ascii="Arial" w:cs="Arial" w:eastAsia="Arial" w:hAnsi="Arial"/>
          <w:sz w:val="13"/>
          <w:szCs w:val="13"/>
          <w:b w:val="1"/>
          <w:bCs w:val="1"/>
          <w:color w:val="009845"/>
        </w:rPr>
        <w:t>Information About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654050</wp:posOffset>
            </wp:positionV>
            <wp:extent cx="1088390" cy="10883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520" w:right="60"/>
        <w:spacing w:after="0" w:line="312" w:lineRule="auto"/>
        <w:rPr>
          <w:sz w:val="20"/>
          <w:szCs w:val="20"/>
          <w:color w:val="auto"/>
        </w:rPr>
      </w:pPr>
      <w:r>
        <w:rPr>
          <w:rFonts w:ascii="Arial" w:cs="Arial" w:eastAsia="Arial" w:hAnsi="Arial"/>
          <w:sz w:val="16"/>
          <w:szCs w:val="16"/>
          <w:b w:val="1"/>
          <w:bCs w:val="1"/>
          <w:color w:val="009845"/>
        </w:rPr>
        <w:t xml:space="preserve">Harvinder Singh </w:t>
      </w:r>
      <w:r>
        <w:rPr>
          <w:rFonts w:ascii="Arial" w:cs="Arial" w:eastAsia="Arial" w:hAnsi="Arial"/>
          <w:sz w:val="16"/>
          <w:szCs w:val="16"/>
          <w:color w:val="58595B"/>
        </w:rPr>
        <w:t>is Integra's Executive Vice President and President, International Business. Mr. Singh joined Integra in</w:t>
      </w:r>
      <w:r>
        <w:rPr>
          <w:rFonts w:ascii="Arial" w:cs="Arial" w:eastAsia="Arial" w:hAnsi="Arial"/>
          <w:sz w:val="16"/>
          <w:szCs w:val="16"/>
          <w:b w:val="1"/>
          <w:bCs w:val="1"/>
          <w:color w:val="009845"/>
        </w:rPr>
        <w:t xml:space="preserve"> </w:t>
      </w:r>
      <w:r>
        <w:rPr>
          <w:rFonts w:ascii="Arial" w:cs="Arial" w:eastAsia="Arial" w:hAnsi="Arial"/>
          <w:sz w:val="16"/>
          <w:szCs w:val="16"/>
          <w:color w:val="58595B"/>
        </w:rPr>
        <w:t>October 2022. Prior to joining Integra, Mr. Singh was at Abbott Laboratories for more than 20 years. Over this period, Mr. Singh served in increasing positions of responsibility, most recently as corporate officer and vice president of global commercial operations for the vascular business. Before joining Abbott, he worked for Guidant Corporation and Eli Lilly in sales, marketing, strategy and general management roles. He lived and worked in India, Hong Kong, Shanghai, Tokyo, Singapore, and the United States. Mr. Singh served as a member on the board of APACMed, the industry association of medical device companies in Japan and the Asia Pacific region. He was also a board member of the American Medical Devices and Diagnostics Manufacturers’ Association in Japan.</w:t>
      </w:r>
    </w:p>
    <w:p>
      <w:pPr>
        <w:spacing w:after="0" w:line="125" w:lineRule="exact"/>
        <w:rPr>
          <w:sz w:val="20"/>
          <w:szCs w:val="20"/>
          <w:color w:val="auto"/>
        </w:rPr>
      </w:pPr>
    </w:p>
    <w:p>
      <w:pPr>
        <w:ind w:left="2520"/>
        <w:spacing w:after="0"/>
        <w:rPr>
          <w:sz w:val="20"/>
          <w:szCs w:val="20"/>
          <w:color w:val="auto"/>
        </w:rPr>
      </w:pPr>
      <w:r>
        <w:rPr>
          <w:rFonts w:ascii="Arial" w:cs="Arial" w:eastAsia="Arial" w:hAnsi="Arial"/>
          <w:sz w:val="16"/>
          <w:szCs w:val="16"/>
          <w:color w:val="58595B"/>
        </w:rPr>
        <w:t>Mr. Singh graduated with a bachelor’s degree in chemistry and biology from Punjab University and received his M.B.A.</w:t>
      </w:r>
    </w:p>
    <w:p>
      <w:pPr>
        <w:spacing w:after="0" w:line="59" w:lineRule="exact"/>
        <w:rPr>
          <w:sz w:val="20"/>
          <w:szCs w:val="20"/>
          <w:color w:val="auto"/>
        </w:rPr>
      </w:pPr>
    </w:p>
    <w:p>
      <w:pPr>
        <w:ind w:left="2520"/>
        <w:spacing w:after="0"/>
        <w:rPr>
          <w:sz w:val="20"/>
          <w:szCs w:val="20"/>
          <w:color w:val="auto"/>
        </w:rPr>
      </w:pPr>
      <w:r>
        <w:rPr>
          <w:rFonts w:ascii="Arial" w:cs="Arial" w:eastAsia="Arial" w:hAnsi="Arial"/>
          <w:sz w:val="16"/>
          <w:szCs w:val="16"/>
          <w:color w:val="58595B"/>
        </w:rPr>
        <w:t>from University of Indore, India. He is an alumnus of the Harvard Business School’s Advanced Management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577850</wp:posOffset>
            </wp:positionV>
            <wp:extent cx="1088390" cy="10883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520" w:right="60"/>
        <w:spacing w:after="0" w:line="311" w:lineRule="auto"/>
        <w:rPr>
          <w:sz w:val="20"/>
          <w:szCs w:val="20"/>
          <w:color w:val="auto"/>
        </w:rPr>
      </w:pPr>
      <w:r>
        <w:rPr>
          <w:rFonts w:ascii="Arial" w:cs="Arial" w:eastAsia="Arial" w:hAnsi="Arial"/>
          <w:sz w:val="16"/>
          <w:szCs w:val="16"/>
          <w:b w:val="1"/>
          <w:bCs w:val="1"/>
          <w:color w:val="009845"/>
        </w:rPr>
        <w:t xml:space="preserve">Chantal Veillon </w:t>
      </w:r>
      <w:r>
        <w:rPr>
          <w:rFonts w:ascii="Arial" w:cs="Arial" w:eastAsia="Arial" w:hAnsi="Arial"/>
          <w:sz w:val="16"/>
          <w:szCs w:val="16"/>
          <w:color w:val="58595B"/>
        </w:rPr>
        <w:t>is Integra’s Executive Vice President and Chief Human Resources Officer. Ms. Veillon, who has served</w:t>
      </w:r>
      <w:r>
        <w:rPr>
          <w:rFonts w:ascii="Arial" w:cs="Arial" w:eastAsia="Arial" w:hAnsi="Arial"/>
          <w:sz w:val="16"/>
          <w:szCs w:val="16"/>
          <w:b w:val="1"/>
          <w:bCs w:val="1"/>
          <w:color w:val="009845"/>
        </w:rPr>
        <w:t xml:space="preserve"> </w:t>
      </w:r>
      <w:r>
        <w:rPr>
          <w:rFonts w:ascii="Arial" w:cs="Arial" w:eastAsia="Arial" w:hAnsi="Arial"/>
          <w:sz w:val="16"/>
          <w:szCs w:val="16"/>
          <w:color w:val="58595B"/>
        </w:rPr>
        <w:t>in this role since joining the Company in August 2023, is responsible for providing leadership in developing and executing human resources strategy in support of the overall business plan and strategic direction of the organization. Ms.Veillon brings significant global Human Resources leadership experience. Prior to joining Integra, Ms. Veillon worked at Bristol Myers Squibb for over 10 years and held senior human resources leadership roles of increasing responsibility, supporting research and development, manufacturing, supply chain, commercial operations, corporate functions globally and regionally in the United States and Europe.</w:t>
      </w:r>
    </w:p>
    <w:p>
      <w:pPr>
        <w:spacing w:after="0" w:line="127" w:lineRule="exact"/>
        <w:rPr>
          <w:sz w:val="20"/>
          <w:szCs w:val="20"/>
          <w:color w:val="auto"/>
        </w:rPr>
      </w:pPr>
    </w:p>
    <w:p>
      <w:pPr>
        <w:jc w:val="both"/>
        <w:ind w:left="2520" w:right="240"/>
        <w:spacing w:after="0" w:line="328" w:lineRule="auto"/>
        <w:rPr>
          <w:sz w:val="20"/>
          <w:szCs w:val="20"/>
          <w:color w:val="auto"/>
        </w:rPr>
      </w:pPr>
      <w:r>
        <w:rPr>
          <w:rFonts w:ascii="Arial" w:cs="Arial" w:eastAsia="Arial" w:hAnsi="Arial"/>
          <w:sz w:val="16"/>
          <w:szCs w:val="16"/>
          <w:color w:val="58595B"/>
        </w:rPr>
        <w:t>Ms. Veillon also held various global human resources leadership roles at Honeywell and GE Healthcare prior to joining Bristol-Myers Squibb. She started her career at Vivendi Games as its in-house lawyer with international responsibilities and during her tenure, she expanded her scope to include the HR function.</w:t>
      </w:r>
    </w:p>
    <w:p>
      <w:pPr>
        <w:spacing w:after="0" w:line="123" w:lineRule="exact"/>
        <w:rPr>
          <w:sz w:val="20"/>
          <w:szCs w:val="20"/>
          <w:color w:val="auto"/>
        </w:rPr>
      </w:pPr>
    </w:p>
    <w:p>
      <w:pPr>
        <w:ind w:left="2520" w:right="40"/>
        <w:spacing w:after="0" w:line="339" w:lineRule="auto"/>
        <w:rPr>
          <w:sz w:val="20"/>
          <w:szCs w:val="20"/>
          <w:color w:val="auto"/>
        </w:rPr>
      </w:pPr>
      <w:r>
        <w:rPr>
          <w:rFonts w:ascii="Arial" w:cs="Arial" w:eastAsia="Arial" w:hAnsi="Arial"/>
          <w:sz w:val="16"/>
          <w:szCs w:val="16"/>
          <w:color w:val="58595B"/>
        </w:rPr>
        <w:t>Ms. Veillon received both her J.D. and M.B.A. in international commercial law from Université Paris 1 Panthéon-Sorbonne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33</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36"/>
          <w:szCs w:val="36"/>
          <w:color w:val="009845"/>
        </w:rPr>
        <w:t>COMPENSATION DISCUSSION AND ANALYSIS</w:t>
      </w:r>
    </w:p>
    <w:p>
      <w:pPr>
        <w:spacing w:after="0" w:line="200" w:lineRule="exact"/>
        <w:rPr>
          <w:sz w:val="20"/>
          <w:szCs w:val="20"/>
          <w:color w:val="auto"/>
        </w:rPr>
      </w:pPr>
    </w:p>
    <w:p>
      <w:pPr>
        <w:spacing w:after="0" w:line="220"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Integra is a global medical technology company dedicated to restoring lives. We are advancing transformational care through impactful innovation and our portfolio of highly differentiated technologies is trusted by healthcare professionals to deliver transformative care. We are guided by our integrated growth strategy, which we believe will enable us to capitalize on the favorable market dynamics, achieve profitable growth acceleration and create shareholder value now and into the foreseeable future. Delivering this strategy requires a team of highly engaged and skilled leaders who are rewarded for the performance they deliver.</w:t>
      </w:r>
    </w:p>
    <w:p>
      <w:pPr>
        <w:spacing w:after="0" w:line="118" w:lineRule="exact"/>
        <w:rPr>
          <w:sz w:val="20"/>
          <w:szCs w:val="20"/>
          <w:color w:val="auto"/>
        </w:rPr>
      </w:pPr>
    </w:p>
    <w:p>
      <w:pPr>
        <w:ind w:right="660"/>
        <w:spacing w:after="0" w:line="339" w:lineRule="auto"/>
        <w:rPr>
          <w:sz w:val="20"/>
          <w:szCs w:val="20"/>
          <w:color w:val="auto"/>
        </w:rPr>
      </w:pPr>
      <w:r>
        <w:rPr>
          <w:rFonts w:ascii="Arial" w:cs="Arial" w:eastAsia="Arial" w:hAnsi="Arial"/>
          <w:sz w:val="16"/>
          <w:szCs w:val="16"/>
          <w:color w:val="58595B"/>
        </w:rPr>
        <w:t>To ensure our leaders are driven to deliver excellence for customers, patients, stockholders and colleagues, our executive compensation program is designed to link business priorities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22974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229743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240"/>
        <w:spacing w:after="0"/>
        <w:rPr>
          <w:sz w:val="20"/>
          <w:szCs w:val="20"/>
          <w:color w:val="auto"/>
        </w:rPr>
      </w:pPr>
      <w:r>
        <w:rPr>
          <w:rFonts w:ascii="Arial" w:cs="Arial" w:eastAsia="Arial" w:hAnsi="Arial"/>
          <w:sz w:val="25"/>
          <w:szCs w:val="25"/>
          <w:color w:val="2E8D52"/>
        </w:rPr>
        <w:t>Our Executive Compensation Philosophy</w:t>
      </w:r>
    </w:p>
    <w:p>
      <w:pPr>
        <w:spacing w:after="0" w:line="179" w:lineRule="exact"/>
        <w:rPr>
          <w:sz w:val="20"/>
          <w:szCs w:val="20"/>
          <w:color w:val="auto"/>
        </w:rPr>
      </w:pPr>
    </w:p>
    <w:p>
      <w:pPr>
        <w:ind w:left="240" w:right="1200"/>
        <w:spacing w:after="0" w:line="285" w:lineRule="auto"/>
        <w:rPr>
          <w:sz w:val="20"/>
          <w:szCs w:val="20"/>
          <w:color w:val="auto"/>
        </w:rPr>
      </w:pPr>
      <w:r>
        <w:rPr>
          <w:rFonts w:ascii="Arial" w:cs="Arial" w:eastAsia="Arial" w:hAnsi="Arial"/>
          <w:sz w:val="22"/>
          <w:szCs w:val="22"/>
          <w:b w:val="1"/>
          <w:bCs w:val="1"/>
          <w:color w:val="58595B"/>
        </w:rPr>
        <w:t>Our executive compensation programs are based on a pay-for-performance philosophy and are designed to...</w:t>
      </w:r>
    </w:p>
    <w:p>
      <w:pPr>
        <w:spacing w:after="0" w:line="102" w:lineRule="exact"/>
        <w:rPr>
          <w:sz w:val="20"/>
          <w:szCs w:val="20"/>
          <w:color w:val="auto"/>
        </w:rPr>
      </w:pPr>
    </w:p>
    <w:p>
      <w:pPr>
        <w:ind w:left="360" w:hanging="118"/>
        <w:spacing w:after="0"/>
        <w:tabs>
          <w:tab w:leader="none" w:pos="360" w:val="left"/>
        </w:tabs>
        <w:numPr>
          <w:ilvl w:val="0"/>
          <w:numId w:val="18"/>
        </w:numPr>
        <w:rPr>
          <w:rFonts w:ascii="Arial" w:cs="Arial" w:eastAsia="Arial" w:hAnsi="Arial"/>
          <w:sz w:val="16"/>
          <w:szCs w:val="16"/>
          <w:color w:val="58595B"/>
        </w:rPr>
      </w:pPr>
      <w:r>
        <w:rPr>
          <w:rFonts w:ascii="Arial" w:cs="Arial" w:eastAsia="Arial" w:hAnsi="Arial"/>
          <w:sz w:val="16"/>
          <w:szCs w:val="16"/>
          <w:color w:val="58595B"/>
        </w:rPr>
        <w:t>Attract, motivate and retain talented executives who have the skills to drive our continued profitability, growth and success;</w:t>
      </w:r>
    </w:p>
    <w:p>
      <w:pPr>
        <w:spacing w:after="0" w:line="207" w:lineRule="exact"/>
        <w:rPr>
          <w:rFonts w:ascii="Arial" w:cs="Arial" w:eastAsia="Arial" w:hAnsi="Arial"/>
          <w:sz w:val="16"/>
          <w:szCs w:val="16"/>
          <w:color w:val="58595B"/>
        </w:rPr>
      </w:pPr>
    </w:p>
    <w:p>
      <w:pPr>
        <w:ind w:left="400" w:right="840" w:hanging="158"/>
        <w:spacing w:after="0" w:line="339" w:lineRule="auto"/>
        <w:tabs>
          <w:tab w:leader="none" w:pos="362" w:val="left"/>
        </w:tabs>
        <w:numPr>
          <w:ilvl w:val="0"/>
          <w:numId w:val="18"/>
        </w:numPr>
        <w:rPr>
          <w:rFonts w:ascii="Arial" w:cs="Arial" w:eastAsia="Arial" w:hAnsi="Arial"/>
          <w:sz w:val="16"/>
          <w:szCs w:val="16"/>
          <w:color w:val="58595B"/>
        </w:rPr>
      </w:pPr>
      <w:r>
        <w:rPr>
          <w:rFonts w:ascii="Arial" w:cs="Arial" w:eastAsia="Arial" w:hAnsi="Arial"/>
          <w:sz w:val="16"/>
          <w:szCs w:val="16"/>
          <w:color w:val="58595B"/>
        </w:rPr>
        <w:t>Connect executive compensation with our short- and long-term corporate goals with an appropriate balance across pay programs prioritizing performance while discouraging unnecessary or excessive risk-taking;</w:t>
      </w:r>
    </w:p>
    <w:p>
      <w:pPr>
        <w:spacing w:after="0" w:line="114" w:lineRule="exact"/>
        <w:rPr>
          <w:rFonts w:ascii="Arial" w:cs="Arial" w:eastAsia="Arial" w:hAnsi="Arial"/>
          <w:sz w:val="16"/>
          <w:szCs w:val="16"/>
          <w:color w:val="58595B"/>
        </w:rPr>
      </w:pPr>
    </w:p>
    <w:p>
      <w:pPr>
        <w:ind w:left="360" w:hanging="118"/>
        <w:spacing w:after="0"/>
        <w:tabs>
          <w:tab w:leader="none" w:pos="360" w:val="left"/>
        </w:tabs>
        <w:numPr>
          <w:ilvl w:val="0"/>
          <w:numId w:val="18"/>
        </w:numPr>
        <w:rPr>
          <w:rFonts w:ascii="Arial" w:cs="Arial" w:eastAsia="Arial" w:hAnsi="Arial"/>
          <w:sz w:val="16"/>
          <w:szCs w:val="16"/>
          <w:color w:val="58595B"/>
        </w:rPr>
      </w:pPr>
      <w:r>
        <w:rPr>
          <w:rFonts w:ascii="Arial" w:cs="Arial" w:eastAsia="Arial" w:hAnsi="Arial"/>
          <w:sz w:val="16"/>
          <w:szCs w:val="16"/>
          <w:color w:val="58595B"/>
        </w:rPr>
        <w:t>Align the interests of our executives with those of our stockholders; and</w:t>
      </w:r>
    </w:p>
    <w:p>
      <w:pPr>
        <w:spacing w:after="0" w:line="207" w:lineRule="exact"/>
        <w:rPr>
          <w:rFonts w:ascii="Arial" w:cs="Arial" w:eastAsia="Arial" w:hAnsi="Arial"/>
          <w:sz w:val="16"/>
          <w:szCs w:val="16"/>
          <w:color w:val="58595B"/>
        </w:rPr>
      </w:pPr>
    </w:p>
    <w:p>
      <w:pPr>
        <w:ind w:left="360" w:hanging="118"/>
        <w:spacing w:after="0"/>
        <w:tabs>
          <w:tab w:leader="none" w:pos="360" w:val="left"/>
        </w:tabs>
        <w:numPr>
          <w:ilvl w:val="0"/>
          <w:numId w:val="18"/>
        </w:numPr>
        <w:rPr>
          <w:rFonts w:ascii="Arial" w:cs="Arial" w:eastAsia="Arial" w:hAnsi="Arial"/>
          <w:sz w:val="16"/>
          <w:szCs w:val="16"/>
          <w:color w:val="58595B"/>
        </w:rPr>
      </w:pPr>
      <w:r>
        <w:rPr>
          <w:rFonts w:ascii="Arial" w:cs="Arial" w:eastAsia="Arial" w:hAnsi="Arial"/>
          <w:sz w:val="16"/>
          <w:szCs w:val="16"/>
          <w:color w:val="58595B"/>
        </w:rPr>
        <w:t>Reward executives for exceptional performance that improves patient outcomes and drives stockholder value (pay-for performance).</w:t>
      </w:r>
    </w:p>
    <w:p>
      <w:pPr>
        <w:spacing w:after="0" w:line="200" w:lineRule="exact"/>
        <w:rPr>
          <w:sz w:val="20"/>
          <w:szCs w:val="20"/>
          <w:color w:val="auto"/>
        </w:rPr>
      </w:pPr>
    </w:p>
    <w:p>
      <w:pPr>
        <w:spacing w:after="0" w:line="399"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58595B"/>
        </w:rPr>
        <w:t>This Compensation Discussion and Analysis (“CD&amp;A”) describes the 2025 compensation of our named executive officers ("NEOs") listed below. It also provides an overview of our executive compensation program, which we continue to refine based on stockholder feedback, competitive market practice, and Company performance. As a result of a leadership transition during 2025 and in accordance with SEC requirements, we have six NEOs for 2025. Mr. De Witte served as our President and Chief Executive Offer until January 5, 2025, when Mr. De Witte’s employment with the Company terminated upon his retirement and after which he and the Company entered into a consulting relationship. Ms. Poul commenced her tenure as the Company’s President and Chief Executive Offer on January 6, 2025. Unless otherwise noted, references to our “NEOs” refer to the NEOs other than Mr. De Witte and compensation tables include Mr. De Witte to the extent required under SEC rules.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Named Executive Officer</w:t>
            </w:r>
          </w:p>
        </w:tc>
        <w:tc>
          <w:tcPr>
            <w:tcW w:w="5100" w:type="dxa"/>
            <w:vAlign w:val="bottom"/>
            <w:shd w:val="clear" w:color="auto" w:fill="009845"/>
          </w:tcPr>
          <w:p>
            <w:pPr>
              <w:ind w:left="20"/>
              <w:spacing w:after="0"/>
              <w:rPr>
                <w:sz w:val="20"/>
                <w:szCs w:val="20"/>
                <w:color w:val="auto"/>
              </w:rPr>
            </w:pPr>
            <w:r>
              <w:rPr>
                <w:rFonts w:ascii="Arial" w:cs="Arial" w:eastAsia="Arial" w:hAnsi="Arial"/>
                <w:sz w:val="14"/>
                <w:szCs w:val="14"/>
                <w:b w:val="1"/>
                <w:bCs w:val="1"/>
                <w:color w:val="FFFFFF"/>
              </w:rPr>
              <w:t>Role</w:t>
            </w:r>
          </w:p>
        </w:tc>
        <w:tc>
          <w:tcPr>
            <w:tcW w:w="3200" w:type="dxa"/>
            <w:vAlign w:val="bottom"/>
            <w:shd w:val="clear" w:color="auto" w:fill="009845"/>
          </w:tcPr>
          <w:p>
            <w:pPr>
              <w:jc w:val="center"/>
              <w:ind w:left="189"/>
              <w:spacing w:after="0"/>
              <w:rPr>
                <w:sz w:val="20"/>
                <w:szCs w:val="20"/>
                <w:color w:val="auto"/>
              </w:rPr>
            </w:pPr>
            <w:r>
              <w:rPr>
                <w:rFonts w:ascii="Arial" w:cs="Arial" w:eastAsia="Arial" w:hAnsi="Arial"/>
                <w:sz w:val="14"/>
                <w:szCs w:val="14"/>
                <w:b w:val="1"/>
                <w:bCs w:val="1"/>
                <w:color w:val="FFFFFF"/>
              </w:rPr>
              <w:t>2025 Time In Role</w:t>
            </w:r>
          </w:p>
        </w:tc>
        <w:tc>
          <w:tcPr>
            <w:tcW w:w="160" w:type="dxa"/>
            <w:vAlign w:val="bottom"/>
          </w:tcPr>
          <w:p>
            <w:pPr>
              <w:spacing w:after="0"/>
              <w:rPr>
                <w:sz w:val="18"/>
                <w:szCs w:val="18"/>
                <w:color w:val="auto"/>
              </w:rPr>
            </w:pPr>
          </w:p>
        </w:tc>
      </w:tr>
      <w:tr>
        <w:trPr>
          <w:trHeight w:val="67"/>
        </w:trPr>
        <w:tc>
          <w:tcPr>
            <w:tcW w:w="2780" w:type="dxa"/>
            <w:vAlign w:val="bottom"/>
            <w:shd w:val="clear" w:color="auto" w:fill="009845"/>
          </w:tcPr>
          <w:p>
            <w:pPr>
              <w:spacing w:after="0"/>
              <w:rPr>
                <w:sz w:val="5"/>
                <w:szCs w:val="5"/>
                <w:color w:val="auto"/>
              </w:rPr>
            </w:pPr>
          </w:p>
        </w:tc>
        <w:tc>
          <w:tcPr>
            <w:tcW w:w="5100" w:type="dxa"/>
            <w:vAlign w:val="bottom"/>
            <w:shd w:val="clear" w:color="auto" w:fill="009845"/>
          </w:tcPr>
          <w:p>
            <w:pPr>
              <w:spacing w:after="0"/>
              <w:rPr>
                <w:sz w:val="5"/>
                <w:szCs w:val="5"/>
                <w:color w:val="auto"/>
              </w:rPr>
            </w:pPr>
          </w:p>
        </w:tc>
        <w:tc>
          <w:tcPr>
            <w:tcW w:w="3200" w:type="dxa"/>
            <w:vAlign w:val="bottom"/>
            <w:shd w:val="clear" w:color="auto" w:fill="009845"/>
          </w:tcPr>
          <w:p>
            <w:pPr>
              <w:spacing w:after="0"/>
              <w:rPr>
                <w:sz w:val="5"/>
                <w:szCs w:val="5"/>
                <w:color w:val="auto"/>
              </w:rPr>
            </w:pPr>
          </w:p>
        </w:tc>
        <w:tc>
          <w:tcPr>
            <w:tcW w:w="160" w:type="dxa"/>
            <w:vAlign w:val="bottom"/>
          </w:tcPr>
          <w:p>
            <w:pPr>
              <w:spacing w:after="0"/>
              <w:rPr>
                <w:sz w:val="5"/>
                <w:szCs w:val="5"/>
                <w:color w:val="auto"/>
              </w:rPr>
            </w:pPr>
          </w:p>
        </w:tc>
      </w:tr>
      <w:tr>
        <w:trPr>
          <w:trHeight w:val="230"/>
        </w:trPr>
        <w:tc>
          <w:tcPr>
            <w:tcW w:w="27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Ms. Mojdeh Poul</w:t>
            </w:r>
          </w:p>
        </w:tc>
        <w:tc>
          <w:tcPr>
            <w:tcW w:w="510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President and Chief Executive Officer (CEO)</w:t>
            </w:r>
          </w:p>
        </w:tc>
        <w:tc>
          <w:tcPr>
            <w:tcW w:w="3200" w:type="dxa"/>
            <w:vAlign w:val="bottom"/>
            <w:shd w:val="clear" w:color="auto" w:fill="EFEDED"/>
          </w:tcPr>
          <w:p>
            <w:pPr>
              <w:jc w:val="center"/>
              <w:ind w:left="189"/>
              <w:spacing w:after="0"/>
              <w:rPr>
                <w:sz w:val="20"/>
                <w:szCs w:val="20"/>
                <w:color w:val="auto"/>
              </w:rPr>
            </w:pPr>
            <w:r>
              <w:rPr>
                <w:rFonts w:ascii="Arial" w:cs="Arial" w:eastAsia="Arial" w:hAnsi="Arial"/>
                <w:sz w:val="14"/>
                <w:szCs w:val="14"/>
                <w:color w:val="58595B"/>
              </w:rPr>
              <w:t>Commenced January 6</w:t>
            </w:r>
          </w:p>
        </w:tc>
        <w:tc>
          <w:tcPr>
            <w:tcW w:w="160" w:type="dxa"/>
            <w:vAlign w:val="bottom"/>
          </w:tcPr>
          <w:p>
            <w:pPr>
              <w:spacing w:after="0"/>
              <w:rPr>
                <w:sz w:val="19"/>
                <w:szCs w:val="19"/>
                <w:color w:val="auto"/>
              </w:rPr>
            </w:pPr>
          </w:p>
        </w:tc>
      </w:tr>
      <w:tr>
        <w:trPr>
          <w:trHeight w:val="222"/>
        </w:trPr>
        <w:tc>
          <w:tcPr>
            <w:tcW w:w="2780" w:type="dxa"/>
            <w:vAlign w:val="bottom"/>
          </w:tcPr>
          <w:p>
            <w:pPr>
              <w:ind w:left="100"/>
              <w:spacing w:after="0"/>
              <w:rPr>
                <w:sz w:val="20"/>
                <w:szCs w:val="20"/>
                <w:color w:val="auto"/>
              </w:rPr>
            </w:pPr>
            <w:r>
              <w:rPr>
                <w:rFonts w:ascii="Arial" w:cs="Arial" w:eastAsia="Arial" w:hAnsi="Arial"/>
                <w:sz w:val="14"/>
                <w:szCs w:val="14"/>
                <w:b w:val="1"/>
                <w:bCs w:val="1"/>
                <w:color w:val="58595B"/>
              </w:rPr>
              <w:t>Ms. Lea Knight</w:t>
            </w:r>
          </w:p>
        </w:tc>
        <w:tc>
          <w:tcPr>
            <w:tcW w:w="5100" w:type="dxa"/>
            <w:vAlign w:val="bottom"/>
          </w:tcPr>
          <w:p>
            <w:pPr>
              <w:ind w:left="20"/>
              <w:spacing w:after="0"/>
              <w:rPr>
                <w:sz w:val="20"/>
                <w:szCs w:val="20"/>
                <w:color w:val="auto"/>
              </w:rPr>
            </w:pPr>
            <w:r>
              <w:rPr>
                <w:rFonts w:ascii="Arial" w:cs="Arial" w:eastAsia="Arial" w:hAnsi="Arial"/>
                <w:sz w:val="14"/>
                <w:szCs w:val="14"/>
                <w:color w:val="58595B"/>
              </w:rPr>
              <w:t>Executive Vice President and Chief Financial Officer (CFO)</w:t>
            </w:r>
          </w:p>
        </w:tc>
        <w:tc>
          <w:tcPr>
            <w:tcW w:w="3360" w:type="dxa"/>
            <w:vAlign w:val="bottom"/>
            <w:gridSpan w:val="2"/>
          </w:tcPr>
          <w:p>
            <w:pPr>
              <w:jc w:val="center"/>
              <w:ind w:left="49"/>
              <w:spacing w:after="0"/>
              <w:rPr>
                <w:sz w:val="20"/>
                <w:szCs w:val="20"/>
                <w:color w:val="auto"/>
              </w:rPr>
            </w:pPr>
            <w:r>
              <w:rPr>
                <w:rFonts w:ascii="Arial" w:cs="Arial" w:eastAsia="Arial" w:hAnsi="Arial"/>
                <w:sz w:val="14"/>
                <w:szCs w:val="14"/>
                <w:color w:val="58595B"/>
                <w:w w:val="99"/>
              </w:rPr>
              <w:t>Full Year</w:t>
            </w:r>
          </w:p>
        </w:tc>
      </w:tr>
      <w:tr>
        <w:trPr>
          <w:trHeight w:val="237"/>
        </w:trPr>
        <w:tc>
          <w:tcPr>
            <w:tcW w:w="27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Mr. Robert T. Davis, Jr.</w:t>
            </w:r>
          </w:p>
        </w:tc>
        <w:tc>
          <w:tcPr>
            <w:tcW w:w="510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Executive Vice President, President, Tissue Technologies</w:t>
            </w:r>
          </w:p>
        </w:tc>
        <w:tc>
          <w:tcPr>
            <w:tcW w:w="3200" w:type="dxa"/>
            <w:vAlign w:val="bottom"/>
            <w:shd w:val="clear" w:color="auto" w:fill="EFEDED"/>
          </w:tcPr>
          <w:p>
            <w:pPr>
              <w:jc w:val="center"/>
              <w:ind w:left="209"/>
              <w:spacing w:after="0"/>
              <w:rPr>
                <w:sz w:val="20"/>
                <w:szCs w:val="20"/>
                <w:color w:val="auto"/>
              </w:rPr>
            </w:pPr>
            <w:r>
              <w:rPr>
                <w:rFonts w:ascii="Arial" w:cs="Arial" w:eastAsia="Arial" w:hAnsi="Arial"/>
                <w:sz w:val="14"/>
                <w:szCs w:val="14"/>
                <w:color w:val="58595B"/>
                <w:w w:val="99"/>
              </w:rPr>
              <w:t>Full Year</w:t>
            </w:r>
          </w:p>
        </w:tc>
        <w:tc>
          <w:tcPr>
            <w:tcW w:w="160" w:type="dxa"/>
            <w:vAlign w:val="bottom"/>
          </w:tcPr>
          <w:p>
            <w:pPr>
              <w:spacing w:after="0"/>
              <w:rPr>
                <w:sz w:val="20"/>
                <w:szCs w:val="20"/>
                <w:color w:val="auto"/>
              </w:rPr>
            </w:pPr>
          </w:p>
        </w:tc>
      </w:tr>
      <w:tr>
        <w:trPr>
          <w:trHeight w:val="222"/>
        </w:trPr>
        <w:tc>
          <w:tcPr>
            <w:tcW w:w="2780" w:type="dxa"/>
            <w:vAlign w:val="bottom"/>
          </w:tcPr>
          <w:p>
            <w:pPr>
              <w:ind w:left="100"/>
              <w:spacing w:after="0"/>
              <w:rPr>
                <w:sz w:val="20"/>
                <w:szCs w:val="20"/>
                <w:color w:val="auto"/>
              </w:rPr>
            </w:pPr>
            <w:r>
              <w:rPr>
                <w:rFonts w:ascii="Arial" w:cs="Arial" w:eastAsia="Arial" w:hAnsi="Arial"/>
                <w:sz w:val="14"/>
                <w:szCs w:val="14"/>
                <w:b w:val="1"/>
                <w:bCs w:val="1"/>
                <w:color w:val="58595B"/>
              </w:rPr>
              <w:t>Mr. Michael J. McBreen</w:t>
            </w:r>
          </w:p>
        </w:tc>
        <w:tc>
          <w:tcPr>
            <w:tcW w:w="5100" w:type="dxa"/>
            <w:vAlign w:val="bottom"/>
          </w:tcPr>
          <w:p>
            <w:pPr>
              <w:ind w:left="20"/>
              <w:spacing w:after="0"/>
              <w:rPr>
                <w:sz w:val="20"/>
                <w:szCs w:val="20"/>
                <w:color w:val="auto"/>
              </w:rPr>
            </w:pPr>
            <w:r>
              <w:rPr>
                <w:rFonts w:ascii="Arial" w:cs="Arial" w:eastAsia="Arial" w:hAnsi="Arial"/>
                <w:sz w:val="14"/>
                <w:szCs w:val="14"/>
                <w:color w:val="58595B"/>
              </w:rPr>
              <w:t>Executive Vice President, President, Codman Specialty Surgical</w:t>
            </w:r>
          </w:p>
        </w:tc>
        <w:tc>
          <w:tcPr>
            <w:tcW w:w="3360" w:type="dxa"/>
            <w:vAlign w:val="bottom"/>
            <w:gridSpan w:val="2"/>
          </w:tcPr>
          <w:p>
            <w:pPr>
              <w:jc w:val="center"/>
              <w:ind w:left="49"/>
              <w:spacing w:after="0"/>
              <w:rPr>
                <w:sz w:val="20"/>
                <w:szCs w:val="20"/>
                <w:color w:val="auto"/>
              </w:rPr>
            </w:pPr>
            <w:r>
              <w:rPr>
                <w:rFonts w:ascii="Arial" w:cs="Arial" w:eastAsia="Arial" w:hAnsi="Arial"/>
                <w:sz w:val="14"/>
                <w:szCs w:val="14"/>
                <w:color w:val="58595B"/>
                <w:w w:val="99"/>
              </w:rPr>
              <w:t>Full Year</w:t>
            </w:r>
          </w:p>
        </w:tc>
      </w:tr>
      <w:tr>
        <w:trPr>
          <w:trHeight w:val="237"/>
        </w:trPr>
        <w:tc>
          <w:tcPr>
            <w:tcW w:w="27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Mr. Harvinder Singh</w:t>
            </w:r>
          </w:p>
        </w:tc>
        <w:tc>
          <w:tcPr>
            <w:tcW w:w="510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Executive Vice President, President, International</w:t>
            </w:r>
          </w:p>
        </w:tc>
        <w:tc>
          <w:tcPr>
            <w:tcW w:w="3200" w:type="dxa"/>
            <w:vAlign w:val="bottom"/>
            <w:shd w:val="clear" w:color="auto" w:fill="EFEDED"/>
          </w:tcPr>
          <w:p>
            <w:pPr>
              <w:jc w:val="center"/>
              <w:ind w:left="209"/>
              <w:spacing w:after="0"/>
              <w:rPr>
                <w:sz w:val="20"/>
                <w:szCs w:val="20"/>
                <w:color w:val="auto"/>
              </w:rPr>
            </w:pPr>
            <w:r>
              <w:rPr>
                <w:rFonts w:ascii="Arial" w:cs="Arial" w:eastAsia="Arial" w:hAnsi="Arial"/>
                <w:sz w:val="14"/>
                <w:szCs w:val="14"/>
                <w:color w:val="58595B"/>
                <w:w w:val="99"/>
              </w:rPr>
              <w:t>Full Year</w:t>
            </w:r>
          </w:p>
        </w:tc>
        <w:tc>
          <w:tcPr>
            <w:tcW w:w="160" w:type="dxa"/>
            <w:vAlign w:val="bottom"/>
          </w:tcPr>
          <w:p>
            <w:pPr>
              <w:spacing w:after="0"/>
              <w:rPr>
                <w:sz w:val="20"/>
                <w:szCs w:val="20"/>
                <w:color w:val="auto"/>
              </w:rPr>
            </w:pPr>
          </w:p>
        </w:tc>
      </w:tr>
      <w:tr>
        <w:trPr>
          <w:trHeight w:val="223"/>
        </w:trPr>
        <w:tc>
          <w:tcPr>
            <w:tcW w:w="278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Mr. Jan De Witte</w:t>
            </w:r>
          </w:p>
        </w:tc>
        <w:tc>
          <w:tcPr>
            <w:tcW w:w="5100" w:type="dxa"/>
            <w:vAlign w:val="bottom"/>
            <w:tcBorders>
              <w:bottom w:val="single" w:sz="8" w:color="58595B"/>
            </w:tcBorders>
          </w:tcPr>
          <w:p>
            <w:pPr>
              <w:ind w:left="20"/>
              <w:spacing w:after="0"/>
              <w:rPr>
                <w:sz w:val="20"/>
                <w:szCs w:val="20"/>
                <w:color w:val="auto"/>
              </w:rPr>
            </w:pPr>
            <w:r>
              <w:rPr>
                <w:rFonts w:ascii="Arial" w:cs="Arial" w:eastAsia="Arial" w:hAnsi="Arial"/>
                <w:sz w:val="14"/>
                <w:szCs w:val="14"/>
                <w:color w:val="58595B"/>
              </w:rPr>
              <w:t>Former President and Chief Executive Officer (CEO)</w:t>
            </w:r>
          </w:p>
        </w:tc>
        <w:tc>
          <w:tcPr>
            <w:tcW w:w="3200" w:type="dxa"/>
            <w:vAlign w:val="bottom"/>
            <w:tcBorders>
              <w:bottom w:val="single" w:sz="8" w:color="58595B"/>
            </w:tcBorders>
          </w:tcPr>
          <w:p>
            <w:pPr>
              <w:jc w:val="center"/>
              <w:ind w:left="189"/>
              <w:spacing w:after="0"/>
              <w:rPr>
                <w:sz w:val="20"/>
                <w:szCs w:val="20"/>
                <w:color w:val="auto"/>
              </w:rPr>
            </w:pPr>
            <w:r>
              <w:rPr>
                <w:rFonts w:ascii="Arial" w:cs="Arial" w:eastAsia="Arial" w:hAnsi="Arial"/>
                <w:sz w:val="14"/>
                <w:szCs w:val="14"/>
                <w:color w:val="58595B"/>
              </w:rPr>
              <w:t>January 1 – January 5</w:t>
            </w:r>
          </w:p>
        </w:tc>
        <w:tc>
          <w:tcPr>
            <w:tcW w:w="160" w:type="dxa"/>
            <w:vAlign w:val="bottom"/>
          </w:tcPr>
          <w:p>
            <w:pPr>
              <w:spacing w:after="0"/>
              <w:rPr>
                <w:sz w:val="19"/>
                <w:szCs w:val="19"/>
                <w:color w:val="auto"/>
              </w:rPr>
            </w:pPr>
          </w:p>
        </w:tc>
      </w:tr>
      <w:tr>
        <w:trPr>
          <w:trHeight w:val="627"/>
        </w:trPr>
        <w:tc>
          <w:tcPr>
            <w:tcW w:w="2780" w:type="dxa"/>
            <w:vAlign w:val="bottom"/>
          </w:tcPr>
          <w:p>
            <w:pPr>
              <w:ind w:left="20"/>
              <w:spacing w:after="0"/>
              <w:rPr>
                <w:sz w:val="20"/>
                <w:szCs w:val="20"/>
                <w:color w:val="auto"/>
              </w:rPr>
            </w:pPr>
            <w:r>
              <w:rPr>
                <w:rFonts w:ascii="Arial" w:cs="Arial" w:eastAsia="Arial" w:hAnsi="Arial"/>
                <w:sz w:val="13"/>
                <w:szCs w:val="13"/>
                <w:b w:val="1"/>
                <w:bCs w:val="1"/>
                <w:color w:val="009845"/>
              </w:rPr>
              <w:t>34</w:t>
            </w:r>
          </w:p>
        </w:tc>
        <w:tc>
          <w:tcPr>
            <w:tcW w:w="5100" w:type="dxa"/>
            <w:vAlign w:val="bottom"/>
          </w:tcPr>
          <w:p>
            <w:pPr>
              <w:spacing w:after="0"/>
              <w:rPr>
                <w:sz w:val="24"/>
                <w:szCs w:val="24"/>
                <w:color w:val="auto"/>
              </w:rPr>
            </w:pPr>
          </w:p>
        </w:tc>
        <w:tc>
          <w:tcPr>
            <w:tcW w:w="3360" w:type="dxa"/>
            <w:vAlign w:val="bottom"/>
            <w:gridSpan w:val="2"/>
          </w:tcPr>
          <w:p>
            <w:pPr>
              <w:ind w:left="2100"/>
              <w:spacing w:after="0"/>
              <w:rPr>
                <w:sz w:val="20"/>
                <w:szCs w:val="20"/>
                <w:color w:val="auto"/>
              </w:rPr>
            </w:pPr>
            <w:r>
              <w:rPr>
                <w:rFonts w:ascii="Arial" w:cs="Arial" w:eastAsia="Arial" w:hAnsi="Arial"/>
                <w:sz w:val="13"/>
                <w:szCs w:val="13"/>
                <w:color w:val="58595B"/>
                <w:w w:val="96"/>
              </w:rPr>
              <w:t>2026 Proxy Statement</w:t>
            </w:r>
          </w:p>
        </w:tc>
      </w:tr>
      <w:tr>
        <w:trPr>
          <w:trHeight w:val="231"/>
        </w:trPr>
        <w:tc>
          <w:tcPr>
            <w:tcW w:w="2780" w:type="dxa"/>
            <w:vAlign w:val="bottom"/>
            <w:tcBorders>
              <w:bottom w:val="single" w:sz="8" w:color="9A9A9A"/>
            </w:tcBorders>
          </w:tcPr>
          <w:p>
            <w:pPr>
              <w:spacing w:after="0"/>
              <w:rPr>
                <w:sz w:val="20"/>
                <w:szCs w:val="20"/>
                <w:color w:val="auto"/>
              </w:rPr>
            </w:pPr>
          </w:p>
        </w:tc>
        <w:tc>
          <w:tcPr>
            <w:tcW w:w="5100" w:type="dxa"/>
            <w:vAlign w:val="bottom"/>
            <w:tcBorders>
              <w:bottom w:val="single" w:sz="8" w:color="9A9A9A"/>
            </w:tcBorders>
          </w:tcPr>
          <w:p>
            <w:pPr>
              <w:spacing w:after="0"/>
              <w:rPr>
                <w:sz w:val="20"/>
                <w:szCs w:val="20"/>
                <w:color w:val="auto"/>
              </w:rPr>
            </w:pPr>
          </w:p>
        </w:tc>
        <w:tc>
          <w:tcPr>
            <w:tcW w:w="32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Summary of Our 2025 Decisions</w:t>
      </w:r>
    </w:p>
    <w:p>
      <w:pPr>
        <w:spacing w:after="0" w:line="193" w:lineRule="exact"/>
        <w:rPr>
          <w:sz w:val="20"/>
          <w:szCs w:val="20"/>
          <w:color w:val="auto"/>
        </w:rPr>
      </w:pPr>
    </w:p>
    <w:p>
      <w:pPr>
        <w:jc w:val="both"/>
        <w:ind w:right="60"/>
        <w:spacing w:after="0" w:line="328" w:lineRule="auto"/>
        <w:rPr>
          <w:sz w:val="20"/>
          <w:szCs w:val="20"/>
          <w:color w:val="auto"/>
        </w:rPr>
      </w:pPr>
      <w:r>
        <w:rPr>
          <w:rFonts w:ascii="Arial" w:cs="Arial" w:eastAsia="Arial" w:hAnsi="Arial"/>
          <w:sz w:val="16"/>
          <w:szCs w:val="16"/>
          <w:color w:val="58595B"/>
        </w:rPr>
        <w:t>The Compensation Committee makes decisions regarding NEO total compensation (base salary, annual bonus objectives and payments, and annual equity grants) in connection with our annual performance review process. The table below summarizes the Compensation Committee’s key decisions and provides information on updates to the compensation programs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8942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8942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Factors That Guided</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Total Compensation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1423035" cy="3454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2303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Key 2025</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Compensation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Decisions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(See Pages 42–51</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For More Information)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123" w:hanging="123"/>
        <w:spacing w:after="0"/>
        <w:tabs>
          <w:tab w:leader="none" w:pos="123"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Our executive compensation philosophy</w:t>
      </w:r>
    </w:p>
    <w:p>
      <w:pPr>
        <w:spacing w:after="0" w:line="99" w:lineRule="exact"/>
        <w:rPr>
          <w:rFonts w:ascii="Arial" w:cs="Arial" w:eastAsia="Arial" w:hAnsi="Arial"/>
          <w:sz w:val="16"/>
          <w:szCs w:val="16"/>
          <w:color w:val="58595B"/>
        </w:rPr>
      </w:pPr>
    </w:p>
    <w:p>
      <w:pPr>
        <w:ind w:left="123" w:hanging="123"/>
        <w:spacing w:after="0"/>
        <w:tabs>
          <w:tab w:leader="none" w:pos="123"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Degree of achievement of key strategic financial and operational goals</w:t>
      </w:r>
    </w:p>
    <w:p>
      <w:pPr>
        <w:spacing w:after="0" w:line="99" w:lineRule="exact"/>
        <w:rPr>
          <w:rFonts w:ascii="Arial" w:cs="Arial" w:eastAsia="Arial" w:hAnsi="Arial"/>
          <w:sz w:val="16"/>
          <w:szCs w:val="16"/>
          <w:color w:val="58595B"/>
        </w:rPr>
      </w:pPr>
    </w:p>
    <w:p>
      <w:pPr>
        <w:ind w:left="123" w:hanging="123"/>
        <w:spacing w:after="0"/>
        <w:tabs>
          <w:tab w:leader="none" w:pos="123"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Individual performance</w:t>
      </w:r>
    </w:p>
    <w:p>
      <w:pPr>
        <w:spacing w:after="0" w:line="113" w:lineRule="exact"/>
        <w:rPr>
          <w:rFonts w:ascii="Arial" w:cs="Arial" w:eastAsia="Arial" w:hAnsi="Arial"/>
          <w:sz w:val="16"/>
          <w:szCs w:val="16"/>
          <w:color w:val="58595B"/>
        </w:rPr>
      </w:pPr>
    </w:p>
    <w:p>
      <w:pPr>
        <w:ind w:left="123" w:hanging="123"/>
        <w:spacing w:after="0"/>
        <w:tabs>
          <w:tab w:leader="none" w:pos="123"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Advancement of our organizational culture</w:t>
      </w:r>
    </w:p>
    <w:p>
      <w:pPr>
        <w:spacing w:after="0" w:line="99" w:lineRule="exact"/>
        <w:rPr>
          <w:rFonts w:ascii="Arial" w:cs="Arial" w:eastAsia="Arial" w:hAnsi="Arial"/>
          <w:sz w:val="16"/>
          <w:szCs w:val="16"/>
          <w:color w:val="58595B"/>
        </w:rPr>
      </w:pPr>
    </w:p>
    <w:p>
      <w:pPr>
        <w:ind w:left="123" w:hanging="123"/>
        <w:spacing w:after="0"/>
        <w:tabs>
          <w:tab w:leader="none" w:pos="123"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Recommendations of our President and CEO (other than with respect to her own compensation)</w:t>
      </w:r>
    </w:p>
    <w:p>
      <w:pPr>
        <w:spacing w:after="0" w:line="113" w:lineRule="exact"/>
        <w:rPr>
          <w:rFonts w:ascii="Arial" w:cs="Arial" w:eastAsia="Arial" w:hAnsi="Arial"/>
          <w:sz w:val="16"/>
          <w:szCs w:val="16"/>
          <w:color w:val="58595B"/>
        </w:rPr>
      </w:pPr>
    </w:p>
    <w:p>
      <w:pPr>
        <w:ind w:left="123" w:hanging="123"/>
        <w:spacing w:after="0"/>
        <w:tabs>
          <w:tab w:leader="none" w:pos="123"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Advice of an independent compensation consultant</w:t>
      </w:r>
    </w:p>
    <w:p>
      <w:pPr>
        <w:spacing w:after="0" w:line="99" w:lineRule="exact"/>
        <w:rPr>
          <w:rFonts w:ascii="Arial" w:cs="Arial" w:eastAsia="Arial" w:hAnsi="Arial"/>
          <w:sz w:val="16"/>
          <w:szCs w:val="16"/>
          <w:color w:val="58595B"/>
        </w:rPr>
      </w:pPr>
    </w:p>
    <w:p>
      <w:pPr>
        <w:ind w:left="123" w:hanging="123"/>
        <w:spacing w:after="0"/>
        <w:tabs>
          <w:tab w:leader="none" w:pos="123"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Stockholder input</w:t>
      </w:r>
    </w:p>
    <w:p>
      <w:pPr>
        <w:spacing w:after="0" w:line="99" w:lineRule="exact"/>
        <w:rPr>
          <w:rFonts w:ascii="Arial" w:cs="Arial" w:eastAsia="Arial" w:hAnsi="Arial"/>
          <w:sz w:val="16"/>
          <w:szCs w:val="16"/>
          <w:color w:val="58595B"/>
        </w:rPr>
      </w:pPr>
    </w:p>
    <w:p>
      <w:pPr>
        <w:ind w:left="123" w:hanging="123"/>
        <w:spacing w:after="0"/>
        <w:tabs>
          <w:tab w:leader="none" w:pos="123"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Market pay practices</w:t>
      </w:r>
    </w:p>
    <w:p>
      <w:pPr>
        <w:spacing w:after="0" w:line="113" w:lineRule="exact"/>
        <w:rPr>
          <w:rFonts w:ascii="Arial" w:cs="Arial" w:eastAsia="Arial" w:hAnsi="Arial"/>
          <w:sz w:val="16"/>
          <w:szCs w:val="16"/>
          <w:color w:val="58595B"/>
        </w:rPr>
      </w:pPr>
    </w:p>
    <w:p>
      <w:pPr>
        <w:ind w:left="123" w:hanging="123"/>
        <w:spacing w:after="0"/>
        <w:tabs>
          <w:tab w:leader="none" w:pos="123"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Current and historical Integra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226695</wp:posOffset>
            </wp:positionV>
            <wp:extent cx="5623560" cy="3454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23560" cy="345440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58595B"/>
        </w:rPr>
        <w:t>Base Salary Decisions</w:t>
      </w:r>
    </w:p>
    <w:p>
      <w:pPr>
        <w:spacing w:after="0" w:line="208" w:lineRule="exact"/>
        <w:rPr>
          <w:sz w:val="20"/>
          <w:szCs w:val="20"/>
          <w:color w:val="auto"/>
        </w:rPr>
      </w:pPr>
    </w:p>
    <w:p>
      <w:pPr>
        <w:ind w:left="3" w:right="160"/>
        <w:spacing w:after="0" w:line="318" w:lineRule="auto"/>
        <w:rPr>
          <w:sz w:val="20"/>
          <w:szCs w:val="20"/>
          <w:color w:val="auto"/>
        </w:rPr>
      </w:pPr>
      <w:r>
        <w:rPr>
          <w:rFonts w:ascii="Arial" w:cs="Arial" w:eastAsia="Arial" w:hAnsi="Arial"/>
          <w:sz w:val="16"/>
          <w:szCs w:val="16"/>
          <w:color w:val="58595B"/>
        </w:rPr>
        <w:t>NEOs received salary increases based on business performance, competitive compensation data and individual performance. NEOs received an increase aligned to our 2025 global merit budget and based on 2024 performance with the exception of Ms. Poul and Mr. McBreen. Ms. Poul was not eligible for a merit increase due to her hire date and Mr. McBreen received a lump sum payment of $22,531 in lieu of merit due to his position relative to market peers.</w:t>
      </w:r>
    </w:p>
    <w:p>
      <w:pPr>
        <w:spacing w:after="0" w:line="36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58595B"/>
        </w:rPr>
        <w:t>Cash Bonus Decisions</w:t>
      </w:r>
    </w:p>
    <w:p>
      <w:pPr>
        <w:spacing w:after="0" w:line="208" w:lineRule="exact"/>
        <w:rPr>
          <w:sz w:val="20"/>
          <w:szCs w:val="20"/>
          <w:color w:val="auto"/>
        </w:rPr>
      </w:pPr>
    </w:p>
    <w:p>
      <w:pPr>
        <w:ind w:left="3" w:right="240"/>
        <w:spacing w:after="0" w:line="318" w:lineRule="auto"/>
        <w:rPr>
          <w:sz w:val="20"/>
          <w:szCs w:val="20"/>
          <w:color w:val="auto"/>
        </w:rPr>
      </w:pPr>
      <w:r>
        <w:rPr>
          <w:rFonts w:ascii="Arial" w:cs="Arial" w:eastAsia="Arial" w:hAnsi="Arial"/>
          <w:sz w:val="16"/>
          <w:szCs w:val="16"/>
          <w:color w:val="58595B"/>
        </w:rPr>
        <w:t>In February 2025, the Compensation Committee approved the short-term incentive design, metrics and performance goals for NEOs, which cascades more broadly to all plan participants. In 2025, an individual performance modifier was introduced into the short-term incentive design. The individual performance modifier recognizes behaviors that contribute to long-term shareholder value.</w:t>
      </w:r>
    </w:p>
    <w:p>
      <w:pPr>
        <w:spacing w:after="0" w:line="132" w:lineRule="exact"/>
        <w:rPr>
          <w:sz w:val="20"/>
          <w:szCs w:val="20"/>
          <w:color w:val="auto"/>
        </w:rPr>
      </w:pPr>
    </w:p>
    <w:p>
      <w:pPr>
        <w:ind w:left="3" w:right="240"/>
        <w:spacing w:after="0" w:line="311" w:lineRule="auto"/>
        <w:rPr>
          <w:sz w:val="20"/>
          <w:szCs w:val="20"/>
          <w:color w:val="auto"/>
        </w:rPr>
      </w:pPr>
      <w:r>
        <w:rPr>
          <w:rFonts w:ascii="Arial" w:cs="Arial" w:eastAsia="Arial" w:hAnsi="Arial"/>
          <w:sz w:val="16"/>
          <w:szCs w:val="16"/>
          <w:color w:val="58595B"/>
        </w:rPr>
        <w:t>As a result of business performance goals in 2025 and the Compensation Committee's approved tariff adjustment to our reported adjusted EBITDA, the overall annual bonus pool was funded at 13.3% of target. The Compensation Committee exercised its discretion to approve bonus awards above the 13.3% funding level to: (i) recognize the contributions of the NEOs to advance our CMP, strengthening our quality systems and improving operations; and (ii) retain leadership as the Company continues to deliver on its transformation journey. The discretionary funding resulted in a total annual bonus pool funding at 40% of target, which was less than what was funded for the general employee population.</w:t>
      </w:r>
    </w:p>
    <w:p>
      <w:pPr>
        <w:spacing w:after="0" w:line="200" w:lineRule="exact"/>
        <w:rPr>
          <w:sz w:val="20"/>
          <w:szCs w:val="20"/>
          <w:color w:val="auto"/>
        </w:rPr>
      </w:pPr>
    </w:p>
    <w:p>
      <w:pPr>
        <w:sectPr>
          <w:pgSz w:w="11900" w:h="16838" w:orient="portrait"/>
          <w:cols w:equalWidth="0" w:num="2">
            <w:col w:w="1980" w:space="557"/>
            <w:col w:w="8703"/>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2"/>
          <w:szCs w:val="12"/>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661035</wp:posOffset>
            </wp:positionV>
            <wp:extent cx="7132320" cy="22371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223710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Key 2025</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Compensation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Decisions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(See Pages 42–51</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1423035" cy="15944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23035" cy="1594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Equity Grant Decisions</w:t>
      </w:r>
    </w:p>
    <w:p>
      <w:pPr>
        <w:spacing w:after="0" w:line="208" w:lineRule="exact"/>
        <w:rPr>
          <w:sz w:val="20"/>
          <w:szCs w:val="20"/>
          <w:color w:val="auto"/>
        </w:rPr>
      </w:pPr>
    </w:p>
    <w:p>
      <w:pPr>
        <w:ind w:right="180"/>
        <w:spacing w:after="0" w:line="239" w:lineRule="exact"/>
        <w:rPr>
          <w:sz w:val="20"/>
          <w:szCs w:val="20"/>
          <w:color w:val="auto"/>
        </w:rPr>
      </w:pPr>
      <w:r>
        <w:rPr>
          <w:rFonts w:ascii="Arial" w:cs="Arial" w:eastAsia="Arial" w:hAnsi="Arial"/>
          <w:sz w:val="16"/>
          <w:szCs w:val="16"/>
          <w:color w:val="58595B"/>
        </w:rPr>
        <w:t>For NEOs, annual equity grants consist of 50% PSUs, 25% non-qualified stock options and 25% restricted stock awards (RSAs). The annual equity grant for Ms. Poul followed a similar structure with different grant dates than the other NEOs due to her date of hire. On January 6, 2025, the effective date of Ms. Poul’s hire, Ms. Poul received a portion of her annual equity grant consisting of 25% restricted stock units and 25% non-qualified stock options each with a fair market value of approximately $1,500,000, respectively. Ms. Poul received her PSU grant in March 2025 in alignment with the Company’s annual grant with a fair market value of approximately $3,000,000. In addition to the annual equity grant, Ms. Poul received a one-time, new hire grant of restricted stock units and non-qualified stock options, each with a fair market value of approximately $750,000, respectively. The one</w:t>
      </w:r>
      <w:r>
        <w:rPr>
          <w:rFonts w:ascii="MS PGothic" w:cs="MS PGothic" w:eastAsia="MS PGothic" w:hAnsi="MS PGothic"/>
          <w:sz w:val="16"/>
          <w:szCs w:val="16"/>
          <w:color w:val="58595B"/>
        </w:rPr>
        <w:t>‑</w:t>
      </w:r>
      <w:r>
        <w:rPr>
          <w:rFonts w:ascii="Arial" w:cs="Arial" w:eastAsia="Arial" w:hAnsi="Arial"/>
          <w:sz w:val="16"/>
          <w:szCs w:val="16"/>
          <w:color w:val="58595B"/>
        </w:rPr>
        <w:t>time equity award was granted as an employment inducement to secure her acceptance of the Chief Executive Officer role and to replace compensation she was expected forgo by not standing for re</w:t>
      </w:r>
      <w:r>
        <w:rPr>
          <w:rFonts w:ascii="MS PGothic" w:cs="MS PGothic" w:eastAsia="MS PGothic" w:hAnsi="MS PGothic"/>
          <w:sz w:val="16"/>
          <w:szCs w:val="16"/>
          <w:color w:val="58595B"/>
        </w:rPr>
        <w:t>‑</w:t>
      </w:r>
      <w:r>
        <w:rPr>
          <w:rFonts w:ascii="Arial" w:cs="Arial" w:eastAsia="Arial" w:hAnsi="Arial"/>
          <w:sz w:val="16"/>
          <w:szCs w:val="16"/>
          <w:color w:val="58595B"/>
        </w:rPr>
        <w:t>election to two external boards on which she previously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389255</wp:posOffset>
            </wp:positionV>
            <wp:extent cx="5623560" cy="15944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23560" cy="1594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560"/>
            <w:col w:w="868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Key 2025</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Compensation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Decisions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(See Pages 42–51</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1423035" cy="21342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2303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
        <w:spacing w:after="0" w:line="328" w:lineRule="auto"/>
        <w:rPr>
          <w:sz w:val="20"/>
          <w:szCs w:val="20"/>
          <w:color w:val="auto"/>
        </w:rPr>
      </w:pPr>
      <w:r>
        <w:rPr>
          <w:rFonts w:ascii="Arial" w:cs="Arial" w:eastAsia="Arial" w:hAnsi="Arial"/>
          <w:sz w:val="17"/>
          <w:szCs w:val="17"/>
          <w:b w:val="1"/>
          <w:bCs w:val="1"/>
          <w:color w:val="FFFFFF"/>
        </w:rPr>
        <w:t>Key 2026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915670</wp:posOffset>
            </wp:positionV>
            <wp:extent cx="1423035" cy="9429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23035" cy="9429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PSU Performance Goals and Vesting Decisions</w:t>
      </w:r>
    </w:p>
    <w:p>
      <w:pPr>
        <w:spacing w:after="0" w:line="208"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color w:val="58595B"/>
        </w:rPr>
        <w:t>The 2025 PSU target level goal is 5% annual organic revenue growth from 2024. The PSU's maximum level of performance is 7% annual organic revenue growth and the vesting percentage opportunity for this award is 150% when exceptional performance is achieved or surpassed.</w:t>
      </w:r>
    </w:p>
    <w:p>
      <w:pPr>
        <w:spacing w:after="0" w:line="123" w:lineRule="exact"/>
        <w:rPr>
          <w:sz w:val="20"/>
          <w:szCs w:val="20"/>
          <w:color w:val="auto"/>
        </w:rPr>
      </w:pPr>
    </w:p>
    <w:p>
      <w:pPr>
        <w:ind w:right="360"/>
        <w:spacing w:after="0" w:line="319" w:lineRule="auto"/>
        <w:rPr>
          <w:sz w:val="20"/>
          <w:szCs w:val="20"/>
          <w:color w:val="auto"/>
        </w:rPr>
      </w:pPr>
      <w:r>
        <w:rPr>
          <w:rFonts w:ascii="Arial" w:cs="Arial" w:eastAsia="Arial" w:hAnsi="Arial"/>
          <w:sz w:val="16"/>
          <w:szCs w:val="16"/>
          <w:color w:val="58595B"/>
        </w:rPr>
        <w:t>In February 2026, the Compensation Committee reviewed the annual organic revenue growth goal for 2025 performance as it relates to the vesting of 2023, 2024 and 2025 PSU grants. Based on the Company's performance, PSUs tied to the 2025 performance year vested at 0% of target for the 2023, 2024 and 2025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237490</wp:posOffset>
            </wp:positionV>
            <wp:extent cx="5623560" cy="21342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23560" cy="213423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260"/>
        <w:spacing w:after="0" w:line="233" w:lineRule="exact"/>
        <w:rPr>
          <w:sz w:val="20"/>
          <w:szCs w:val="20"/>
          <w:color w:val="auto"/>
        </w:rPr>
      </w:pPr>
      <w:r>
        <w:rPr>
          <w:rFonts w:ascii="Arial" w:cs="Arial" w:eastAsia="Arial" w:hAnsi="Arial"/>
          <w:sz w:val="16"/>
          <w:szCs w:val="16"/>
          <w:color w:val="58595B"/>
        </w:rPr>
        <w:t>Starting with the 2026 annual equity grants, the Compensation Committee has approved the replacement of the grant of RSAs to the NEOs who previously received them with RSUs to better align to market practice. We also suspended the use of stock options due to their high share usage negatively impacting our burn rate and long-term share pool sustainability. Equity grants shall now consist of 50% RSUs and 50% PSUs for Ms. Poul and the other NEOs. Beginning with the 2026-2028 performance cycle, the Compensation Committee, in consultation with WTW, approved changes to the PSU award design to further align long</w:t>
      </w:r>
      <w:r>
        <w:rPr>
          <w:rFonts w:ascii="MS PGothic" w:cs="MS PGothic" w:eastAsia="MS PGothic" w:hAnsi="MS PGothic"/>
          <w:sz w:val="16"/>
          <w:szCs w:val="16"/>
          <w:color w:val="58595B"/>
        </w:rPr>
        <w:t>‑</w:t>
      </w:r>
      <w:r>
        <w:rPr>
          <w:rFonts w:ascii="Arial" w:cs="Arial" w:eastAsia="Arial" w:hAnsi="Arial"/>
          <w:sz w:val="16"/>
          <w:szCs w:val="16"/>
          <w:color w:val="58595B"/>
        </w:rPr>
        <w:t>term incentives with the Company’s strategic priorities and stockholder interests. Specifically, adjusted EBITDA margin will be used as a second performance metric for PSU awards. Under the revised PSU award program, each of the performance metrics will be weighted equally when determining achievement of performance goals under the revised PSU awards. In addition, the performance vesting percentage for achievement at the maximum level was increased from 150% to 200%. The Compensation Committee believes these changes will both better align our PSU award program with the market and our peers and drive improved top line and bottom line performance. Such changes will further align our plan with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279400</wp:posOffset>
            </wp:positionV>
            <wp:extent cx="5623560" cy="9429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23560" cy="9429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360"/>
            <w:col w:w="868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
        <w:spacing w:after="0" w:line="273" w:lineRule="auto"/>
        <w:rPr>
          <w:sz w:val="20"/>
          <w:szCs w:val="20"/>
          <w:color w:val="auto"/>
        </w:rPr>
      </w:pPr>
      <w:r>
        <w:rPr>
          <w:rFonts w:ascii="Arial" w:cs="Arial" w:eastAsia="Arial" w:hAnsi="Arial"/>
          <w:sz w:val="18"/>
          <w:szCs w:val="18"/>
          <w:b w:val="1"/>
          <w:bCs w:val="1"/>
          <w:color w:val="FFFFFF"/>
        </w:rPr>
        <w:t>Say-On-Pay Results And Stockholder Feedback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right="340"/>
        <w:spacing w:after="0" w:line="318" w:lineRule="auto"/>
        <w:rPr>
          <w:sz w:val="20"/>
          <w:szCs w:val="20"/>
          <w:color w:val="auto"/>
        </w:rPr>
      </w:pPr>
      <w:r>
        <w:rPr>
          <w:rFonts w:ascii="Arial" w:cs="Arial" w:eastAsia="Arial" w:hAnsi="Arial"/>
          <w:sz w:val="16"/>
          <w:szCs w:val="16"/>
          <w:color w:val="58595B"/>
        </w:rPr>
        <w:t>The Company continues to receive high levels of Say-on-Pay support, with 98.1% of votes cast in favor at our 2025 annual meeting of stockholders. The Compensation Committee believes this support, coupled with positive feedback from stockholders, to be an endorsement of our current program, which is considered as part of the Compensation Committee’s annual review.</w:t>
      </w:r>
    </w:p>
    <w:p>
      <w:pPr>
        <w:spacing w:after="0" w:line="200" w:lineRule="exact"/>
        <w:rPr>
          <w:sz w:val="20"/>
          <w:szCs w:val="20"/>
          <w:color w:val="auto"/>
        </w:rPr>
      </w:pPr>
    </w:p>
    <w:p>
      <w:pPr>
        <w:sectPr>
          <w:pgSz w:w="11900" w:h="16838" w:orient="portrait"/>
          <w:cols w:equalWidth="0" w:num="2">
            <w:col w:w="1820" w:space="720"/>
            <w:col w:w="868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36</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color w:val="009845"/>
        </w:rPr>
        <w:t>Supporting Our Pay-For-Performance Philosophy</w:t>
      </w:r>
    </w:p>
    <w:p>
      <w:pPr>
        <w:spacing w:after="0" w:line="247" w:lineRule="exact"/>
        <w:rPr>
          <w:sz w:val="20"/>
          <w:szCs w:val="20"/>
          <w:color w:val="auto"/>
        </w:rPr>
      </w:pPr>
    </w:p>
    <w:p>
      <w:pPr>
        <w:ind w:left="20"/>
        <w:spacing w:after="0" w:line="318" w:lineRule="auto"/>
        <w:rPr>
          <w:sz w:val="20"/>
          <w:szCs w:val="20"/>
          <w:color w:val="auto"/>
        </w:rPr>
      </w:pPr>
      <w:r>
        <w:rPr>
          <w:rFonts w:ascii="Arial" w:cs="Arial" w:eastAsia="Arial" w:hAnsi="Arial"/>
          <w:sz w:val="16"/>
          <w:szCs w:val="16"/>
          <w:color w:val="58595B"/>
        </w:rPr>
        <w:t>In support of our pay-for-performance philosophy and achievement of strong Company performance, the majority of the total compensation opportunity that our President and CEO and other NEOs receive is “at-risk” and dependent upon future performance. Market-competitive base salaries are established to provide our NEOs with a stable and secure source of income with “at-risk” pay aligned to driving our five strategic pillars.</w:t>
      </w:r>
    </w:p>
    <w:p>
      <w:pPr>
        <w:spacing w:after="0" w:line="118" w:lineRule="exact"/>
        <w:rPr>
          <w:sz w:val="20"/>
          <w:szCs w:val="20"/>
          <w:color w:val="auto"/>
        </w:rPr>
      </w:pPr>
    </w:p>
    <w:p>
      <w:pPr>
        <w:ind w:left="20" w:right="20"/>
        <w:spacing w:after="0" w:line="318" w:lineRule="auto"/>
        <w:rPr>
          <w:sz w:val="20"/>
          <w:szCs w:val="20"/>
          <w:color w:val="auto"/>
        </w:rPr>
      </w:pPr>
      <w:r>
        <w:rPr>
          <w:rFonts w:ascii="Arial" w:cs="Arial" w:eastAsia="Arial" w:hAnsi="Arial"/>
          <w:sz w:val="16"/>
          <w:szCs w:val="16"/>
          <w:color w:val="58595B"/>
        </w:rPr>
        <w:t>Consistent with the Company’s overall executive compensation philosophy, NEOs are rewarded for their strong leadership and individual performance and provided with equity incentives to ensure alignment of their interests with those of our stockholders. For Ms. Poul, 87% of her target total direct compensation opportunity was at-risk, as shown below. On average, the target total direct compensation for our NEOs other than Ms. Poul that is at-risk is 76%.</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Aligning Pay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114300</wp:posOffset>
            </wp:positionV>
            <wp:extent cx="6249035" cy="18427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49035" cy="1842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1116965</wp:posOffset>
            </wp:positionV>
            <wp:extent cx="2125980" cy="17316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2598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009845"/>
        </w:rPr>
        <w:t xml:space="preserve">The majority of </w:t>
      </w:r>
      <w:r>
        <w:rPr>
          <w:rFonts w:ascii="Arial" w:cs="Arial" w:eastAsia="Arial" w:hAnsi="Arial"/>
          <w:sz w:val="18"/>
          <w:szCs w:val="18"/>
          <w:b w:val="1"/>
          <w:bCs w:val="1"/>
          <w:color w:val="009845"/>
        </w:rPr>
        <w:t>total direct</w:t>
      </w:r>
      <w:r>
        <w:rPr>
          <w:rFonts w:ascii="Arial" w:cs="Arial" w:eastAsia="Arial" w:hAnsi="Arial"/>
          <w:sz w:val="18"/>
          <w:szCs w:val="18"/>
          <w:color w:val="009845"/>
        </w:rPr>
        <w:t xml:space="preserve"> </w:t>
      </w:r>
      <w:r>
        <w:rPr>
          <w:rFonts w:ascii="Arial" w:cs="Arial" w:eastAsia="Arial" w:hAnsi="Arial"/>
          <w:sz w:val="18"/>
          <w:szCs w:val="18"/>
          <w:b w:val="1"/>
          <w:bCs w:val="1"/>
          <w:color w:val="009845"/>
        </w:rPr>
        <w:t xml:space="preserve">compensation </w:t>
      </w:r>
      <w:r>
        <w:rPr>
          <w:rFonts w:ascii="Arial" w:cs="Arial" w:eastAsia="Arial" w:hAnsi="Arial"/>
          <w:sz w:val="18"/>
          <w:szCs w:val="18"/>
          <w:color w:val="009845"/>
        </w:rPr>
        <w:t>for our NEOs,</w:t>
      </w:r>
      <w:r>
        <w:rPr>
          <w:rFonts w:ascii="Arial" w:cs="Arial" w:eastAsia="Arial" w:hAnsi="Arial"/>
          <w:sz w:val="18"/>
          <w:szCs w:val="18"/>
          <w:b w:val="1"/>
          <w:bCs w:val="1"/>
          <w:color w:val="009845"/>
        </w:rPr>
        <w:t xml:space="preserve"> 87% for our President and CEO and an average of 76% for our other NEOs, is “at-risk” </w:t>
      </w:r>
      <w:r>
        <w:rPr>
          <w:rFonts w:ascii="Arial" w:cs="Arial" w:eastAsia="Arial" w:hAnsi="Arial"/>
          <w:sz w:val="18"/>
          <w:szCs w:val="18"/>
          <w:color w:val="009845"/>
        </w:rPr>
        <w:t>based on the</w:t>
      </w:r>
      <w:r>
        <w:rPr>
          <w:rFonts w:ascii="Arial" w:cs="Arial" w:eastAsia="Arial" w:hAnsi="Arial"/>
          <w:sz w:val="18"/>
          <w:szCs w:val="18"/>
          <w:b w:val="1"/>
          <w:bCs w:val="1"/>
          <w:color w:val="009845"/>
        </w:rPr>
        <w:t xml:space="preserve"> </w:t>
      </w:r>
      <w:r>
        <w:rPr>
          <w:rFonts w:ascii="Arial" w:cs="Arial" w:eastAsia="Arial" w:hAnsi="Arial"/>
          <w:sz w:val="18"/>
          <w:szCs w:val="18"/>
          <w:color w:val="009845"/>
        </w:rPr>
        <w:t>achievement of specific performance goals and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326390</wp:posOffset>
            </wp:positionV>
            <wp:extent cx="21259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1329" w:lineRule="exact"/>
        <w:rPr>
          <w:sz w:val="20"/>
          <w:szCs w:val="20"/>
          <w:color w:val="auto"/>
        </w:rPr>
      </w:pPr>
    </w:p>
    <w:p>
      <w:pPr>
        <w:sectPr>
          <w:pgSz w:w="11900" w:h="16838" w:orient="portrait"/>
          <w:cols w:equalWidth="0" w:num="2">
            <w:col w:w="7500" w:space="660"/>
            <w:col w:w="308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58595B"/>
        </w:rPr>
        <w:t>We emphasize variable pay rather than fixed pay, with target opportunities based on market practices and payments based on performance. The structure of our executive compensation program ensures that as an executive’s scope of responsibility increases, a greater portion of his or her compensation comes from performance-based pay. For 2025, the performance-based components of our executive compensation program were designed as follows: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37</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440" w:type="dxa"/>
            <w:vAlign w:val="bottom"/>
          </w:tcPr>
          <w:p>
            <w:pPr>
              <w:spacing w:after="0"/>
              <w:rPr>
                <w:sz w:val="21"/>
                <w:szCs w:val="21"/>
                <w:color w:val="auto"/>
              </w:rPr>
            </w:pPr>
          </w:p>
        </w:tc>
        <w:tc>
          <w:tcPr>
            <w:tcW w:w="3160" w:type="dxa"/>
            <w:vAlign w:val="bottom"/>
          </w:tcPr>
          <w:p>
            <w:pPr>
              <w:ind w:left="680"/>
              <w:spacing w:after="0"/>
              <w:rPr>
                <w:sz w:val="20"/>
                <w:szCs w:val="20"/>
                <w:color w:val="auto"/>
              </w:rPr>
            </w:pPr>
            <w:r>
              <w:rPr>
                <w:rFonts w:ascii="Arial" w:cs="Arial" w:eastAsia="Arial" w:hAnsi="Arial"/>
                <w:sz w:val="18"/>
                <w:szCs w:val="18"/>
                <w:b w:val="1"/>
                <w:bCs w:val="1"/>
                <w:color w:val="009845"/>
              </w:rPr>
              <w:t>Short-Term Incentive</w:t>
            </w:r>
          </w:p>
        </w:tc>
        <w:tc>
          <w:tcPr>
            <w:tcW w:w="3620" w:type="dxa"/>
            <w:vAlign w:val="bottom"/>
          </w:tcPr>
          <w:p>
            <w:pPr>
              <w:ind w:left="920"/>
              <w:spacing w:after="0"/>
              <w:rPr>
                <w:sz w:val="20"/>
                <w:szCs w:val="20"/>
                <w:color w:val="auto"/>
              </w:rPr>
            </w:pPr>
            <w:r>
              <w:rPr>
                <w:rFonts w:ascii="Arial" w:cs="Arial" w:eastAsia="Arial" w:hAnsi="Arial"/>
                <w:sz w:val="18"/>
                <w:szCs w:val="18"/>
                <w:b w:val="1"/>
                <w:bCs w:val="1"/>
                <w:color w:val="009845"/>
              </w:rPr>
              <w:t>Long-Term Incentive</w:t>
            </w:r>
          </w:p>
        </w:tc>
        <w:tc>
          <w:tcPr>
            <w:tcW w:w="3020" w:type="dxa"/>
            <w:vAlign w:val="bottom"/>
          </w:tcPr>
          <w:p>
            <w:pPr>
              <w:ind w:left="620"/>
              <w:spacing w:after="0"/>
              <w:rPr>
                <w:sz w:val="20"/>
                <w:szCs w:val="20"/>
                <w:color w:val="auto"/>
              </w:rPr>
            </w:pPr>
            <w:r>
              <w:rPr>
                <w:rFonts w:ascii="Arial" w:cs="Arial" w:eastAsia="Arial" w:hAnsi="Arial"/>
                <w:sz w:val="18"/>
                <w:szCs w:val="18"/>
                <w:b w:val="1"/>
                <w:bCs w:val="1"/>
                <w:color w:val="009845"/>
              </w:rPr>
              <w:t>Long-Term Incentive</w:t>
            </w:r>
          </w:p>
        </w:tc>
        <w:tc>
          <w:tcPr>
            <w:tcW w:w="0" w:type="dxa"/>
            <w:vAlign w:val="bottom"/>
          </w:tcPr>
          <w:p>
            <w:pPr>
              <w:spacing w:after="0"/>
              <w:rPr>
                <w:sz w:val="1"/>
                <w:szCs w:val="1"/>
                <w:color w:val="auto"/>
              </w:rPr>
            </w:pPr>
          </w:p>
        </w:tc>
      </w:tr>
      <w:tr>
        <w:trPr>
          <w:trHeight w:val="69"/>
        </w:trPr>
        <w:tc>
          <w:tcPr>
            <w:tcW w:w="1440" w:type="dxa"/>
            <w:vAlign w:val="bottom"/>
          </w:tcPr>
          <w:p>
            <w:pPr>
              <w:spacing w:after="0"/>
              <w:rPr>
                <w:sz w:val="6"/>
                <w:szCs w:val="6"/>
                <w:color w:val="auto"/>
              </w:rPr>
            </w:pPr>
          </w:p>
        </w:tc>
        <w:tc>
          <w:tcPr>
            <w:tcW w:w="31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160" w:type="dxa"/>
            <w:vAlign w:val="bottom"/>
            <w:tcBorders>
              <w:right w:val="single" w:sz="8" w:color="009845"/>
            </w:tcBorders>
            <w:shd w:val="clear" w:color="auto" w:fill="009845"/>
          </w:tcPr>
          <w:p>
            <w:pPr>
              <w:ind w:left="1080"/>
              <w:spacing w:after="0"/>
              <w:rPr>
                <w:sz w:val="20"/>
                <w:szCs w:val="20"/>
                <w:color w:val="auto"/>
              </w:rPr>
            </w:pPr>
            <w:r>
              <w:rPr>
                <w:rFonts w:ascii="Arial" w:cs="Arial" w:eastAsia="Arial" w:hAnsi="Arial"/>
                <w:sz w:val="14"/>
                <w:szCs w:val="14"/>
                <w:b w:val="1"/>
                <w:bCs w:val="1"/>
                <w:color w:val="FFFFFF"/>
              </w:rPr>
              <w:t>Annual Bonus</w:t>
            </w:r>
          </w:p>
        </w:tc>
        <w:tc>
          <w:tcPr>
            <w:tcW w:w="3620" w:type="dxa"/>
            <w:vAlign w:val="bottom"/>
            <w:tcBorders>
              <w:right w:val="single" w:sz="8" w:color="009845"/>
            </w:tcBorders>
            <w:shd w:val="clear" w:color="auto" w:fill="009845"/>
          </w:tcPr>
          <w:p>
            <w:pPr>
              <w:ind w:left="880"/>
              <w:spacing w:after="0"/>
              <w:rPr>
                <w:sz w:val="20"/>
                <w:szCs w:val="20"/>
                <w:color w:val="auto"/>
              </w:rPr>
            </w:pPr>
            <w:r>
              <w:rPr>
                <w:rFonts w:ascii="Arial" w:cs="Arial" w:eastAsia="Arial" w:hAnsi="Arial"/>
                <w:sz w:val="14"/>
                <w:szCs w:val="14"/>
                <w:b w:val="1"/>
                <w:bCs w:val="1"/>
                <w:color w:val="FFFFFF"/>
              </w:rPr>
              <w:t>Performance-based Equity</w:t>
            </w:r>
          </w:p>
        </w:tc>
        <w:tc>
          <w:tcPr>
            <w:tcW w:w="3020" w:type="dxa"/>
            <w:vAlign w:val="bottom"/>
            <w:shd w:val="clear" w:color="auto" w:fill="009845"/>
          </w:tcPr>
          <w:p>
            <w:pPr>
              <w:ind w:left="860"/>
              <w:spacing w:after="0"/>
              <w:rPr>
                <w:sz w:val="20"/>
                <w:szCs w:val="20"/>
                <w:color w:val="auto"/>
              </w:rPr>
            </w:pPr>
            <w:r>
              <w:rPr>
                <w:rFonts w:ascii="Arial" w:cs="Arial" w:eastAsia="Arial" w:hAnsi="Arial"/>
                <w:sz w:val="14"/>
                <w:szCs w:val="14"/>
                <w:b w:val="1"/>
                <w:bCs w:val="1"/>
                <w:color w:val="FFFFFF"/>
              </w:rPr>
              <w:t>Time-based Equity</w:t>
            </w:r>
          </w:p>
        </w:tc>
        <w:tc>
          <w:tcPr>
            <w:tcW w:w="0" w:type="dxa"/>
            <w:vAlign w:val="bottom"/>
          </w:tcPr>
          <w:p>
            <w:pPr>
              <w:spacing w:after="0"/>
              <w:rPr>
                <w:sz w:val="1"/>
                <w:szCs w:val="1"/>
                <w:color w:val="auto"/>
              </w:rPr>
            </w:pPr>
          </w:p>
        </w:tc>
      </w:tr>
      <w:tr>
        <w:trPr>
          <w:trHeight w:val="355"/>
        </w:trPr>
        <w:tc>
          <w:tcPr>
            <w:tcW w:w="144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Objective</w:t>
            </w:r>
          </w:p>
        </w:tc>
        <w:tc>
          <w:tcPr>
            <w:tcW w:w="316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Reward achievement of short-term (annual)</w:t>
            </w:r>
          </w:p>
        </w:tc>
        <w:tc>
          <w:tcPr>
            <w:tcW w:w="36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Reward exceptional long-term financial results and</w:t>
            </w:r>
          </w:p>
        </w:tc>
        <w:tc>
          <w:tcPr>
            <w:tcW w:w="30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Reinforce ownership in the Company with a</w:t>
            </w:r>
          </w:p>
        </w:tc>
        <w:tc>
          <w:tcPr>
            <w:tcW w:w="0" w:type="dxa"/>
            <w:vAlign w:val="bottom"/>
          </w:tcPr>
          <w:p>
            <w:pPr>
              <w:spacing w:after="0"/>
              <w:rPr>
                <w:sz w:val="1"/>
                <w:szCs w:val="1"/>
                <w:color w:val="auto"/>
              </w:rPr>
            </w:pPr>
          </w:p>
        </w:tc>
      </w:tr>
      <w:tr>
        <w:trPr>
          <w:trHeight w:val="81"/>
        </w:trPr>
        <w:tc>
          <w:tcPr>
            <w:tcW w:w="1440" w:type="dxa"/>
            <w:vAlign w:val="bottom"/>
            <w:vMerge w:val="continue"/>
            <w:shd w:val="clear" w:color="auto" w:fill="009845"/>
          </w:tcPr>
          <w:p>
            <w:pPr>
              <w:spacing w:after="0"/>
              <w:rPr>
                <w:sz w:val="7"/>
                <w:szCs w:val="7"/>
                <w:color w:val="auto"/>
              </w:rPr>
            </w:pPr>
          </w:p>
        </w:tc>
        <w:tc>
          <w:tcPr>
            <w:tcW w:w="3160" w:type="dxa"/>
            <w:vAlign w:val="bottom"/>
            <w:tcBorders>
              <w:right w:val="single" w:sz="8" w:color="58595B"/>
            </w:tcBorders>
            <w:vMerge w:val="continue"/>
            <w:shd w:val="clear" w:color="auto" w:fill="EFEDED"/>
          </w:tcPr>
          <w:p>
            <w:pPr>
              <w:spacing w:after="0"/>
              <w:rPr>
                <w:sz w:val="7"/>
                <w:szCs w:val="7"/>
                <w:color w:val="auto"/>
              </w:rPr>
            </w:pPr>
          </w:p>
        </w:tc>
        <w:tc>
          <w:tcPr>
            <w:tcW w:w="3620" w:type="dxa"/>
            <w:vAlign w:val="bottom"/>
            <w:tcBorders>
              <w:right w:val="single" w:sz="8" w:color="58595B"/>
            </w:tcBorders>
            <w:vMerge w:val="continue"/>
            <w:shd w:val="clear" w:color="auto" w:fill="EFEDED"/>
          </w:tcPr>
          <w:p>
            <w:pPr>
              <w:spacing w:after="0"/>
              <w:rPr>
                <w:sz w:val="7"/>
                <w:szCs w:val="7"/>
                <w:color w:val="auto"/>
              </w:rPr>
            </w:pPr>
          </w:p>
        </w:tc>
        <w:tc>
          <w:tcPr>
            <w:tcW w:w="302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focus to increase stockholder value over the</w:t>
            </w:r>
          </w:p>
        </w:tc>
        <w:tc>
          <w:tcPr>
            <w:tcW w:w="0" w:type="dxa"/>
            <w:vAlign w:val="bottom"/>
          </w:tcPr>
          <w:p>
            <w:pPr>
              <w:spacing w:after="0"/>
              <w:rPr>
                <w:sz w:val="1"/>
                <w:szCs w:val="1"/>
                <w:color w:val="auto"/>
              </w:rPr>
            </w:pPr>
          </w:p>
        </w:tc>
      </w:tr>
      <w:tr>
        <w:trPr>
          <w:trHeight w:val="94"/>
        </w:trPr>
        <w:tc>
          <w:tcPr>
            <w:tcW w:w="1440" w:type="dxa"/>
            <w:vAlign w:val="bottom"/>
            <w:vMerge w:val="continue"/>
            <w:shd w:val="clear" w:color="auto" w:fill="009845"/>
          </w:tcPr>
          <w:p>
            <w:pPr>
              <w:spacing w:after="0"/>
              <w:rPr>
                <w:sz w:val="8"/>
                <w:szCs w:val="8"/>
                <w:color w:val="auto"/>
              </w:rPr>
            </w:pPr>
          </w:p>
        </w:tc>
        <w:tc>
          <w:tcPr>
            <w:tcW w:w="316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corporate and individual performance goals</w:t>
            </w:r>
          </w:p>
        </w:tc>
        <w:tc>
          <w:tcPr>
            <w:tcW w:w="36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drive stockholder value creation</w:t>
            </w:r>
          </w:p>
        </w:tc>
        <w:tc>
          <w:tcPr>
            <w:tcW w:w="302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40" w:type="dxa"/>
            <w:vAlign w:val="bottom"/>
            <w:shd w:val="clear" w:color="auto" w:fill="009845"/>
          </w:tcPr>
          <w:p>
            <w:pPr>
              <w:spacing w:after="0"/>
              <w:rPr>
                <w:sz w:val="8"/>
                <w:szCs w:val="8"/>
                <w:color w:val="auto"/>
              </w:rPr>
            </w:pPr>
          </w:p>
        </w:tc>
        <w:tc>
          <w:tcPr>
            <w:tcW w:w="3160" w:type="dxa"/>
            <w:vAlign w:val="bottom"/>
            <w:tcBorders>
              <w:right w:val="single" w:sz="8" w:color="58595B"/>
            </w:tcBorders>
            <w:vMerge w:val="continue"/>
            <w:shd w:val="clear" w:color="auto" w:fill="EFEDED"/>
          </w:tcPr>
          <w:p>
            <w:pPr>
              <w:spacing w:after="0"/>
              <w:rPr>
                <w:sz w:val="8"/>
                <w:szCs w:val="8"/>
                <w:color w:val="auto"/>
              </w:rPr>
            </w:pPr>
          </w:p>
        </w:tc>
        <w:tc>
          <w:tcPr>
            <w:tcW w:w="3620" w:type="dxa"/>
            <w:vAlign w:val="bottom"/>
            <w:tcBorders>
              <w:right w:val="single" w:sz="8" w:color="58595B"/>
            </w:tcBorders>
            <w:vMerge w:val="continue"/>
            <w:shd w:val="clear" w:color="auto" w:fill="EFEDED"/>
          </w:tcPr>
          <w:p>
            <w:pPr>
              <w:spacing w:after="0"/>
              <w:rPr>
                <w:sz w:val="8"/>
                <w:szCs w:val="8"/>
                <w:color w:val="auto"/>
              </w:rPr>
            </w:pPr>
          </w:p>
        </w:tc>
        <w:tc>
          <w:tcPr>
            <w:tcW w:w="302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long term and support retention of executives</w:t>
            </w:r>
          </w:p>
        </w:tc>
        <w:tc>
          <w:tcPr>
            <w:tcW w:w="0" w:type="dxa"/>
            <w:vAlign w:val="bottom"/>
          </w:tcPr>
          <w:p>
            <w:pPr>
              <w:spacing w:after="0"/>
              <w:rPr>
                <w:sz w:val="1"/>
                <w:szCs w:val="1"/>
                <w:color w:val="auto"/>
              </w:rPr>
            </w:pPr>
          </w:p>
        </w:tc>
      </w:tr>
      <w:tr>
        <w:trPr>
          <w:trHeight w:val="95"/>
        </w:trPr>
        <w:tc>
          <w:tcPr>
            <w:tcW w:w="1440" w:type="dxa"/>
            <w:vAlign w:val="bottom"/>
            <w:shd w:val="clear" w:color="auto" w:fill="009845"/>
          </w:tcPr>
          <w:p>
            <w:pPr>
              <w:spacing w:after="0"/>
              <w:rPr>
                <w:sz w:val="8"/>
                <w:szCs w:val="8"/>
                <w:color w:val="auto"/>
              </w:rPr>
            </w:pPr>
          </w:p>
        </w:tc>
        <w:tc>
          <w:tcPr>
            <w:tcW w:w="3160" w:type="dxa"/>
            <w:vAlign w:val="bottom"/>
            <w:tcBorders>
              <w:right w:val="single" w:sz="8" w:color="58595B"/>
            </w:tcBorders>
            <w:shd w:val="clear" w:color="auto" w:fill="EFEDED"/>
          </w:tcPr>
          <w:p>
            <w:pPr>
              <w:spacing w:after="0"/>
              <w:rPr>
                <w:sz w:val="8"/>
                <w:szCs w:val="8"/>
                <w:color w:val="auto"/>
              </w:rPr>
            </w:pPr>
          </w:p>
        </w:tc>
        <w:tc>
          <w:tcPr>
            <w:tcW w:w="3620" w:type="dxa"/>
            <w:vAlign w:val="bottom"/>
            <w:tcBorders>
              <w:right w:val="single" w:sz="8" w:color="58595B"/>
            </w:tcBorders>
            <w:shd w:val="clear" w:color="auto" w:fill="EFEDED"/>
          </w:tcPr>
          <w:p>
            <w:pPr>
              <w:spacing w:after="0"/>
              <w:rPr>
                <w:sz w:val="8"/>
                <w:szCs w:val="8"/>
                <w:color w:val="auto"/>
              </w:rPr>
            </w:pPr>
          </w:p>
        </w:tc>
        <w:tc>
          <w:tcPr>
            <w:tcW w:w="302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009845"/>
          </w:tcPr>
          <w:p>
            <w:pPr>
              <w:spacing w:after="0"/>
              <w:rPr>
                <w:sz w:val="14"/>
                <w:szCs w:val="14"/>
                <w:color w:val="auto"/>
              </w:rPr>
            </w:pPr>
          </w:p>
        </w:tc>
        <w:tc>
          <w:tcPr>
            <w:tcW w:w="3160" w:type="dxa"/>
            <w:vAlign w:val="bottom"/>
            <w:tcBorders>
              <w:right w:val="single" w:sz="8" w:color="58595B"/>
            </w:tcBorders>
            <w:shd w:val="clear" w:color="auto" w:fill="EFEDED"/>
          </w:tcPr>
          <w:p>
            <w:pPr>
              <w:spacing w:after="0"/>
              <w:rPr>
                <w:sz w:val="14"/>
                <w:szCs w:val="14"/>
                <w:color w:val="auto"/>
              </w:rPr>
            </w:pPr>
          </w:p>
        </w:tc>
        <w:tc>
          <w:tcPr>
            <w:tcW w:w="3620" w:type="dxa"/>
            <w:vAlign w:val="bottom"/>
            <w:tcBorders>
              <w:right w:val="single" w:sz="8" w:color="58595B"/>
            </w:tcBorders>
            <w:shd w:val="clear" w:color="auto" w:fill="EFEDED"/>
          </w:tcPr>
          <w:p>
            <w:pPr>
              <w:spacing w:after="0"/>
              <w:rPr>
                <w:sz w:val="14"/>
                <w:szCs w:val="14"/>
                <w:color w:val="auto"/>
              </w:rPr>
            </w:pPr>
          </w:p>
        </w:tc>
        <w:tc>
          <w:tcPr>
            <w:tcW w:w="302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144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Form</w:t>
            </w:r>
          </w:p>
        </w:tc>
        <w:tc>
          <w:tcPr>
            <w:tcW w:w="316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Cash</w:t>
            </w:r>
          </w:p>
        </w:tc>
        <w:tc>
          <w:tcPr>
            <w:tcW w:w="3620" w:type="dxa"/>
            <w:vAlign w:val="bottom"/>
            <w:tcBorders>
              <w:right w:val="single" w:sz="8" w:color="58595B"/>
            </w:tcBorders>
          </w:tcPr>
          <w:p>
            <w:pPr>
              <w:ind w:left="100"/>
              <w:spacing w:after="0"/>
              <w:rPr>
                <w:sz w:val="20"/>
                <w:szCs w:val="20"/>
                <w:color w:val="auto"/>
              </w:rPr>
            </w:pPr>
            <w:r>
              <w:rPr>
                <w:rFonts w:ascii="Arial" w:cs="Arial" w:eastAsia="Arial" w:hAnsi="Arial"/>
                <w:sz w:val="14"/>
                <w:szCs w:val="14"/>
                <w:color w:val="58595B"/>
              </w:rPr>
              <w:t>PSUs</w:t>
            </w:r>
          </w:p>
        </w:tc>
        <w:tc>
          <w:tcPr>
            <w:tcW w:w="3020" w:type="dxa"/>
            <w:vAlign w:val="bottom"/>
          </w:tcPr>
          <w:p>
            <w:pPr>
              <w:ind w:left="100"/>
              <w:spacing w:after="0"/>
              <w:rPr>
                <w:sz w:val="20"/>
                <w:szCs w:val="20"/>
                <w:color w:val="auto"/>
              </w:rPr>
            </w:pPr>
            <w:r>
              <w:rPr>
                <w:rFonts w:ascii="Arial" w:cs="Arial" w:eastAsia="Arial" w:hAnsi="Arial"/>
                <w:sz w:val="14"/>
                <w:szCs w:val="14"/>
                <w:color w:val="58595B"/>
              </w:rPr>
              <w:t>RSUs for CEO only</w:t>
            </w:r>
          </w:p>
        </w:tc>
        <w:tc>
          <w:tcPr>
            <w:tcW w:w="0" w:type="dxa"/>
            <w:vAlign w:val="bottom"/>
          </w:tcPr>
          <w:p>
            <w:pPr>
              <w:spacing w:after="0"/>
              <w:rPr>
                <w:sz w:val="1"/>
                <w:szCs w:val="1"/>
                <w:color w:val="auto"/>
              </w:rPr>
            </w:pPr>
          </w:p>
        </w:tc>
      </w:tr>
      <w:tr>
        <w:trPr>
          <w:trHeight w:val="102"/>
        </w:trPr>
        <w:tc>
          <w:tcPr>
            <w:tcW w:w="1440" w:type="dxa"/>
            <w:vAlign w:val="bottom"/>
            <w:vMerge w:val="continue"/>
            <w:shd w:val="clear" w:color="auto" w:fill="009845"/>
          </w:tcPr>
          <w:p>
            <w:pPr>
              <w:spacing w:after="0"/>
              <w:rPr>
                <w:sz w:val="8"/>
                <w:szCs w:val="8"/>
                <w:color w:val="auto"/>
              </w:rPr>
            </w:pPr>
          </w:p>
        </w:tc>
        <w:tc>
          <w:tcPr>
            <w:tcW w:w="3160" w:type="dxa"/>
            <w:vAlign w:val="bottom"/>
            <w:tcBorders>
              <w:right w:val="single" w:sz="8" w:color="58595B"/>
            </w:tcBorders>
            <w:vMerge w:val="continue"/>
          </w:tcPr>
          <w:p>
            <w:pPr>
              <w:spacing w:after="0"/>
              <w:rPr>
                <w:sz w:val="8"/>
                <w:szCs w:val="8"/>
                <w:color w:val="auto"/>
              </w:rPr>
            </w:pPr>
          </w:p>
        </w:tc>
        <w:tc>
          <w:tcPr>
            <w:tcW w:w="362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Non-qualified Stock Options</w:t>
            </w:r>
          </w:p>
        </w:tc>
        <w:tc>
          <w:tcPr>
            <w:tcW w:w="3020" w:type="dxa"/>
            <w:vAlign w:val="bottom"/>
            <w:vMerge w:val="restart"/>
          </w:tcPr>
          <w:p>
            <w:pPr>
              <w:ind w:left="100"/>
              <w:spacing w:after="0"/>
              <w:rPr>
                <w:sz w:val="20"/>
                <w:szCs w:val="20"/>
                <w:color w:val="auto"/>
              </w:rPr>
            </w:pPr>
            <w:r>
              <w:rPr>
                <w:rFonts w:ascii="Arial" w:cs="Arial" w:eastAsia="Arial" w:hAnsi="Arial"/>
                <w:sz w:val="14"/>
                <w:szCs w:val="14"/>
                <w:color w:val="58595B"/>
              </w:rPr>
              <w:t>RSAs for all other NEOs</w:t>
            </w:r>
          </w:p>
        </w:tc>
        <w:tc>
          <w:tcPr>
            <w:tcW w:w="0" w:type="dxa"/>
            <w:vAlign w:val="bottom"/>
          </w:tcPr>
          <w:p>
            <w:pPr>
              <w:spacing w:after="0"/>
              <w:rPr>
                <w:sz w:val="1"/>
                <w:szCs w:val="1"/>
                <w:color w:val="auto"/>
              </w:rPr>
            </w:pPr>
          </w:p>
        </w:tc>
      </w:tr>
      <w:tr>
        <w:trPr>
          <w:trHeight w:val="88"/>
        </w:trPr>
        <w:tc>
          <w:tcPr>
            <w:tcW w:w="1440" w:type="dxa"/>
            <w:vAlign w:val="bottom"/>
            <w:shd w:val="clear" w:color="auto" w:fill="009845"/>
          </w:tcPr>
          <w:p>
            <w:pPr>
              <w:spacing w:after="0"/>
              <w:rPr>
                <w:sz w:val="7"/>
                <w:szCs w:val="7"/>
                <w:color w:val="auto"/>
              </w:rPr>
            </w:pPr>
          </w:p>
        </w:tc>
        <w:tc>
          <w:tcPr>
            <w:tcW w:w="3160" w:type="dxa"/>
            <w:vAlign w:val="bottom"/>
            <w:tcBorders>
              <w:right w:val="single" w:sz="8" w:color="58595B"/>
            </w:tcBorders>
          </w:tcPr>
          <w:p>
            <w:pPr>
              <w:spacing w:after="0"/>
              <w:rPr>
                <w:sz w:val="7"/>
                <w:szCs w:val="7"/>
                <w:color w:val="auto"/>
              </w:rPr>
            </w:pPr>
          </w:p>
        </w:tc>
        <w:tc>
          <w:tcPr>
            <w:tcW w:w="3620" w:type="dxa"/>
            <w:vAlign w:val="bottom"/>
            <w:tcBorders>
              <w:right w:val="single" w:sz="8" w:color="58595B"/>
            </w:tcBorders>
            <w:vMerge w:val="continue"/>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440" w:type="dxa"/>
            <w:vAlign w:val="bottom"/>
            <w:shd w:val="clear" w:color="auto" w:fill="009845"/>
          </w:tcPr>
          <w:p>
            <w:pPr>
              <w:spacing w:after="0"/>
              <w:rPr>
                <w:sz w:val="15"/>
                <w:szCs w:val="15"/>
                <w:color w:val="auto"/>
              </w:rPr>
            </w:pPr>
          </w:p>
        </w:tc>
        <w:tc>
          <w:tcPr>
            <w:tcW w:w="3160" w:type="dxa"/>
            <w:vAlign w:val="bottom"/>
            <w:tcBorders>
              <w:right w:val="single" w:sz="8" w:color="58595B"/>
            </w:tcBorders>
          </w:tcPr>
          <w:p>
            <w:pPr>
              <w:spacing w:after="0"/>
              <w:rPr>
                <w:sz w:val="15"/>
                <w:szCs w:val="15"/>
                <w:color w:val="auto"/>
              </w:rPr>
            </w:pPr>
          </w:p>
        </w:tc>
        <w:tc>
          <w:tcPr>
            <w:tcW w:w="3620" w:type="dxa"/>
            <w:vAlign w:val="bottom"/>
            <w:tcBorders>
              <w:right w:val="single" w:sz="8" w:color="58595B"/>
            </w:tcBorders>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144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Time Horizon</w:t>
            </w:r>
          </w:p>
        </w:tc>
        <w:tc>
          <w:tcPr>
            <w:tcW w:w="316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1 Year</w:t>
            </w:r>
          </w:p>
        </w:tc>
        <w:tc>
          <w:tcPr>
            <w:tcW w:w="3620" w:type="dxa"/>
            <w:vAlign w:val="bottom"/>
            <w:tcBorders>
              <w:right w:val="single" w:sz="8" w:color="58595B"/>
            </w:tcBorders>
            <w:shd w:val="clear" w:color="auto" w:fill="EFEDED"/>
          </w:tcPr>
          <w:p>
            <w:pPr>
              <w:ind w:left="100"/>
              <w:spacing w:after="0"/>
              <w:rPr>
                <w:sz w:val="20"/>
                <w:szCs w:val="20"/>
                <w:color w:val="auto"/>
              </w:rPr>
            </w:pPr>
            <w:r>
              <w:rPr>
                <w:rFonts w:ascii="Arial" w:cs="Arial" w:eastAsia="Arial" w:hAnsi="Arial"/>
                <w:sz w:val="14"/>
                <w:szCs w:val="14"/>
                <w:color w:val="58595B"/>
              </w:rPr>
              <w:t>3 Years (PSU)</w:t>
            </w:r>
          </w:p>
        </w:tc>
        <w:tc>
          <w:tcPr>
            <w:tcW w:w="302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3 Years</w:t>
            </w:r>
          </w:p>
        </w:tc>
        <w:tc>
          <w:tcPr>
            <w:tcW w:w="0" w:type="dxa"/>
            <w:vAlign w:val="bottom"/>
          </w:tcPr>
          <w:p>
            <w:pPr>
              <w:spacing w:after="0"/>
              <w:rPr>
                <w:sz w:val="1"/>
                <w:szCs w:val="1"/>
                <w:color w:val="auto"/>
              </w:rPr>
            </w:pPr>
          </w:p>
        </w:tc>
      </w:tr>
      <w:tr>
        <w:trPr>
          <w:trHeight w:val="102"/>
        </w:trPr>
        <w:tc>
          <w:tcPr>
            <w:tcW w:w="1440" w:type="dxa"/>
            <w:vAlign w:val="bottom"/>
            <w:vMerge w:val="continue"/>
            <w:shd w:val="clear" w:color="auto" w:fill="009845"/>
          </w:tcPr>
          <w:p>
            <w:pPr>
              <w:spacing w:after="0"/>
              <w:rPr>
                <w:sz w:val="8"/>
                <w:szCs w:val="8"/>
                <w:color w:val="auto"/>
              </w:rPr>
            </w:pPr>
          </w:p>
        </w:tc>
        <w:tc>
          <w:tcPr>
            <w:tcW w:w="3160" w:type="dxa"/>
            <w:vAlign w:val="bottom"/>
            <w:tcBorders>
              <w:right w:val="single" w:sz="8" w:color="58595B"/>
            </w:tcBorders>
            <w:vMerge w:val="continue"/>
            <w:shd w:val="clear" w:color="auto" w:fill="EFEDED"/>
          </w:tcPr>
          <w:p>
            <w:pPr>
              <w:spacing w:after="0"/>
              <w:rPr>
                <w:sz w:val="8"/>
                <w:szCs w:val="8"/>
                <w:color w:val="auto"/>
              </w:rPr>
            </w:pPr>
          </w:p>
        </w:tc>
        <w:tc>
          <w:tcPr>
            <w:tcW w:w="36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4 Years (Stock Options)</w:t>
            </w:r>
          </w:p>
        </w:tc>
        <w:tc>
          <w:tcPr>
            <w:tcW w:w="302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440" w:type="dxa"/>
            <w:vAlign w:val="bottom"/>
            <w:shd w:val="clear" w:color="auto" w:fill="009845"/>
          </w:tcPr>
          <w:p>
            <w:pPr>
              <w:spacing w:after="0"/>
              <w:rPr>
                <w:sz w:val="7"/>
                <w:szCs w:val="7"/>
                <w:color w:val="auto"/>
              </w:rPr>
            </w:pPr>
          </w:p>
        </w:tc>
        <w:tc>
          <w:tcPr>
            <w:tcW w:w="3160" w:type="dxa"/>
            <w:vAlign w:val="bottom"/>
            <w:tcBorders>
              <w:right w:val="single" w:sz="8" w:color="58595B"/>
            </w:tcBorders>
            <w:shd w:val="clear" w:color="auto" w:fill="EFEDED"/>
          </w:tcPr>
          <w:p>
            <w:pPr>
              <w:spacing w:after="0"/>
              <w:rPr>
                <w:sz w:val="7"/>
                <w:szCs w:val="7"/>
                <w:color w:val="auto"/>
              </w:rPr>
            </w:pPr>
          </w:p>
        </w:tc>
        <w:tc>
          <w:tcPr>
            <w:tcW w:w="3620" w:type="dxa"/>
            <w:vAlign w:val="bottom"/>
            <w:tcBorders>
              <w:right w:val="single" w:sz="8" w:color="58595B"/>
            </w:tcBorders>
            <w:vMerge w:val="continue"/>
            <w:shd w:val="clear" w:color="auto" w:fill="EFEDED"/>
          </w:tcPr>
          <w:p>
            <w:pPr>
              <w:spacing w:after="0"/>
              <w:rPr>
                <w:sz w:val="7"/>
                <w:szCs w:val="7"/>
                <w:color w:val="auto"/>
              </w:rPr>
            </w:pPr>
          </w:p>
        </w:tc>
        <w:tc>
          <w:tcPr>
            <w:tcW w:w="302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440" w:type="dxa"/>
            <w:vAlign w:val="bottom"/>
            <w:shd w:val="clear" w:color="auto" w:fill="009845"/>
          </w:tcPr>
          <w:p>
            <w:pPr>
              <w:spacing w:after="0"/>
              <w:rPr>
                <w:sz w:val="15"/>
                <w:szCs w:val="15"/>
                <w:color w:val="auto"/>
              </w:rPr>
            </w:pPr>
          </w:p>
        </w:tc>
        <w:tc>
          <w:tcPr>
            <w:tcW w:w="3160" w:type="dxa"/>
            <w:vAlign w:val="bottom"/>
            <w:tcBorders>
              <w:right w:val="single" w:sz="8" w:color="58595B"/>
            </w:tcBorders>
            <w:shd w:val="clear" w:color="auto" w:fill="EFEDED"/>
          </w:tcPr>
          <w:p>
            <w:pPr>
              <w:spacing w:after="0"/>
              <w:rPr>
                <w:sz w:val="15"/>
                <w:szCs w:val="15"/>
                <w:color w:val="auto"/>
              </w:rPr>
            </w:pPr>
          </w:p>
        </w:tc>
        <w:tc>
          <w:tcPr>
            <w:tcW w:w="3620" w:type="dxa"/>
            <w:vAlign w:val="bottom"/>
            <w:tcBorders>
              <w:right w:val="single" w:sz="8" w:color="58595B"/>
            </w:tcBorders>
            <w:shd w:val="clear" w:color="auto" w:fill="EFEDED"/>
          </w:tcPr>
          <w:p>
            <w:pPr>
              <w:spacing w:after="0"/>
              <w:rPr>
                <w:sz w:val="15"/>
                <w:szCs w:val="15"/>
                <w:color w:val="auto"/>
              </w:rPr>
            </w:pPr>
          </w:p>
        </w:tc>
        <w:tc>
          <w:tcPr>
            <w:tcW w:w="3020" w:type="dxa"/>
            <w:vAlign w:val="bottom"/>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353"/>
        </w:trPr>
        <w:tc>
          <w:tcPr>
            <w:tcW w:w="144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Metrics</w:t>
            </w:r>
          </w:p>
        </w:tc>
        <w:tc>
          <w:tcPr>
            <w:tcW w:w="3160" w:type="dxa"/>
            <w:vAlign w:val="bottom"/>
            <w:tcBorders>
              <w:right w:val="single" w:sz="8" w:color="58595B"/>
            </w:tcBorders>
          </w:tcPr>
          <w:p>
            <w:pPr>
              <w:ind w:left="100"/>
              <w:spacing w:after="0"/>
              <w:rPr>
                <w:sz w:val="20"/>
                <w:szCs w:val="20"/>
                <w:color w:val="auto"/>
              </w:rPr>
            </w:pPr>
            <w:r>
              <w:rPr>
                <w:rFonts w:ascii="Arial" w:cs="Arial" w:eastAsia="Arial" w:hAnsi="Arial"/>
                <w:sz w:val="14"/>
                <w:szCs w:val="14"/>
                <w:color w:val="58595B"/>
              </w:rPr>
              <w:t>Revenue — 40% weighting</w:t>
            </w:r>
          </w:p>
        </w:tc>
        <w:tc>
          <w:tcPr>
            <w:tcW w:w="3620" w:type="dxa"/>
            <w:vAlign w:val="bottom"/>
            <w:tcBorders>
              <w:right w:val="single" w:sz="8" w:color="58595B"/>
            </w:tcBorders>
          </w:tcPr>
          <w:p>
            <w:pPr>
              <w:ind w:left="100"/>
              <w:spacing w:after="0"/>
              <w:rPr>
                <w:sz w:val="20"/>
                <w:szCs w:val="20"/>
                <w:color w:val="auto"/>
              </w:rPr>
            </w:pPr>
            <w:r>
              <w:rPr>
                <w:rFonts w:ascii="Arial" w:cs="Arial" w:eastAsia="Arial" w:hAnsi="Arial"/>
                <w:sz w:val="14"/>
                <w:szCs w:val="14"/>
                <w:color w:val="58595B"/>
              </w:rPr>
              <w:t>Annual organic revenue growth (PSUs)</w:t>
            </w:r>
            <w:r>
              <w:rPr>
                <w:rFonts w:ascii="Arial" w:cs="Arial" w:eastAsia="Arial" w:hAnsi="Arial"/>
                <w:sz w:val="18"/>
                <w:szCs w:val="18"/>
                <w:color w:val="58595B"/>
                <w:vertAlign w:val="superscript"/>
              </w:rPr>
              <w:t>2</w:t>
            </w:r>
          </w:p>
        </w:tc>
        <w:tc>
          <w:tcPr>
            <w:tcW w:w="3020" w:type="dxa"/>
            <w:vAlign w:val="bottom"/>
            <w:vMerge w:val="restart"/>
          </w:tcPr>
          <w:p>
            <w:pPr>
              <w:ind w:left="100"/>
              <w:spacing w:after="0"/>
              <w:rPr>
                <w:sz w:val="20"/>
                <w:szCs w:val="20"/>
                <w:color w:val="auto"/>
              </w:rPr>
            </w:pPr>
            <w:r>
              <w:rPr>
                <w:rFonts w:ascii="Arial" w:cs="Arial" w:eastAsia="Arial" w:hAnsi="Arial"/>
                <w:sz w:val="14"/>
                <w:szCs w:val="14"/>
                <w:color w:val="58595B"/>
              </w:rPr>
              <w:t>Stock price appreciation</w:t>
            </w:r>
          </w:p>
        </w:tc>
        <w:tc>
          <w:tcPr>
            <w:tcW w:w="0" w:type="dxa"/>
            <w:vAlign w:val="bottom"/>
          </w:tcPr>
          <w:p>
            <w:pPr>
              <w:spacing w:after="0"/>
              <w:rPr>
                <w:sz w:val="1"/>
                <w:szCs w:val="1"/>
                <w:color w:val="auto"/>
              </w:rPr>
            </w:pPr>
          </w:p>
        </w:tc>
      </w:tr>
      <w:tr>
        <w:trPr>
          <w:trHeight w:val="83"/>
        </w:trPr>
        <w:tc>
          <w:tcPr>
            <w:tcW w:w="1440" w:type="dxa"/>
            <w:vAlign w:val="bottom"/>
            <w:vMerge w:val="continue"/>
            <w:shd w:val="clear" w:color="auto" w:fill="009845"/>
          </w:tcPr>
          <w:p>
            <w:pPr>
              <w:spacing w:after="0"/>
              <w:rPr>
                <w:sz w:val="7"/>
                <w:szCs w:val="7"/>
                <w:color w:val="auto"/>
              </w:rPr>
            </w:pPr>
          </w:p>
        </w:tc>
        <w:tc>
          <w:tcPr>
            <w:tcW w:w="3160" w:type="dxa"/>
            <w:vAlign w:val="bottom"/>
            <w:tcBorders>
              <w:right w:val="single" w:sz="8" w:color="58595B"/>
            </w:tcBorders>
            <w:vMerge w:val="restart"/>
          </w:tcPr>
          <w:p>
            <w:pPr>
              <w:ind w:left="100"/>
              <w:spacing w:after="0" w:line="178" w:lineRule="exact"/>
              <w:rPr>
                <w:sz w:val="20"/>
                <w:szCs w:val="20"/>
                <w:color w:val="auto"/>
              </w:rPr>
            </w:pPr>
            <w:r>
              <w:rPr>
                <w:rFonts w:ascii="Arial" w:cs="Arial" w:eastAsia="Arial" w:hAnsi="Arial"/>
                <w:sz w:val="14"/>
                <w:szCs w:val="14"/>
                <w:color w:val="58595B"/>
              </w:rPr>
              <w:t>Adjusted EBITDA</w:t>
            </w:r>
            <w:r>
              <w:rPr>
                <w:rFonts w:ascii="Arial" w:cs="Arial" w:eastAsia="Arial" w:hAnsi="Arial"/>
                <w:sz w:val="18"/>
                <w:szCs w:val="18"/>
                <w:color w:val="58595B"/>
                <w:vertAlign w:val="superscript"/>
              </w:rPr>
              <w:t>1</w:t>
            </w:r>
            <w:r>
              <w:rPr>
                <w:rFonts w:ascii="Arial" w:cs="Arial" w:eastAsia="Arial" w:hAnsi="Arial"/>
                <w:sz w:val="14"/>
                <w:szCs w:val="14"/>
                <w:color w:val="58595B"/>
              </w:rPr>
              <w:t xml:space="preserve"> — 40% weighting</w:t>
            </w:r>
          </w:p>
        </w:tc>
        <w:tc>
          <w:tcPr>
            <w:tcW w:w="362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Stock price appreciation</w:t>
            </w: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40" w:type="dxa"/>
            <w:vAlign w:val="bottom"/>
            <w:vMerge w:val="continue"/>
            <w:shd w:val="clear" w:color="auto" w:fill="009845"/>
          </w:tcPr>
          <w:p>
            <w:pPr>
              <w:spacing w:after="0"/>
              <w:rPr>
                <w:sz w:val="8"/>
                <w:szCs w:val="8"/>
                <w:color w:val="auto"/>
              </w:rPr>
            </w:pPr>
          </w:p>
        </w:tc>
        <w:tc>
          <w:tcPr>
            <w:tcW w:w="3160" w:type="dxa"/>
            <w:vAlign w:val="bottom"/>
            <w:tcBorders>
              <w:right w:val="single" w:sz="8" w:color="58595B"/>
            </w:tcBorders>
            <w:vMerge w:val="continue"/>
          </w:tcPr>
          <w:p>
            <w:pPr>
              <w:spacing w:after="0"/>
              <w:rPr>
                <w:sz w:val="8"/>
                <w:szCs w:val="8"/>
                <w:color w:val="auto"/>
              </w:rPr>
            </w:pPr>
          </w:p>
        </w:tc>
        <w:tc>
          <w:tcPr>
            <w:tcW w:w="3620" w:type="dxa"/>
            <w:vAlign w:val="bottom"/>
            <w:tcBorders>
              <w:right w:val="single" w:sz="8" w:color="58595B"/>
            </w:tcBorders>
            <w:vMerge w:val="continue"/>
          </w:tcPr>
          <w:p>
            <w:pPr>
              <w:spacing w:after="0"/>
              <w:rPr>
                <w:sz w:val="8"/>
                <w:szCs w:val="8"/>
                <w:color w:val="auto"/>
              </w:rPr>
            </w:pPr>
          </w:p>
        </w:tc>
        <w:tc>
          <w:tcPr>
            <w:tcW w:w="3020" w:type="dxa"/>
            <w:vAlign w:val="bottom"/>
            <w:vMerge w:val="restart"/>
          </w:tcPr>
          <w:p>
            <w:pPr>
              <w:ind w:left="100"/>
              <w:spacing w:after="0"/>
              <w:rPr>
                <w:sz w:val="20"/>
                <w:szCs w:val="20"/>
                <w:color w:val="auto"/>
              </w:rPr>
            </w:pPr>
            <w:r>
              <w:rPr>
                <w:rFonts w:ascii="Arial" w:cs="Arial" w:eastAsia="Arial" w:hAnsi="Arial"/>
                <w:sz w:val="14"/>
                <w:szCs w:val="14"/>
                <w:color w:val="58595B"/>
              </w:rPr>
              <w:t>Continued employment</w:t>
            </w:r>
          </w:p>
        </w:tc>
        <w:tc>
          <w:tcPr>
            <w:tcW w:w="0" w:type="dxa"/>
            <w:vAlign w:val="bottom"/>
          </w:tcPr>
          <w:p>
            <w:pPr>
              <w:spacing w:after="0"/>
              <w:rPr>
                <w:sz w:val="1"/>
                <w:szCs w:val="1"/>
                <w:color w:val="auto"/>
              </w:rPr>
            </w:pPr>
          </w:p>
        </w:tc>
      </w:tr>
      <w:tr>
        <w:trPr>
          <w:trHeight w:val="96"/>
        </w:trPr>
        <w:tc>
          <w:tcPr>
            <w:tcW w:w="1440" w:type="dxa"/>
            <w:vAlign w:val="bottom"/>
            <w:shd w:val="clear" w:color="auto" w:fill="009845"/>
          </w:tcPr>
          <w:p>
            <w:pPr>
              <w:spacing w:after="0"/>
              <w:rPr>
                <w:sz w:val="8"/>
                <w:szCs w:val="8"/>
                <w:color w:val="auto"/>
              </w:rPr>
            </w:pPr>
          </w:p>
        </w:tc>
        <w:tc>
          <w:tcPr>
            <w:tcW w:w="316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Operating cash flow — 20% weighting</w:t>
            </w:r>
          </w:p>
        </w:tc>
        <w:tc>
          <w:tcPr>
            <w:tcW w:w="362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Continued employment</w:t>
            </w: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40" w:type="dxa"/>
            <w:vAlign w:val="bottom"/>
            <w:shd w:val="clear" w:color="auto" w:fill="009845"/>
          </w:tcPr>
          <w:p>
            <w:pPr>
              <w:spacing w:after="0"/>
              <w:rPr>
                <w:sz w:val="8"/>
                <w:szCs w:val="8"/>
                <w:color w:val="auto"/>
              </w:rPr>
            </w:pPr>
          </w:p>
        </w:tc>
        <w:tc>
          <w:tcPr>
            <w:tcW w:w="3160" w:type="dxa"/>
            <w:vAlign w:val="bottom"/>
            <w:tcBorders>
              <w:right w:val="single" w:sz="8" w:color="58595B"/>
            </w:tcBorders>
            <w:vMerge w:val="continue"/>
          </w:tcPr>
          <w:p>
            <w:pPr>
              <w:spacing w:after="0"/>
              <w:rPr>
                <w:sz w:val="8"/>
                <w:szCs w:val="8"/>
                <w:color w:val="auto"/>
              </w:rPr>
            </w:pPr>
          </w:p>
        </w:tc>
        <w:tc>
          <w:tcPr>
            <w:tcW w:w="3620" w:type="dxa"/>
            <w:vAlign w:val="bottom"/>
            <w:tcBorders>
              <w:right w:val="single" w:sz="8" w:color="58595B"/>
            </w:tcBorders>
            <w:vMerge w:val="continue"/>
          </w:tcPr>
          <w:p>
            <w:pPr>
              <w:spacing w:after="0"/>
              <w:rPr>
                <w:sz w:val="8"/>
                <w:szCs w:val="8"/>
                <w:color w:val="auto"/>
              </w:rPr>
            </w:pPr>
          </w:p>
        </w:tc>
        <w:tc>
          <w:tcPr>
            <w:tcW w:w="3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440" w:type="dxa"/>
            <w:vAlign w:val="bottom"/>
            <w:tcBorders>
              <w:bottom w:val="single" w:sz="8" w:color="58595B"/>
            </w:tcBorders>
            <w:shd w:val="clear" w:color="auto" w:fill="009845"/>
          </w:tcPr>
          <w:p>
            <w:pPr>
              <w:spacing w:after="0"/>
              <w:rPr>
                <w:sz w:val="14"/>
                <w:szCs w:val="14"/>
                <w:color w:val="auto"/>
              </w:rPr>
            </w:pPr>
          </w:p>
        </w:tc>
        <w:tc>
          <w:tcPr>
            <w:tcW w:w="3160" w:type="dxa"/>
            <w:vAlign w:val="bottom"/>
            <w:tcBorders>
              <w:bottom w:val="single" w:sz="8" w:color="58595B"/>
              <w:right w:val="single" w:sz="8" w:color="58595B"/>
            </w:tcBorders>
          </w:tcPr>
          <w:p>
            <w:pPr>
              <w:spacing w:after="0"/>
              <w:rPr>
                <w:sz w:val="14"/>
                <w:szCs w:val="14"/>
                <w:color w:val="auto"/>
              </w:rPr>
            </w:pPr>
          </w:p>
        </w:tc>
        <w:tc>
          <w:tcPr>
            <w:tcW w:w="3620" w:type="dxa"/>
            <w:vAlign w:val="bottom"/>
            <w:tcBorders>
              <w:bottom w:val="single" w:sz="8" w:color="58595B"/>
              <w:right w:val="single" w:sz="8" w:color="58595B"/>
            </w:tcBorders>
          </w:tcPr>
          <w:p>
            <w:pPr>
              <w:spacing w:after="0"/>
              <w:rPr>
                <w:sz w:val="14"/>
                <w:szCs w:val="14"/>
                <w:color w:val="auto"/>
              </w:rPr>
            </w:pPr>
          </w:p>
        </w:tc>
        <w:tc>
          <w:tcPr>
            <w:tcW w:w="3020" w:type="dxa"/>
            <w:vAlign w:val="bottom"/>
            <w:tcBorders>
              <w:bottom w:val="single" w:sz="8" w:color="58595B"/>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-574040</wp:posOffset>
            </wp:positionV>
            <wp:extent cx="90868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9086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9086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Defined as GAAP net income excluding: (i) depreciation and amortization; (ii) other income (expense); (iii) interest income and expense; (iv) income tax expense (benefit);</w:t>
      </w:r>
    </w:p>
    <w:p>
      <w:pPr>
        <w:spacing w:after="0" w:line="15"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(v) impairment charges; and (vi) those operating expenses also excluded from adjusted net income. For fiscal year 2025, the Compensation Committee also adjusted the</w:t>
      </w:r>
    </w:p>
    <w:p>
      <w:pPr>
        <w:spacing w:after="0" w:line="15" w:lineRule="exact"/>
        <w:rPr>
          <w:sz w:val="20"/>
          <w:szCs w:val="20"/>
          <w:color w:val="auto"/>
        </w:rPr>
      </w:pPr>
    </w:p>
    <w:p>
      <w:pPr>
        <w:ind w:left="340" w:right="680"/>
        <w:spacing w:after="0" w:line="284" w:lineRule="auto"/>
        <w:rPr>
          <w:sz w:val="20"/>
          <w:szCs w:val="20"/>
          <w:color w:val="auto"/>
        </w:rPr>
      </w:pPr>
      <w:r>
        <w:rPr>
          <w:rFonts w:ascii="Arial" w:cs="Arial" w:eastAsia="Arial" w:hAnsi="Arial"/>
          <w:sz w:val="14"/>
          <w:szCs w:val="14"/>
          <w:color w:val="auto"/>
        </w:rPr>
        <w:t>adjusted EBITDA calculation for purposes of our annual cash bonus program to account for unanticipated tariff impacts affecting the operations and results of the Company.</w:t>
      </w:r>
    </w:p>
    <w:p>
      <w:pPr>
        <w:spacing w:after="0" w:line="10" w:lineRule="exact"/>
        <w:rPr>
          <w:sz w:val="20"/>
          <w:szCs w:val="20"/>
          <w:color w:val="auto"/>
        </w:rPr>
      </w:pPr>
    </w:p>
    <w:p>
      <w:pPr>
        <w:ind w:left="340" w:right="480" w:hanging="332"/>
        <w:spacing w:after="0" w:line="273" w:lineRule="auto"/>
        <w:tabs>
          <w:tab w:leader="none" w:pos="338" w:val="left"/>
        </w:tabs>
        <w:numPr>
          <w:ilvl w:val="0"/>
          <w:numId w:val="21"/>
        </w:numPr>
        <w:rPr>
          <w:rFonts w:ascii="Arial" w:cs="Arial" w:eastAsia="Arial" w:hAnsi="Arial"/>
          <w:sz w:val="14"/>
          <w:szCs w:val="14"/>
          <w:color w:val="auto"/>
        </w:rPr>
      </w:pPr>
      <w:r>
        <w:rPr>
          <w:rFonts w:ascii="Arial" w:cs="Arial" w:eastAsia="Arial" w:hAnsi="Arial"/>
          <w:sz w:val="14"/>
          <w:szCs w:val="14"/>
          <w:color w:val="auto"/>
        </w:rPr>
        <w:t>Organic revenue consists of total revenues excluding the effects of currency exchange rates, revenues from current-period acquisitions and product divestitures and discontinuances. Organic revenue growth is the increase in organic revenue compared to the prior year’s organic revenue. See "Appendix A -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38</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Compensation Best Practices</w:t>
      </w:r>
    </w:p>
    <w:p>
      <w:pPr>
        <w:spacing w:after="0" w:line="193" w:lineRule="exact"/>
        <w:rPr>
          <w:sz w:val="20"/>
          <w:szCs w:val="20"/>
          <w:color w:val="auto"/>
        </w:rPr>
      </w:pPr>
    </w:p>
    <w:p>
      <w:pPr>
        <w:ind w:right="320"/>
        <w:spacing w:after="0" w:line="356" w:lineRule="auto"/>
        <w:rPr>
          <w:sz w:val="20"/>
          <w:szCs w:val="20"/>
          <w:color w:val="auto"/>
        </w:rPr>
      </w:pPr>
      <w:r>
        <w:rPr>
          <w:rFonts w:ascii="Arial" w:cs="Arial" w:eastAsia="Arial" w:hAnsi="Arial"/>
          <w:sz w:val="16"/>
          <w:szCs w:val="16"/>
          <w:color w:val="58595B"/>
        </w:rPr>
        <w:t>The Compensation Committee applies a number of corporate governance features related to executive compensation, which are summarized below. We believe these mechanisms help to ensure alignment of executive and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2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694430" cy="27603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94430" cy="2760345"/>
                    </a:xfrm>
                    <a:prstGeom prst="rect">
                      <a:avLst/>
                    </a:prstGeom>
                    <a:noFill/>
                  </pic:spPr>
                </pic:pic>
              </a:graphicData>
            </a:graphic>
          </wp:anchor>
        </w:drawing>
      </w:r>
    </w:p>
    <w:p>
      <w:pPr>
        <w:spacing w:after="0" w:line="242"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Deliver executive compensation primarily through performance-based at-risk pay</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Maintain a peer group for benchmarking pay</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Set challenging short- and long-term incentive objectives</w:t>
      </w:r>
    </w:p>
    <w:p>
      <w:pPr>
        <w:spacing w:after="0" w:line="244" w:lineRule="exact"/>
        <w:rPr>
          <w:sz w:val="20"/>
          <w:szCs w:val="20"/>
          <w:color w:val="auto"/>
        </w:rPr>
      </w:pPr>
    </w:p>
    <w:p>
      <w:pPr>
        <w:ind w:left="460" w:right="200"/>
        <w:spacing w:after="0" w:line="301" w:lineRule="auto"/>
        <w:rPr>
          <w:sz w:val="20"/>
          <w:szCs w:val="20"/>
          <w:color w:val="auto"/>
        </w:rPr>
      </w:pPr>
      <w:r>
        <w:rPr>
          <w:rFonts w:ascii="Arial" w:cs="Arial" w:eastAsia="Arial" w:hAnsi="Arial"/>
          <w:sz w:val="14"/>
          <w:szCs w:val="14"/>
          <w:color w:val="58595B"/>
        </w:rPr>
        <w:t>Place a cap on the annual bonus payments and PSUs earned that executives can receive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Provide strong oversight that ensures adherence to equity grant regulations</w:t>
      </w:r>
    </w:p>
    <w:p>
      <w:pPr>
        <w:spacing w:after="0" w:line="204" w:lineRule="exact"/>
        <w:rPr>
          <w:sz w:val="20"/>
          <w:szCs w:val="20"/>
          <w:color w:val="auto"/>
        </w:rPr>
      </w:pPr>
    </w:p>
    <w:p>
      <w:pPr>
        <w:ind w:left="460" w:right="160"/>
        <w:spacing w:after="0" w:line="301" w:lineRule="auto"/>
        <w:rPr>
          <w:sz w:val="20"/>
          <w:szCs w:val="20"/>
          <w:color w:val="auto"/>
        </w:rPr>
      </w:pPr>
      <w:r>
        <w:rPr>
          <w:rFonts w:ascii="Arial" w:cs="Arial" w:eastAsia="Arial" w:hAnsi="Arial"/>
          <w:sz w:val="14"/>
          <w:szCs w:val="14"/>
          <w:color w:val="58595B"/>
        </w:rPr>
        <w:t>Maintain a clawback policy for annual bonus and equity compensation, as well as an anti-hedging/pledging policy</w:t>
      </w:r>
    </w:p>
    <w:p>
      <w:pPr>
        <w:spacing w:after="0" w:line="1" w:lineRule="exact"/>
        <w:rPr>
          <w:sz w:val="20"/>
          <w:szCs w:val="20"/>
          <w:color w:val="auto"/>
        </w:rPr>
      </w:pPr>
    </w:p>
    <w:p>
      <w:pPr>
        <w:ind w:left="460" w:right="80"/>
        <w:spacing w:after="0" w:line="301" w:lineRule="auto"/>
        <w:rPr>
          <w:sz w:val="20"/>
          <w:szCs w:val="20"/>
          <w:color w:val="auto"/>
        </w:rPr>
      </w:pPr>
      <w:r>
        <w:rPr>
          <w:rFonts w:ascii="Arial" w:cs="Arial" w:eastAsia="Arial" w:hAnsi="Arial"/>
          <w:sz w:val="14"/>
          <w:szCs w:val="14"/>
          <w:color w:val="58595B"/>
        </w:rPr>
        <w:t>Require stock ownership by executives, with minimum ownership levels defined by role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Have double-trigger change-in-control arrangements</w:t>
      </w:r>
    </w:p>
    <w:p>
      <w:pPr>
        <w:spacing w:after="0" w:line="82" w:lineRule="exact"/>
        <w:rPr>
          <w:sz w:val="20"/>
          <w:szCs w:val="20"/>
          <w:color w:val="auto"/>
        </w:rPr>
      </w:pPr>
    </w:p>
    <w:p>
      <w:pPr>
        <w:ind w:left="460" w:right="320"/>
        <w:spacing w:after="0" w:line="301" w:lineRule="auto"/>
        <w:rPr>
          <w:sz w:val="20"/>
          <w:szCs w:val="20"/>
          <w:color w:val="auto"/>
        </w:rPr>
      </w:pPr>
      <w:r>
        <w:rPr>
          <w:rFonts w:ascii="Arial" w:cs="Arial" w:eastAsia="Arial" w:hAnsi="Arial"/>
          <w:sz w:val="14"/>
          <w:szCs w:val="14"/>
          <w:color w:val="58595B"/>
        </w:rPr>
        <w:t>Conduct an annual risk assessment to mitigate any compensation program-related risk having a material adverse effect on the Company</w:t>
      </w:r>
    </w:p>
    <w:p>
      <w:pPr>
        <w:spacing w:after="0" w:line="1" w:lineRule="exact"/>
        <w:rPr>
          <w:sz w:val="20"/>
          <w:szCs w:val="20"/>
          <w:color w:val="auto"/>
        </w:rPr>
      </w:pPr>
    </w:p>
    <w:p>
      <w:pPr>
        <w:ind w:left="460" w:right="340"/>
        <w:spacing w:after="0" w:line="301" w:lineRule="auto"/>
        <w:rPr>
          <w:sz w:val="20"/>
          <w:szCs w:val="20"/>
          <w:color w:val="auto"/>
        </w:rPr>
      </w:pPr>
      <w:r>
        <w:rPr>
          <w:rFonts w:ascii="Arial" w:cs="Arial" w:eastAsia="Arial" w:hAnsi="Arial"/>
          <w:sz w:val="14"/>
          <w:szCs w:val="14"/>
          <w:color w:val="58595B"/>
        </w:rPr>
        <w:t>Offer market-competitive benefits for executives that are consistent with the benefits provided to the rest of our employees</w:t>
      </w:r>
    </w:p>
    <w:p>
      <w:pPr>
        <w:spacing w:after="0" w:line="1" w:lineRule="exact"/>
        <w:rPr>
          <w:sz w:val="20"/>
          <w:szCs w:val="20"/>
          <w:color w:val="auto"/>
        </w:rPr>
      </w:pPr>
    </w:p>
    <w:p>
      <w:pPr>
        <w:ind w:left="460" w:right="200"/>
        <w:spacing w:after="0" w:line="405" w:lineRule="auto"/>
        <w:rPr>
          <w:sz w:val="20"/>
          <w:szCs w:val="20"/>
          <w:color w:val="auto"/>
        </w:rPr>
      </w:pPr>
      <w:r>
        <w:rPr>
          <w:rFonts w:ascii="Arial" w:cs="Arial" w:eastAsia="Arial" w:hAnsi="Arial"/>
          <w:sz w:val="14"/>
          <w:szCs w:val="14"/>
          <w:color w:val="58595B"/>
        </w:rPr>
        <w:t>Consult with an independent consultant on compensation levels and practices Engage with stockholders regarding our compensation programs.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1719"/>
        <w:spacing w:after="0"/>
        <w:rPr>
          <w:sz w:val="20"/>
          <w:szCs w:val="20"/>
          <w:color w:val="auto"/>
        </w:rPr>
      </w:pPr>
      <w:r>
        <w:rPr>
          <w:rFonts w:ascii="Arial" w:cs="Arial" w:eastAsia="Arial" w:hAnsi="Arial"/>
          <w:sz w:val="18"/>
          <w:szCs w:val="18"/>
          <w:b w:val="1"/>
          <w:bCs w:val="1"/>
          <w:color w:val="FFFFFF"/>
        </w:rPr>
        <w:t>What We Don't Do</w:t>
      </w:r>
    </w:p>
    <w:p>
      <w:pPr>
        <w:ind w:left="279" w:hanging="279"/>
        <w:spacing w:after="0" w:line="219" w:lineRule="auto"/>
        <w:tabs>
          <w:tab w:leader="none" w:pos="279" w:val="left"/>
        </w:tabs>
        <w:numPr>
          <w:ilvl w:val="0"/>
          <w:numId w:val="22"/>
        </w:numPr>
        <w:rPr>
          <w:rFonts w:ascii="Arial" w:cs="Arial" w:eastAsia="Arial" w:hAnsi="Arial"/>
          <w:sz w:val="43"/>
          <w:szCs w:val="43"/>
          <w:b w:val="1"/>
          <w:bCs w:val="1"/>
          <w:color w:val="58595B"/>
          <w:vertAlign w:val="subscript"/>
        </w:rPr>
      </w:pPr>
      <w:r>
        <w:rPr>
          <w:rFonts w:ascii="Arial" w:cs="Arial" w:eastAsia="Arial" w:hAnsi="Arial"/>
          <w:sz w:val="14"/>
          <w:szCs w:val="14"/>
          <w:color w:val="58595B"/>
        </w:rPr>
        <w:t>No hedging or pledging of equity</w:t>
      </w:r>
    </w:p>
    <w:p>
      <w:pPr>
        <w:spacing w:after="0" w:line="102" w:lineRule="exact"/>
        <w:rPr>
          <w:rFonts w:ascii="Arial" w:cs="Arial" w:eastAsia="Arial" w:hAnsi="Arial"/>
          <w:sz w:val="43"/>
          <w:szCs w:val="43"/>
          <w:b w:val="1"/>
          <w:bCs w:val="1"/>
          <w:color w:val="58595B"/>
          <w:vertAlign w:val="subscript"/>
        </w:rPr>
      </w:pPr>
    </w:p>
    <w:p>
      <w:pPr>
        <w:ind w:left="279" w:hanging="279"/>
        <w:spacing w:after="0" w:line="182" w:lineRule="auto"/>
        <w:tabs>
          <w:tab w:leader="none" w:pos="279" w:val="left"/>
        </w:tabs>
        <w:numPr>
          <w:ilvl w:val="0"/>
          <w:numId w:val="22"/>
        </w:numPr>
        <w:rPr>
          <w:rFonts w:ascii="Arial" w:cs="Arial" w:eastAsia="Arial" w:hAnsi="Arial"/>
          <w:sz w:val="30"/>
          <w:szCs w:val="30"/>
          <w:b w:val="1"/>
          <w:bCs w:val="1"/>
          <w:color w:val="58595B"/>
          <w:vertAlign w:val="subscript"/>
        </w:rPr>
      </w:pPr>
      <w:r>
        <w:rPr>
          <w:rFonts w:ascii="Arial" w:cs="Arial" w:eastAsia="Arial" w:hAnsi="Arial"/>
          <w:sz w:val="12"/>
          <w:szCs w:val="12"/>
          <w:color w:val="58595B"/>
        </w:rPr>
        <w:t>No repricing of stock options</w:t>
      </w:r>
    </w:p>
    <w:p>
      <w:pPr>
        <w:spacing w:after="0" w:line="175" w:lineRule="exact"/>
        <w:rPr>
          <w:rFonts w:ascii="Arial" w:cs="Arial" w:eastAsia="Arial" w:hAnsi="Arial"/>
          <w:sz w:val="30"/>
          <w:szCs w:val="30"/>
          <w:b w:val="1"/>
          <w:bCs w:val="1"/>
          <w:color w:val="58595B"/>
          <w:vertAlign w:val="subscript"/>
        </w:rPr>
      </w:pPr>
    </w:p>
    <w:p>
      <w:pPr>
        <w:ind w:left="279" w:right="420" w:hanging="279"/>
        <w:spacing w:after="0" w:line="181" w:lineRule="auto"/>
        <w:tabs>
          <w:tab w:leader="none" w:pos="279" w:val="left"/>
        </w:tabs>
        <w:numPr>
          <w:ilvl w:val="0"/>
          <w:numId w:val="22"/>
        </w:numPr>
        <w:rPr>
          <w:rFonts w:ascii="Arial" w:cs="Arial" w:eastAsia="Arial" w:hAnsi="Arial"/>
          <w:sz w:val="30"/>
          <w:szCs w:val="30"/>
          <w:b w:val="1"/>
          <w:bCs w:val="1"/>
          <w:color w:val="58595B"/>
          <w:vertAlign w:val="subscript"/>
        </w:rPr>
      </w:pPr>
      <w:r>
        <w:rPr>
          <w:rFonts w:ascii="Arial" w:cs="Arial" w:eastAsia="Arial" w:hAnsi="Arial"/>
          <w:sz w:val="12"/>
          <w:szCs w:val="12"/>
          <w:color w:val="58595B"/>
        </w:rPr>
        <w:t>No guarantees or minimums related to base salary increases, annual bonuses or equity grants</w:t>
      </w:r>
    </w:p>
    <w:p>
      <w:pPr>
        <w:spacing w:after="0" w:line="40" w:lineRule="exact"/>
        <w:rPr>
          <w:rFonts w:ascii="Arial" w:cs="Arial" w:eastAsia="Arial" w:hAnsi="Arial"/>
          <w:sz w:val="30"/>
          <w:szCs w:val="30"/>
          <w:b w:val="1"/>
          <w:bCs w:val="1"/>
          <w:color w:val="58595B"/>
          <w:vertAlign w:val="subscript"/>
        </w:rPr>
      </w:pPr>
    </w:p>
    <w:p>
      <w:pPr>
        <w:ind w:left="279" w:right="760" w:hanging="279"/>
        <w:spacing w:after="0" w:line="181" w:lineRule="auto"/>
        <w:tabs>
          <w:tab w:leader="none" w:pos="279" w:val="left"/>
        </w:tabs>
        <w:numPr>
          <w:ilvl w:val="0"/>
          <w:numId w:val="22"/>
        </w:numPr>
        <w:rPr>
          <w:rFonts w:ascii="Arial" w:cs="Arial" w:eastAsia="Arial" w:hAnsi="Arial"/>
          <w:sz w:val="30"/>
          <w:szCs w:val="30"/>
          <w:b w:val="1"/>
          <w:bCs w:val="1"/>
          <w:color w:val="58595B"/>
          <w:vertAlign w:val="subscript"/>
        </w:rPr>
      </w:pPr>
      <w:r>
        <w:rPr>
          <w:rFonts w:ascii="Arial" w:cs="Arial" w:eastAsia="Arial" w:hAnsi="Arial"/>
          <w:sz w:val="12"/>
          <w:szCs w:val="12"/>
          <w:color w:val="58595B"/>
        </w:rPr>
        <w:t>No duplication of long-term performance targets with our annual performance targets</w:t>
      </w:r>
    </w:p>
    <w:p>
      <w:pPr>
        <w:spacing w:after="0" w:line="1" w:lineRule="exact"/>
        <w:rPr>
          <w:rFonts w:ascii="Arial" w:cs="Arial" w:eastAsia="Arial" w:hAnsi="Arial"/>
          <w:sz w:val="30"/>
          <w:szCs w:val="30"/>
          <w:b w:val="1"/>
          <w:bCs w:val="1"/>
          <w:color w:val="58595B"/>
          <w:vertAlign w:val="subscript"/>
        </w:rPr>
      </w:pPr>
    </w:p>
    <w:p>
      <w:pPr>
        <w:ind w:left="279" w:hanging="279"/>
        <w:spacing w:after="0" w:line="184" w:lineRule="auto"/>
        <w:tabs>
          <w:tab w:leader="none" w:pos="279" w:val="left"/>
        </w:tabs>
        <w:numPr>
          <w:ilvl w:val="0"/>
          <w:numId w:val="22"/>
        </w:numPr>
        <w:rPr>
          <w:rFonts w:ascii="Arial" w:cs="Arial" w:eastAsia="Arial" w:hAnsi="Arial"/>
          <w:sz w:val="26"/>
          <w:szCs w:val="26"/>
          <w:b w:val="1"/>
          <w:bCs w:val="1"/>
          <w:color w:val="58595B"/>
          <w:vertAlign w:val="subscript"/>
        </w:rPr>
      </w:pPr>
      <w:r>
        <w:rPr>
          <w:rFonts w:ascii="Arial" w:cs="Arial" w:eastAsia="Arial" w:hAnsi="Arial"/>
          <w:sz w:val="12"/>
          <w:szCs w:val="12"/>
          <w:color w:val="58595B"/>
        </w:rPr>
        <w:t>No gross-ups in connection with a change in control</w:t>
      </w:r>
    </w:p>
    <w:p>
      <w:pPr>
        <w:spacing w:after="0" w:line="101" w:lineRule="exact"/>
        <w:rPr>
          <w:rFonts w:ascii="Arial" w:cs="Arial" w:eastAsia="Arial" w:hAnsi="Arial"/>
          <w:sz w:val="26"/>
          <w:szCs w:val="26"/>
          <w:b w:val="1"/>
          <w:bCs w:val="1"/>
          <w:color w:val="58595B"/>
          <w:vertAlign w:val="subscript"/>
        </w:rPr>
      </w:pPr>
    </w:p>
    <w:p>
      <w:pPr>
        <w:ind w:left="279" w:hanging="279"/>
        <w:spacing w:after="0" w:line="182" w:lineRule="auto"/>
        <w:tabs>
          <w:tab w:leader="none" w:pos="279" w:val="left"/>
        </w:tabs>
        <w:numPr>
          <w:ilvl w:val="0"/>
          <w:numId w:val="22"/>
        </w:numPr>
        <w:rPr>
          <w:rFonts w:ascii="Arial" w:cs="Arial" w:eastAsia="Arial" w:hAnsi="Arial"/>
          <w:sz w:val="30"/>
          <w:szCs w:val="30"/>
          <w:b w:val="1"/>
          <w:bCs w:val="1"/>
          <w:color w:val="58595B"/>
          <w:vertAlign w:val="subscript"/>
        </w:rPr>
      </w:pPr>
      <w:r>
        <w:rPr>
          <w:rFonts w:ascii="Arial" w:cs="Arial" w:eastAsia="Arial" w:hAnsi="Arial"/>
          <w:sz w:val="12"/>
          <w:szCs w:val="12"/>
          <w:color w:val="58595B"/>
        </w:rPr>
        <w:t>No excessive perquisites</w:t>
      </w:r>
    </w:p>
    <w:p>
      <w:pPr>
        <w:spacing w:after="0" w:line="102" w:lineRule="exact"/>
        <w:rPr>
          <w:rFonts w:ascii="Arial" w:cs="Arial" w:eastAsia="Arial" w:hAnsi="Arial"/>
          <w:sz w:val="30"/>
          <w:szCs w:val="30"/>
          <w:b w:val="1"/>
          <w:bCs w:val="1"/>
          <w:color w:val="58595B"/>
          <w:vertAlign w:val="subscript"/>
        </w:rPr>
      </w:pPr>
    </w:p>
    <w:p>
      <w:pPr>
        <w:ind w:left="279" w:hanging="279"/>
        <w:spacing w:after="0" w:line="180" w:lineRule="auto"/>
        <w:tabs>
          <w:tab w:leader="none" w:pos="279" w:val="left"/>
        </w:tabs>
        <w:numPr>
          <w:ilvl w:val="0"/>
          <w:numId w:val="22"/>
        </w:numPr>
        <w:rPr>
          <w:rFonts w:ascii="Arial" w:cs="Arial" w:eastAsia="Arial" w:hAnsi="Arial"/>
          <w:sz w:val="35"/>
          <w:szCs w:val="35"/>
          <w:b w:val="1"/>
          <w:bCs w:val="1"/>
          <w:color w:val="58595B"/>
          <w:vertAlign w:val="subscript"/>
        </w:rPr>
      </w:pPr>
      <w:r>
        <w:rPr>
          <w:rFonts w:ascii="Arial" w:cs="Arial" w:eastAsia="Arial" w:hAnsi="Arial"/>
          <w:sz w:val="13"/>
          <w:szCs w:val="13"/>
          <w:color w:val="58595B"/>
        </w:rPr>
        <w:t>No supplemental executive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-1656080</wp:posOffset>
            </wp:positionV>
            <wp:extent cx="3351530" cy="27603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51530" cy="2760345"/>
                    </a:xfrm>
                    <a:prstGeom prst="rect">
                      <a:avLst/>
                    </a:prstGeom>
                    <a:noFill/>
                  </pic:spPr>
                </pic:pic>
              </a:graphicData>
            </a:graphic>
          </wp:anchor>
        </w:drawing>
      </w:r>
    </w:p>
    <w:p>
      <w:pPr>
        <w:spacing w:after="0" w:line="2012" w:lineRule="exact"/>
        <w:rPr>
          <w:sz w:val="20"/>
          <w:szCs w:val="20"/>
          <w:color w:val="auto"/>
        </w:rPr>
      </w:pPr>
    </w:p>
    <w:p>
      <w:pPr>
        <w:sectPr>
          <w:pgSz w:w="11900" w:h="16838" w:orient="portrait"/>
          <w:cols w:equalWidth="0" w:num="2">
            <w:col w:w="5600" w:space="541"/>
            <w:col w:w="5099"/>
          </w:cols>
          <w:pgMar w:left="320" w:top="122"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Stockholder Input On Executive Compensation</w:t>
      </w:r>
    </w:p>
    <w:p>
      <w:pPr>
        <w:spacing w:after="0" w:line="180" w:lineRule="exact"/>
        <w:rPr>
          <w:sz w:val="20"/>
          <w:szCs w:val="20"/>
          <w:color w:val="auto"/>
        </w:rPr>
      </w:pPr>
    </w:p>
    <w:p>
      <w:pPr>
        <w:ind w:left="20" w:right="60"/>
        <w:spacing w:after="0" w:line="318" w:lineRule="auto"/>
        <w:rPr>
          <w:sz w:val="20"/>
          <w:szCs w:val="20"/>
          <w:color w:val="auto"/>
        </w:rPr>
      </w:pPr>
      <w:r>
        <w:rPr>
          <w:rFonts w:ascii="Arial" w:cs="Arial" w:eastAsia="Arial" w:hAnsi="Arial"/>
          <w:sz w:val="16"/>
          <w:szCs w:val="16"/>
          <w:color w:val="58595B"/>
        </w:rPr>
        <w:t>We value the opinions of our stockholders and regularly solicit input on our executive compensation program. The Compensation Committee rigorously evaluates the design of our executive compensation program and the decisions concerning each of our NEOs, taking into account stockholder feedback, including the advisory Say on Pay vote cast at our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009845"/>
        </w:rPr>
        <w:t xml:space="preserve">For our 2025 Say-on-Pay, approximately </w:t>
      </w:r>
      <w:r>
        <w:rPr>
          <w:rFonts w:ascii="Arial" w:cs="Arial" w:eastAsia="Arial" w:hAnsi="Arial"/>
          <w:sz w:val="18"/>
          <w:szCs w:val="18"/>
          <w:b w:val="1"/>
          <w:bCs w:val="1"/>
          <w:color w:val="009845"/>
        </w:rPr>
        <w:t xml:space="preserve">98.1% of the “say-on-pay” </w:t>
      </w:r>
      <w:r>
        <w:rPr>
          <w:rFonts w:ascii="Arial" w:cs="Arial" w:eastAsia="Arial" w:hAnsi="Arial"/>
          <w:sz w:val="18"/>
          <w:szCs w:val="18"/>
          <w:color w:val="009845"/>
        </w:rPr>
        <w:t>stockholder</w:t>
      </w:r>
      <w:r>
        <w:rPr>
          <w:rFonts w:ascii="Arial" w:cs="Arial" w:eastAsia="Arial" w:hAnsi="Arial"/>
          <w:sz w:val="18"/>
          <w:szCs w:val="18"/>
          <w:b w:val="1"/>
          <w:bCs w:val="1"/>
          <w:color w:val="009845"/>
        </w:rPr>
        <w:t xml:space="preserve"> </w:t>
      </w:r>
      <w:r>
        <w:rPr>
          <w:rFonts w:ascii="Arial" w:cs="Arial" w:eastAsia="Arial" w:hAnsi="Arial"/>
          <w:sz w:val="18"/>
          <w:szCs w:val="18"/>
          <w:color w:val="009845"/>
        </w:rPr>
        <w:t>votes cast approved the compensation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-715645</wp:posOffset>
            </wp:positionV>
            <wp:extent cx="2537460" cy="8915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37460" cy="891540"/>
                    </a:xfrm>
                    <a:prstGeom prst="rect">
                      <a:avLst/>
                    </a:prstGeom>
                    <a:noFill/>
                  </pic:spPr>
                </pic:pic>
              </a:graphicData>
            </a:graphic>
          </wp:anchor>
        </w:drawing>
      </w:r>
    </w:p>
    <w:p>
      <w:pPr>
        <w:spacing w:after="0" w:line="317" w:lineRule="exact"/>
        <w:rPr>
          <w:sz w:val="20"/>
          <w:szCs w:val="20"/>
          <w:color w:val="auto"/>
        </w:rPr>
      </w:pPr>
    </w:p>
    <w:p>
      <w:pPr>
        <w:sectPr>
          <w:pgSz w:w="11900" w:h="16838" w:orient="portrait"/>
          <w:cols w:equalWidth="0" w:num="2">
            <w:col w:w="6780" w:space="720"/>
            <w:col w:w="3740"/>
          </w:cols>
          <w:pgMar w:left="320" w:top="122" w:right="339" w:bottom="1440" w:gutter="0" w:footer="0" w:header="0"/>
          <w:type w:val="continuous"/>
        </w:sectPr>
      </w:pPr>
    </w:p>
    <w:p>
      <w:pPr>
        <w:spacing w:after="0" w:line="161" w:lineRule="exact"/>
        <w:rPr>
          <w:sz w:val="20"/>
          <w:szCs w:val="20"/>
          <w:color w:val="auto"/>
        </w:rPr>
      </w:pPr>
    </w:p>
    <w:p>
      <w:pPr>
        <w:spacing w:after="0" w:line="319" w:lineRule="auto"/>
        <w:rPr>
          <w:sz w:val="20"/>
          <w:szCs w:val="20"/>
          <w:color w:val="auto"/>
        </w:rPr>
      </w:pPr>
      <w:r>
        <w:rPr>
          <w:rFonts w:ascii="Arial" w:cs="Arial" w:eastAsia="Arial" w:hAnsi="Arial"/>
          <w:sz w:val="16"/>
          <w:szCs w:val="16"/>
          <w:color w:val="58595B"/>
        </w:rPr>
        <w:t>For our 2025 Say-on-Pay, approximately 98.1% of the votes cast approved the compensation for our NEOs. We annually review our executive compensation program to ensure a strong alignment between pay and the Company’s performance. We believe that the Say-on-Pay vote shows support for our current executive compensation design.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00"/>
        <w:spacing w:after="0" w:line="314" w:lineRule="auto"/>
        <w:rPr>
          <w:sz w:val="20"/>
          <w:szCs w:val="20"/>
          <w:color w:val="auto"/>
        </w:rPr>
      </w:pPr>
      <w:r>
        <w:rPr>
          <w:rFonts w:ascii="Arial" w:cs="Arial" w:eastAsia="Arial" w:hAnsi="Arial"/>
          <w:sz w:val="16"/>
          <w:szCs w:val="16"/>
          <w:color w:val="58595B"/>
        </w:rPr>
        <w:t>Over the course of 2025, we continued to gather feedback on our executive compensation program through ongoing shareholder engagement. Integra’s management team engaged with institutional shareholders representing approximately 40 percent of the outstanding shareholder base through investor events and direct meetings, where we discussed our strategy and execution priorities. Through these engagements, we received feedback on corporate strategy, governance and sustainability matters, as well as business and financial performance. Investor feedback continued to emphasize consistent execution, organic revenue growth, and cash flow generation as important indicators of business strength and key drivers of long-term shareholder value creation.</w:t>
      </w:r>
    </w:p>
    <w:p>
      <w:pPr>
        <w:spacing w:after="0" w:line="122"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58595B"/>
        </w:rPr>
        <w:t>To strengthen our pay-for-performance culture, the Compensation Committee considered our strong 2025 vote results and the feedback obtained from our investor outreach when making decisions relating to compensation for our NEOs for 2025. Our philosophy is to use performance metrics that directly align with our business strategy and stockholder interests. Based on these factors, annual organic revenue growth has been used as our long-term incentive performance shares metric since 2018. Beginning in 2026, we added a second performance metric, adjusted EBITDA margin, to the long-term incentive performance share design to complement the organic revenue growth metric. This ensures leaders are rewarded not only for growing the business, but for doing so profitably and sustainably. This further aligns our plan more closely with long-term value creation.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Role of the Compensation Committee</w:t>
      </w:r>
    </w:p>
    <w:p>
      <w:pPr>
        <w:spacing w:after="0" w:line="72"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58595B"/>
        </w:rPr>
        <w:t>The Compensation Committee undertakes a comprehensive annual review of the executive compensation program for all NEOs, as well as other executives within the Company. While Integra management provides input, it is the responsibility of the Compensation Committee to evaluate and approve our executive compensation philosophy, plans, policies, programs and decisions.</w:t>
      </w:r>
    </w:p>
    <w:p>
      <w:pPr>
        <w:spacing w:after="0" w:line="110"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58595B"/>
        </w:rPr>
        <w:t>The following table illustrates the steps the Compensation Committee follows to ensure the total compensation for our NEOs is competitive, appropriately tied to performance, and does not promote undue risk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06285" cy="2832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06285" cy="2832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1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Step 1:</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Input On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2134235" cy="32315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34235" cy="3231515"/>
                    </a:xfrm>
                    <a:prstGeom prst="rect">
                      <a:avLst/>
                    </a:prstGeom>
                    <a:noFill/>
                  </pic:spPr>
                </pic:pic>
              </a:graphicData>
            </a:graphic>
          </wp:anchor>
        </w:drawing>
      </w:r>
    </w:p>
    <w:p>
      <w:pPr>
        <w:spacing w:after="0" w:line="300" w:lineRule="exact"/>
        <w:rPr>
          <w:sz w:val="20"/>
          <w:szCs w:val="20"/>
          <w:color w:val="auto"/>
        </w:rPr>
      </w:pPr>
    </w:p>
    <w:p>
      <w:pPr>
        <w:ind w:left="100" w:right="300"/>
        <w:spacing w:after="0" w:line="308" w:lineRule="auto"/>
        <w:rPr>
          <w:sz w:val="20"/>
          <w:szCs w:val="20"/>
          <w:color w:val="auto"/>
        </w:rPr>
      </w:pPr>
      <w:r>
        <w:rPr>
          <w:rFonts w:ascii="Arial" w:cs="Arial" w:eastAsia="Arial" w:hAnsi="Arial"/>
          <w:sz w:val="16"/>
          <w:szCs w:val="16"/>
          <w:color w:val="58595B"/>
        </w:rPr>
        <w:t xml:space="preserve">At the beginning of each year, </w:t>
      </w:r>
      <w:r>
        <w:rPr>
          <w:rFonts w:ascii="Arial" w:cs="Arial" w:eastAsia="Arial" w:hAnsi="Arial"/>
          <w:sz w:val="16"/>
          <w:szCs w:val="16"/>
          <w:b w:val="1"/>
          <w:bCs w:val="1"/>
          <w:color w:val="58595B"/>
        </w:rPr>
        <w:t>management, including the President</w:t>
      </w:r>
    </w:p>
    <w:p>
      <w:pPr>
        <w:ind w:left="100" w:right="40"/>
        <w:spacing w:after="0" w:line="313" w:lineRule="auto"/>
        <w:rPr>
          <w:sz w:val="20"/>
          <w:szCs w:val="20"/>
          <w:color w:val="auto"/>
        </w:rPr>
      </w:pPr>
      <w:r>
        <w:rPr>
          <w:rFonts w:ascii="Arial" w:cs="Arial" w:eastAsia="Arial" w:hAnsi="Arial"/>
          <w:sz w:val="16"/>
          <w:szCs w:val="16"/>
          <w:b w:val="1"/>
          <w:bCs w:val="1"/>
          <w:color w:val="58595B"/>
        </w:rPr>
        <w:t xml:space="preserve">and CEO, provides recommendations </w:t>
      </w:r>
      <w:r>
        <w:rPr>
          <w:rFonts w:ascii="Arial" w:cs="Arial" w:eastAsia="Arial" w:hAnsi="Arial"/>
          <w:sz w:val="16"/>
          <w:szCs w:val="16"/>
          <w:color w:val="58595B"/>
        </w:rPr>
        <w:t>to</w:t>
      </w:r>
      <w:r>
        <w:rPr>
          <w:rFonts w:ascii="Arial" w:cs="Arial" w:eastAsia="Arial" w:hAnsi="Arial"/>
          <w:sz w:val="16"/>
          <w:szCs w:val="16"/>
          <w:b w:val="1"/>
          <w:bCs w:val="1"/>
          <w:color w:val="58595B"/>
        </w:rPr>
        <w:t xml:space="preserve"> </w:t>
      </w:r>
      <w:r>
        <w:rPr>
          <w:rFonts w:ascii="Arial" w:cs="Arial" w:eastAsia="Arial" w:hAnsi="Arial"/>
          <w:sz w:val="16"/>
          <w:szCs w:val="16"/>
          <w:color w:val="58595B"/>
        </w:rPr>
        <w:t>the Compensation Committee regarding the compensation of the NEOs. The CEO does not make recommendations on her own pay.</w:t>
      </w:r>
    </w:p>
    <w:p>
      <w:pPr>
        <w:spacing w:after="0" w:line="137" w:lineRule="exact"/>
        <w:rPr>
          <w:sz w:val="20"/>
          <w:szCs w:val="20"/>
          <w:color w:val="auto"/>
        </w:rPr>
      </w:pPr>
    </w:p>
    <w:p>
      <w:pPr>
        <w:ind w:left="100" w:right="100"/>
        <w:spacing w:after="0" w:line="305" w:lineRule="auto"/>
        <w:rPr>
          <w:sz w:val="20"/>
          <w:szCs w:val="20"/>
          <w:color w:val="auto"/>
        </w:rPr>
      </w:pPr>
      <w:r>
        <w:rPr>
          <w:rFonts w:ascii="Arial" w:cs="Arial" w:eastAsia="Arial" w:hAnsi="Arial"/>
          <w:sz w:val="16"/>
          <w:szCs w:val="16"/>
          <w:color w:val="58595B"/>
        </w:rPr>
        <w:t xml:space="preserve">These recommendations take into consideration the </w:t>
      </w:r>
      <w:r>
        <w:rPr>
          <w:rFonts w:ascii="Arial" w:cs="Arial" w:eastAsia="Arial" w:hAnsi="Arial"/>
          <w:sz w:val="16"/>
          <w:szCs w:val="16"/>
          <w:b w:val="1"/>
          <w:bCs w:val="1"/>
          <w:color w:val="58595B"/>
        </w:rPr>
        <w:t>competitive market pay</w:t>
      </w:r>
      <w:r>
        <w:rPr>
          <w:rFonts w:ascii="Arial" w:cs="Arial" w:eastAsia="Arial" w:hAnsi="Arial"/>
          <w:sz w:val="16"/>
          <w:szCs w:val="16"/>
          <w:color w:val="58595B"/>
        </w:rPr>
        <w:t xml:space="preserve"> </w:t>
      </w:r>
      <w:r>
        <w:rPr>
          <w:rFonts w:ascii="Arial" w:cs="Arial" w:eastAsia="Arial" w:hAnsi="Arial"/>
          <w:sz w:val="16"/>
          <w:szCs w:val="16"/>
          <w:b w:val="1"/>
          <w:bCs w:val="1"/>
          <w:color w:val="58595B"/>
        </w:rPr>
        <w:t>data provided by the Board’s</w:t>
      </w:r>
    </w:p>
    <w:p>
      <w:pPr>
        <w:spacing w:after="0" w:line="1" w:lineRule="exact"/>
        <w:rPr>
          <w:sz w:val="20"/>
          <w:szCs w:val="20"/>
          <w:color w:val="auto"/>
        </w:rPr>
      </w:pPr>
    </w:p>
    <w:p>
      <w:pPr>
        <w:ind w:left="100" w:right="60"/>
        <w:spacing w:after="0" w:line="313" w:lineRule="auto"/>
        <w:rPr>
          <w:sz w:val="20"/>
          <w:szCs w:val="20"/>
          <w:color w:val="auto"/>
        </w:rPr>
      </w:pPr>
      <w:r>
        <w:rPr>
          <w:rFonts w:ascii="Arial" w:cs="Arial" w:eastAsia="Arial" w:hAnsi="Arial"/>
          <w:sz w:val="16"/>
          <w:szCs w:val="16"/>
          <w:b w:val="1"/>
          <w:bCs w:val="1"/>
          <w:color w:val="58595B"/>
        </w:rPr>
        <w:t>independent consultant</w:t>
      </w:r>
      <w:r>
        <w:rPr>
          <w:rFonts w:ascii="Arial" w:cs="Arial" w:eastAsia="Arial" w:hAnsi="Arial"/>
          <w:sz w:val="16"/>
          <w:szCs w:val="16"/>
          <w:color w:val="58595B"/>
        </w:rPr>
        <w:t>, as well as an</w:t>
      </w:r>
      <w:r>
        <w:rPr>
          <w:rFonts w:ascii="Arial" w:cs="Arial" w:eastAsia="Arial" w:hAnsi="Arial"/>
          <w:sz w:val="16"/>
          <w:szCs w:val="16"/>
          <w:b w:val="1"/>
          <w:bCs w:val="1"/>
          <w:color w:val="58595B"/>
        </w:rPr>
        <w:t xml:space="preserve"> </w:t>
      </w:r>
      <w:r>
        <w:rPr>
          <w:rFonts w:ascii="Arial" w:cs="Arial" w:eastAsia="Arial" w:hAnsi="Arial"/>
          <w:sz w:val="16"/>
          <w:szCs w:val="16"/>
          <w:color w:val="58595B"/>
        </w:rPr>
        <w:t>evaluation of the NEO’s role, performance and contributions to the Company’s results, as well as the individual’s long-term potential.</w:t>
      </w:r>
    </w:p>
    <w:p>
      <w:pPr>
        <w:spacing w:after="0" w:line="137" w:lineRule="exact"/>
        <w:rPr>
          <w:sz w:val="20"/>
          <w:szCs w:val="20"/>
          <w:color w:val="auto"/>
        </w:rPr>
      </w:pPr>
    </w:p>
    <w:p>
      <w:pPr>
        <w:jc w:val="both"/>
        <w:ind w:left="100" w:right="280"/>
        <w:spacing w:after="0" w:line="319" w:lineRule="auto"/>
        <w:rPr>
          <w:sz w:val="20"/>
          <w:szCs w:val="20"/>
          <w:color w:val="auto"/>
        </w:rPr>
      </w:pPr>
      <w:r>
        <w:rPr>
          <w:rFonts w:ascii="Arial" w:cs="Arial" w:eastAsia="Arial" w:hAnsi="Arial"/>
          <w:sz w:val="16"/>
          <w:szCs w:val="16"/>
          <w:color w:val="58595B"/>
        </w:rPr>
        <w:t>(See more below on the Compensation Committee's independent compensation consultant.)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Step 2:</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Compensation Committee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83185</wp:posOffset>
            </wp:positionV>
            <wp:extent cx="2151380" cy="32315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1380" cy="3231515"/>
                    </a:xfrm>
                    <a:prstGeom prst="rect">
                      <a:avLst/>
                    </a:prstGeom>
                    <a:noFill/>
                  </pic:spPr>
                </pic:pic>
              </a:graphicData>
            </a:graphic>
          </wp:anchor>
        </w:drawing>
      </w:r>
    </w:p>
    <w:p>
      <w:pPr>
        <w:spacing w:after="0" w:line="300"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color w:val="58595B"/>
        </w:rPr>
        <w:t>The Compensation Committee considers these recommendations together with the input of our independent compensation consultant and subsequently the</w:t>
      </w:r>
    </w:p>
    <w:p>
      <w:pPr>
        <w:spacing w:after="0" w:line="2" w:lineRule="exact"/>
        <w:rPr>
          <w:sz w:val="20"/>
          <w:szCs w:val="20"/>
          <w:color w:val="auto"/>
        </w:rPr>
      </w:pPr>
    </w:p>
    <w:p>
      <w:pPr>
        <w:ind w:right="180"/>
        <w:spacing w:after="0" w:line="327" w:lineRule="auto"/>
        <w:rPr>
          <w:sz w:val="20"/>
          <w:szCs w:val="20"/>
          <w:color w:val="auto"/>
        </w:rPr>
      </w:pPr>
      <w:r>
        <w:rPr>
          <w:rFonts w:ascii="Arial" w:cs="Arial" w:eastAsia="Arial" w:hAnsi="Arial"/>
          <w:sz w:val="16"/>
          <w:szCs w:val="16"/>
          <w:b w:val="1"/>
          <w:bCs w:val="1"/>
          <w:color w:val="58595B"/>
        </w:rPr>
        <w:t>Compensation Committee determines the NEOs’ compensation, ensuring it is aligned with our compensation philosophy.</w:t>
      </w:r>
    </w:p>
    <w:p>
      <w:pPr>
        <w:spacing w:after="0" w:line="104"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color w:val="58595B"/>
        </w:rPr>
        <w:t>All aspects of the CEO’s compensation are determined solely by the Compensation Committee, with input from the independent compensation consultant.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Step 3:</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Compensation Committee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83185</wp:posOffset>
            </wp:positionV>
            <wp:extent cx="2151380" cy="32315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1380" cy="3231515"/>
                    </a:xfrm>
                    <a:prstGeom prst="rect">
                      <a:avLst/>
                    </a:prstGeom>
                    <a:noFill/>
                  </pic:spPr>
                </pic:pic>
              </a:graphicData>
            </a:graphic>
          </wp:anchor>
        </w:drawing>
      </w:r>
    </w:p>
    <w:p>
      <w:pPr>
        <w:spacing w:after="0" w:line="300" w:lineRule="exact"/>
        <w:rPr>
          <w:sz w:val="20"/>
          <w:szCs w:val="20"/>
          <w:color w:val="auto"/>
        </w:rPr>
      </w:pPr>
    </w:p>
    <w:p>
      <w:pPr>
        <w:ind w:right="400"/>
        <w:spacing w:after="0" w:line="349" w:lineRule="auto"/>
        <w:rPr>
          <w:sz w:val="20"/>
          <w:szCs w:val="20"/>
          <w:color w:val="auto"/>
        </w:rPr>
      </w:pPr>
      <w:r>
        <w:rPr>
          <w:rFonts w:ascii="Arial" w:cs="Arial" w:eastAsia="Arial" w:hAnsi="Arial"/>
          <w:sz w:val="16"/>
          <w:szCs w:val="16"/>
          <w:color w:val="58595B"/>
        </w:rPr>
        <w:t xml:space="preserve">For the coming year, the </w:t>
      </w:r>
      <w:r>
        <w:rPr>
          <w:rFonts w:ascii="Arial" w:cs="Arial" w:eastAsia="Arial" w:hAnsi="Arial"/>
          <w:sz w:val="16"/>
          <w:szCs w:val="16"/>
          <w:b w:val="1"/>
          <w:bCs w:val="1"/>
          <w:color w:val="58595B"/>
        </w:rPr>
        <w:t>Compensation</w:t>
      </w:r>
      <w:r>
        <w:rPr>
          <w:rFonts w:ascii="Arial" w:cs="Arial" w:eastAsia="Arial" w:hAnsi="Arial"/>
          <w:sz w:val="16"/>
          <w:szCs w:val="16"/>
          <w:color w:val="58595B"/>
        </w:rPr>
        <w:t xml:space="preserve"> </w:t>
      </w:r>
      <w:r>
        <w:rPr>
          <w:rFonts w:ascii="Arial" w:cs="Arial" w:eastAsia="Arial" w:hAnsi="Arial"/>
          <w:sz w:val="16"/>
          <w:szCs w:val="16"/>
          <w:b w:val="1"/>
          <w:bCs w:val="1"/>
          <w:color w:val="58595B"/>
        </w:rPr>
        <w:t>Committee reviews and approves:</w:t>
      </w:r>
    </w:p>
    <w:p>
      <w:pPr>
        <w:spacing w:after="0" w:line="99" w:lineRule="exact"/>
        <w:rPr>
          <w:sz w:val="20"/>
          <w:szCs w:val="20"/>
          <w:color w:val="auto"/>
        </w:rPr>
      </w:pPr>
    </w:p>
    <w:p>
      <w:pPr>
        <w:ind w:left="360" w:hanging="127"/>
        <w:spacing w:after="0"/>
        <w:tabs>
          <w:tab w:leader="none" w:pos="360" w:val="left"/>
        </w:tabs>
        <w:numPr>
          <w:ilvl w:val="0"/>
          <w:numId w:val="23"/>
        </w:numPr>
        <w:rPr>
          <w:rFonts w:ascii="Arial" w:cs="Arial" w:eastAsia="Arial" w:hAnsi="Arial"/>
          <w:sz w:val="16"/>
          <w:szCs w:val="16"/>
          <w:color w:val="58595B"/>
        </w:rPr>
      </w:pPr>
      <w:r>
        <w:rPr>
          <w:rFonts w:ascii="Arial" w:cs="Arial" w:eastAsia="Arial" w:hAnsi="Arial"/>
          <w:sz w:val="16"/>
          <w:szCs w:val="16"/>
          <w:color w:val="58595B"/>
        </w:rPr>
        <w:t>Objectives for the CEO</w:t>
      </w:r>
    </w:p>
    <w:p>
      <w:pPr>
        <w:spacing w:after="0" w:line="207" w:lineRule="exact"/>
        <w:rPr>
          <w:rFonts w:ascii="Arial" w:cs="Arial" w:eastAsia="Arial" w:hAnsi="Arial"/>
          <w:sz w:val="16"/>
          <w:szCs w:val="16"/>
          <w:color w:val="58595B"/>
        </w:rPr>
      </w:pPr>
    </w:p>
    <w:p>
      <w:pPr>
        <w:jc w:val="both"/>
        <w:ind w:left="400" w:right="380" w:hanging="167"/>
        <w:spacing w:after="0" w:line="328" w:lineRule="auto"/>
        <w:tabs>
          <w:tab w:leader="none" w:pos="362" w:val="left"/>
        </w:tabs>
        <w:numPr>
          <w:ilvl w:val="0"/>
          <w:numId w:val="23"/>
        </w:numPr>
        <w:rPr>
          <w:rFonts w:ascii="Arial" w:cs="Arial" w:eastAsia="Arial" w:hAnsi="Arial"/>
          <w:sz w:val="16"/>
          <w:szCs w:val="16"/>
          <w:color w:val="58595B"/>
        </w:rPr>
      </w:pPr>
      <w:r>
        <w:rPr>
          <w:rFonts w:ascii="Arial" w:cs="Arial" w:eastAsia="Arial" w:hAnsi="Arial"/>
          <w:sz w:val="16"/>
          <w:szCs w:val="16"/>
          <w:color w:val="58595B"/>
        </w:rPr>
        <w:t>Variable pay target opportunities for annual bonus and long-term equity incentives</w:t>
      </w:r>
    </w:p>
    <w:p>
      <w:pPr>
        <w:spacing w:after="0" w:line="109" w:lineRule="exact"/>
        <w:rPr>
          <w:rFonts w:ascii="Arial" w:cs="Arial" w:eastAsia="Arial" w:hAnsi="Arial"/>
          <w:sz w:val="16"/>
          <w:szCs w:val="16"/>
          <w:color w:val="58595B"/>
        </w:rPr>
      </w:pPr>
    </w:p>
    <w:p>
      <w:pPr>
        <w:ind w:left="400" w:right="420" w:hanging="167"/>
        <w:spacing w:after="0" w:line="356" w:lineRule="auto"/>
        <w:tabs>
          <w:tab w:leader="none" w:pos="362" w:val="left"/>
        </w:tabs>
        <w:numPr>
          <w:ilvl w:val="0"/>
          <w:numId w:val="23"/>
        </w:numPr>
        <w:rPr>
          <w:rFonts w:ascii="Arial" w:cs="Arial" w:eastAsia="Arial" w:hAnsi="Arial"/>
          <w:sz w:val="16"/>
          <w:szCs w:val="16"/>
          <w:color w:val="58595B"/>
        </w:rPr>
      </w:pPr>
      <w:r>
        <w:rPr>
          <w:rFonts w:ascii="Arial" w:cs="Arial" w:eastAsia="Arial" w:hAnsi="Arial"/>
          <w:sz w:val="16"/>
          <w:szCs w:val="16"/>
          <w:color w:val="58595B"/>
        </w:rPr>
        <w:t>Performance metrics for the annual bonus and equity grants</w:t>
      </w:r>
    </w:p>
    <w:p>
      <w:pPr>
        <w:spacing w:after="0" w:line="8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58595B"/>
        </w:rPr>
        <w:t>The Compensation Committee ensures performance metrics are consistent with the financial, operational and strategic goals set by the Board, that the performance goals are sufficiently ambitious and that amounts paid (when target performance levels are achieved) are consistent with our executive compensation philosophy.</w:t>
      </w:r>
    </w:p>
    <w:p>
      <w:pPr>
        <w:spacing w:after="0" w:line="343" w:lineRule="exact"/>
        <w:rPr>
          <w:sz w:val="20"/>
          <w:szCs w:val="20"/>
          <w:color w:val="auto"/>
        </w:rPr>
      </w:pPr>
    </w:p>
    <w:p>
      <w:pPr>
        <w:sectPr>
          <w:pgSz w:w="11900" w:h="16838" w:orient="portrait"/>
          <w:cols w:equalWidth="0" w:num="3">
            <w:col w:w="3280" w:space="720"/>
            <w:col w:w="3200" w:space="720"/>
            <w:col w:w="330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40</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Role of the Independent Compensation Consultant</w:t>
      </w:r>
    </w:p>
    <w:p>
      <w:pPr>
        <w:spacing w:after="0" w:line="72"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The Compensation Committee engages WTW (formerly known as Willis Towers Watson) as its independent executive compensation consultant. WTW conducts thorough market analyses and offers strategic recommendations that serve as inputs for the Compensation Committee's decisions. WTW updates the Compensation Committee on pertinent market trends and evolving regulatory landscapes as it relates to executive compensation on an ongoing basis. In addition to reviewing executive compensation proposals presented by management, WTW collaborates closely with the Compensation Committee to validate and strengthen the pay-for-performance relationship and alignment with stockholders.</w:t>
      </w:r>
    </w:p>
    <w:p>
      <w:pPr>
        <w:spacing w:after="0" w:line="118"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58595B"/>
        </w:rPr>
        <w:t>Pursuant to the rules of the SEC, the Compensation Committee has reviewed the SEC’s independence factors for compensation advisers and concluded that no conflict of interest exists that would prevent WTW from independently representing the Compensation Committee. In 2025, WTW provided executive compensation consulting services to the Company, for which aggregate fees were approximately $173,098. In addition to the executive compensation consulting services provided, WTW provided health and benefits, corporate risk and brokering, and additional rewards consulting services to the Company with total fees of $1,017,863. The decision to engage WTW to provide corporate risk and brokering, and additional rewards consulting services was recommended by management, and the Compensation Committee approved the provision of such other services.</w:t>
      </w:r>
    </w:p>
    <w:p>
      <w:pPr>
        <w:sectPr>
          <w:pgSz w:w="11900" w:h="16838" w:orient="portrait"/>
          <w:cols w:equalWidth="0" w:num="1">
            <w:col w:w="11240"/>
          </w:cols>
          <w:pgMar w:left="320" w:top="122" w:right="339" w:bottom="144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Role of the Executive Compensation Peer Group</w:t>
      </w:r>
    </w:p>
    <w:p>
      <w:pPr>
        <w:spacing w:after="0" w:line="139" w:lineRule="exact"/>
        <w:rPr>
          <w:sz w:val="20"/>
          <w:szCs w:val="20"/>
          <w:color w:val="auto"/>
        </w:rPr>
      </w:pPr>
    </w:p>
    <w:p>
      <w:pPr>
        <w:ind w:left="20"/>
        <w:spacing w:after="0" w:line="318" w:lineRule="auto"/>
        <w:rPr>
          <w:sz w:val="20"/>
          <w:szCs w:val="20"/>
          <w:color w:val="auto"/>
        </w:rPr>
      </w:pPr>
      <w:r>
        <w:rPr>
          <w:rFonts w:ascii="Arial" w:cs="Arial" w:eastAsia="Arial" w:hAnsi="Arial"/>
          <w:sz w:val="16"/>
          <w:szCs w:val="16"/>
          <w:color w:val="58595B"/>
        </w:rPr>
        <w:t>To help ensure we provide our NEOs with fair and market-competitive compensation and to support retention of our key leaders, we annually review the compensation provided to our executives against executives within our peer group of companies. In 2025, this peer group consisted of companies determined to be:</w:t>
      </w:r>
    </w:p>
    <w:p>
      <w:pPr>
        <w:spacing w:after="0" w:line="64" w:lineRule="exact"/>
        <w:rPr>
          <w:sz w:val="20"/>
          <w:szCs w:val="20"/>
          <w:color w:val="auto"/>
        </w:rPr>
      </w:pPr>
    </w:p>
    <w:p>
      <w:pPr>
        <w:ind w:left="320" w:hanging="213"/>
        <w:spacing w:after="0"/>
        <w:tabs>
          <w:tab w:leader="none" w:pos="320" w:val="left"/>
        </w:tabs>
        <w:numPr>
          <w:ilvl w:val="0"/>
          <w:numId w:val="24"/>
        </w:numPr>
        <w:rPr>
          <w:rFonts w:ascii="Arial" w:cs="Arial" w:eastAsia="Arial" w:hAnsi="Arial"/>
          <w:sz w:val="16"/>
          <w:szCs w:val="16"/>
          <w:color w:val="58595B"/>
        </w:rPr>
      </w:pPr>
      <w:r>
        <w:rPr>
          <w:rFonts w:ascii="Arial" w:cs="Arial" w:eastAsia="Arial" w:hAnsi="Arial"/>
          <w:sz w:val="16"/>
          <w:szCs w:val="16"/>
          <w:color w:val="58595B"/>
        </w:rPr>
        <w:t>Similar in size (revenue and market capitalization), complexity and global reach to Integra;</w:t>
      </w:r>
    </w:p>
    <w:p>
      <w:pPr>
        <w:spacing w:after="0" w:line="167" w:lineRule="exact"/>
        <w:rPr>
          <w:rFonts w:ascii="Arial" w:cs="Arial" w:eastAsia="Arial" w:hAnsi="Arial"/>
          <w:sz w:val="16"/>
          <w:szCs w:val="16"/>
          <w:color w:val="58595B"/>
        </w:rPr>
      </w:pPr>
    </w:p>
    <w:p>
      <w:pPr>
        <w:ind w:left="320" w:hanging="213"/>
        <w:spacing w:after="0"/>
        <w:tabs>
          <w:tab w:leader="none" w:pos="320" w:val="left"/>
        </w:tabs>
        <w:numPr>
          <w:ilvl w:val="0"/>
          <w:numId w:val="24"/>
        </w:numPr>
        <w:rPr>
          <w:rFonts w:ascii="Arial" w:cs="Arial" w:eastAsia="Arial" w:hAnsi="Arial"/>
          <w:sz w:val="16"/>
          <w:szCs w:val="16"/>
          <w:color w:val="58595B"/>
        </w:rPr>
      </w:pPr>
      <w:r>
        <w:rPr>
          <w:rFonts w:ascii="Arial" w:cs="Arial" w:eastAsia="Arial" w:hAnsi="Arial"/>
          <w:sz w:val="16"/>
          <w:szCs w:val="16"/>
          <w:color w:val="58595B"/>
        </w:rPr>
        <w:t>In the healthcare equipment &amp; supplies and medical technology or a similar industry; and</w:t>
      </w:r>
    </w:p>
    <w:p>
      <w:pPr>
        <w:spacing w:after="0" w:line="153" w:lineRule="exact"/>
        <w:rPr>
          <w:rFonts w:ascii="Arial" w:cs="Arial" w:eastAsia="Arial" w:hAnsi="Arial"/>
          <w:sz w:val="16"/>
          <w:szCs w:val="16"/>
          <w:color w:val="58595B"/>
        </w:rPr>
      </w:pPr>
    </w:p>
    <w:p>
      <w:pPr>
        <w:ind w:left="320" w:hanging="213"/>
        <w:spacing w:after="0"/>
        <w:tabs>
          <w:tab w:leader="none" w:pos="320" w:val="left"/>
        </w:tabs>
        <w:numPr>
          <w:ilvl w:val="0"/>
          <w:numId w:val="24"/>
        </w:numPr>
        <w:rPr>
          <w:rFonts w:ascii="Arial" w:cs="Arial" w:eastAsia="Arial" w:hAnsi="Arial"/>
          <w:sz w:val="16"/>
          <w:szCs w:val="16"/>
          <w:color w:val="58595B"/>
        </w:rPr>
      </w:pPr>
      <w:r>
        <w:rPr>
          <w:rFonts w:ascii="Arial" w:cs="Arial" w:eastAsia="Arial" w:hAnsi="Arial"/>
          <w:sz w:val="16"/>
          <w:szCs w:val="16"/>
          <w:color w:val="58595B"/>
        </w:rPr>
        <w:t>In competition with Integra for executive talent.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009845"/>
        </w:rPr>
        <w:t xml:space="preserve">We generally </w:t>
      </w:r>
      <w:r>
        <w:rPr>
          <w:rFonts w:ascii="Arial" w:cs="Arial" w:eastAsia="Arial" w:hAnsi="Arial"/>
          <w:sz w:val="18"/>
          <w:szCs w:val="18"/>
          <w:b w:val="1"/>
          <w:bCs w:val="1"/>
          <w:color w:val="009845"/>
        </w:rPr>
        <w:t>position each element of</w:t>
      </w:r>
      <w:r>
        <w:rPr>
          <w:rFonts w:ascii="Arial" w:cs="Arial" w:eastAsia="Arial" w:hAnsi="Arial"/>
          <w:sz w:val="18"/>
          <w:szCs w:val="18"/>
          <w:color w:val="009845"/>
        </w:rPr>
        <w:t xml:space="preserve"> </w:t>
      </w:r>
      <w:r>
        <w:rPr>
          <w:rFonts w:ascii="Arial" w:cs="Arial" w:eastAsia="Arial" w:hAnsi="Arial"/>
          <w:sz w:val="18"/>
          <w:szCs w:val="18"/>
          <w:b w:val="1"/>
          <w:bCs w:val="1"/>
          <w:color w:val="009845"/>
        </w:rPr>
        <w:t xml:space="preserve">compensation and the total compensation packages </w:t>
      </w:r>
      <w:r>
        <w:rPr>
          <w:rFonts w:ascii="Arial" w:cs="Arial" w:eastAsia="Arial" w:hAnsi="Arial"/>
          <w:sz w:val="18"/>
          <w:szCs w:val="18"/>
          <w:color w:val="009845"/>
        </w:rPr>
        <w:t>for executive</w:t>
      </w:r>
      <w:r>
        <w:rPr>
          <w:rFonts w:ascii="Arial" w:cs="Arial" w:eastAsia="Arial" w:hAnsi="Arial"/>
          <w:sz w:val="18"/>
          <w:szCs w:val="18"/>
          <w:b w:val="1"/>
          <w:bCs w:val="1"/>
          <w:color w:val="009845"/>
        </w:rPr>
        <w:t xml:space="preserve"> </w:t>
      </w:r>
      <w:r>
        <w:rPr>
          <w:rFonts w:ascii="Arial" w:cs="Arial" w:eastAsia="Arial" w:hAnsi="Arial"/>
          <w:sz w:val="18"/>
          <w:szCs w:val="18"/>
          <w:color w:val="009845"/>
        </w:rPr>
        <w:t xml:space="preserve">officers </w:t>
      </w:r>
      <w:r>
        <w:rPr>
          <w:rFonts w:ascii="Arial" w:cs="Arial" w:eastAsia="Arial" w:hAnsi="Arial"/>
          <w:sz w:val="18"/>
          <w:szCs w:val="18"/>
          <w:b w:val="1"/>
          <w:bCs w:val="1"/>
          <w:color w:val="009845"/>
        </w:rPr>
        <w:t>to align with the 50th</w:t>
      </w:r>
      <w:r>
        <w:rPr>
          <w:rFonts w:ascii="Arial" w:cs="Arial" w:eastAsia="Arial" w:hAnsi="Arial"/>
          <w:sz w:val="18"/>
          <w:szCs w:val="18"/>
          <w:color w:val="009845"/>
        </w:rPr>
        <w:t xml:space="preserve"> </w:t>
      </w:r>
      <w:r>
        <w:rPr>
          <w:rFonts w:ascii="Arial" w:cs="Arial" w:eastAsia="Arial" w:hAnsi="Arial"/>
          <w:sz w:val="18"/>
          <w:szCs w:val="18"/>
          <w:b w:val="1"/>
          <w:bCs w:val="1"/>
          <w:color w:val="009845"/>
        </w:rPr>
        <w:t xml:space="preserve">percentile </w:t>
      </w:r>
      <w:r>
        <w:rPr>
          <w:rFonts w:ascii="Arial" w:cs="Arial" w:eastAsia="Arial" w:hAnsi="Arial"/>
          <w:sz w:val="18"/>
          <w:szCs w:val="18"/>
          <w:color w:val="009845"/>
        </w:rPr>
        <w:t>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-1038860</wp:posOffset>
            </wp:positionV>
            <wp:extent cx="2400300" cy="13970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00300" cy="1397000"/>
                    </a:xfrm>
                    <a:prstGeom prst="rect">
                      <a:avLst/>
                    </a:prstGeom>
                    <a:noFill/>
                  </pic:spPr>
                </pic:pic>
              </a:graphicData>
            </a:graphic>
          </wp:anchor>
        </w:drawing>
      </w:r>
    </w:p>
    <w:p>
      <w:pPr>
        <w:spacing w:after="0" w:line="500" w:lineRule="exact"/>
        <w:rPr>
          <w:sz w:val="20"/>
          <w:szCs w:val="20"/>
          <w:color w:val="auto"/>
        </w:rPr>
      </w:pPr>
    </w:p>
    <w:p>
      <w:pPr>
        <w:sectPr>
          <w:pgSz w:w="11900" w:h="16838" w:orient="portrait"/>
          <w:cols w:equalWidth="0" w:num="2">
            <w:col w:w="7140" w:space="580"/>
            <w:col w:w="3520"/>
          </w:cols>
          <w:pgMar w:left="320" w:top="122" w:right="339" w:bottom="1440" w:gutter="0" w:footer="0" w:header="0"/>
          <w:type w:val="continuous"/>
        </w:sectPr>
      </w:pPr>
    </w:p>
    <w:p>
      <w:pPr>
        <w:spacing w:after="0" w:line="305"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Our peer group is regularly reviewed by the Compensation Committee with consideration given to our strategy and the advice of our independent compensation consultant. The 2025 peer group approved by the Compensation Committee in setting 2025 compensation is shown below. NuVasive, Inc. was removed due to its completed merger with Globus Medical, Inc. Intuitive Surgical, Inc. and Edwards Lifesciences Corporation were removed due to their revenue growth making them no longer comparable to Integra. Organogenesis Holdings, Inc. was removed due to their smaller revenue. Globus Medical, Inc. was added due to strong business model and revenue alignment.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Borders>
              <w:right w:val="single" w:sz="8" w:color="009845"/>
            </w:tcBorders>
            <w:shd w:val="clear" w:color="auto" w:fill="009845"/>
          </w:tcPr>
          <w:p>
            <w:pPr>
              <w:spacing w:after="0"/>
              <w:rPr>
                <w:sz w:val="18"/>
                <w:szCs w:val="18"/>
                <w:color w:val="auto"/>
              </w:rPr>
            </w:pPr>
          </w:p>
        </w:tc>
        <w:tc>
          <w:tcPr>
            <w:tcW w:w="3740" w:type="dxa"/>
            <w:vAlign w:val="bottom"/>
            <w:tcBorders>
              <w:right w:val="single" w:sz="8" w:color="009845"/>
            </w:tcBorders>
            <w:shd w:val="clear" w:color="auto" w:fill="009845"/>
          </w:tcPr>
          <w:p>
            <w:pPr>
              <w:ind w:left="420"/>
              <w:spacing w:after="0"/>
              <w:rPr>
                <w:sz w:val="20"/>
                <w:szCs w:val="20"/>
                <w:color w:val="auto"/>
              </w:rPr>
            </w:pPr>
            <w:r>
              <w:rPr>
                <w:rFonts w:ascii="Arial" w:cs="Arial" w:eastAsia="Arial" w:hAnsi="Arial"/>
                <w:sz w:val="14"/>
                <w:szCs w:val="14"/>
                <w:b w:val="1"/>
                <w:bCs w:val="1"/>
                <w:color w:val="FFFFFF"/>
              </w:rPr>
              <w:t>2025 Executive Compensation Peer Group</w:t>
            </w:r>
          </w:p>
        </w:tc>
        <w:tc>
          <w:tcPr>
            <w:tcW w:w="3740" w:type="dxa"/>
            <w:vAlign w:val="bottom"/>
            <w:shd w:val="clear" w:color="auto" w:fill="009845"/>
          </w:tcPr>
          <w:p>
            <w:pPr>
              <w:spacing w:after="0"/>
              <w:rPr>
                <w:sz w:val="18"/>
                <w:szCs w:val="18"/>
                <w:color w:val="auto"/>
              </w:rPr>
            </w:pPr>
          </w:p>
        </w:tc>
      </w:tr>
      <w:tr>
        <w:trPr>
          <w:trHeight w:val="67"/>
        </w:trPr>
        <w:tc>
          <w:tcPr>
            <w:tcW w:w="3760" w:type="dxa"/>
            <w:vAlign w:val="bottom"/>
            <w:tcBorders>
              <w:right w:val="single" w:sz="8" w:color="009845"/>
            </w:tcBorders>
            <w:shd w:val="clear" w:color="auto" w:fill="009845"/>
          </w:tcPr>
          <w:p>
            <w:pPr>
              <w:spacing w:after="0"/>
              <w:rPr>
                <w:sz w:val="5"/>
                <w:szCs w:val="5"/>
                <w:color w:val="auto"/>
              </w:rPr>
            </w:pPr>
          </w:p>
        </w:tc>
        <w:tc>
          <w:tcPr>
            <w:tcW w:w="3740" w:type="dxa"/>
            <w:vAlign w:val="bottom"/>
            <w:tcBorders>
              <w:right w:val="single" w:sz="8" w:color="009845"/>
            </w:tcBorders>
            <w:shd w:val="clear" w:color="auto" w:fill="009845"/>
          </w:tcPr>
          <w:p>
            <w:pPr>
              <w:spacing w:after="0"/>
              <w:rPr>
                <w:sz w:val="5"/>
                <w:szCs w:val="5"/>
                <w:color w:val="auto"/>
              </w:rPr>
            </w:pPr>
          </w:p>
        </w:tc>
        <w:tc>
          <w:tcPr>
            <w:tcW w:w="3740" w:type="dxa"/>
            <w:vAlign w:val="bottom"/>
            <w:shd w:val="clear" w:color="auto" w:fill="009845"/>
          </w:tcPr>
          <w:p>
            <w:pPr>
              <w:spacing w:after="0"/>
              <w:rPr>
                <w:sz w:val="5"/>
                <w:szCs w:val="5"/>
                <w:color w:val="auto"/>
              </w:rPr>
            </w:pPr>
          </w:p>
        </w:tc>
      </w:tr>
      <w:tr>
        <w:trPr>
          <w:trHeight w:val="210"/>
        </w:trPr>
        <w:tc>
          <w:tcPr>
            <w:tcW w:w="3760" w:type="dxa"/>
            <w:vAlign w:val="bottom"/>
            <w:tcBorders>
              <w:bottom w:val="single" w:sz="8" w:color="EFEDED"/>
              <w:right w:val="single" w:sz="8" w:color="58595B"/>
            </w:tcBorders>
            <w:shd w:val="clear" w:color="auto" w:fill="EFEDED"/>
          </w:tcPr>
          <w:p>
            <w:pPr>
              <w:ind w:left="100"/>
              <w:spacing w:after="0"/>
              <w:rPr>
                <w:sz w:val="20"/>
                <w:szCs w:val="20"/>
                <w:color w:val="auto"/>
              </w:rPr>
            </w:pPr>
            <w:r>
              <w:rPr>
                <w:rFonts w:ascii="Arial" w:cs="Arial" w:eastAsia="Arial" w:hAnsi="Arial"/>
                <w:sz w:val="14"/>
                <w:szCs w:val="14"/>
                <w:color w:val="58595B"/>
              </w:rPr>
              <w:t>Align Technology, Inc.</w:t>
            </w:r>
          </w:p>
        </w:tc>
        <w:tc>
          <w:tcPr>
            <w:tcW w:w="3740" w:type="dxa"/>
            <w:vAlign w:val="bottom"/>
            <w:tcBorders>
              <w:bottom w:val="single" w:sz="8" w:color="EFEDED"/>
              <w:right w:val="single" w:sz="8" w:color="58595B"/>
            </w:tcBorders>
            <w:shd w:val="clear" w:color="auto" w:fill="EFEDED"/>
          </w:tcPr>
          <w:p>
            <w:pPr>
              <w:ind w:left="80"/>
              <w:spacing w:after="0"/>
              <w:rPr>
                <w:sz w:val="20"/>
                <w:szCs w:val="20"/>
                <w:color w:val="auto"/>
              </w:rPr>
            </w:pPr>
            <w:r>
              <w:rPr>
                <w:rFonts w:ascii="Arial" w:cs="Arial" w:eastAsia="Arial" w:hAnsi="Arial"/>
                <w:sz w:val="14"/>
                <w:szCs w:val="14"/>
                <w:color w:val="58595B"/>
              </w:rPr>
              <w:t>Integer Holdings Corporation</w:t>
            </w:r>
          </w:p>
        </w:tc>
        <w:tc>
          <w:tcPr>
            <w:tcW w:w="374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Steris Plc</w:t>
            </w:r>
          </w:p>
        </w:tc>
      </w:tr>
      <w:tr>
        <w:trPr>
          <w:trHeight w:val="208"/>
        </w:trPr>
        <w:tc>
          <w:tcPr>
            <w:tcW w:w="3760" w:type="dxa"/>
            <w:vAlign w:val="bottom"/>
            <w:tcBorders>
              <w:right w:val="single" w:sz="8" w:color="58595B"/>
            </w:tcBorders>
          </w:tcPr>
          <w:p>
            <w:pPr>
              <w:ind w:left="100"/>
              <w:spacing w:after="0"/>
              <w:rPr>
                <w:sz w:val="20"/>
                <w:szCs w:val="20"/>
                <w:color w:val="auto"/>
              </w:rPr>
            </w:pPr>
            <w:r>
              <w:rPr>
                <w:rFonts w:ascii="Arial" w:cs="Arial" w:eastAsia="Arial" w:hAnsi="Arial"/>
                <w:sz w:val="14"/>
                <w:szCs w:val="14"/>
                <w:color w:val="58595B"/>
              </w:rPr>
              <w:t>CONMED Corporation</w:t>
            </w:r>
          </w:p>
        </w:tc>
        <w:tc>
          <w:tcPr>
            <w:tcW w:w="3740" w:type="dxa"/>
            <w:vAlign w:val="bottom"/>
            <w:tcBorders>
              <w:right w:val="single" w:sz="8" w:color="58595B"/>
            </w:tcBorders>
          </w:tcPr>
          <w:p>
            <w:pPr>
              <w:ind w:left="80"/>
              <w:spacing w:after="0"/>
              <w:rPr>
                <w:sz w:val="20"/>
                <w:szCs w:val="20"/>
                <w:color w:val="auto"/>
              </w:rPr>
            </w:pPr>
            <w:r>
              <w:rPr>
                <w:rFonts w:ascii="Arial" w:cs="Arial" w:eastAsia="Arial" w:hAnsi="Arial"/>
                <w:sz w:val="14"/>
                <w:szCs w:val="14"/>
                <w:color w:val="58595B"/>
              </w:rPr>
              <w:t>LivaNova PLC</w:t>
            </w:r>
          </w:p>
        </w:tc>
        <w:tc>
          <w:tcPr>
            <w:tcW w:w="3740" w:type="dxa"/>
            <w:vAlign w:val="bottom"/>
          </w:tcPr>
          <w:p>
            <w:pPr>
              <w:ind w:left="100"/>
              <w:spacing w:after="0"/>
              <w:rPr>
                <w:sz w:val="20"/>
                <w:szCs w:val="20"/>
                <w:color w:val="auto"/>
              </w:rPr>
            </w:pPr>
            <w:r>
              <w:rPr>
                <w:rFonts w:ascii="Arial" w:cs="Arial" w:eastAsia="Arial" w:hAnsi="Arial"/>
                <w:sz w:val="14"/>
                <w:szCs w:val="14"/>
                <w:color w:val="58595B"/>
              </w:rPr>
              <w:t>Teleflex Incorporated</w:t>
            </w:r>
          </w:p>
        </w:tc>
      </w:tr>
      <w:tr>
        <w:trPr>
          <w:trHeight w:val="22"/>
        </w:trPr>
        <w:tc>
          <w:tcPr>
            <w:tcW w:w="3760" w:type="dxa"/>
            <w:vAlign w:val="bottom"/>
            <w:tcBorders>
              <w:right w:val="single" w:sz="8" w:color="58595B"/>
            </w:tcBorders>
          </w:tcPr>
          <w:p>
            <w:pPr>
              <w:spacing w:after="0" w:line="20" w:lineRule="exact"/>
              <w:rPr>
                <w:sz w:val="1"/>
                <w:szCs w:val="1"/>
                <w:color w:val="auto"/>
              </w:rPr>
            </w:pPr>
          </w:p>
        </w:tc>
        <w:tc>
          <w:tcPr>
            <w:tcW w:w="3740" w:type="dxa"/>
            <w:vAlign w:val="bottom"/>
            <w:tcBorders>
              <w:right w:val="single" w:sz="8" w:color="58595B"/>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10"/>
        </w:trPr>
        <w:tc>
          <w:tcPr>
            <w:tcW w:w="3760" w:type="dxa"/>
            <w:vAlign w:val="bottom"/>
            <w:tcBorders>
              <w:bottom w:val="single" w:sz="8" w:color="EFEDED"/>
              <w:right w:val="single" w:sz="8" w:color="58595B"/>
            </w:tcBorders>
            <w:shd w:val="clear" w:color="auto" w:fill="EFEDED"/>
          </w:tcPr>
          <w:p>
            <w:pPr>
              <w:ind w:left="100"/>
              <w:spacing w:after="0"/>
              <w:rPr>
                <w:sz w:val="20"/>
                <w:szCs w:val="20"/>
                <w:color w:val="auto"/>
              </w:rPr>
            </w:pPr>
            <w:r>
              <w:rPr>
                <w:rFonts w:ascii="Arial" w:cs="Arial" w:eastAsia="Arial" w:hAnsi="Arial"/>
                <w:sz w:val="14"/>
                <w:szCs w:val="14"/>
                <w:color w:val="58595B"/>
              </w:rPr>
              <w:t>Enovis Corporation</w:t>
            </w:r>
          </w:p>
        </w:tc>
        <w:tc>
          <w:tcPr>
            <w:tcW w:w="3740" w:type="dxa"/>
            <w:vAlign w:val="bottom"/>
            <w:tcBorders>
              <w:bottom w:val="single" w:sz="8" w:color="EFEDED"/>
              <w:right w:val="single" w:sz="8" w:color="58595B"/>
            </w:tcBorders>
            <w:shd w:val="clear" w:color="auto" w:fill="EFEDED"/>
          </w:tcPr>
          <w:p>
            <w:pPr>
              <w:ind w:left="80"/>
              <w:spacing w:after="0"/>
              <w:rPr>
                <w:sz w:val="20"/>
                <w:szCs w:val="20"/>
                <w:color w:val="auto"/>
              </w:rPr>
            </w:pPr>
            <w:r>
              <w:rPr>
                <w:rFonts w:ascii="Arial" w:cs="Arial" w:eastAsia="Arial" w:hAnsi="Arial"/>
                <w:sz w:val="14"/>
                <w:szCs w:val="14"/>
                <w:color w:val="58595B"/>
              </w:rPr>
              <w:t>Masimo Corporation</w:t>
            </w:r>
          </w:p>
        </w:tc>
        <w:tc>
          <w:tcPr>
            <w:tcW w:w="374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The Cooper Companies, Inc.</w:t>
            </w:r>
          </w:p>
        </w:tc>
      </w:tr>
      <w:tr>
        <w:trPr>
          <w:trHeight w:val="208"/>
        </w:trPr>
        <w:tc>
          <w:tcPr>
            <w:tcW w:w="3760" w:type="dxa"/>
            <w:vAlign w:val="bottom"/>
            <w:tcBorders>
              <w:right w:val="single" w:sz="8" w:color="58595B"/>
            </w:tcBorders>
          </w:tcPr>
          <w:p>
            <w:pPr>
              <w:ind w:left="100"/>
              <w:spacing w:after="0"/>
              <w:rPr>
                <w:sz w:val="20"/>
                <w:szCs w:val="20"/>
                <w:color w:val="auto"/>
              </w:rPr>
            </w:pPr>
            <w:r>
              <w:rPr>
                <w:rFonts w:ascii="Arial" w:cs="Arial" w:eastAsia="Arial" w:hAnsi="Arial"/>
                <w:sz w:val="14"/>
                <w:szCs w:val="14"/>
                <w:color w:val="58595B"/>
              </w:rPr>
              <w:t>Globus Medical, Inc.</w:t>
            </w:r>
          </w:p>
        </w:tc>
        <w:tc>
          <w:tcPr>
            <w:tcW w:w="3740" w:type="dxa"/>
            <w:vAlign w:val="bottom"/>
            <w:tcBorders>
              <w:right w:val="single" w:sz="8" w:color="58595B"/>
            </w:tcBorders>
          </w:tcPr>
          <w:p>
            <w:pPr>
              <w:ind w:left="80"/>
              <w:spacing w:after="0"/>
              <w:rPr>
                <w:sz w:val="20"/>
                <w:szCs w:val="20"/>
                <w:color w:val="auto"/>
              </w:rPr>
            </w:pPr>
            <w:r>
              <w:rPr>
                <w:rFonts w:ascii="Arial" w:cs="Arial" w:eastAsia="Arial" w:hAnsi="Arial"/>
                <w:sz w:val="14"/>
                <w:szCs w:val="14"/>
                <w:color w:val="58595B"/>
              </w:rPr>
              <w:t>Merit Medical Systems</w:t>
            </w:r>
          </w:p>
        </w:tc>
        <w:tc>
          <w:tcPr>
            <w:tcW w:w="3740" w:type="dxa"/>
            <w:vAlign w:val="bottom"/>
          </w:tcPr>
          <w:p>
            <w:pPr>
              <w:ind w:left="100"/>
              <w:spacing w:after="0"/>
              <w:rPr>
                <w:sz w:val="20"/>
                <w:szCs w:val="20"/>
                <w:color w:val="auto"/>
              </w:rPr>
            </w:pPr>
            <w:r>
              <w:rPr>
                <w:rFonts w:ascii="Arial" w:cs="Arial" w:eastAsia="Arial" w:hAnsi="Arial"/>
                <w:sz w:val="14"/>
                <w:szCs w:val="14"/>
                <w:color w:val="58595B"/>
              </w:rPr>
              <w:t>West Pharmaceutical Services, Inc.</w:t>
            </w:r>
          </w:p>
        </w:tc>
      </w:tr>
      <w:tr>
        <w:trPr>
          <w:trHeight w:val="22"/>
        </w:trPr>
        <w:tc>
          <w:tcPr>
            <w:tcW w:w="3760" w:type="dxa"/>
            <w:vAlign w:val="bottom"/>
            <w:tcBorders>
              <w:right w:val="single" w:sz="8" w:color="58595B"/>
            </w:tcBorders>
          </w:tcPr>
          <w:p>
            <w:pPr>
              <w:spacing w:after="0" w:line="20" w:lineRule="exact"/>
              <w:rPr>
                <w:sz w:val="1"/>
                <w:szCs w:val="1"/>
                <w:color w:val="auto"/>
              </w:rPr>
            </w:pPr>
          </w:p>
        </w:tc>
        <w:tc>
          <w:tcPr>
            <w:tcW w:w="3740" w:type="dxa"/>
            <w:vAlign w:val="bottom"/>
            <w:tcBorders>
              <w:right w:val="single" w:sz="8" w:color="58595B"/>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10"/>
        </w:trPr>
        <w:tc>
          <w:tcPr>
            <w:tcW w:w="3760" w:type="dxa"/>
            <w:vAlign w:val="bottom"/>
            <w:tcBorders>
              <w:bottom w:val="single" w:sz="8" w:color="EFEDED"/>
              <w:right w:val="single" w:sz="8" w:color="58595B"/>
            </w:tcBorders>
            <w:shd w:val="clear" w:color="auto" w:fill="EFEDED"/>
          </w:tcPr>
          <w:p>
            <w:pPr>
              <w:ind w:left="100"/>
              <w:spacing w:after="0"/>
              <w:rPr>
                <w:sz w:val="20"/>
                <w:szCs w:val="20"/>
                <w:color w:val="auto"/>
              </w:rPr>
            </w:pPr>
            <w:r>
              <w:rPr>
                <w:rFonts w:ascii="Arial" w:cs="Arial" w:eastAsia="Arial" w:hAnsi="Arial"/>
                <w:sz w:val="14"/>
                <w:szCs w:val="14"/>
                <w:color w:val="58595B"/>
              </w:rPr>
              <w:t>Haemonetics Corporation</w:t>
            </w:r>
          </w:p>
        </w:tc>
        <w:tc>
          <w:tcPr>
            <w:tcW w:w="3740" w:type="dxa"/>
            <w:vAlign w:val="bottom"/>
            <w:tcBorders>
              <w:bottom w:val="single" w:sz="8" w:color="EFEDED"/>
              <w:right w:val="single" w:sz="8" w:color="58595B"/>
            </w:tcBorders>
            <w:shd w:val="clear" w:color="auto" w:fill="EFEDED"/>
          </w:tcPr>
          <w:p>
            <w:pPr>
              <w:ind w:left="80"/>
              <w:spacing w:after="0"/>
              <w:rPr>
                <w:sz w:val="20"/>
                <w:szCs w:val="20"/>
                <w:color w:val="auto"/>
              </w:rPr>
            </w:pPr>
            <w:r>
              <w:rPr>
                <w:rFonts w:ascii="Arial" w:cs="Arial" w:eastAsia="Arial" w:hAnsi="Arial"/>
                <w:sz w:val="14"/>
                <w:szCs w:val="14"/>
                <w:color w:val="58595B"/>
              </w:rPr>
              <w:t>QuidelOrtho Corporation</w:t>
            </w:r>
          </w:p>
        </w:tc>
        <w:tc>
          <w:tcPr>
            <w:tcW w:w="3740" w:type="dxa"/>
            <w:vAlign w:val="bottom"/>
            <w:tcBorders>
              <w:bottom w:val="single" w:sz="8" w:color="EFEDED"/>
            </w:tcBorders>
            <w:shd w:val="clear" w:color="auto" w:fill="EFEDED"/>
          </w:tcPr>
          <w:p>
            <w:pPr>
              <w:spacing w:after="0"/>
              <w:rPr>
                <w:sz w:val="18"/>
                <w:szCs w:val="18"/>
                <w:color w:val="auto"/>
              </w:rPr>
            </w:pPr>
          </w:p>
        </w:tc>
      </w:tr>
      <w:tr>
        <w:trPr>
          <w:trHeight w:val="208"/>
        </w:trPr>
        <w:tc>
          <w:tcPr>
            <w:tcW w:w="3760" w:type="dxa"/>
            <w:vAlign w:val="bottom"/>
            <w:tcBorders>
              <w:right w:val="single" w:sz="8" w:color="58595B"/>
            </w:tcBorders>
          </w:tcPr>
          <w:p>
            <w:pPr>
              <w:ind w:left="100"/>
              <w:spacing w:after="0"/>
              <w:rPr>
                <w:sz w:val="20"/>
                <w:szCs w:val="20"/>
                <w:color w:val="auto"/>
              </w:rPr>
            </w:pPr>
            <w:r>
              <w:rPr>
                <w:rFonts w:ascii="Arial" w:cs="Arial" w:eastAsia="Arial" w:hAnsi="Arial"/>
                <w:sz w:val="14"/>
                <w:szCs w:val="14"/>
                <w:color w:val="58595B"/>
              </w:rPr>
              <w:t>Hologic, Inc.</w:t>
            </w:r>
          </w:p>
        </w:tc>
        <w:tc>
          <w:tcPr>
            <w:tcW w:w="3740" w:type="dxa"/>
            <w:vAlign w:val="bottom"/>
            <w:tcBorders>
              <w:right w:val="single" w:sz="8" w:color="58595B"/>
            </w:tcBorders>
          </w:tcPr>
          <w:p>
            <w:pPr>
              <w:ind w:left="80"/>
              <w:spacing w:after="0"/>
              <w:rPr>
                <w:sz w:val="20"/>
                <w:szCs w:val="20"/>
                <w:color w:val="auto"/>
              </w:rPr>
            </w:pPr>
            <w:r>
              <w:rPr>
                <w:rFonts w:ascii="Arial" w:cs="Arial" w:eastAsia="Arial" w:hAnsi="Arial"/>
                <w:sz w:val="14"/>
                <w:szCs w:val="14"/>
                <w:color w:val="58595B"/>
              </w:rPr>
              <w:t>ResMed, Inc.</w:t>
            </w:r>
          </w:p>
        </w:tc>
        <w:tc>
          <w:tcPr>
            <w:tcW w:w="3740" w:type="dxa"/>
            <w:vAlign w:val="bottom"/>
          </w:tcPr>
          <w:p>
            <w:pPr>
              <w:spacing w:after="0"/>
              <w:rPr>
                <w:sz w:val="18"/>
                <w:szCs w:val="18"/>
                <w:color w:val="auto"/>
              </w:rPr>
            </w:pPr>
          </w:p>
        </w:tc>
      </w:tr>
      <w:tr>
        <w:trPr>
          <w:trHeight w:val="22"/>
        </w:trPr>
        <w:tc>
          <w:tcPr>
            <w:tcW w:w="3760" w:type="dxa"/>
            <w:vAlign w:val="bottom"/>
            <w:tcBorders>
              <w:bottom w:val="single" w:sz="8" w:color="58595B"/>
              <w:right w:val="single" w:sz="8" w:color="58595B"/>
            </w:tcBorders>
          </w:tcPr>
          <w:p>
            <w:pPr>
              <w:spacing w:after="0" w:line="20" w:lineRule="exact"/>
              <w:rPr>
                <w:sz w:val="1"/>
                <w:szCs w:val="1"/>
                <w:color w:val="auto"/>
              </w:rPr>
            </w:pPr>
          </w:p>
        </w:tc>
        <w:tc>
          <w:tcPr>
            <w:tcW w:w="3740" w:type="dxa"/>
            <w:vAlign w:val="bottom"/>
            <w:tcBorders>
              <w:bottom w:val="single" w:sz="8" w:color="58595B"/>
              <w:right w:val="single" w:sz="8" w:color="58595B"/>
            </w:tcBorders>
          </w:tcPr>
          <w:p>
            <w:pPr>
              <w:spacing w:after="0" w:line="20" w:lineRule="exact"/>
              <w:rPr>
                <w:sz w:val="1"/>
                <w:szCs w:val="1"/>
                <w:color w:val="auto"/>
              </w:rPr>
            </w:pPr>
          </w:p>
        </w:tc>
        <w:tc>
          <w:tcPr>
            <w:tcW w:w="3740" w:type="dxa"/>
            <w:vAlign w:val="bottom"/>
            <w:tcBorders>
              <w:bottom w:val="single" w:sz="8" w:color="58595B"/>
            </w:tcBorders>
          </w:tcPr>
          <w:p>
            <w:pPr>
              <w:spacing w:after="0" w:line="20" w:lineRule="exact"/>
              <w:rPr>
                <w:sz w:val="1"/>
                <w:szCs w:val="1"/>
                <w:color w:val="auto"/>
              </w:rPr>
            </w:pPr>
          </w:p>
        </w:tc>
      </w:tr>
      <w:tr>
        <w:trPr>
          <w:trHeight w:val="782"/>
        </w:trPr>
        <w:tc>
          <w:tcPr>
            <w:tcW w:w="376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3740" w:type="dxa"/>
            <w:vAlign w:val="bottom"/>
          </w:tcPr>
          <w:p>
            <w:pPr>
              <w:spacing w:after="0"/>
              <w:rPr>
                <w:sz w:val="24"/>
                <w:szCs w:val="24"/>
                <w:color w:val="auto"/>
              </w:rPr>
            </w:pPr>
          </w:p>
        </w:tc>
        <w:tc>
          <w:tcPr>
            <w:tcW w:w="3740" w:type="dxa"/>
            <w:vAlign w:val="bottom"/>
          </w:tcPr>
          <w:p>
            <w:pPr>
              <w:ind w:left="3580"/>
              <w:spacing w:after="0"/>
              <w:rPr>
                <w:sz w:val="20"/>
                <w:szCs w:val="20"/>
                <w:color w:val="auto"/>
              </w:rPr>
            </w:pPr>
            <w:r>
              <w:rPr>
                <w:rFonts w:ascii="Arial" w:cs="Arial" w:eastAsia="Arial" w:hAnsi="Arial"/>
                <w:sz w:val="13"/>
                <w:szCs w:val="13"/>
                <w:b w:val="1"/>
                <w:bCs w:val="1"/>
                <w:color w:val="009845"/>
                <w:w w:val="96"/>
              </w:rPr>
              <w:t>41</w:t>
            </w:r>
          </w:p>
        </w:tc>
      </w:tr>
      <w:tr>
        <w:trPr>
          <w:trHeight w:val="231"/>
        </w:trPr>
        <w:tc>
          <w:tcPr>
            <w:tcW w:w="3760" w:type="dxa"/>
            <w:vAlign w:val="bottom"/>
            <w:tcBorders>
              <w:bottom w:val="single" w:sz="8" w:color="9A9A9A"/>
            </w:tcBorders>
          </w:tcPr>
          <w:p>
            <w:pPr>
              <w:spacing w:after="0"/>
              <w:rPr>
                <w:sz w:val="20"/>
                <w:szCs w:val="20"/>
                <w:color w:val="auto"/>
              </w:rPr>
            </w:pPr>
          </w:p>
        </w:tc>
        <w:tc>
          <w:tcPr>
            <w:tcW w:w="3740" w:type="dxa"/>
            <w:vAlign w:val="bottom"/>
            <w:tcBorders>
              <w:bottom w:val="single" w:sz="8" w:color="9A9A9A"/>
            </w:tcBorders>
          </w:tcPr>
          <w:p>
            <w:pPr>
              <w:spacing w:after="0"/>
              <w:rPr>
                <w:sz w:val="20"/>
                <w:szCs w:val="20"/>
                <w:color w:val="auto"/>
              </w:rPr>
            </w:pPr>
          </w:p>
        </w:tc>
        <w:tc>
          <w:tcPr>
            <w:tcW w:w="3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Elements of the Executive Compensation Program</w:t>
      </w:r>
    </w:p>
    <w:p>
      <w:pPr>
        <w:spacing w:after="0" w:line="193" w:lineRule="exact"/>
        <w:rPr>
          <w:sz w:val="20"/>
          <w:szCs w:val="20"/>
          <w:color w:val="auto"/>
        </w:rPr>
      </w:pPr>
    </w:p>
    <w:p>
      <w:pPr>
        <w:jc w:val="both"/>
        <w:ind w:right="100"/>
        <w:spacing w:after="0" w:line="324" w:lineRule="auto"/>
        <w:rPr>
          <w:sz w:val="20"/>
          <w:szCs w:val="20"/>
          <w:color w:val="auto"/>
        </w:rPr>
      </w:pPr>
      <w:r>
        <w:rPr>
          <w:rFonts w:ascii="Arial" w:cs="Arial" w:eastAsia="Arial" w:hAnsi="Arial"/>
          <w:sz w:val="16"/>
          <w:szCs w:val="16"/>
          <w:color w:val="58595B"/>
        </w:rPr>
        <w:t>Our executive compensation program consists of fixed pay and variable pay, including cash and non-cash components. We continue to emphasize variable pay rather than fixed pay, with the majority of the compensation being “at risk” performance-based compensation. We compare our executive compensation elements and total compensation against those of our peer group companies targeting the median while aligning to our executive compensation philosophy. The chart below summarizes the various elements of Integra’s executive compensation and their purpose: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1379855" cy="31800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9855"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 w:right="360"/>
        <w:spacing w:after="0" w:line="314" w:lineRule="auto"/>
        <w:rPr>
          <w:sz w:val="20"/>
          <w:szCs w:val="20"/>
          <w:color w:val="auto"/>
        </w:rPr>
      </w:pPr>
      <w:r>
        <w:rPr>
          <w:rFonts w:ascii="Arial" w:cs="Arial" w:eastAsia="Arial" w:hAnsi="Arial"/>
          <w:sz w:val="14"/>
          <w:szCs w:val="14"/>
          <w:b w:val="1"/>
          <w:bCs w:val="1"/>
          <w:color w:val="FFFFFF"/>
        </w:rPr>
        <w:t>Short-Term Incentive — Annual Bonus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right="380"/>
        <w:spacing w:after="0" w:line="287" w:lineRule="auto"/>
        <w:rPr>
          <w:sz w:val="20"/>
          <w:szCs w:val="20"/>
          <w:color w:val="auto"/>
        </w:rPr>
      </w:pPr>
      <w:r>
        <w:rPr>
          <w:rFonts w:ascii="Arial" w:cs="Arial" w:eastAsia="Arial" w:hAnsi="Arial"/>
          <w:sz w:val="14"/>
          <w:szCs w:val="14"/>
          <w:b w:val="1"/>
          <w:bCs w:val="1"/>
          <w:color w:val="FFFFFF"/>
        </w:rPr>
        <w:t>Long-Term Incentive — Performance Stock Units (PSUs)</w:t>
      </w:r>
    </w:p>
    <w:p>
      <w:pPr>
        <w:spacing w:after="0" w:line="178" w:lineRule="exact"/>
        <w:rPr>
          <w:sz w:val="20"/>
          <w:szCs w:val="20"/>
          <w:color w:val="auto"/>
        </w:rPr>
      </w:pPr>
    </w:p>
    <w:p>
      <w:pPr>
        <w:ind w:left="100" w:right="60"/>
        <w:spacing w:after="0" w:line="303" w:lineRule="auto"/>
        <w:rPr>
          <w:sz w:val="20"/>
          <w:szCs w:val="20"/>
          <w:color w:val="auto"/>
        </w:rPr>
      </w:pPr>
      <w:r>
        <w:rPr>
          <w:rFonts w:ascii="Arial" w:cs="Arial" w:eastAsia="Arial" w:hAnsi="Arial"/>
          <w:sz w:val="14"/>
          <w:szCs w:val="14"/>
          <w:b w:val="1"/>
          <w:bCs w:val="1"/>
          <w:color w:val="FFFFFF"/>
        </w:rPr>
        <w:t>Long-Term Incentive —Non-qualified Stock Options</w:t>
      </w:r>
    </w:p>
    <w:p>
      <w:pPr>
        <w:spacing w:after="0" w:line="174" w:lineRule="exact"/>
        <w:rPr>
          <w:sz w:val="20"/>
          <w:szCs w:val="20"/>
          <w:color w:val="auto"/>
        </w:rPr>
      </w:pPr>
    </w:p>
    <w:p>
      <w:pPr>
        <w:ind w:left="100"/>
        <w:spacing w:after="0" w:line="314" w:lineRule="auto"/>
        <w:rPr>
          <w:sz w:val="20"/>
          <w:szCs w:val="20"/>
          <w:color w:val="auto"/>
        </w:rPr>
      </w:pPr>
      <w:r>
        <w:rPr>
          <w:rFonts w:ascii="Arial" w:cs="Arial" w:eastAsia="Arial" w:hAnsi="Arial"/>
          <w:sz w:val="14"/>
          <w:szCs w:val="14"/>
          <w:b w:val="1"/>
          <w:bCs w:val="1"/>
          <w:color w:val="FFFFFF"/>
        </w:rPr>
        <w:t>Long-Term Incentive —RSAs &amp; RSUs</w:t>
      </w:r>
    </w:p>
    <w:p>
      <w:pPr>
        <w:spacing w:after="0" w:line="24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Other Benefits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2720" w:type="dxa"/>
            <w:vAlign w:val="bottom"/>
            <w:tcBorders>
              <w:right w:val="single" w:sz="8" w:color="009845"/>
            </w:tcBorders>
            <w:vMerge w:val="restart"/>
            <w:shd w:val="clear" w:color="auto" w:fill="009845"/>
          </w:tcPr>
          <w:p>
            <w:pPr>
              <w:ind w:left="1020"/>
              <w:spacing w:after="0"/>
              <w:rPr>
                <w:sz w:val="20"/>
                <w:szCs w:val="20"/>
                <w:color w:val="auto"/>
              </w:rPr>
            </w:pPr>
            <w:r>
              <w:rPr>
                <w:rFonts w:ascii="Arial" w:cs="Arial" w:eastAsia="Arial" w:hAnsi="Arial"/>
                <w:sz w:val="14"/>
                <w:szCs w:val="14"/>
                <w:b w:val="1"/>
                <w:bCs w:val="1"/>
                <w:color w:val="FFFFFF"/>
              </w:rPr>
              <w:t>Objective</w:t>
            </w:r>
          </w:p>
        </w:tc>
        <w:tc>
          <w:tcPr>
            <w:tcW w:w="1940" w:type="dxa"/>
            <w:vAlign w:val="bottom"/>
            <w:tcBorders>
              <w:right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Type of</w:t>
            </w:r>
          </w:p>
        </w:tc>
        <w:tc>
          <w:tcPr>
            <w:tcW w:w="4400" w:type="dxa"/>
            <w:vAlign w:val="bottom"/>
            <w:vMerge w:val="restart"/>
            <w:shd w:val="clear" w:color="auto" w:fill="009845"/>
          </w:tcPr>
          <w:p>
            <w:pPr>
              <w:ind w:left="1740"/>
              <w:spacing w:after="0"/>
              <w:rPr>
                <w:sz w:val="20"/>
                <w:szCs w:val="20"/>
                <w:color w:val="auto"/>
              </w:rPr>
            </w:pPr>
            <w:r>
              <w:rPr>
                <w:rFonts w:ascii="Arial" w:cs="Arial" w:eastAsia="Arial" w:hAnsi="Arial"/>
                <w:sz w:val="14"/>
                <w:szCs w:val="14"/>
                <w:b w:val="1"/>
                <w:bCs w:val="1"/>
                <w:color w:val="FFFFFF"/>
              </w:rPr>
              <w:t>Key Features</w:t>
            </w:r>
          </w:p>
        </w:tc>
        <w:tc>
          <w:tcPr>
            <w:tcW w:w="0" w:type="dxa"/>
            <w:vAlign w:val="bottom"/>
          </w:tcPr>
          <w:p>
            <w:pPr>
              <w:spacing w:after="0"/>
              <w:rPr>
                <w:sz w:val="1"/>
                <w:szCs w:val="1"/>
                <w:color w:val="auto"/>
              </w:rPr>
            </w:pPr>
          </w:p>
        </w:tc>
      </w:tr>
      <w:tr>
        <w:trPr>
          <w:trHeight w:val="102"/>
        </w:trPr>
        <w:tc>
          <w:tcPr>
            <w:tcW w:w="2720" w:type="dxa"/>
            <w:vAlign w:val="bottom"/>
            <w:tcBorders>
              <w:right w:val="single" w:sz="8" w:color="009845"/>
            </w:tcBorders>
            <w:vMerge w:val="continue"/>
            <w:shd w:val="clear" w:color="auto" w:fill="009845"/>
          </w:tcPr>
          <w:p>
            <w:pPr>
              <w:spacing w:after="0"/>
              <w:rPr>
                <w:sz w:val="8"/>
                <w:szCs w:val="8"/>
                <w:color w:val="auto"/>
              </w:rPr>
            </w:pPr>
          </w:p>
        </w:tc>
        <w:tc>
          <w:tcPr>
            <w:tcW w:w="1940" w:type="dxa"/>
            <w:vAlign w:val="bottom"/>
            <w:tcBorders>
              <w:right w:val="single" w:sz="8" w:color="009845"/>
            </w:tcBorders>
            <w:vMerge w:val="restart"/>
            <w:shd w:val="clear" w:color="auto" w:fill="009845"/>
          </w:tcPr>
          <w:p>
            <w:pPr>
              <w:jc w:val="center"/>
              <w:spacing w:after="0"/>
              <w:rPr>
                <w:sz w:val="20"/>
                <w:szCs w:val="20"/>
                <w:color w:val="auto"/>
              </w:rPr>
            </w:pPr>
            <w:r>
              <w:rPr>
                <w:rFonts w:ascii="Arial" w:cs="Arial" w:eastAsia="Arial" w:hAnsi="Arial"/>
                <w:sz w:val="14"/>
                <w:szCs w:val="14"/>
                <w:b w:val="1"/>
                <w:bCs w:val="1"/>
                <w:color w:val="FFFFFF"/>
              </w:rPr>
              <w:t>Compensation</w:t>
            </w:r>
          </w:p>
        </w:tc>
        <w:tc>
          <w:tcPr>
            <w:tcW w:w="4400" w:type="dxa"/>
            <w:vAlign w:val="bottom"/>
            <w:vMerge w:val="continue"/>
            <w:shd w:val="clear" w:color="auto" w:fill="009845"/>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009845"/>
            </w:tcBorders>
            <w:shd w:val="clear" w:color="auto" w:fill="009845"/>
          </w:tcPr>
          <w:p>
            <w:pPr>
              <w:spacing w:after="0"/>
              <w:rPr>
                <w:sz w:val="9"/>
                <w:szCs w:val="9"/>
                <w:color w:val="auto"/>
              </w:rPr>
            </w:pPr>
          </w:p>
        </w:tc>
        <w:tc>
          <w:tcPr>
            <w:tcW w:w="1940" w:type="dxa"/>
            <w:vAlign w:val="bottom"/>
            <w:tcBorders>
              <w:right w:val="single" w:sz="8" w:color="009845"/>
            </w:tcBorders>
            <w:vMerge w:val="continue"/>
            <w:shd w:val="clear" w:color="auto" w:fill="009845"/>
          </w:tcPr>
          <w:p>
            <w:pPr>
              <w:spacing w:after="0"/>
              <w:rPr>
                <w:sz w:val="9"/>
                <w:szCs w:val="9"/>
                <w:color w:val="auto"/>
              </w:rPr>
            </w:pPr>
          </w:p>
        </w:tc>
        <w:tc>
          <w:tcPr>
            <w:tcW w:w="4400" w:type="dxa"/>
            <w:vAlign w:val="bottom"/>
            <w:shd w:val="clear" w:color="auto" w:fill="009845"/>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720" w:type="dxa"/>
            <w:vAlign w:val="bottom"/>
            <w:tcBorders>
              <w:right w:val="single" w:sz="8" w:color="58595B"/>
            </w:tcBorders>
            <w:shd w:val="clear" w:color="auto" w:fill="EFEDED"/>
          </w:tcPr>
          <w:p>
            <w:pPr>
              <w:ind w:left="100"/>
              <w:spacing w:after="0"/>
              <w:rPr>
                <w:sz w:val="20"/>
                <w:szCs w:val="20"/>
                <w:color w:val="auto"/>
              </w:rPr>
            </w:pPr>
            <w:r>
              <w:rPr>
                <w:rFonts w:ascii="Arial" w:cs="Arial" w:eastAsia="Arial" w:hAnsi="Arial"/>
                <w:sz w:val="14"/>
                <w:szCs w:val="14"/>
                <w:color w:val="58595B"/>
              </w:rPr>
              <w:t>Provide competitive fixed pay that is tied</w:t>
            </w:r>
          </w:p>
        </w:tc>
        <w:tc>
          <w:tcPr>
            <w:tcW w:w="1940" w:type="dxa"/>
            <w:vAlign w:val="bottom"/>
            <w:tcBorders>
              <w:right w:val="single" w:sz="8" w:color="58595B"/>
            </w:tcBorders>
            <w:shd w:val="clear" w:color="auto" w:fill="EFEDED"/>
          </w:tcPr>
          <w:p>
            <w:pPr>
              <w:spacing w:after="0"/>
              <w:rPr>
                <w:sz w:val="16"/>
                <w:szCs w:val="16"/>
                <w:color w:val="auto"/>
              </w:rPr>
            </w:pPr>
          </w:p>
        </w:tc>
        <w:tc>
          <w:tcPr>
            <w:tcW w:w="440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 Reflects individual skills, experience, responsibilities and</w:t>
            </w:r>
          </w:p>
        </w:tc>
        <w:tc>
          <w:tcPr>
            <w:tcW w:w="0" w:type="dxa"/>
            <w:vAlign w:val="bottom"/>
          </w:tcPr>
          <w:p>
            <w:pPr>
              <w:spacing w:after="0"/>
              <w:rPr>
                <w:sz w:val="1"/>
                <w:szCs w:val="1"/>
                <w:color w:val="auto"/>
              </w:rPr>
            </w:pPr>
          </w:p>
        </w:tc>
      </w:tr>
      <w:tr>
        <w:trPr>
          <w:trHeight w:val="81"/>
        </w:trPr>
        <w:tc>
          <w:tcPr>
            <w:tcW w:w="27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to the market and allows us to attract,</w:t>
            </w:r>
          </w:p>
        </w:tc>
        <w:tc>
          <w:tcPr>
            <w:tcW w:w="1940" w:type="dxa"/>
            <w:vAlign w:val="bottom"/>
            <w:tcBorders>
              <w:right w:val="single" w:sz="8" w:color="58595B"/>
            </w:tcBorders>
            <w:shd w:val="clear" w:color="auto" w:fill="EFEDED"/>
          </w:tcPr>
          <w:p>
            <w:pPr>
              <w:spacing w:after="0"/>
              <w:rPr>
                <w:sz w:val="7"/>
                <w:szCs w:val="7"/>
                <w:color w:val="auto"/>
              </w:rPr>
            </w:pPr>
          </w:p>
        </w:tc>
        <w:tc>
          <w:tcPr>
            <w:tcW w:w="440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720" w:type="dxa"/>
            <w:vAlign w:val="bottom"/>
            <w:tcBorders>
              <w:right w:val="single" w:sz="8" w:color="58595B"/>
            </w:tcBorders>
            <w:vMerge w:val="continue"/>
            <w:shd w:val="clear" w:color="auto" w:fill="EFEDED"/>
          </w:tcPr>
          <w:p>
            <w:pPr>
              <w:spacing w:after="0"/>
              <w:rPr>
                <w:sz w:val="8"/>
                <w:szCs w:val="8"/>
                <w:color w:val="auto"/>
              </w:rPr>
            </w:pPr>
          </w:p>
        </w:tc>
        <w:tc>
          <w:tcPr>
            <w:tcW w:w="1940" w:type="dxa"/>
            <w:vAlign w:val="bottom"/>
            <w:tcBorders>
              <w:right w:val="single" w:sz="8" w:color="58595B"/>
            </w:tcBorders>
            <w:vMerge w:val="restart"/>
            <w:shd w:val="clear" w:color="auto" w:fill="EFEDED"/>
          </w:tcPr>
          <w:p>
            <w:pPr>
              <w:jc w:val="center"/>
              <w:spacing w:after="0"/>
              <w:rPr>
                <w:sz w:val="20"/>
                <w:szCs w:val="20"/>
                <w:color w:val="auto"/>
              </w:rPr>
            </w:pPr>
            <w:r>
              <w:rPr>
                <w:rFonts w:ascii="Arial" w:cs="Arial" w:eastAsia="Arial" w:hAnsi="Arial"/>
                <w:sz w:val="14"/>
                <w:szCs w:val="14"/>
                <w:color w:val="58595B"/>
                <w:w w:val="97"/>
              </w:rPr>
              <w:t>Cash</w:t>
            </w:r>
          </w:p>
        </w:tc>
        <w:tc>
          <w:tcPr>
            <w:tcW w:w="4400" w:type="dxa"/>
            <w:vAlign w:val="bottom"/>
            <w:vMerge w:val="restart"/>
            <w:shd w:val="clear" w:color="auto" w:fill="EFEDED"/>
          </w:tcPr>
          <w:p>
            <w:pPr>
              <w:ind w:left="260"/>
              <w:spacing w:after="0"/>
              <w:rPr>
                <w:sz w:val="20"/>
                <w:szCs w:val="20"/>
                <w:color w:val="auto"/>
              </w:rPr>
            </w:pPr>
            <w:r>
              <w:rPr>
                <w:rFonts w:ascii="Arial" w:cs="Arial" w:eastAsia="Arial" w:hAnsi="Arial"/>
                <w:sz w:val="14"/>
                <w:szCs w:val="14"/>
                <w:color w:val="58595B"/>
              </w:rPr>
              <w:t>performance over time</w:t>
            </w:r>
          </w:p>
        </w:tc>
        <w:tc>
          <w:tcPr>
            <w:tcW w:w="0" w:type="dxa"/>
            <w:vAlign w:val="bottom"/>
          </w:tcPr>
          <w:p>
            <w:pPr>
              <w:spacing w:after="0"/>
              <w:rPr>
                <w:sz w:val="1"/>
                <w:szCs w:val="1"/>
                <w:color w:val="auto"/>
              </w:rPr>
            </w:pPr>
          </w:p>
        </w:tc>
      </w:tr>
      <w:tr>
        <w:trPr>
          <w:trHeight w:val="81"/>
        </w:trPr>
        <w:tc>
          <w:tcPr>
            <w:tcW w:w="27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retain and motivate executives within</w:t>
            </w:r>
          </w:p>
        </w:tc>
        <w:tc>
          <w:tcPr>
            <w:tcW w:w="1940" w:type="dxa"/>
            <w:vAlign w:val="bottom"/>
            <w:tcBorders>
              <w:right w:val="single" w:sz="8" w:color="58595B"/>
            </w:tcBorders>
            <w:vMerge w:val="continue"/>
            <w:shd w:val="clear" w:color="auto" w:fill="EFEDED"/>
          </w:tcPr>
          <w:p>
            <w:pPr>
              <w:spacing w:after="0"/>
              <w:rPr>
                <w:sz w:val="7"/>
                <w:szCs w:val="7"/>
                <w:color w:val="auto"/>
              </w:rPr>
            </w:pPr>
          </w:p>
        </w:tc>
        <w:tc>
          <w:tcPr>
            <w:tcW w:w="440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720" w:type="dxa"/>
            <w:vAlign w:val="bottom"/>
            <w:tcBorders>
              <w:right w:val="single" w:sz="8" w:color="58595B"/>
            </w:tcBorders>
            <w:vMerge w:val="continue"/>
            <w:shd w:val="clear" w:color="auto" w:fill="EFEDED"/>
          </w:tcPr>
          <w:p>
            <w:pPr>
              <w:spacing w:after="0"/>
              <w:rPr>
                <w:sz w:val="7"/>
                <w:szCs w:val="7"/>
                <w:color w:val="auto"/>
              </w:rPr>
            </w:pPr>
          </w:p>
        </w:tc>
        <w:tc>
          <w:tcPr>
            <w:tcW w:w="1940" w:type="dxa"/>
            <w:vAlign w:val="bottom"/>
            <w:tcBorders>
              <w:right w:val="single" w:sz="8" w:color="58595B"/>
            </w:tcBorders>
            <w:vMerge w:val="continue"/>
            <w:shd w:val="clear" w:color="auto" w:fill="EFEDED"/>
          </w:tcPr>
          <w:p>
            <w:pPr>
              <w:spacing w:after="0"/>
              <w:rPr>
                <w:sz w:val="7"/>
                <w:szCs w:val="7"/>
                <w:color w:val="auto"/>
              </w:rPr>
            </w:pPr>
          </w:p>
        </w:tc>
        <w:tc>
          <w:tcPr>
            <w:tcW w:w="440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 Influences annual bonus and long-term incentive opportunity</w:t>
            </w:r>
          </w:p>
        </w:tc>
        <w:tc>
          <w:tcPr>
            <w:tcW w:w="0" w:type="dxa"/>
            <w:vAlign w:val="bottom"/>
          </w:tcPr>
          <w:p>
            <w:pPr>
              <w:spacing w:after="0"/>
              <w:rPr>
                <w:sz w:val="1"/>
                <w:szCs w:val="1"/>
                <w:color w:val="auto"/>
              </w:rPr>
            </w:pPr>
          </w:p>
        </w:tc>
      </w:tr>
      <w:tr>
        <w:trPr>
          <w:trHeight w:val="81"/>
        </w:trPr>
        <w:tc>
          <w:tcPr>
            <w:tcW w:w="27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the medical technology industry and</w:t>
            </w:r>
          </w:p>
        </w:tc>
        <w:tc>
          <w:tcPr>
            <w:tcW w:w="1940" w:type="dxa"/>
            <w:vAlign w:val="bottom"/>
            <w:tcBorders>
              <w:right w:val="single" w:sz="8" w:color="58595B"/>
            </w:tcBorders>
            <w:shd w:val="clear" w:color="auto" w:fill="EFEDED"/>
          </w:tcPr>
          <w:p>
            <w:pPr>
              <w:spacing w:after="0"/>
              <w:rPr>
                <w:sz w:val="7"/>
                <w:szCs w:val="7"/>
                <w:color w:val="auto"/>
              </w:rPr>
            </w:pPr>
          </w:p>
        </w:tc>
        <w:tc>
          <w:tcPr>
            <w:tcW w:w="440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720" w:type="dxa"/>
            <w:vAlign w:val="bottom"/>
            <w:tcBorders>
              <w:right w:val="single" w:sz="8" w:color="58595B"/>
            </w:tcBorders>
            <w:vMerge w:val="continue"/>
            <w:shd w:val="clear" w:color="auto" w:fill="EFEDED"/>
          </w:tcPr>
          <w:p>
            <w:pPr>
              <w:spacing w:after="0"/>
              <w:rPr>
                <w:sz w:val="8"/>
                <w:szCs w:val="8"/>
                <w:color w:val="auto"/>
              </w:rPr>
            </w:pPr>
          </w:p>
        </w:tc>
        <w:tc>
          <w:tcPr>
            <w:tcW w:w="1940" w:type="dxa"/>
            <w:vAlign w:val="bottom"/>
            <w:tcBorders>
              <w:right w:val="single" w:sz="8" w:color="58595B"/>
            </w:tcBorders>
            <w:shd w:val="clear" w:color="auto" w:fill="EFEDED"/>
          </w:tcPr>
          <w:p>
            <w:pPr>
              <w:spacing w:after="0"/>
              <w:rPr>
                <w:sz w:val="8"/>
                <w:szCs w:val="8"/>
                <w:color w:val="auto"/>
              </w:rPr>
            </w:pPr>
          </w:p>
        </w:tc>
        <w:tc>
          <w:tcPr>
            <w:tcW w:w="440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 Provides a stable and secure source of income</w:t>
            </w:r>
          </w:p>
        </w:tc>
        <w:tc>
          <w:tcPr>
            <w:tcW w:w="0" w:type="dxa"/>
            <w:vAlign w:val="bottom"/>
          </w:tcPr>
          <w:p>
            <w:pPr>
              <w:spacing w:after="0"/>
              <w:rPr>
                <w:sz w:val="1"/>
                <w:szCs w:val="1"/>
                <w:color w:val="auto"/>
              </w:rPr>
            </w:pPr>
          </w:p>
        </w:tc>
      </w:tr>
      <w:tr>
        <w:trPr>
          <w:trHeight w:val="96"/>
        </w:trPr>
        <w:tc>
          <w:tcPr>
            <w:tcW w:w="27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broader market</w:t>
            </w:r>
          </w:p>
        </w:tc>
        <w:tc>
          <w:tcPr>
            <w:tcW w:w="1940" w:type="dxa"/>
            <w:vAlign w:val="bottom"/>
            <w:tcBorders>
              <w:right w:val="single" w:sz="8" w:color="58595B"/>
            </w:tcBorders>
            <w:shd w:val="clear" w:color="auto" w:fill="EFEDED"/>
          </w:tcPr>
          <w:p>
            <w:pPr>
              <w:spacing w:after="0"/>
              <w:rPr>
                <w:sz w:val="8"/>
                <w:szCs w:val="8"/>
                <w:color w:val="auto"/>
              </w:rPr>
            </w:pPr>
          </w:p>
        </w:tc>
        <w:tc>
          <w:tcPr>
            <w:tcW w:w="440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720" w:type="dxa"/>
            <w:vAlign w:val="bottom"/>
            <w:tcBorders>
              <w:bottom w:val="single" w:sz="8" w:color="EFEDED"/>
              <w:right w:val="single" w:sz="8" w:color="58595B"/>
            </w:tcBorders>
            <w:vMerge w:val="continue"/>
            <w:shd w:val="clear" w:color="auto" w:fill="EFEDED"/>
          </w:tcPr>
          <w:p>
            <w:pPr>
              <w:spacing w:after="0"/>
              <w:rPr>
                <w:sz w:val="8"/>
                <w:szCs w:val="8"/>
                <w:color w:val="auto"/>
              </w:rPr>
            </w:pPr>
          </w:p>
        </w:tc>
        <w:tc>
          <w:tcPr>
            <w:tcW w:w="1940" w:type="dxa"/>
            <w:vAlign w:val="bottom"/>
            <w:tcBorders>
              <w:bottom w:val="single" w:sz="8" w:color="EFEDED"/>
              <w:right w:val="single" w:sz="8" w:color="58595B"/>
            </w:tcBorders>
            <w:shd w:val="clear" w:color="auto" w:fill="EFEDED"/>
          </w:tcPr>
          <w:p>
            <w:pPr>
              <w:spacing w:after="0"/>
              <w:rPr>
                <w:sz w:val="8"/>
                <w:szCs w:val="8"/>
                <w:color w:val="auto"/>
              </w:rPr>
            </w:pPr>
          </w:p>
        </w:tc>
        <w:tc>
          <w:tcPr>
            <w:tcW w:w="4400" w:type="dxa"/>
            <w:vAlign w:val="bottom"/>
            <w:tcBorders>
              <w:bottom w:val="single" w:sz="8" w:color="EFEDED"/>
            </w:tcBorders>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720" w:type="dxa"/>
            <w:vAlign w:val="bottom"/>
            <w:tcBorders>
              <w:right w:val="single" w:sz="8" w:color="58595B"/>
            </w:tcBorders>
          </w:tcPr>
          <w:p>
            <w:pPr>
              <w:spacing w:after="0"/>
              <w:rPr>
                <w:sz w:val="16"/>
                <w:szCs w:val="16"/>
                <w:color w:val="auto"/>
              </w:rPr>
            </w:pPr>
          </w:p>
        </w:tc>
        <w:tc>
          <w:tcPr>
            <w:tcW w:w="1940" w:type="dxa"/>
            <w:vAlign w:val="bottom"/>
            <w:tcBorders>
              <w:right w:val="single" w:sz="8" w:color="58595B"/>
            </w:tcBorders>
          </w:tcPr>
          <w:p>
            <w:pPr>
              <w:spacing w:after="0"/>
              <w:rPr>
                <w:sz w:val="16"/>
                <w:szCs w:val="16"/>
                <w:color w:val="auto"/>
              </w:rPr>
            </w:pPr>
          </w:p>
        </w:tc>
        <w:tc>
          <w:tcPr>
            <w:tcW w:w="4400" w:type="dxa"/>
            <w:vAlign w:val="bottom"/>
          </w:tcPr>
          <w:p>
            <w:pPr>
              <w:ind w:left="100"/>
              <w:spacing w:after="0"/>
              <w:rPr>
                <w:sz w:val="20"/>
                <w:szCs w:val="20"/>
                <w:color w:val="auto"/>
              </w:rPr>
            </w:pPr>
            <w:r>
              <w:rPr>
                <w:rFonts w:ascii="Arial" w:cs="Arial" w:eastAsia="Arial" w:hAnsi="Arial"/>
                <w:sz w:val="14"/>
                <w:szCs w:val="14"/>
                <w:color w:val="58595B"/>
              </w:rPr>
              <w:t>• Performance-based reward tied to achievement of short-term</w:t>
            </w:r>
          </w:p>
        </w:tc>
        <w:tc>
          <w:tcPr>
            <w:tcW w:w="0" w:type="dxa"/>
            <w:vAlign w:val="bottom"/>
          </w:tcPr>
          <w:p>
            <w:pPr>
              <w:spacing w:after="0"/>
              <w:rPr>
                <w:sz w:val="1"/>
                <w:szCs w:val="1"/>
                <w:color w:val="auto"/>
              </w:rPr>
            </w:pPr>
          </w:p>
        </w:tc>
      </w:tr>
      <w:tr>
        <w:trPr>
          <w:trHeight w:val="175"/>
        </w:trPr>
        <w:tc>
          <w:tcPr>
            <w:tcW w:w="2720" w:type="dxa"/>
            <w:vAlign w:val="bottom"/>
            <w:tcBorders>
              <w:right w:val="single" w:sz="8" w:color="58595B"/>
            </w:tcBorders>
          </w:tcPr>
          <w:p>
            <w:pPr>
              <w:spacing w:after="0"/>
              <w:rPr>
                <w:sz w:val="15"/>
                <w:szCs w:val="15"/>
                <w:color w:val="auto"/>
              </w:rPr>
            </w:pPr>
          </w:p>
        </w:tc>
        <w:tc>
          <w:tcPr>
            <w:tcW w:w="1940" w:type="dxa"/>
            <w:vAlign w:val="bottom"/>
            <w:tcBorders>
              <w:right w:val="single" w:sz="8" w:color="58595B"/>
            </w:tcBorders>
          </w:tcPr>
          <w:p>
            <w:pPr>
              <w:spacing w:after="0"/>
              <w:rPr>
                <w:sz w:val="15"/>
                <w:szCs w:val="15"/>
                <w:color w:val="auto"/>
              </w:rPr>
            </w:pPr>
          </w:p>
        </w:tc>
        <w:tc>
          <w:tcPr>
            <w:tcW w:w="4400" w:type="dxa"/>
            <w:vAlign w:val="bottom"/>
          </w:tcPr>
          <w:p>
            <w:pPr>
              <w:ind w:left="260"/>
              <w:spacing w:after="0"/>
              <w:rPr>
                <w:sz w:val="20"/>
                <w:szCs w:val="20"/>
                <w:color w:val="auto"/>
              </w:rPr>
            </w:pPr>
            <w:r>
              <w:rPr>
                <w:rFonts w:ascii="Arial" w:cs="Arial" w:eastAsia="Arial" w:hAnsi="Arial"/>
                <w:sz w:val="14"/>
                <w:szCs w:val="14"/>
                <w:color w:val="58595B"/>
              </w:rPr>
              <w:t>corporate and individual performance goals</w:t>
            </w:r>
          </w:p>
        </w:tc>
        <w:tc>
          <w:tcPr>
            <w:tcW w:w="0" w:type="dxa"/>
            <w:vAlign w:val="bottom"/>
          </w:tcPr>
          <w:p>
            <w:pPr>
              <w:spacing w:after="0"/>
              <w:rPr>
                <w:sz w:val="1"/>
                <w:szCs w:val="1"/>
                <w:color w:val="auto"/>
              </w:rPr>
            </w:pPr>
          </w:p>
        </w:tc>
      </w:tr>
      <w:tr>
        <w:trPr>
          <w:trHeight w:val="162"/>
        </w:trPr>
        <w:tc>
          <w:tcPr>
            <w:tcW w:w="2720" w:type="dxa"/>
            <w:vAlign w:val="bottom"/>
            <w:tcBorders>
              <w:right w:val="single" w:sz="8" w:color="58595B"/>
            </w:tcBorders>
          </w:tcPr>
          <w:p>
            <w:pPr>
              <w:spacing w:after="0"/>
              <w:rPr>
                <w:sz w:val="14"/>
                <w:szCs w:val="14"/>
                <w:color w:val="auto"/>
              </w:rPr>
            </w:pPr>
          </w:p>
        </w:tc>
        <w:tc>
          <w:tcPr>
            <w:tcW w:w="1940" w:type="dxa"/>
            <w:vAlign w:val="bottom"/>
            <w:tcBorders>
              <w:right w:val="single" w:sz="8" w:color="58595B"/>
            </w:tcBorders>
          </w:tcPr>
          <w:p>
            <w:pPr>
              <w:spacing w:after="0"/>
              <w:rPr>
                <w:sz w:val="14"/>
                <w:szCs w:val="14"/>
                <w:color w:val="auto"/>
              </w:rPr>
            </w:pPr>
          </w:p>
        </w:tc>
        <w:tc>
          <w:tcPr>
            <w:tcW w:w="4400" w:type="dxa"/>
            <w:vAlign w:val="bottom"/>
          </w:tcPr>
          <w:p>
            <w:pPr>
              <w:ind w:left="100"/>
              <w:spacing w:after="0"/>
              <w:rPr>
                <w:sz w:val="20"/>
                <w:szCs w:val="20"/>
                <w:color w:val="auto"/>
              </w:rPr>
            </w:pPr>
            <w:r>
              <w:rPr>
                <w:rFonts w:ascii="Arial" w:cs="Arial" w:eastAsia="Arial" w:hAnsi="Arial"/>
                <w:sz w:val="14"/>
                <w:szCs w:val="14"/>
                <w:color w:val="58595B"/>
              </w:rPr>
              <w:t>• Payment reflects the attainment of corporate financial goals (i.e.,</w:t>
            </w:r>
          </w:p>
        </w:tc>
        <w:tc>
          <w:tcPr>
            <w:tcW w:w="0" w:type="dxa"/>
            <w:vAlign w:val="bottom"/>
          </w:tcPr>
          <w:p>
            <w:pPr>
              <w:spacing w:after="0"/>
              <w:rPr>
                <w:sz w:val="1"/>
                <w:szCs w:val="1"/>
                <w:color w:val="auto"/>
              </w:rPr>
            </w:pPr>
          </w:p>
        </w:tc>
      </w:tr>
      <w:tr>
        <w:trPr>
          <w:trHeight w:val="175"/>
        </w:trPr>
        <w:tc>
          <w:tcPr>
            <w:tcW w:w="2720" w:type="dxa"/>
            <w:vAlign w:val="bottom"/>
            <w:tcBorders>
              <w:right w:val="single" w:sz="8" w:color="58595B"/>
            </w:tcBorders>
          </w:tcPr>
          <w:p>
            <w:pPr>
              <w:ind w:left="100"/>
              <w:spacing w:after="0"/>
              <w:rPr>
                <w:sz w:val="20"/>
                <w:szCs w:val="20"/>
                <w:color w:val="auto"/>
              </w:rPr>
            </w:pPr>
            <w:r>
              <w:rPr>
                <w:rFonts w:ascii="Arial" w:cs="Arial" w:eastAsia="Arial" w:hAnsi="Arial"/>
                <w:sz w:val="14"/>
                <w:szCs w:val="14"/>
                <w:color w:val="58595B"/>
              </w:rPr>
              <w:t>Encourage focus on short-term business</w:t>
            </w:r>
          </w:p>
        </w:tc>
        <w:tc>
          <w:tcPr>
            <w:tcW w:w="194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4"/>
                <w:szCs w:val="14"/>
                <w:color w:val="58595B"/>
                <w:w w:val="97"/>
              </w:rPr>
              <w:t>Cash</w:t>
            </w:r>
          </w:p>
        </w:tc>
        <w:tc>
          <w:tcPr>
            <w:tcW w:w="4400" w:type="dxa"/>
            <w:vAlign w:val="bottom"/>
          </w:tcPr>
          <w:p>
            <w:pPr>
              <w:ind w:left="260"/>
              <w:spacing w:after="0"/>
              <w:rPr>
                <w:sz w:val="20"/>
                <w:szCs w:val="20"/>
                <w:color w:val="auto"/>
              </w:rPr>
            </w:pPr>
            <w:r>
              <w:rPr>
                <w:rFonts w:ascii="Arial" w:cs="Arial" w:eastAsia="Arial" w:hAnsi="Arial"/>
                <w:sz w:val="14"/>
                <w:szCs w:val="14"/>
                <w:color w:val="58595B"/>
              </w:rPr>
              <w:t>revenue, adjusted EBITDA and operating cash flow) as well as</w:t>
            </w:r>
          </w:p>
        </w:tc>
        <w:tc>
          <w:tcPr>
            <w:tcW w:w="0" w:type="dxa"/>
            <w:vAlign w:val="bottom"/>
          </w:tcPr>
          <w:p>
            <w:pPr>
              <w:spacing w:after="0"/>
              <w:rPr>
                <w:sz w:val="1"/>
                <w:szCs w:val="1"/>
                <w:color w:val="auto"/>
              </w:rPr>
            </w:pPr>
          </w:p>
        </w:tc>
      </w:tr>
      <w:tr>
        <w:trPr>
          <w:trHeight w:val="96"/>
        </w:trPr>
        <w:tc>
          <w:tcPr>
            <w:tcW w:w="272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performance</w:t>
            </w:r>
          </w:p>
        </w:tc>
        <w:tc>
          <w:tcPr>
            <w:tcW w:w="1940" w:type="dxa"/>
            <w:vAlign w:val="bottom"/>
            <w:tcBorders>
              <w:right w:val="single" w:sz="8" w:color="58595B"/>
            </w:tcBorders>
            <w:vMerge w:val="continue"/>
          </w:tcPr>
          <w:p>
            <w:pPr>
              <w:spacing w:after="0"/>
              <w:rPr>
                <w:sz w:val="8"/>
                <w:szCs w:val="8"/>
                <w:color w:val="auto"/>
              </w:rPr>
            </w:pPr>
          </w:p>
        </w:tc>
        <w:tc>
          <w:tcPr>
            <w:tcW w:w="4400" w:type="dxa"/>
            <w:vAlign w:val="bottom"/>
            <w:vMerge w:val="restart"/>
          </w:tcPr>
          <w:p>
            <w:pPr>
              <w:ind w:left="260"/>
              <w:spacing w:after="0"/>
              <w:rPr>
                <w:sz w:val="20"/>
                <w:szCs w:val="20"/>
                <w:color w:val="auto"/>
              </w:rPr>
            </w:pPr>
            <w:r>
              <w:rPr>
                <w:rFonts w:ascii="Arial" w:cs="Arial" w:eastAsia="Arial" w:hAnsi="Arial"/>
                <w:sz w:val="14"/>
                <w:szCs w:val="14"/>
                <w:color w:val="58595B"/>
              </w:rPr>
              <w:t>individual accomplishments in strategy, financial, and cultural</w:t>
            </w:r>
          </w:p>
        </w:tc>
        <w:tc>
          <w:tcPr>
            <w:tcW w:w="0" w:type="dxa"/>
            <w:vAlign w:val="bottom"/>
          </w:tcPr>
          <w:p>
            <w:pPr>
              <w:spacing w:after="0"/>
              <w:rPr>
                <w:sz w:val="1"/>
                <w:szCs w:val="1"/>
                <w:color w:val="auto"/>
              </w:rPr>
            </w:pPr>
          </w:p>
        </w:tc>
      </w:tr>
      <w:tr>
        <w:trPr>
          <w:trHeight w:val="80"/>
        </w:trPr>
        <w:tc>
          <w:tcPr>
            <w:tcW w:w="2720" w:type="dxa"/>
            <w:vAlign w:val="bottom"/>
            <w:tcBorders>
              <w:right w:val="single" w:sz="8" w:color="58595B"/>
            </w:tcBorders>
            <w:vMerge w:val="continue"/>
          </w:tcPr>
          <w:p>
            <w:pPr>
              <w:spacing w:after="0"/>
              <w:rPr>
                <w:sz w:val="6"/>
                <w:szCs w:val="6"/>
                <w:color w:val="auto"/>
              </w:rPr>
            </w:pPr>
          </w:p>
        </w:tc>
        <w:tc>
          <w:tcPr>
            <w:tcW w:w="1940" w:type="dxa"/>
            <w:vAlign w:val="bottom"/>
            <w:tcBorders>
              <w:right w:val="single" w:sz="8" w:color="58595B"/>
            </w:tcBorders>
          </w:tcPr>
          <w:p>
            <w:pPr>
              <w:spacing w:after="0"/>
              <w:rPr>
                <w:sz w:val="6"/>
                <w:szCs w:val="6"/>
                <w:color w:val="auto"/>
              </w:rPr>
            </w:pPr>
          </w:p>
        </w:tc>
        <w:tc>
          <w:tcPr>
            <w:tcW w:w="4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720" w:type="dxa"/>
            <w:vAlign w:val="bottom"/>
            <w:tcBorders>
              <w:right w:val="single" w:sz="8" w:color="58595B"/>
            </w:tcBorders>
          </w:tcPr>
          <w:p>
            <w:pPr>
              <w:spacing w:after="0"/>
              <w:rPr>
                <w:sz w:val="15"/>
                <w:szCs w:val="15"/>
                <w:color w:val="auto"/>
              </w:rPr>
            </w:pPr>
          </w:p>
        </w:tc>
        <w:tc>
          <w:tcPr>
            <w:tcW w:w="1940" w:type="dxa"/>
            <w:vAlign w:val="bottom"/>
            <w:tcBorders>
              <w:right w:val="single" w:sz="8" w:color="58595B"/>
            </w:tcBorders>
          </w:tcPr>
          <w:p>
            <w:pPr>
              <w:spacing w:after="0"/>
              <w:rPr>
                <w:sz w:val="15"/>
                <w:szCs w:val="15"/>
                <w:color w:val="auto"/>
              </w:rPr>
            </w:pPr>
          </w:p>
        </w:tc>
        <w:tc>
          <w:tcPr>
            <w:tcW w:w="4400" w:type="dxa"/>
            <w:vAlign w:val="bottom"/>
          </w:tcPr>
          <w:p>
            <w:pPr>
              <w:ind w:left="260"/>
              <w:spacing w:after="0"/>
              <w:rPr>
                <w:sz w:val="20"/>
                <w:szCs w:val="20"/>
                <w:color w:val="auto"/>
              </w:rPr>
            </w:pPr>
            <w:r>
              <w:rPr>
                <w:rFonts w:ascii="Arial" w:cs="Arial" w:eastAsia="Arial" w:hAnsi="Arial"/>
                <w:sz w:val="14"/>
                <w:szCs w:val="14"/>
                <w:color w:val="58595B"/>
              </w:rPr>
              <w:t>elements associated with their leadership responsibilities for</w:t>
            </w:r>
          </w:p>
        </w:tc>
        <w:tc>
          <w:tcPr>
            <w:tcW w:w="0" w:type="dxa"/>
            <w:vAlign w:val="bottom"/>
          </w:tcPr>
          <w:p>
            <w:pPr>
              <w:spacing w:after="0"/>
              <w:rPr>
                <w:sz w:val="1"/>
                <w:szCs w:val="1"/>
                <w:color w:val="auto"/>
              </w:rPr>
            </w:pPr>
          </w:p>
        </w:tc>
      </w:tr>
      <w:tr>
        <w:trPr>
          <w:trHeight w:val="176"/>
        </w:trPr>
        <w:tc>
          <w:tcPr>
            <w:tcW w:w="2720" w:type="dxa"/>
            <w:vAlign w:val="bottom"/>
            <w:tcBorders>
              <w:right w:val="single" w:sz="8" w:color="58595B"/>
            </w:tcBorders>
          </w:tcPr>
          <w:p>
            <w:pPr>
              <w:spacing w:after="0"/>
              <w:rPr>
                <w:sz w:val="15"/>
                <w:szCs w:val="15"/>
                <w:color w:val="auto"/>
              </w:rPr>
            </w:pPr>
          </w:p>
        </w:tc>
        <w:tc>
          <w:tcPr>
            <w:tcW w:w="1940" w:type="dxa"/>
            <w:vAlign w:val="bottom"/>
            <w:tcBorders>
              <w:right w:val="single" w:sz="8" w:color="58595B"/>
            </w:tcBorders>
          </w:tcPr>
          <w:p>
            <w:pPr>
              <w:spacing w:after="0"/>
              <w:rPr>
                <w:sz w:val="15"/>
                <w:szCs w:val="15"/>
                <w:color w:val="auto"/>
              </w:rPr>
            </w:pPr>
          </w:p>
        </w:tc>
        <w:tc>
          <w:tcPr>
            <w:tcW w:w="4400" w:type="dxa"/>
            <w:vAlign w:val="bottom"/>
          </w:tcPr>
          <w:p>
            <w:pPr>
              <w:ind w:left="260"/>
              <w:spacing w:after="0"/>
              <w:rPr>
                <w:sz w:val="20"/>
                <w:szCs w:val="20"/>
                <w:color w:val="auto"/>
              </w:rPr>
            </w:pPr>
            <w:r>
              <w:rPr>
                <w:rFonts w:ascii="Arial" w:cs="Arial" w:eastAsia="Arial" w:hAnsi="Arial"/>
                <w:sz w:val="14"/>
                <w:szCs w:val="14"/>
                <w:color w:val="58595B"/>
              </w:rPr>
              <w:t>their given area</w:t>
            </w:r>
          </w:p>
        </w:tc>
        <w:tc>
          <w:tcPr>
            <w:tcW w:w="0" w:type="dxa"/>
            <w:vAlign w:val="bottom"/>
          </w:tcPr>
          <w:p>
            <w:pPr>
              <w:spacing w:after="0"/>
              <w:rPr>
                <w:sz w:val="1"/>
                <w:szCs w:val="1"/>
                <w:color w:val="auto"/>
              </w:rPr>
            </w:pPr>
          </w:p>
        </w:tc>
      </w:tr>
      <w:tr>
        <w:trPr>
          <w:trHeight w:val="194"/>
        </w:trPr>
        <w:tc>
          <w:tcPr>
            <w:tcW w:w="2720" w:type="dxa"/>
            <w:vAlign w:val="bottom"/>
            <w:tcBorders>
              <w:right w:val="single" w:sz="8" w:color="58595B"/>
            </w:tcBorders>
          </w:tcPr>
          <w:p>
            <w:pPr>
              <w:spacing w:after="0"/>
              <w:rPr>
                <w:sz w:val="16"/>
                <w:szCs w:val="16"/>
                <w:color w:val="auto"/>
              </w:rPr>
            </w:pPr>
          </w:p>
        </w:tc>
        <w:tc>
          <w:tcPr>
            <w:tcW w:w="1940" w:type="dxa"/>
            <w:vAlign w:val="bottom"/>
            <w:tcBorders>
              <w:right w:val="single" w:sz="8" w:color="58595B"/>
            </w:tcBorders>
          </w:tcPr>
          <w:p>
            <w:pPr>
              <w:spacing w:after="0"/>
              <w:rPr>
                <w:sz w:val="16"/>
                <w:szCs w:val="16"/>
                <w:color w:val="auto"/>
              </w:rPr>
            </w:pPr>
          </w:p>
        </w:tc>
        <w:tc>
          <w:tcPr>
            <w:tcW w:w="4400" w:type="dxa"/>
            <w:vAlign w:val="bottom"/>
          </w:tcPr>
          <w:p>
            <w:pPr>
              <w:ind w:left="100"/>
              <w:spacing w:after="0"/>
              <w:rPr>
                <w:sz w:val="20"/>
                <w:szCs w:val="20"/>
                <w:color w:val="auto"/>
              </w:rPr>
            </w:pPr>
            <w:r>
              <w:rPr>
                <w:rFonts w:ascii="Arial" w:cs="Arial" w:eastAsia="Arial" w:hAnsi="Arial"/>
                <w:sz w:val="14"/>
                <w:szCs w:val="14"/>
                <w:color w:val="58595B"/>
              </w:rPr>
              <w:t>• Paid only if threshold performance levels are met or exceeded</w:t>
            </w:r>
          </w:p>
        </w:tc>
        <w:tc>
          <w:tcPr>
            <w:tcW w:w="0" w:type="dxa"/>
            <w:vAlign w:val="bottom"/>
          </w:tcPr>
          <w:p>
            <w:pPr>
              <w:spacing w:after="0"/>
              <w:rPr>
                <w:sz w:val="1"/>
                <w:szCs w:val="1"/>
                <w:color w:val="auto"/>
              </w:rPr>
            </w:pPr>
          </w:p>
        </w:tc>
      </w:tr>
      <w:tr>
        <w:trPr>
          <w:trHeight w:val="197"/>
        </w:trPr>
        <w:tc>
          <w:tcPr>
            <w:tcW w:w="2720" w:type="dxa"/>
            <w:vAlign w:val="bottom"/>
            <w:tcBorders>
              <w:right w:val="single" w:sz="8" w:color="58595B"/>
            </w:tcBorders>
            <w:shd w:val="clear" w:color="auto" w:fill="EFEDED"/>
          </w:tcPr>
          <w:p>
            <w:pPr>
              <w:spacing w:after="0"/>
              <w:rPr>
                <w:sz w:val="17"/>
                <w:szCs w:val="17"/>
                <w:color w:val="auto"/>
              </w:rPr>
            </w:pPr>
          </w:p>
        </w:tc>
        <w:tc>
          <w:tcPr>
            <w:tcW w:w="1940" w:type="dxa"/>
            <w:vAlign w:val="bottom"/>
            <w:tcBorders>
              <w:right w:val="single" w:sz="8" w:color="58595B"/>
            </w:tcBorders>
            <w:shd w:val="clear" w:color="auto" w:fill="EFEDED"/>
          </w:tcPr>
          <w:p>
            <w:pPr>
              <w:spacing w:after="0"/>
              <w:rPr>
                <w:sz w:val="17"/>
                <w:szCs w:val="17"/>
                <w:color w:val="auto"/>
              </w:rPr>
            </w:pPr>
          </w:p>
        </w:tc>
        <w:tc>
          <w:tcPr>
            <w:tcW w:w="440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 Performance-based rewards tied to achievement of long-term</w:t>
            </w:r>
          </w:p>
        </w:tc>
        <w:tc>
          <w:tcPr>
            <w:tcW w:w="0" w:type="dxa"/>
            <w:vAlign w:val="bottom"/>
          </w:tcPr>
          <w:p>
            <w:pPr>
              <w:spacing w:after="0"/>
              <w:rPr>
                <w:sz w:val="1"/>
                <w:szCs w:val="1"/>
                <w:color w:val="auto"/>
              </w:rPr>
            </w:pPr>
          </w:p>
        </w:tc>
      </w:tr>
      <w:tr>
        <w:trPr>
          <w:trHeight w:val="175"/>
        </w:trPr>
        <w:tc>
          <w:tcPr>
            <w:tcW w:w="27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Increase multi-year organic revenue</w:t>
            </w:r>
          </w:p>
        </w:tc>
        <w:tc>
          <w:tcPr>
            <w:tcW w:w="1940" w:type="dxa"/>
            <w:vAlign w:val="bottom"/>
            <w:tcBorders>
              <w:right w:val="single" w:sz="8" w:color="58595B"/>
            </w:tcBorders>
            <w:vMerge w:val="restart"/>
            <w:shd w:val="clear" w:color="auto" w:fill="EFEDED"/>
          </w:tcPr>
          <w:p>
            <w:pPr>
              <w:jc w:val="center"/>
              <w:spacing w:after="0"/>
              <w:rPr>
                <w:sz w:val="20"/>
                <w:szCs w:val="20"/>
                <w:color w:val="auto"/>
              </w:rPr>
            </w:pPr>
            <w:r>
              <w:rPr>
                <w:rFonts w:ascii="Arial" w:cs="Arial" w:eastAsia="Arial" w:hAnsi="Arial"/>
                <w:sz w:val="14"/>
                <w:szCs w:val="14"/>
                <w:color w:val="58595B"/>
              </w:rPr>
              <w:t>Equity</w:t>
            </w:r>
          </w:p>
        </w:tc>
        <w:tc>
          <w:tcPr>
            <w:tcW w:w="4400" w:type="dxa"/>
            <w:vAlign w:val="bottom"/>
            <w:shd w:val="clear" w:color="auto" w:fill="EFEDED"/>
          </w:tcPr>
          <w:p>
            <w:pPr>
              <w:ind w:left="260"/>
              <w:spacing w:after="0"/>
              <w:rPr>
                <w:sz w:val="20"/>
                <w:szCs w:val="20"/>
                <w:color w:val="auto"/>
              </w:rPr>
            </w:pPr>
            <w:r>
              <w:rPr>
                <w:rFonts w:ascii="Arial" w:cs="Arial" w:eastAsia="Arial" w:hAnsi="Arial"/>
                <w:sz w:val="14"/>
                <w:szCs w:val="14"/>
                <w:color w:val="58595B"/>
              </w:rPr>
              <w:t>corporate performance goals</w:t>
            </w:r>
          </w:p>
        </w:tc>
        <w:tc>
          <w:tcPr>
            <w:tcW w:w="0" w:type="dxa"/>
            <w:vAlign w:val="bottom"/>
          </w:tcPr>
          <w:p>
            <w:pPr>
              <w:spacing w:after="0"/>
              <w:rPr>
                <w:sz w:val="1"/>
                <w:szCs w:val="1"/>
                <w:color w:val="auto"/>
              </w:rPr>
            </w:pPr>
          </w:p>
        </w:tc>
      </w:tr>
      <w:tr>
        <w:trPr>
          <w:trHeight w:val="81"/>
        </w:trPr>
        <w:tc>
          <w:tcPr>
            <w:tcW w:w="2720" w:type="dxa"/>
            <w:vAlign w:val="bottom"/>
            <w:tcBorders>
              <w:right w:val="single" w:sz="8" w:color="58595B"/>
            </w:tcBorders>
            <w:vMerge w:val="continue"/>
            <w:shd w:val="clear" w:color="auto" w:fill="EFEDED"/>
          </w:tcPr>
          <w:p>
            <w:pPr>
              <w:spacing w:after="0"/>
              <w:rPr>
                <w:sz w:val="7"/>
                <w:szCs w:val="7"/>
                <w:color w:val="auto"/>
              </w:rPr>
            </w:pPr>
          </w:p>
        </w:tc>
        <w:tc>
          <w:tcPr>
            <w:tcW w:w="1940" w:type="dxa"/>
            <w:vAlign w:val="bottom"/>
            <w:tcBorders>
              <w:right w:val="single" w:sz="8" w:color="58595B"/>
            </w:tcBorders>
            <w:vMerge w:val="continue"/>
            <w:shd w:val="clear" w:color="auto" w:fill="EFEDED"/>
          </w:tcPr>
          <w:p>
            <w:pPr>
              <w:spacing w:after="0"/>
              <w:rPr>
                <w:sz w:val="7"/>
                <w:szCs w:val="7"/>
                <w:color w:val="auto"/>
              </w:rPr>
            </w:pPr>
          </w:p>
        </w:tc>
        <w:tc>
          <w:tcPr>
            <w:tcW w:w="440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 Vests only if threshold performance levels are met or exceeded</w:t>
            </w:r>
          </w:p>
        </w:tc>
        <w:tc>
          <w:tcPr>
            <w:tcW w:w="0" w:type="dxa"/>
            <w:vAlign w:val="bottom"/>
          </w:tcPr>
          <w:p>
            <w:pPr>
              <w:spacing w:after="0"/>
              <w:rPr>
                <w:sz w:val="1"/>
                <w:szCs w:val="1"/>
                <w:color w:val="auto"/>
              </w:rPr>
            </w:pPr>
          </w:p>
        </w:tc>
      </w:tr>
      <w:tr>
        <w:trPr>
          <w:trHeight w:val="81"/>
        </w:trPr>
        <w:tc>
          <w:tcPr>
            <w:tcW w:w="27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growth</w:t>
            </w:r>
          </w:p>
        </w:tc>
        <w:tc>
          <w:tcPr>
            <w:tcW w:w="1940" w:type="dxa"/>
            <w:vAlign w:val="bottom"/>
            <w:tcBorders>
              <w:right w:val="single" w:sz="8" w:color="58595B"/>
            </w:tcBorders>
            <w:vMerge w:val="continue"/>
            <w:shd w:val="clear" w:color="auto" w:fill="EFEDED"/>
          </w:tcPr>
          <w:p>
            <w:pPr>
              <w:spacing w:after="0"/>
              <w:rPr>
                <w:sz w:val="7"/>
                <w:szCs w:val="7"/>
                <w:color w:val="auto"/>
              </w:rPr>
            </w:pPr>
          </w:p>
        </w:tc>
        <w:tc>
          <w:tcPr>
            <w:tcW w:w="440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720" w:type="dxa"/>
            <w:vAlign w:val="bottom"/>
            <w:tcBorders>
              <w:right w:val="single" w:sz="8" w:color="58595B"/>
            </w:tcBorders>
            <w:vMerge w:val="continue"/>
            <w:shd w:val="clear" w:color="auto" w:fill="EFEDED"/>
          </w:tcPr>
          <w:p>
            <w:pPr>
              <w:spacing w:after="0"/>
              <w:rPr>
                <w:sz w:val="9"/>
                <w:szCs w:val="9"/>
                <w:color w:val="auto"/>
              </w:rPr>
            </w:pPr>
          </w:p>
        </w:tc>
        <w:tc>
          <w:tcPr>
            <w:tcW w:w="1940" w:type="dxa"/>
            <w:vAlign w:val="bottom"/>
            <w:tcBorders>
              <w:right w:val="single" w:sz="8" w:color="58595B"/>
            </w:tcBorders>
            <w:shd w:val="clear" w:color="auto" w:fill="EFEDED"/>
          </w:tcPr>
          <w:p>
            <w:pPr>
              <w:spacing w:after="0"/>
              <w:rPr>
                <w:sz w:val="9"/>
                <w:szCs w:val="9"/>
                <w:color w:val="auto"/>
              </w:rPr>
            </w:pPr>
          </w:p>
        </w:tc>
        <w:tc>
          <w:tcPr>
            <w:tcW w:w="440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 Promotes retention and enhances executive stock ownership</w:t>
            </w:r>
          </w:p>
        </w:tc>
        <w:tc>
          <w:tcPr>
            <w:tcW w:w="0" w:type="dxa"/>
            <w:vAlign w:val="bottom"/>
          </w:tcPr>
          <w:p>
            <w:pPr>
              <w:spacing w:after="0"/>
              <w:rPr>
                <w:sz w:val="1"/>
                <w:szCs w:val="1"/>
                <w:color w:val="auto"/>
              </w:rPr>
            </w:pPr>
          </w:p>
        </w:tc>
      </w:tr>
      <w:tr>
        <w:trPr>
          <w:trHeight w:val="66"/>
        </w:trPr>
        <w:tc>
          <w:tcPr>
            <w:tcW w:w="2720" w:type="dxa"/>
            <w:vAlign w:val="bottom"/>
            <w:tcBorders>
              <w:right w:val="single" w:sz="8" w:color="58595B"/>
            </w:tcBorders>
            <w:shd w:val="clear" w:color="auto" w:fill="EFEDED"/>
          </w:tcPr>
          <w:p>
            <w:pPr>
              <w:spacing w:after="0"/>
              <w:rPr>
                <w:sz w:val="5"/>
                <w:szCs w:val="5"/>
                <w:color w:val="auto"/>
              </w:rPr>
            </w:pPr>
          </w:p>
        </w:tc>
        <w:tc>
          <w:tcPr>
            <w:tcW w:w="1940" w:type="dxa"/>
            <w:vAlign w:val="bottom"/>
            <w:tcBorders>
              <w:right w:val="single" w:sz="8" w:color="58595B"/>
            </w:tcBorders>
            <w:shd w:val="clear" w:color="auto" w:fill="EFEDED"/>
          </w:tcPr>
          <w:p>
            <w:pPr>
              <w:spacing w:after="0"/>
              <w:rPr>
                <w:sz w:val="5"/>
                <w:szCs w:val="5"/>
                <w:color w:val="auto"/>
              </w:rPr>
            </w:pPr>
          </w:p>
        </w:tc>
        <w:tc>
          <w:tcPr>
            <w:tcW w:w="4400" w:type="dxa"/>
            <w:vAlign w:val="bottom"/>
            <w:vMerge w:val="continue"/>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720" w:type="dxa"/>
            <w:vAlign w:val="bottom"/>
            <w:tcBorders>
              <w:bottom w:val="single" w:sz="8" w:color="EFEDED"/>
              <w:right w:val="single" w:sz="8" w:color="58595B"/>
            </w:tcBorders>
            <w:shd w:val="clear" w:color="auto" w:fill="EFEDED"/>
          </w:tcPr>
          <w:p>
            <w:pPr>
              <w:spacing w:after="0"/>
              <w:rPr>
                <w:sz w:val="16"/>
                <w:szCs w:val="16"/>
                <w:color w:val="auto"/>
              </w:rPr>
            </w:pPr>
          </w:p>
        </w:tc>
        <w:tc>
          <w:tcPr>
            <w:tcW w:w="1940" w:type="dxa"/>
            <w:vAlign w:val="bottom"/>
            <w:tcBorders>
              <w:bottom w:val="single" w:sz="8" w:color="EFEDED"/>
              <w:right w:val="single" w:sz="8" w:color="58595B"/>
            </w:tcBorders>
            <w:shd w:val="clear" w:color="auto" w:fill="EFEDED"/>
          </w:tcPr>
          <w:p>
            <w:pPr>
              <w:spacing w:after="0"/>
              <w:rPr>
                <w:sz w:val="16"/>
                <w:szCs w:val="16"/>
                <w:color w:val="auto"/>
              </w:rPr>
            </w:pPr>
          </w:p>
        </w:tc>
        <w:tc>
          <w:tcPr>
            <w:tcW w:w="44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 Links value to stock price</w:t>
            </w:r>
          </w:p>
        </w:tc>
        <w:tc>
          <w:tcPr>
            <w:tcW w:w="0" w:type="dxa"/>
            <w:vAlign w:val="bottom"/>
          </w:tcPr>
          <w:p>
            <w:pPr>
              <w:spacing w:after="0"/>
              <w:rPr>
                <w:sz w:val="1"/>
                <w:szCs w:val="1"/>
                <w:color w:val="auto"/>
              </w:rPr>
            </w:pPr>
          </w:p>
        </w:tc>
      </w:tr>
      <w:tr>
        <w:trPr>
          <w:trHeight w:val="274"/>
        </w:trPr>
        <w:tc>
          <w:tcPr>
            <w:tcW w:w="2720" w:type="dxa"/>
            <w:vAlign w:val="bottom"/>
            <w:tcBorders>
              <w:right w:val="single" w:sz="8" w:color="58595B"/>
            </w:tcBorders>
          </w:tcPr>
          <w:p>
            <w:pPr>
              <w:ind w:left="100"/>
              <w:spacing w:after="0"/>
              <w:rPr>
                <w:sz w:val="20"/>
                <w:szCs w:val="20"/>
                <w:color w:val="auto"/>
              </w:rPr>
            </w:pPr>
            <w:r>
              <w:rPr>
                <w:rFonts w:ascii="Arial" w:cs="Arial" w:eastAsia="Arial" w:hAnsi="Arial"/>
                <w:sz w:val="14"/>
                <w:szCs w:val="14"/>
                <w:color w:val="58595B"/>
              </w:rPr>
              <w:t>Closely align executive and stockholder</w:t>
            </w:r>
          </w:p>
        </w:tc>
        <w:tc>
          <w:tcPr>
            <w:tcW w:w="194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4"/>
                <w:szCs w:val="14"/>
                <w:color w:val="58595B"/>
              </w:rPr>
              <w:t>Equity</w:t>
            </w:r>
          </w:p>
        </w:tc>
        <w:tc>
          <w:tcPr>
            <w:tcW w:w="4400" w:type="dxa"/>
            <w:vAlign w:val="bottom"/>
          </w:tcPr>
          <w:p>
            <w:pPr>
              <w:ind w:left="100"/>
              <w:spacing w:after="0"/>
              <w:rPr>
                <w:sz w:val="20"/>
                <w:szCs w:val="20"/>
                <w:color w:val="auto"/>
              </w:rPr>
            </w:pPr>
            <w:r>
              <w:rPr>
                <w:rFonts w:ascii="Arial" w:cs="Arial" w:eastAsia="Arial" w:hAnsi="Arial"/>
                <w:sz w:val="14"/>
                <w:szCs w:val="14"/>
                <w:color w:val="58595B"/>
              </w:rPr>
              <w:t>• Promotes retention and enhances executive stock ownership</w:t>
            </w:r>
          </w:p>
        </w:tc>
        <w:tc>
          <w:tcPr>
            <w:tcW w:w="0" w:type="dxa"/>
            <w:vAlign w:val="bottom"/>
          </w:tcPr>
          <w:p>
            <w:pPr>
              <w:spacing w:after="0"/>
              <w:rPr>
                <w:sz w:val="1"/>
                <w:szCs w:val="1"/>
                <w:color w:val="auto"/>
              </w:rPr>
            </w:pPr>
          </w:p>
        </w:tc>
      </w:tr>
      <w:tr>
        <w:trPr>
          <w:trHeight w:val="109"/>
        </w:trPr>
        <w:tc>
          <w:tcPr>
            <w:tcW w:w="272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interests and aid in retention</w:t>
            </w:r>
          </w:p>
        </w:tc>
        <w:tc>
          <w:tcPr>
            <w:tcW w:w="1940" w:type="dxa"/>
            <w:vAlign w:val="bottom"/>
            <w:tcBorders>
              <w:right w:val="single" w:sz="8" w:color="58595B"/>
            </w:tcBorders>
            <w:vMerge w:val="continue"/>
          </w:tcPr>
          <w:p>
            <w:pPr>
              <w:spacing w:after="0"/>
              <w:rPr>
                <w:sz w:val="9"/>
                <w:szCs w:val="9"/>
                <w:color w:val="auto"/>
              </w:rPr>
            </w:pPr>
          </w:p>
        </w:tc>
        <w:tc>
          <w:tcPr>
            <w:tcW w:w="4400" w:type="dxa"/>
            <w:vAlign w:val="bottom"/>
            <w:vMerge w:val="restart"/>
          </w:tcPr>
          <w:p>
            <w:pPr>
              <w:ind w:left="100"/>
              <w:spacing w:after="0"/>
              <w:rPr>
                <w:sz w:val="20"/>
                <w:szCs w:val="20"/>
                <w:color w:val="auto"/>
              </w:rPr>
            </w:pPr>
            <w:r>
              <w:rPr>
                <w:rFonts w:ascii="Arial" w:cs="Arial" w:eastAsia="Arial" w:hAnsi="Arial"/>
                <w:sz w:val="14"/>
                <w:szCs w:val="14"/>
                <w:color w:val="58595B"/>
              </w:rPr>
              <w:t>• Links value to stock price appreciation</w:t>
            </w:r>
          </w:p>
        </w:tc>
        <w:tc>
          <w:tcPr>
            <w:tcW w:w="0" w:type="dxa"/>
            <w:vAlign w:val="bottom"/>
          </w:tcPr>
          <w:p>
            <w:pPr>
              <w:spacing w:after="0"/>
              <w:rPr>
                <w:sz w:val="1"/>
                <w:szCs w:val="1"/>
                <w:color w:val="auto"/>
              </w:rPr>
            </w:pPr>
          </w:p>
        </w:tc>
      </w:tr>
      <w:tr>
        <w:trPr>
          <w:trHeight w:val="81"/>
        </w:trPr>
        <w:tc>
          <w:tcPr>
            <w:tcW w:w="2720" w:type="dxa"/>
            <w:vAlign w:val="bottom"/>
            <w:tcBorders>
              <w:right w:val="single" w:sz="8" w:color="58595B"/>
            </w:tcBorders>
            <w:vMerge w:val="continue"/>
          </w:tcPr>
          <w:p>
            <w:pPr>
              <w:spacing w:after="0"/>
              <w:rPr>
                <w:sz w:val="7"/>
                <w:szCs w:val="7"/>
                <w:color w:val="auto"/>
              </w:rPr>
            </w:pPr>
          </w:p>
        </w:tc>
        <w:tc>
          <w:tcPr>
            <w:tcW w:w="1940" w:type="dxa"/>
            <w:vAlign w:val="bottom"/>
            <w:tcBorders>
              <w:right w:val="single" w:sz="8" w:color="58595B"/>
            </w:tcBorders>
          </w:tcPr>
          <w:p>
            <w:pPr>
              <w:spacing w:after="0"/>
              <w:rPr>
                <w:sz w:val="7"/>
                <w:szCs w:val="7"/>
                <w:color w:val="auto"/>
              </w:rPr>
            </w:pP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720" w:type="dxa"/>
            <w:vAlign w:val="bottom"/>
            <w:tcBorders>
              <w:right w:val="single" w:sz="8" w:color="58595B"/>
            </w:tcBorders>
          </w:tcPr>
          <w:p>
            <w:pPr>
              <w:spacing w:after="0"/>
              <w:rPr>
                <w:sz w:val="10"/>
                <w:szCs w:val="10"/>
                <w:color w:val="auto"/>
              </w:rPr>
            </w:pPr>
          </w:p>
        </w:tc>
        <w:tc>
          <w:tcPr>
            <w:tcW w:w="1940" w:type="dxa"/>
            <w:vAlign w:val="bottom"/>
            <w:tcBorders>
              <w:right w:val="single" w:sz="8" w:color="58595B"/>
            </w:tcBorders>
          </w:tcPr>
          <w:p>
            <w:pPr>
              <w:spacing w:after="0"/>
              <w:rPr>
                <w:sz w:val="10"/>
                <w:szCs w:val="10"/>
                <w:color w:val="auto"/>
              </w:rPr>
            </w:pPr>
          </w:p>
        </w:tc>
        <w:tc>
          <w:tcPr>
            <w:tcW w:w="4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720" w:type="dxa"/>
            <w:vAlign w:val="bottom"/>
            <w:tcBorders>
              <w:right w:val="single" w:sz="8" w:color="58595B"/>
            </w:tcBorders>
            <w:shd w:val="clear" w:color="auto" w:fill="EFEDED"/>
          </w:tcPr>
          <w:p>
            <w:pPr>
              <w:ind w:left="100"/>
              <w:spacing w:after="0"/>
              <w:rPr>
                <w:sz w:val="20"/>
                <w:szCs w:val="20"/>
                <w:color w:val="auto"/>
              </w:rPr>
            </w:pPr>
            <w:r>
              <w:rPr>
                <w:rFonts w:ascii="Arial" w:cs="Arial" w:eastAsia="Arial" w:hAnsi="Arial"/>
                <w:sz w:val="14"/>
                <w:szCs w:val="14"/>
                <w:color w:val="58595B"/>
              </w:rPr>
              <w:t>Closely align executive and stockholder</w:t>
            </w:r>
          </w:p>
        </w:tc>
        <w:tc>
          <w:tcPr>
            <w:tcW w:w="1940" w:type="dxa"/>
            <w:vAlign w:val="bottom"/>
            <w:tcBorders>
              <w:right w:val="single" w:sz="8" w:color="58595B"/>
            </w:tcBorders>
            <w:vMerge w:val="restart"/>
            <w:shd w:val="clear" w:color="auto" w:fill="EFEDED"/>
          </w:tcPr>
          <w:p>
            <w:pPr>
              <w:jc w:val="center"/>
              <w:spacing w:after="0"/>
              <w:rPr>
                <w:sz w:val="20"/>
                <w:szCs w:val="20"/>
                <w:color w:val="auto"/>
              </w:rPr>
            </w:pPr>
            <w:r>
              <w:rPr>
                <w:rFonts w:ascii="Arial" w:cs="Arial" w:eastAsia="Arial" w:hAnsi="Arial"/>
                <w:sz w:val="14"/>
                <w:szCs w:val="14"/>
                <w:color w:val="58595B"/>
              </w:rPr>
              <w:t>Equity</w:t>
            </w:r>
          </w:p>
        </w:tc>
        <w:tc>
          <w:tcPr>
            <w:tcW w:w="440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 Promotes retention and enhances executive stock ownership</w:t>
            </w:r>
          </w:p>
        </w:tc>
        <w:tc>
          <w:tcPr>
            <w:tcW w:w="0" w:type="dxa"/>
            <w:vAlign w:val="bottom"/>
          </w:tcPr>
          <w:p>
            <w:pPr>
              <w:spacing w:after="0"/>
              <w:rPr>
                <w:sz w:val="1"/>
                <w:szCs w:val="1"/>
                <w:color w:val="auto"/>
              </w:rPr>
            </w:pPr>
          </w:p>
        </w:tc>
      </w:tr>
      <w:tr>
        <w:trPr>
          <w:trHeight w:val="109"/>
        </w:trPr>
        <w:tc>
          <w:tcPr>
            <w:tcW w:w="27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interests and aid in retention</w:t>
            </w:r>
          </w:p>
        </w:tc>
        <w:tc>
          <w:tcPr>
            <w:tcW w:w="1940" w:type="dxa"/>
            <w:vAlign w:val="bottom"/>
            <w:tcBorders>
              <w:right w:val="single" w:sz="8" w:color="58595B"/>
            </w:tcBorders>
            <w:vMerge w:val="continue"/>
            <w:shd w:val="clear" w:color="auto" w:fill="EFEDED"/>
          </w:tcPr>
          <w:p>
            <w:pPr>
              <w:spacing w:after="0"/>
              <w:rPr>
                <w:sz w:val="9"/>
                <w:szCs w:val="9"/>
                <w:color w:val="auto"/>
              </w:rPr>
            </w:pPr>
          </w:p>
        </w:tc>
        <w:tc>
          <w:tcPr>
            <w:tcW w:w="440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 Links value to stock price</w:t>
            </w:r>
          </w:p>
        </w:tc>
        <w:tc>
          <w:tcPr>
            <w:tcW w:w="0" w:type="dxa"/>
            <w:vAlign w:val="bottom"/>
          </w:tcPr>
          <w:p>
            <w:pPr>
              <w:spacing w:after="0"/>
              <w:rPr>
                <w:sz w:val="1"/>
                <w:szCs w:val="1"/>
                <w:color w:val="auto"/>
              </w:rPr>
            </w:pPr>
          </w:p>
        </w:tc>
      </w:tr>
      <w:tr>
        <w:trPr>
          <w:trHeight w:val="96"/>
        </w:trPr>
        <w:tc>
          <w:tcPr>
            <w:tcW w:w="2720" w:type="dxa"/>
            <w:vAlign w:val="bottom"/>
            <w:tcBorders>
              <w:bottom w:val="single" w:sz="8" w:color="EFEDED"/>
              <w:right w:val="single" w:sz="8" w:color="58595B"/>
            </w:tcBorders>
            <w:vMerge w:val="continue"/>
            <w:shd w:val="clear" w:color="auto" w:fill="EFEDED"/>
          </w:tcPr>
          <w:p>
            <w:pPr>
              <w:spacing w:after="0"/>
              <w:rPr>
                <w:sz w:val="8"/>
                <w:szCs w:val="8"/>
                <w:color w:val="auto"/>
              </w:rPr>
            </w:pPr>
          </w:p>
        </w:tc>
        <w:tc>
          <w:tcPr>
            <w:tcW w:w="1940" w:type="dxa"/>
            <w:vAlign w:val="bottom"/>
            <w:tcBorders>
              <w:bottom w:val="single" w:sz="8" w:color="EFEDED"/>
              <w:right w:val="single" w:sz="8" w:color="58595B"/>
            </w:tcBorders>
            <w:shd w:val="clear" w:color="auto" w:fill="EFEDED"/>
          </w:tcPr>
          <w:p>
            <w:pPr>
              <w:spacing w:after="0"/>
              <w:rPr>
                <w:sz w:val="8"/>
                <w:szCs w:val="8"/>
                <w:color w:val="auto"/>
              </w:rPr>
            </w:pPr>
          </w:p>
        </w:tc>
        <w:tc>
          <w:tcPr>
            <w:tcW w:w="4400" w:type="dxa"/>
            <w:vAlign w:val="bottom"/>
            <w:tcBorders>
              <w:bottom w:val="single" w:sz="8" w:color="EFEDED"/>
            </w:tcBorders>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720" w:type="dxa"/>
            <w:vAlign w:val="bottom"/>
            <w:tcBorders>
              <w:right w:val="single" w:sz="8" w:color="58595B"/>
            </w:tcBorders>
          </w:tcPr>
          <w:p>
            <w:pPr>
              <w:spacing w:after="0"/>
              <w:rPr>
                <w:sz w:val="16"/>
                <w:szCs w:val="16"/>
                <w:color w:val="auto"/>
              </w:rPr>
            </w:pPr>
          </w:p>
        </w:tc>
        <w:tc>
          <w:tcPr>
            <w:tcW w:w="1940" w:type="dxa"/>
            <w:vAlign w:val="bottom"/>
            <w:tcBorders>
              <w:right w:val="single" w:sz="8" w:color="58595B"/>
            </w:tcBorders>
          </w:tcPr>
          <w:p>
            <w:pPr>
              <w:spacing w:after="0"/>
              <w:rPr>
                <w:sz w:val="16"/>
                <w:szCs w:val="16"/>
                <w:color w:val="auto"/>
              </w:rPr>
            </w:pPr>
          </w:p>
        </w:tc>
        <w:tc>
          <w:tcPr>
            <w:tcW w:w="4400" w:type="dxa"/>
            <w:vAlign w:val="bottom"/>
          </w:tcPr>
          <w:p>
            <w:pPr>
              <w:ind w:left="100"/>
              <w:spacing w:after="0"/>
              <w:rPr>
                <w:sz w:val="20"/>
                <w:szCs w:val="20"/>
                <w:color w:val="auto"/>
              </w:rPr>
            </w:pPr>
            <w:r>
              <w:rPr>
                <w:rFonts w:ascii="Arial" w:cs="Arial" w:eastAsia="Arial" w:hAnsi="Arial"/>
                <w:sz w:val="14"/>
                <w:szCs w:val="14"/>
                <w:color w:val="58595B"/>
              </w:rPr>
              <w:t>• Broad-based benefits available to all employees</w:t>
            </w:r>
          </w:p>
        </w:tc>
        <w:tc>
          <w:tcPr>
            <w:tcW w:w="0" w:type="dxa"/>
            <w:vAlign w:val="bottom"/>
          </w:tcPr>
          <w:p>
            <w:pPr>
              <w:spacing w:after="0"/>
              <w:rPr>
                <w:sz w:val="1"/>
                <w:szCs w:val="1"/>
                <w:color w:val="auto"/>
              </w:rPr>
            </w:pPr>
          </w:p>
        </w:tc>
      </w:tr>
      <w:tr>
        <w:trPr>
          <w:trHeight w:val="175"/>
        </w:trPr>
        <w:tc>
          <w:tcPr>
            <w:tcW w:w="272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Aid in attracting and retaining talent</w:t>
            </w:r>
          </w:p>
        </w:tc>
        <w:tc>
          <w:tcPr>
            <w:tcW w:w="1940" w:type="dxa"/>
            <w:vAlign w:val="bottom"/>
            <w:tcBorders>
              <w:right w:val="single" w:sz="8" w:color="58595B"/>
            </w:tcBorders>
            <w:vMerge w:val="restart"/>
          </w:tcPr>
          <w:p>
            <w:pPr>
              <w:jc w:val="center"/>
              <w:spacing w:after="0"/>
              <w:rPr>
                <w:sz w:val="20"/>
                <w:szCs w:val="20"/>
                <w:color w:val="auto"/>
              </w:rPr>
            </w:pPr>
            <w:r>
              <w:rPr>
                <w:rFonts w:ascii="Arial" w:cs="Arial" w:eastAsia="Arial" w:hAnsi="Arial"/>
                <w:sz w:val="14"/>
                <w:szCs w:val="14"/>
                <w:color w:val="58595B"/>
              </w:rPr>
              <w:t>Benefit</w:t>
            </w:r>
          </w:p>
        </w:tc>
        <w:tc>
          <w:tcPr>
            <w:tcW w:w="4400" w:type="dxa"/>
            <w:vAlign w:val="bottom"/>
          </w:tcPr>
          <w:p>
            <w:pPr>
              <w:ind w:left="100"/>
              <w:spacing w:after="0"/>
              <w:rPr>
                <w:sz w:val="20"/>
                <w:szCs w:val="20"/>
                <w:color w:val="auto"/>
              </w:rPr>
            </w:pPr>
            <w:r>
              <w:rPr>
                <w:rFonts w:ascii="Arial" w:cs="Arial" w:eastAsia="Arial" w:hAnsi="Arial"/>
                <w:sz w:val="14"/>
                <w:szCs w:val="14"/>
                <w:color w:val="58595B"/>
              </w:rPr>
              <w:t>• Executive physical exam program</w:t>
            </w:r>
          </w:p>
        </w:tc>
        <w:tc>
          <w:tcPr>
            <w:tcW w:w="0" w:type="dxa"/>
            <w:vAlign w:val="bottom"/>
          </w:tcPr>
          <w:p>
            <w:pPr>
              <w:spacing w:after="0"/>
              <w:rPr>
                <w:sz w:val="1"/>
                <w:szCs w:val="1"/>
                <w:color w:val="auto"/>
              </w:rPr>
            </w:pPr>
          </w:p>
        </w:tc>
      </w:tr>
      <w:tr>
        <w:trPr>
          <w:trHeight w:val="96"/>
        </w:trPr>
        <w:tc>
          <w:tcPr>
            <w:tcW w:w="2720" w:type="dxa"/>
            <w:vAlign w:val="bottom"/>
            <w:tcBorders>
              <w:right w:val="single" w:sz="8" w:color="58595B"/>
            </w:tcBorders>
            <w:vMerge w:val="continue"/>
          </w:tcPr>
          <w:p>
            <w:pPr>
              <w:spacing w:after="0"/>
              <w:rPr>
                <w:sz w:val="8"/>
                <w:szCs w:val="8"/>
                <w:color w:val="auto"/>
              </w:rPr>
            </w:pPr>
          </w:p>
        </w:tc>
        <w:tc>
          <w:tcPr>
            <w:tcW w:w="1940" w:type="dxa"/>
            <w:vAlign w:val="bottom"/>
            <w:tcBorders>
              <w:right w:val="single" w:sz="8" w:color="58595B"/>
            </w:tcBorders>
            <w:vMerge w:val="continue"/>
          </w:tcPr>
          <w:p>
            <w:pPr>
              <w:spacing w:after="0"/>
              <w:rPr>
                <w:sz w:val="8"/>
                <w:szCs w:val="8"/>
                <w:color w:val="auto"/>
              </w:rPr>
            </w:pPr>
          </w:p>
        </w:tc>
        <w:tc>
          <w:tcPr>
            <w:tcW w:w="4400" w:type="dxa"/>
            <w:vAlign w:val="bottom"/>
            <w:vMerge w:val="restart"/>
          </w:tcPr>
          <w:p>
            <w:pPr>
              <w:ind w:left="100"/>
              <w:spacing w:after="0"/>
              <w:rPr>
                <w:sz w:val="20"/>
                <w:szCs w:val="20"/>
                <w:color w:val="auto"/>
              </w:rPr>
            </w:pPr>
            <w:r>
              <w:rPr>
                <w:rFonts w:ascii="Arial" w:cs="Arial" w:eastAsia="Arial" w:hAnsi="Arial"/>
                <w:sz w:val="14"/>
                <w:szCs w:val="14"/>
                <w:color w:val="58595B"/>
              </w:rPr>
              <w:t>• Non-Qualified Deferred Compensation Program available to all</w:t>
            </w:r>
          </w:p>
        </w:tc>
        <w:tc>
          <w:tcPr>
            <w:tcW w:w="0" w:type="dxa"/>
            <w:vAlign w:val="bottom"/>
          </w:tcPr>
          <w:p>
            <w:pPr>
              <w:spacing w:after="0"/>
              <w:rPr>
                <w:sz w:val="1"/>
                <w:szCs w:val="1"/>
                <w:color w:val="auto"/>
              </w:rPr>
            </w:pPr>
          </w:p>
        </w:tc>
      </w:tr>
      <w:tr>
        <w:trPr>
          <w:trHeight w:val="66"/>
        </w:trPr>
        <w:tc>
          <w:tcPr>
            <w:tcW w:w="2720" w:type="dxa"/>
            <w:vAlign w:val="bottom"/>
            <w:tcBorders>
              <w:right w:val="single" w:sz="8" w:color="58595B"/>
            </w:tcBorders>
          </w:tcPr>
          <w:p>
            <w:pPr>
              <w:spacing w:after="0"/>
              <w:rPr>
                <w:sz w:val="5"/>
                <w:szCs w:val="5"/>
                <w:color w:val="auto"/>
              </w:rPr>
            </w:pPr>
          </w:p>
        </w:tc>
        <w:tc>
          <w:tcPr>
            <w:tcW w:w="1940" w:type="dxa"/>
            <w:vAlign w:val="bottom"/>
            <w:tcBorders>
              <w:right w:val="single" w:sz="8" w:color="58595B"/>
            </w:tcBorders>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720" w:type="dxa"/>
            <w:vAlign w:val="bottom"/>
            <w:tcBorders>
              <w:right w:val="single" w:sz="8" w:color="58595B"/>
            </w:tcBorders>
          </w:tcPr>
          <w:p>
            <w:pPr>
              <w:spacing w:after="0"/>
              <w:rPr>
                <w:sz w:val="16"/>
                <w:szCs w:val="16"/>
                <w:color w:val="auto"/>
              </w:rPr>
            </w:pPr>
          </w:p>
        </w:tc>
        <w:tc>
          <w:tcPr>
            <w:tcW w:w="1940" w:type="dxa"/>
            <w:vAlign w:val="bottom"/>
            <w:tcBorders>
              <w:right w:val="single" w:sz="8" w:color="58595B"/>
            </w:tcBorders>
          </w:tcPr>
          <w:p>
            <w:pPr>
              <w:spacing w:after="0"/>
              <w:rPr>
                <w:sz w:val="16"/>
                <w:szCs w:val="16"/>
                <w:color w:val="auto"/>
              </w:rPr>
            </w:pPr>
          </w:p>
        </w:tc>
        <w:tc>
          <w:tcPr>
            <w:tcW w:w="4400" w:type="dxa"/>
            <w:vAlign w:val="bottom"/>
          </w:tcPr>
          <w:p>
            <w:pPr>
              <w:ind w:left="260"/>
              <w:spacing w:after="0"/>
              <w:rPr>
                <w:sz w:val="20"/>
                <w:szCs w:val="20"/>
                <w:color w:val="auto"/>
              </w:rPr>
            </w:pPr>
            <w:r>
              <w:rPr>
                <w:rFonts w:ascii="Arial" w:cs="Arial" w:eastAsia="Arial" w:hAnsi="Arial"/>
                <w:sz w:val="14"/>
                <w:szCs w:val="14"/>
                <w:color w:val="58595B"/>
              </w:rPr>
              <w:t>eligible employees</w:t>
            </w:r>
          </w:p>
        </w:tc>
        <w:tc>
          <w:tcPr>
            <w:tcW w:w="0" w:type="dxa"/>
            <w:vAlign w:val="bottom"/>
          </w:tcPr>
          <w:p>
            <w:pPr>
              <w:spacing w:after="0"/>
              <w:rPr>
                <w:sz w:val="1"/>
                <w:szCs w:val="1"/>
                <w:color w:val="auto"/>
              </w:rPr>
            </w:pPr>
          </w:p>
        </w:tc>
      </w:tr>
      <w:tr>
        <w:trPr>
          <w:trHeight w:val="35"/>
        </w:trPr>
        <w:tc>
          <w:tcPr>
            <w:tcW w:w="2720" w:type="dxa"/>
            <w:vAlign w:val="bottom"/>
            <w:tcBorders>
              <w:right w:val="single" w:sz="8" w:color="58595B"/>
            </w:tcBorders>
          </w:tcPr>
          <w:p>
            <w:pPr>
              <w:spacing w:after="0"/>
              <w:rPr>
                <w:sz w:val="3"/>
                <w:szCs w:val="3"/>
                <w:color w:val="auto"/>
              </w:rPr>
            </w:pPr>
          </w:p>
        </w:tc>
        <w:tc>
          <w:tcPr>
            <w:tcW w:w="1940" w:type="dxa"/>
            <w:vAlign w:val="bottom"/>
            <w:tcBorders>
              <w:right w:val="single" w:sz="8" w:color="58595B"/>
            </w:tcBorders>
          </w:tcPr>
          <w:p>
            <w:pPr>
              <w:spacing w:after="0"/>
              <w:rPr>
                <w:sz w:val="3"/>
                <w:szCs w:val="3"/>
                <w:color w:val="auto"/>
              </w:rPr>
            </w:pPr>
          </w:p>
        </w:tc>
        <w:tc>
          <w:tcPr>
            <w:tcW w:w="4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-7620</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100"/>
            <w:col w:w="9060"/>
          </w:cols>
          <w:pgMar w:left="320" w:top="122" w:right="3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color w:val="009845"/>
        </w:rPr>
        <w:t>Analysis of 2025 Compensation Decisions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Base Salary</w:t>
      </w:r>
    </w:p>
    <w:p>
      <w:pPr>
        <w:spacing w:after="0" w:line="81"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rPr>
        <w:t>We establish base salaries for NEOs that reflect each executive’s experience, expertise, and the complexity of his or her role as well as current competitive compensation data and internal comparisons. The Compensation Committee reviews base salaries of our NEOs annually, and approves increases considering factors such as prior year performance, market competitiveness and affordability. Our NEOs’ annual base salary changes are generally aligned with Integra’s global annual merit budget with an effective date each year on or around April 1.</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42</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2025 Base Salary Decisions</w:t>
      </w:r>
    </w:p>
    <w:p>
      <w:pPr>
        <w:spacing w:after="0" w:line="72"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rPr>
        <w:t>NEOs received salary increases based on business performance, competitive compensation data and individual performance. Ms. Knight and Mr. Singh received an increase aligned to the global merit budget. Mr. McBreen received a lump sum payment in lieu of a merit increase due to his position relative to market peers. Mr. Davis received a higher increase to recognize his performance in 2024 and better position him with market peers. The base salaries in effect for the named executive officers for 2024 and 2025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20" w:type="dxa"/>
            <w:vAlign w:val="bottom"/>
            <w:shd w:val="clear" w:color="auto" w:fill="009845"/>
          </w:tcPr>
          <w:p>
            <w:pPr>
              <w:spacing w:after="0"/>
              <w:rPr>
                <w:sz w:val="19"/>
                <w:szCs w:val="19"/>
                <w:color w:val="auto"/>
              </w:rPr>
            </w:pPr>
          </w:p>
        </w:tc>
        <w:tc>
          <w:tcPr>
            <w:tcW w:w="3420" w:type="dxa"/>
            <w:vAlign w:val="bottom"/>
            <w:shd w:val="clear" w:color="auto" w:fill="009845"/>
          </w:tcPr>
          <w:p>
            <w:pPr>
              <w:ind w:left="1740"/>
              <w:spacing w:after="0"/>
              <w:rPr>
                <w:sz w:val="20"/>
                <w:szCs w:val="20"/>
                <w:color w:val="auto"/>
              </w:rPr>
            </w:pPr>
            <w:r>
              <w:rPr>
                <w:rFonts w:ascii="Arial" w:cs="Arial" w:eastAsia="Arial" w:hAnsi="Arial"/>
                <w:sz w:val="14"/>
                <w:szCs w:val="14"/>
                <w:b w:val="1"/>
                <w:bCs w:val="1"/>
                <w:color w:val="FFFFFF"/>
              </w:rPr>
              <w:t>2024 Base Salary</w:t>
            </w:r>
          </w:p>
        </w:tc>
        <w:tc>
          <w:tcPr>
            <w:tcW w:w="2300" w:type="dxa"/>
            <w:vAlign w:val="bottom"/>
            <w:shd w:val="clear" w:color="auto" w:fill="009845"/>
          </w:tcPr>
          <w:p>
            <w:pPr>
              <w:ind w:left="520"/>
              <w:spacing w:after="0"/>
              <w:rPr>
                <w:sz w:val="20"/>
                <w:szCs w:val="20"/>
                <w:color w:val="auto"/>
              </w:rPr>
            </w:pPr>
            <w:r>
              <w:rPr>
                <w:rFonts w:ascii="Arial" w:cs="Arial" w:eastAsia="Arial" w:hAnsi="Arial"/>
                <w:sz w:val="14"/>
                <w:szCs w:val="14"/>
                <w:b w:val="1"/>
                <w:bCs w:val="1"/>
                <w:color w:val="FFFFFF"/>
              </w:rPr>
              <w:t>2025 Base Salary</w:t>
            </w:r>
          </w:p>
        </w:tc>
        <w:tc>
          <w:tcPr>
            <w:tcW w:w="2100" w:type="dxa"/>
            <w:vAlign w:val="bottom"/>
            <w:shd w:val="clear" w:color="auto" w:fill="009845"/>
          </w:tcPr>
          <w:p>
            <w:pPr>
              <w:ind w:left="620"/>
              <w:spacing w:after="0"/>
              <w:rPr>
                <w:sz w:val="20"/>
                <w:szCs w:val="20"/>
                <w:color w:val="auto"/>
              </w:rPr>
            </w:pPr>
            <w:r>
              <w:rPr>
                <w:rFonts w:ascii="Arial" w:cs="Arial" w:eastAsia="Arial" w:hAnsi="Arial"/>
                <w:sz w:val="14"/>
                <w:szCs w:val="14"/>
                <w:b w:val="1"/>
                <w:bCs w:val="1"/>
                <w:color w:val="FFFFFF"/>
              </w:rPr>
              <w:t>% Increase</w:t>
            </w:r>
          </w:p>
        </w:tc>
      </w:tr>
      <w:tr>
        <w:trPr>
          <w:trHeight w:val="230"/>
        </w:trPr>
        <w:tc>
          <w:tcPr>
            <w:tcW w:w="3420" w:type="dxa"/>
            <w:vAlign w:val="bottom"/>
            <w:shd w:val="clear" w:color="auto" w:fill="EFEDED"/>
          </w:tcPr>
          <w:p>
            <w:pPr>
              <w:ind w:left="140"/>
              <w:spacing w:after="0"/>
              <w:rPr>
                <w:sz w:val="20"/>
                <w:szCs w:val="20"/>
                <w:color w:val="auto"/>
              </w:rPr>
            </w:pPr>
            <w:r>
              <w:rPr>
                <w:rFonts w:ascii="Arial" w:cs="Arial" w:eastAsia="Arial" w:hAnsi="Arial"/>
                <w:sz w:val="14"/>
                <w:szCs w:val="14"/>
                <w:b w:val="1"/>
                <w:bCs w:val="1"/>
                <w:color w:val="58595B"/>
              </w:rPr>
              <w:t>Mojdeh Poul</w:t>
            </w:r>
          </w:p>
        </w:tc>
        <w:tc>
          <w:tcPr>
            <w:tcW w:w="3420" w:type="dxa"/>
            <w:vAlign w:val="bottom"/>
            <w:shd w:val="clear" w:color="auto" w:fill="EFEDED"/>
          </w:tcPr>
          <w:p>
            <w:pPr>
              <w:jc w:val="center"/>
              <w:ind w:left="1148"/>
              <w:spacing w:after="0"/>
              <w:rPr>
                <w:sz w:val="20"/>
                <w:szCs w:val="20"/>
                <w:color w:val="auto"/>
              </w:rPr>
            </w:pPr>
            <w:r>
              <w:rPr>
                <w:rFonts w:ascii="Arial" w:cs="Arial" w:eastAsia="Arial" w:hAnsi="Arial"/>
                <w:sz w:val="14"/>
                <w:szCs w:val="14"/>
                <w:color w:val="58595B"/>
              </w:rPr>
              <w:t>$—</w:t>
            </w:r>
          </w:p>
        </w:tc>
        <w:tc>
          <w:tcPr>
            <w:tcW w:w="2300" w:type="dxa"/>
            <w:vAlign w:val="bottom"/>
            <w:shd w:val="clear" w:color="auto" w:fill="EFEDED"/>
          </w:tcPr>
          <w:p>
            <w:pPr>
              <w:jc w:val="center"/>
              <w:ind w:right="28"/>
              <w:spacing w:after="0"/>
              <w:rPr>
                <w:sz w:val="20"/>
                <w:szCs w:val="20"/>
                <w:color w:val="auto"/>
              </w:rPr>
            </w:pPr>
            <w:r>
              <w:rPr>
                <w:rFonts w:ascii="Arial" w:cs="Arial" w:eastAsia="Arial" w:hAnsi="Arial"/>
                <w:sz w:val="14"/>
                <w:szCs w:val="14"/>
                <w:color w:val="58595B"/>
              </w:rPr>
              <w:t>$1,050,000</w:t>
            </w:r>
          </w:p>
        </w:tc>
        <w:tc>
          <w:tcPr>
            <w:tcW w:w="2100" w:type="dxa"/>
            <w:vAlign w:val="bottom"/>
            <w:shd w:val="clear" w:color="auto" w:fill="EFEDED"/>
          </w:tcPr>
          <w:p>
            <w:pPr>
              <w:jc w:val="center"/>
              <w:ind w:right="28"/>
              <w:spacing w:after="0"/>
              <w:rPr>
                <w:sz w:val="20"/>
                <w:szCs w:val="20"/>
                <w:color w:val="auto"/>
              </w:rPr>
            </w:pPr>
            <w:r>
              <w:rPr>
                <w:rFonts w:ascii="Arial" w:cs="Arial" w:eastAsia="Arial" w:hAnsi="Arial"/>
                <w:sz w:val="14"/>
                <w:szCs w:val="14"/>
                <w:color w:val="58595B"/>
              </w:rPr>
              <w:t>—%</w:t>
            </w:r>
          </w:p>
        </w:tc>
      </w:tr>
      <w:tr>
        <w:trPr>
          <w:trHeight w:val="222"/>
        </w:trPr>
        <w:tc>
          <w:tcPr>
            <w:tcW w:w="3420" w:type="dxa"/>
            <w:vAlign w:val="bottom"/>
          </w:tcPr>
          <w:p>
            <w:pPr>
              <w:ind w:left="140"/>
              <w:spacing w:after="0"/>
              <w:rPr>
                <w:sz w:val="20"/>
                <w:szCs w:val="20"/>
                <w:color w:val="auto"/>
              </w:rPr>
            </w:pPr>
            <w:r>
              <w:rPr>
                <w:rFonts w:ascii="Arial" w:cs="Arial" w:eastAsia="Arial" w:hAnsi="Arial"/>
                <w:sz w:val="14"/>
                <w:szCs w:val="14"/>
                <w:b w:val="1"/>
                <w:bCs w:val="1"/>
                <w:color w:val="58595B"/>
              </w:rPr>
              <w:t>Lea Knight</w:t>
            </w:r>
          </w:p>
        </w:tc>
        <w:tc>
          <w:tcPr>
            <w:tcW w:w="3420" w:type="dxa"/>
            <w:vAlign w:val="bottom"/>
          </w:tcPr>
          <w:p>
            <w:pPr>
              <w:jc w:val="center"/>
              <w:ind w:left="1148"/>
              <w:spacing w:after="0"/>
              <w:rPr>
                <w:sz w:val="20"/>
                <w:szCs w:val="20"/>
                <w:color w:val="auto"/>
              </w:rPr>
            </w:pPr>
            <w:r>
              <w:rPr>
                <w:rFonts w:ascii="Arial" w:cs="Arial" w:eastAsia="Arial" w:hAnsi="Arial"/>
                <w:sz w:val="14"/>
                <w:szCs w:val="14"/>
                <w:color w:val="58595B"/>
              </w:rPr>
              <w:t>$622,800</w:t>
            </w:r>
          </w:p>
        </w:tc>
        <w:tc>
          <w:tcPr>
            <w:tcW w:w="2300" w:type="dxa"/>
            <w:vAlign w:val="bottom"/>
          </w:tcPr>
          <w:p>
            <w:pPr>
              <w:jc w:val="center"/>
              <w:ind w:right="28"/>
              <w:spacing w:after="0"/>
              <w:rPr>
                <w:sz w:val="20"/>
                <w:szCs w:val="20"/>
                <w:color w:val="auto"/>
              </w:rPr>
            </w:pPr>
            <w:r>
              <w:rPr>
                <w:rFonts w:ascii="Arial" w:cs="Arial" w:eastAsia="Arial" w:hAnsi="Arial"/>
                <w:sz w:val="14"/>
                <w:szCs w:val="14"/>
                <w:color w:val="58595B"/>
              </w:rPr>
              <w:t>$644,598</w:t>
            </w:r>
          </w:p>
        </w:tc>
        <w:tc>
          <w:tcPr>
            <w:tcW w:w="2100" w:type="dxa"/>
            <w:vAlign w:val="bottom"/>
          </w:tcPr>
          <w:p>
            <w:pPr>
              <w:jc w:val="center"/>
              <w:ind w:right="28"/>
              <w:spacing w:after="0"/>
              <w:rPr>
                <w:sz w:val="20"/>
                <w:szCs w:val="20"/>
                <w:color w:val="auto"/>
              </w:rPr>
            </w:pPr>
            <w:r>
              <w:rPr>
                <w:rFonts w:ascii="Arial" w:cs="Arial" w:eastAsia="Arial" w:hAnsi="Arial"/>
                <w:sz w:val="14"/>
                <w:szCs w:val="14"/>
                <w:color w:val="58595B"/>
              </w:rPr>
              <w:t>3.50%</w:t>
            </w:r>
          </w:p>
        </w:tc>
      </w:tr>
      <w:tr>
        <w:trPr>
          <w:trHeight w:val="237"/>
        </w:trPr>
        <w:tc>
          <w:tcPr>
            <w:tcW w:w="3420" w:type="dxa"/>
            <w:vAlign w:val="bottom"/>
            <w:shd w:val="clear" w:color="auto" w:fill="EFEDED"/>
          </w:tcPr>
          <w:p>
            <w:pPr>
              <w:ind w:left="140"/>
              <w:spacing w:after="0"/>
              <w:rPr>
                <w:sz w:val="20"/>
                <w:szCs w:val="20"/>
                <w:color w:val="auto"/>
              </w:rPr>
            </w:pPr>
            <w:r>
              <w:rPr>
                <w:rFonts w:ascii="Arial" w:cs="Arial" w:eastAsia="Arial" w:hAnsi="Arial"/>
                <w:sz w:val="14"/>
                <w:szCs w:val="14"/>
                <w:b w:val="1"/>
                <w:bCs w:val="1"/>
                <w:color w:val="58595B"/>
              </w:rPr>
              <w:t>Robert T. Davis, Jr.</w:t>
            </w:r>
          </w:p>
        </w:tc>
        <w:tc>
          <w:tcPr>
            <w:tcW w:w="3420" w:type="dxa"/>
            <w:vAlign w:val="bottom"/>
            <w:shd w:val="clear" w:color="auto" w:fill="EFEDED"/>
          </w:tcPr>
          <w:p>
            <w:pPr>
              <w:jc w:val="center"/>
              <w:ind w:left="1148"/>
              <w:spacing w:after="0"/>
              <w:rPr>
                <w:sz w:val="20"/>
                <w:szCs w:val="20"/>
                <w:color w:val="auto"/>
              </w:rPr>
            </w:pPr>
            <w:r>
              <w:rPr>
                <w:rFonts w:ascii="Arial" w:cs="Arial" w:eastAsia="Arial" w:hAnsi="Arial"/>
                <w:sz w:val="14"/>
                <w:szCs w:val="14"/>
                <w:color w:val="58595B"/>
              </w:rPr>
              <w:t>$552,021</w:t>
            </w:r>
          </w:p>
        </w:tc>
        <w:tc>
          <w:tcPr>
            <w:tcW w:w="2300" w:type="dxa"/>
            <w:vAlign w:val="bottom"/>
            <w:shd w:val="clear" w:color="auto" w:fill="EFEDED"/>
          </w:tcPr>
          <w:p>
            <w:pPr>
              <w:jc w:val="center"/>
              <w:ind w:right="28"/>
              <w:spacing w:after="0"/>
              <w:rPr>
                <w:sz w:val="20"/>
                <w:szCs w:val="20"/>
                <w:color w:val="auto"/>
              </w:rPr>
            </w:pPr>
            <w:r>
              <w:rPr>
                <w:rFonts w:ascii="Arial" w:cs="Arial" w:eastAsia="Arial" w:hAnsi="Arial"/>
                <w:sz w:val="14"/>
                <w:szCs w:val="14"/>
                <w:color w:val="58595B"/>
              </w:rPr>
              <w:t>$595,125</w:t>
            </w:r>
          </w:p>
        </w:tc>
        <w:tc>
          <w:tcPr>
            <w:tcW w:w="2100" w:type="dxa"/>
            <w:vAlign w:val="bottom"/>
            <w:shd w:val="clear" w:color="auto" w:fill="EFEDED"/>
          </w:tcPr>
          <w:p>
            <w:pPr>
              <w:jc w:val="center"/>
              <w:ind w:right="28"/>
              <w:spacing w:after="0"/>
              <w:rPr>
                <w:sz w:val="20"/>
                <w:szCs w:val="20"/>
                <w:color w:val="auto"/>
              </w:rPr>
            </w:pPr>
            <w:r>
              <w:rPr>
                <w:rFonts w:ascii="Arial" w:cs="Arial" w:eastAsia="Arial" w:hAnsi="Arial"/>
                <w:sz w:val="14"/>
                <w:szCs w:val="14"/>
                <w:color w:val="58595B"/>
              </w:rPr>
              <w:t>7.81%</w:t>
            </w:r>
          </w:p>
        </w:tc>
      </w:tr>
      <w:tr>
        <w:trPr>
          <w:trHeight w:val="222"/>
        </w:trPr>
        <w:tc>
          <w:tcPr>
            <w:tcW w:w="3420" w:type="dxa"/>
            <w:vAlign w:val="bottom"/>
          </w:tcPr>
          <w:p>
            <w:pPr>
              <w:ind w:left="140"/>
              <w:spacing w:after="0"/>
              <w:rPr>
                <w:sz w:val="20"/>
                <w:szCs w:val="20"/>
                <w:color w:val="auto"/>
              </w:rPr>
            </w:pPr>
            <w:r>
              <w:rPr>
                <w:rFonts w:ascii="Arial" w:cs="Arial" w:eastAsia="Arial" w:hAnsi="Arial"/>
                <w:sz w:val="14"/>
                <w:szCs w:val="14"/>
                <w:b w:val="1"/>
                <w:bCs w:val="1"/>
                <w:color w:val="58595B"/>
              </w:rPr>
              <w:t>Michael J. McBreen (1)</w:t>
            </w:r>
          </w:p>
        </w:tc>
        <w:tc>
          <w:tcPr>
            <w:tcW w:w="3420" w:type="dxa"/>
            <w:vAlign w:val="bottom"/>
          </w:tcPr>
          <w:p>
            <w:pPr>
              <w:jc w:val="center"/>
              <w:ind w:left="1148"/>
              <w:spacing w:after="0"/>
              <w:rPr>
                <w:sz w:val="20"/>
                <w:szCs w:val="20"/>
                <w:color w:val="auto"/>
              </w:rPr>
            </w:pPr>
            <w:r>
              <w:rPr>
                <w:rFonts w:ascii="Arial" w:cs="Arial" w:eastAsia="Arial" w:hAnsi="Arial"/>
                <w:sz w:val="14"/>
                <w:szCs w:val="14"/>
                <w:color w:val="58595B"/>
              </w:rPr>
              <w:t>$643,750</w:t>
            </w:r>
          </w:p>
        </w:tc>
        <w:tc>
          <w:tcPr>
            <w:tcW w:w="2300" w:type="dxa"/>
            <w:vAlign w:val="bottom"/>
          </w:tcPr>
          <w:p>
            <w:pPr>
              <w:jc w:val="center"/>
              <w:ind w:right="28"/>
              <w:spacing w:after="0"/>
              <w:rPr>
                <w:sz w:val="20"/>
                <w:szCs w:val="20"/>
                <w:color w:val="auto"/>
              </w:rPr>
            </w:pPr>
            <w:r>
              <w:rPr>
                <w:rFonts w:ascii="Arial" w:cs="Arial" w:eastAsia="Arial" w:hAnsi="Arial"/>
                <w:sz w:val="14"/>
                <w:szCs w:val="14"/>
                <w:color w:val="58595B"/>
              </w:rPr>
              <w:t>$643,750</w:t>
            </w:r>
          </w:p>
        </w:tc>
        <w:tc>
          <w:tcPr>
            <w:tcW w:w="2100" w:type="dxa"/>
            <w:vAlign w:val="bottom"/>
          </w:tcPr>
          <w:p>
            <w:pPr>
              <w:jc w:val="center"/>
              <w:ind w:right="28"/>
              <w:spacing w:after="0"/>
              <w:rPr>
                <w:sz w:val="20"/>
                <w:szCs w:val="20"/>
                <w:color w:val="auto"/>
              </w:rPr>
            </w:pPr>
            <w:r>
              <w:rPr>
                <w:rFonts w:ascii="Arial" w:cs="Arial" w:eastAsia="Arial" w:hAnsi="Arial"/>
                <w:sz w:val="14"/>
                <w:szCs w:val="14"/>
                <w:color w:val="58595B"/>
              </w:rPr>
              <w:t>—%</w:t>
            </w:r>
          </w:p>
        </w:tc>
      </w:tr>
      <w:tr>
        <w:trPr>
          <w:trHeight w:val="231"/>
        </w:trPr>
        <w:tc>
          <w:tcPr>
            <w:tcW w:w="3420" w:type="dxa"/>
            <w:vAlign w:val="bottom"/>
            <w:tcBorders>
              <w:bottom w:val="single" w:sz="8" w:color="58595B"/>
            </w:tcBorders>
            <w:shd w:val="clear" w:color="auto" w:fill="EFEDED"/>
          </w:tcPr>
          <w:p>
            <w:pPr>
              <w:ind w:left="140"/>
              <w:spacing w:after="0"/>
              <w:rPr>
                <w:sz w:val="20"/>
                <w:szCs w:val="20"/>
                <w:color w:val="auto"/>
              </w:rPr>
            </w:pPr>
            <w:r>
              <w:rPr>
                <w:rFonts w:ascii="Arial" w:cs="Arial" w:eastAsia="Arial" w:hAnsi="Arial"/>
                <w:sz w:val="14"/>
                <w:szCs w:val="14"/>
                <w:b w:val="1"/>
                <w:bCs w:val="1"/>
                <w:color w:val="58595B"/>
              </w:rPr>
              <w:t>Harvinder Singh</w:t>
            </w:r>
          </w:p>
        </w:tc>
        <w:tc>
          <w:tcPr>
            <w:tcW w:w="3420" w:type="dxa"/>
            <w:vAlign w:val="bottom"/>
            <w:tcBorders>
              <w:bottom w:val="single" w:sz="8" w:color="58595B"/>
            </w:tcBorders>
            <w:shd w:val="clear" w:color="auto" w:fill="EFEDED"/>
          </w:tcPr>
          <w:p>
            <w:pPr>
              <w:jc w:val="center"/>
              <w:ind w:left="1148"/>
              <w:spacing w:after="0"/>
              <w:rPr>
                <w:sz w:val="20"/>
                <w:szCs w:val="20"/>
                <w:color w:val="auto"/>
              </w:rPr>
            </w:pPr>
            <w:r>
              <w:rPr>
                <w:rFonts w:ascii="Arial" w:cs="Arial" w:eastAsia="Arial" w:hAnsi="Arial"/>
                <w:sz w:val="14"/>
                <w:szCs w:val="14"/>
                <w:color w:val="58595B"/>
              </w:rPr>
              <w:t>$550,000</w:t>
            </w:r>
          </w:p>
        </w:tc>
        <w:tc>
          <w:tcPr>
            <w:tcW w:w="2300" w:type="dxa"/>
            <w:vAlign w:val="bottom"/>
            <w:tcBorders>
              <w:bottom w:val="single" w:sz="8" w:color="58595B"/>
            </w:tcBorders>
            <w:shd w:val="clear" w:color="auto" w:fill="EFEDED"/>
          </w:tcPr>
          <w:p>
            <w:pPr>
              <w:jc w:val="center"/>
              <w:ind w:right="28"/>
              <w:spacing w:after="0"/>
              <w:rPr>
                <w:sz w:val="20"/>
                <w:szCs w:val="20"/>
                <w:color w:val="auto"/>
              </w:rPr>
            </w:pPr>
            <w:r>
              <w:rPr>
                <w:rFonts w:ascii="Arial" w:cs="Arial" w:eastAsia="Arial" w:hAnsi="Arial"/>
                <w:sz w:val="14"/>
                <w:szCs w:val="14"/>
                <w:color w:val="58595B"/>
              </w:rPr>
              <w:t>$569,250</w:t>
            </w:r>
          </w:p>
        </w:tc>
        <w:tc>
          <w:tcPr>
            <w:tcW w:w="2100" w:type="dxa"/>
            <w:vAlign w:val="bottom"/>
            <w:tcBorders>
              <w:bottom w:val="single" w:sz="8" w:color="58595B"/>
            </w:tcBorders>
            <w:shd w:val="clear" w:color="auto" w:fill="EFEDED"/>
          </w:tcPr>
          <w:p>
            <w:pPr>
              <w:jc w:val="center"/>
              <w:ind w:right="28"/>
              <w:spacing w:after="0"/>
              <w:rPr>
                <w:sz w:val="20"/>
                <w:szCs w:val="20"/>
                <w:color w:val="auto"/>
              </w:rPr>
            </w:pPr>
            <w:r>
              <w:rPr>
                <w:rFonts w:ascii="Arial" w:cs="Arial" w:eastAsia="Arial" w:hAnsi="Arial"/>
                <w:sz w:val="14"/>
                <w:szCs w:val="14"/>
                <w:color w:val="58595B"/>
              </w:rPr>
              <w:t>3.50%</w:t>
            </w:r>
          </w:p>
        </w:tc>
      </w:tr>
    </w:tbl>
    <w:p>
      <w:pPr>
        <w:spacing w:after="0" w:line="126"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McBreen received a lump sum payment of $22,531 in lieu of a merit increase due to his position relative to market peers.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Due to his retirement on January 6, 2025, Mr. De Witte did not receive an annual salary increase for 2025.</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Annual Bonus</w:t>
      </w:r>
    </w:p>
    <w:p>
      <w:pPr>
        <w:spacing w:after="0" w:line="72" w:lineRule="exact"/>
        <w:rPr>
          <w:sz w:val="20"/>
          <w:szCs w:val="20"/>
          <w:color w:val="auto"/>
        </w:rPr>
      </w:pPr>
    </w:p>
    <w:p>
      <w:pPr>
        <w:spacing w:after="0" w:line="356" w:lineRule="auto"/>
        <w:rPr>
          <w:sz w:val="20"/>
          <w:szCs w:val="20"/>
          <w:color w:val="auto"/>
        </w:rPr>
      </w:pPr>
      <w:r>
        <w:rPr>
          <w:rFonts w:ascii="Arial" w:cs="Arial" w:eastAsia="Arial" w:hAnsi="Arial"/>
          <w:sz w:val="16"/>
          <w:szCs w:val="16"/>
          <w:color w:val="58595B"/>
        </w:rPr>
        <w:t>Our Performance Incentive Compensation Plan (the “Bonus Plan”) provides NEOs with the opportunity to earn a cash award when they deliver strong annual Company and individual performance.</w:t>
      </w:r>
    </w:p>
    <w:p>
      <w:pPr>
        <w:spacing w:after="0" w:line="8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58595B"/>
        </w:rPr>
        <w:t>NEOs are eligible for bonus payments only if the Company achieves a threshold goal of at least 100% of prior year adjusted EBITDA. If 100% of prior year adjusted EBITDA is met, the Bonus Plan is funded. Actual bonuses are determined based on the Company’s achievement of annual performance goals determined by the Compensation Committee within the first 90 days of each year. The annual bonus pool is determined based on Company performance — revenue (40% weighting), adjusted EBITDA (40% weighting) and operating cash flow (20% weighting). These metrics were selected as they are key indicators of the strength of our business and we believe they drive long-term stockholder return. Additionally, an individual performance component was incorporated into the 2025 Bonus Plan and weighted at 20% for the NEOs, with the exception of the CEO whose bonus will continue to be weighted entirely on financial metrics.</w:t>
      </w:r>
    </w:p>
    <w:p>
      <w:pPr>
        <w:spacing w:after="0" w:line="140" w:lineRule="exact"/>
        <w:rPr>
          <w:sz w:val="20"/>
          <w:szCs w:val="20"/>
          <w:color w:val="auto"/>
        </w:rPr>
      </w:pPr>
    </w:p>
    <w:p>
      <w:pPr>
        <w:ind w:right="500"/>
        <w:spacing w:after="0" w:line="339" w:lineRule="auto"/>
        <w:rPr>
          <w:sz w:val="20"/>
          <w:szCs w:val="20"/>
          <w:color w:val="auto"/>
        </w:rPr>
      </w:pPr>
      <w:r>
        <w:rPr>
          <w:rFonts w:ascii="Arial" w:cs="Arial" w:eastAsia="Arial" w:hAnsi="Arial"/>
          <w:sz w:val="16"/>
          <w:szCs w:val="16"/>
          <w:color w:val="58595B"/>
        </w:rPr>
        <w:t>Each NEO has a target bonus opportunity, with no minimum (that is, the actual payment could be 0%) and a cap at 200% of their target. Actual annual bonuses paid may be modified based on an individual’s performance.</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Annual Bonus Pool Funding</w:t>
      </w:r>
    </w:p>
    <w:p>
      <w:pPr>
        <w:spacing w:after="0" w:line="85"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58595B"/>
        </w:rPr>
        <w:t>The annual bonus pool is funded for all Bonus Plan participants based on individual and Company performance. The aggregate amount of the final payments to all participants, including the NEOs, may not exceed the overall funded pool. For 2025, the Company’s financial funding model was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shd w:val="clear" w:color="auto" w:fill="009845"/>
          </w:tcPr>
          <w:p>
            <w:pPr>
              <w:spacing w:after="0"/>
              <w:rPr>
                <w:sz w:val="19"/>
                <w:szCs w:val="19"/>
                <w:color w:val="auto"/>
              </w:rPr>
            </w:pPr>
          </w:p>
        </w:tc>
        <w:tc>
          <w:tcPr>
            <w:tcW w:w="1360" w:type="dxa"/>
            <w:vAlign w:val="bottom"/>
            <w:shd w:val="clear" w:color="auto" w:fill="009845"/>
          </w:tcPr>
          <w:p>
            <w:pPr>
              <w:spacing w:after="0"/>
              <w:rPr>
                <w:sz w:val="19"/>
                <w:szCs w:val="19"/>
                <w:color w:val="auto"/>
              </w:rPr>
            </w:pPr>
          </w:p>
        </w:tc>
        <w:tc>
          <w:tcPr>
            <w:tcW w:w="1360" w:type="dxa"/>
            <w:vAlign w:val="bottom"/>
            <w:shd w:val="clear" w:color="auto" w:fill="009845"/>
          </w:tcPr>
          <w:p>
            <w:pPr>
              <w:spacing w:after="0"/>
              <w:rPr>
                <w:sz w:val="19"/>
                <w:szCs w:val="19"/>
                <w:color w:val="auto"/>
              </w:rPr>
            </w:pPr>
          </w:p>
        </w:tc>
        <w:tc>
          <w:tcPr>
            <w:tcW w:w="2840" w:type="dxa"/>
            <w:vAlign w:val="bottom"/>
            <w:gridSpan w:val="2"/>
            <w:shd w:val="clear" w:color="auto" w:fill="009845"/>
          </w:tcPr>
          <w:p>
            <w:pPr>
              <w:ind w:left="140"/>
              <w:spacing w:after="0"/>
              <w:rPr>
                <w:sz w:val="20"/>
                <w:szCs w:val="20"/>
                <w:color w:val="auto"/>
              </w:rPr>
            </w:pPr>
            <w:r>
              <w:rPr>
                <w:rFonts w:ascii="Arial" w:cs="Arial" w:eastAsia="Arial" w:hAnsi="Arial"/>
                <w:sz w:val="14"/>
                <w:szCs w:val="14"/>
                <w:b w:val="1"/>
                <w:bCs w:val="1"/>
                <w:color w:val="FFFFFF"/>
              </w:rPr>
              <w:t>Performance Goals as a % of Target</w:t>
            </w:r>
          </w:p>
        </w:tc>
        <w:tc>
          <w:tcPr>
            <w:tcW w:w="1260" w:type="dxa"/>
            <w:vAlign w:val="bottom"/>
            <w:shd w:val="clear" w:color="auto" w:fill="009845"/>
          </w:tcPr>
          <w:p>
            <w:pPr>
              <w:spacing w:after="0"/>
              <w:rPr>
                <w:sz w:val="19"/>
                <w:szCs w:val="19"/>
                <w:color w:val="auto"/>
              </w:rPr>
            </w:pPr>
          </w:p>
        </w:tc>
      </w:tr>
      <w:tr>
        <w:trPr>
          <w:trHeight w:val="263"/>
        </w:trPr>
        <w:tc>
          <w:tcPr>
            <w:tcW w:w="4420" w:type="dxa"/>
            <w:vAlign w:val="bottom"/>
            <w:shd w:val="clear" w:color="auto" w:fill="009845"/>
          </w:tcPr>
          <w:p>
            <w:pPr>
              <w:spacing w:after="0"/>
              <w:rPr>
                <w:sz w:val="22"/>
                <w:szCs w:val="22"/>
                <w:color w:val="auto"/>
              </w:rPr>
            </w:pPr>
          </w:p>
        </w:tc>
        <w:tc>
          <w:tcPr>
            <w:tcW w:w="1360" w:type="dxa"/>
            <w:vAlign w:val="bottom"/>
            <w:shd w:val="clear" w:color="auto" w:fill="009845"/>
          </w:tcPr>
          <w:p>
            <w:pPr>
              <w:spacing w:after="0"/>
              <w:rPr>
                <w:sz w:val="22"/>
                <w:szCs w:val="22"/>
                <w:color w:val="auto"/>
              </w:rPr>
            </w:pPr>
          </w:p>
        </w:tc>
        <w:tc>
          <w:tcPr>
            <w:tcW w:w="13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Below</w:t>
            </w:r>
          </w:p>
        </w:tc>
        <w:tc>
          <w:tcPr>
            <w:tcW w:w="1440" w:type="dxa"/>
            <w:vAlign w:val="bottom"/>
            <w:shd w:val="clear" w:color="auto" w:fill="009845"/>
          </w:tcPr>
          <w:p>
            <w:pPr>
              <w:spacing w:after="0"/>
              <w:rPr>
                <w:sz w:val="22"/>
                <w:szCs w:val="22"/>
                <w:color w:val="auto"/>
              </w:rPr>
            </w:pPr>
          </w:p>
        </w:tc>
        <w:tc>
          <w:tcPr>
            <w:tcW w:w="1400" w:type="dxa"/>
            <w:vAlign w:val="bottom"/>
            <w:shd w:val="clear" w:color="auto" w:fill="009845"/>
          </w:tcPr>
          <w:p>
            <w:pPr>
              <w:spacing w:after="0"/>
              <w:rPr>
                <w:sz w:val="22"/>
                <w:szCs w:val="22"/>
                <w:color w:val="auto"/>
              </w:rPr>
            </w:pPr>
          </w:p>
        </w:tc>
        <w:tc>
          <w:tcPr>
            <w:tcW w:w="1260" w:type="dxa"/>
            <w:vAlign w:val="bottom"/>
            <w:shd w:val="clear" w:color="auto" w:fill="009845"/>
          </w:tcPr>
          <w:p>
            <w:pPr>
              <w:spacing w:after="0"/>
              <w:rPr>
                <w:sz w:val="22"/>
                <w:szCs w:val="22"/>
                <w:color w:val="auto"/>
              </w:rPr>
            </w:pPr>
          </w:p>
        </w:tc>
      </w:tr>
      <w:tr>
        <w:trPr>
          <w:trHeight w:val="196"/>
        </w:trPr>
        <w:tc>
          <w:tcPr>
            <w:tcW w:w="4420" w:type="dxa"/>
            <w:vAlign w:val="bottom"/>
            <w:shd w:val="clear" w:color="auto" w:fill="009845"/>
          </w:tcPr>
          <w:p>
            <w:pPr>
              <w:ind w:left="140"/>
              <w:spacing w:after="0"/>
              <w:rPr>
                <w:sz w:val="20"/>
                <w:szCs w:val="20"/>
                <w:color w:val="auto"/>
              </w:rPr>
            </w:pPr>
            <w:r>
              <w:rPr>
                <w:rFonts w:ascii="Arial" w:cs="Arial" w:eastAsia="Arial" w:hAnsi="Arial"/>
                <w:sz w:val="14"/>
                <w:szCs w:val="14"/>
                <w:b w:val="1"/>
                <w:bCs w:val="1"/>
                <w:color w:val="FFFFFF"/>
              </w:rPr>
              <w:t>Performance Metric</w:t>
            </w:r>
          </w:p>
        </w:tc>
        <w:tc>
          <w:tcPr>
            <w:tcW w:w="13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Weight</w:t>
            </w:r>
          </w:p>
        </w:tc>
        <w:tc>
          <w:tcPr>
            <w:tcW w:w="13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Threshold</w:t>
            </w:r>
          </w:p>
        </w:tc>
        <w:tc>
          <w:tcPr>
            <w:tcW w:w="14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Threshold</w:t>
            </w:r>
          </w:p>
        </w:tc>
        <w:tc>
          <w:tcPr>
            <w:tcW w:w="1400" w:type="dxa"/>
            <w:vAlign w:val="bottom"/>
            <w:shd w:val="clear" w:color="auto" w:fill="009845"/>
          </w:tcPr>
          <w:p>
            <w:pPr>
              <w:jc w:val="center"/>
              <w:ind w:right="108"/>
              <w:spacing w:after="0"/>
              <w:rPr>
                <w:sz w:val="20"/>
                <w:szCs w:val="20"/>
                <w:color w:val="auto"/>
              </w:rPr>
            </w:pPr>
            <w:r>
              <w:rPr>
                <w:rFonts w:ascii="Arial" w:cs="Arial" w:eastAsia="Arial" w:hAnsi="Arial"/>
                <w:sz w:val="14"/>
                <w:szCs w:val="14"/>
                <w:b w:val="1"/>
                <w:bCs w:val="1"/>
                <w:color w:val="FFFFFF"/>
                <w:w w:val="98"/>
              </w:rPr>
              <w:t>Target</w:t>
            </w:r>
          </w:p>
        </w:tc>
        <w:tc>
          <w:tcPr>
            <w:tcW w:w="1260" w:type="dxa"/>
            <w:vAlign w:val="bottom"/>
            <w:shd w:val="clear" w:color="auto" w:fill="009845"/>
          </w:tcPr>
          <w:p>
            <w:pPr>
              <w:jc w:val="center"/>
              <w:ind w:right="28"/>
              <w:spacing w:after="0"/>
              <w:rPr>
                <w:sz w:val="20"/>
                <w:szCs w:val="20"/>
                <w:color w:val="auto"/>
              </w:rPr>
            </w:pPr>
            <w:r>
              <w:rPr>
                <w:rFonts w:ascii="Arial" w:cs="Arial" w:eastAsia="Arial" w:hAnsi="Arial"/>
                <w:sz w:val="14"/>
                <w:szCs w:val="14"/>
                <w:b w:val="1"/>
                <w:bCs w:val="1"/>
                <w:color w:val="FFFFFF"/>
              </w:rPr>
              <w:t>Maximum</w:t>
            </w:r>
          </w:p>
        </w:tc>
      </w:tr>
      <w:tr>
        <w:trPr>
          <w:trHeight w:val="110"/>
        </w:trPr>
        <w:tc>
          <w:tcPr>
            <w:tcW w:w="4420" w:type="dxa"/>
            <w:vAlign w:val="bottom"/>
            <w:shd w:val="clear" w:color="auto" w:fill="009845"/>
          </w:tcPr>
          <w:p>
            <w:pPr>
              <w:spacing w:after="0"/>
              <w:rPr>
                <w:sz w:val="9"/>
                <w:szCs w:val="9"/>
                <w:color w:val="auto"/>
              </w:rPr>
            </w:pPr>
          </w:p>
        </w:tc>
        <w:tc>
          <w:tcPr>
            <w:tcW w:w="1360" w:type="dxa"/>
            <w:vAlign w:val="bottom"/>
            <w:shd w:val="clear" w:color="auto" w:fill="009845"/>
          </w:tcPr>
          <w:p>
            <w:pPr>
              <w:spacing w:after="0"/>
              <w:rPr>
                <w:sz w:val="9"/>
                <w:szCs w:val="9"/>
                <w:color w:val="auto"/>
              </w:rPr>
            </w:pPr>
          </w:p>
        </w:tc>
        <w:tc>
          <w:tcPr>
            <w:tcW w:w="1360" w:type="dxa"/>
            <w:vAlign w:val="bottom"/>
            <w:shd w:val="clear" w:color="auto" w:fill="009845"/>
          </w:tcPr>
          <w:p>
            <w:pPr>
              <w:spacing w:after="0"/>
              <w:rPr>
                <w:sz w:val="9"/>
                <w:szCs w:val="9"/>
                <w:color w:val="auto"/>
              </w:rPr>
            </w:pPr>
          </w:p>
        </w:tc>
        <w:tc>
          <w:tcPr>
            <w:tcW w:w="1440" w:type="dxa"/>
            <w:vAlign w:val="bottom"/>
            <w:shd w:val="clear" w:color="auto" w:fill="009845"/>
          </w:tcPr>
          <w:p>
            <w:pPr>
              <w:spacing w:after="0"/>
              <w:rPr>
                <w:sz w:val="9"/>
                <w:szCs w:val="9"/>
                <w:color w:val="auto"/>
              </w:rPr>
            </w:pPr>
          </w:p>
        </w:tc>
        <w:tc>
          <w:tcPr>
            <w:tcW w:w="1400" w:type="dxa"/>
            <w:vAlign w:val="bottom"/>
            <w:shd w:val="clear" w:color="auto" w:fill="009845"/>
          </w:tcPr>
          <w:p>
            <w:pPr>
              <w:spacing w:after="0"/>
              <w:rPr>
                <w:sz w:val="9"/>
                <w:szCs w:val="9"/>
                <w:color w:val="auto"/>
              </w:rPr>
            </w:pPr>
          </w:p>
        </w:tc>
        <w:tc>
          <w:tcPr>
            <w:tcW w:w="1260" w:type="dxa"/>
            <w:vAlign w:val="bottom"/>
            <w:shd w:val="clear" w:color="auto" w:fill="009845"/>
          </w:tcPr>
          <w:p>
            <w:pPr>
              <w:spacing w:after="0"/>
              <w:rPr>
                <w:sz w:val="9"/>
                <w:szCs w:val="9"/>
                <w:color w:val="auto"/>
              </w:rPr>
            </w:pPr>
          </w:p>
        </w:tc>
      </w:tr>
      <w:tr>
        <w:trPr>
          <w:trHeight w:val="229"/>
        </w:trPr>
        <w:tc>
          <w:tcPr>
            <w:tcW w:w="4420" w:type="dxa"/>
            <w:vAlign w:val="bottom"/>
            <w:shd w:val="clear" w:color="auto" w:fill="EFEDED"/>
          </w:tcPr>
          <w:p>
            <w:pPr>
              <w:ind w:left="140"/>
              <w:spacing w:after="0"/>
              <w:rPr>
                <w:sz w:val="20"/>
                <w:szCs w:val="20"/>
                <w:color w:val="auto"/>
              </w:rPr>
            </w:pPr>
            <w:r>
              <w:rPr>
                <w:rFonts w:ascii="Arial" w:cs="Arial" w:eastAsia="Arial" w:hAnsi="Arial"/>
                <w:sz w:val="14"/>
                <w:szCs w:val="14"/>
                <w:b w:val="1"/>
                <w:bCs w:val="1"/>
                <w:color w:val="58595B"/>
              </w:rPr>
              <w:t>Revenue</w:t>
            </w:r>
          </w:p>
        </w:tc>
        <w:tc>
          <w:tcPr>
            <w:tcW w:w="1360" w:type="dxa"/>
            <w:vAlign w:val="bottom"/>
            <w:shd w:val="clear" w:color="auto" w:fill="EFEDED"/>
          </w:tcPr>
          <w:p>
            <w:pPr>
              <w:jc w:val="center"/>
              <w:spacing w:after="0"/>
              <w:rPr>
                <w:sz w:val="20"/>
                <w:szCs w:val="20"/>
                <w:color w:val="auto"/>
              </w:rPr>
            </w:pPr>
            <w:r>
              <w:rPr>
                <w:rFonts w:ascii="Arial" w:cs="Arial" w:eastAsia="Arial" w:hAnsi="Arial"/>
                <w:sz w:val="14"/>
                <w:szCs w:val="14"/>
                <w:color w:val="58595B"/>
                <w:w w:val="99"/>
              </w:rPr>
              <w:t>40%</w:t>
            </w:r>
          </w:p>
        </w:tc>
        <w:tc>
          <w:tcPr>
            <w:tcW w:w="13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95.9%</w:t>
            </w:r>
          </w:p>
        </w:tc>
        <w:tc>
          <w:tcPr>
            <w:tcW w:w="14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96%</w:t>
            </w:r>
          </w:p>
        </w:tc>
        <w:tc>
          <w:tcPr>
            <w:tcW w:w="1400" w:type="dxa"/>
            <w:vAlign w:val="bottom"/>
            <w:shd w:val="clear" w:color="auto" w:fill="EFEDED"/>
          </w:tcPr>
          <w:p>
            <w:pPr>
              <w:jc w:val="center"/>
              <w:ind w:right="88"/>
              <w:spacing w:after="0"/>
              <w:rPr>
                <w:sz w:val="20"/>
                <w:szCs w:val="20"/>
                <w:color w:val="auto"/>
              </w:rPr>
            </w:pPr>
            <w:r>
              <w:rPr>
                <w:rFonts w:ascii="Arial" w:cs="Arial" w:eastAsia="Arial" w:hAnsi="Arial"/>
                <w:sz w:val="14"/>
                <w:szCs w:val="14"/>
                <w:color w:val="58595B"/>
              </w:rPr>
              <w:t>100%</w:t>
            </w:r>
          </w:p>
        </w:tc>
        <w:tc>
          <w:tcPr>
            <w:tcW w:w="1260" w:type="dxa"/>
            <w:vAlign w:val="bottom"/>
            <w:shd w:val="clear" w:color="auto" w:fill="EFEDED"/>
          </w:tcPr>
          <w:p>
            <w:pPr>
              <w:jc w:val="center"/>
              <w:ind w:right="28"/>
              <w:spacing w:after="0"/>
              <w:rPr>
                <w:sz w:val="20"/>
                <w:szCs w:val="20"/>
                <w:color w:val="auto"/>
              </w:rPr>
            </w:pPr>
            <w:r>
              <w:rPr>
                <w:rFonts w:ascii="Arial" w:cs="Arial" w:eastAsia="Arial" w:hAnsi="Arial"/>
                <w:sz w:val="14"/>
                <w:szCs w:val="14"/>
                <w:color w:val="58595B"/>
              </w:rPr>
              <w:t>104%</w:t>
            </w:r>
          </w:p>
        </w:tc>
      </w:tr>
      <w:tr>
        <w:trPr>
          <w:trHeight w:val="222"/>
        </w:trPr>
        <w:tc>
          <w:tcPr>
            <w:tcW w:w="4420" w:type="dxa"/>
            <w:vAlign w:val="bottom"/>
          </w:tcPr>
          <w:p>
            <w:pPr>
              <w:ind w:left="140"/>
              <w:spacing w:after="0"/>
              <w:rPr>
                <w:sz w:val="20"/>
                <w:szCs w:val="20"/>
                <w:color w:val="auto"/>
              </w:rPr>
            </w:pPr>
            <w:r>
              <w:rPr>
                <w:rFonts w:ascii="Arial" w:cs="Arial" w:eastAsia="Arial" w:hAnsi="Arial"/>
                <w:sz w:val="14"/>
                <w:szCs w:val="14"/>
                <w:b w:val="1"/>
                <w:bCs w:val="1"/>
                <w:color w:val="58595B"/>
              </w:rPr>
              <w:t>Adjusted EBITDA¹</w:t>
            </w:r>
          </w:p>
        </w:tc>
        <w:tc>
          <w:tcPr>
            <w:tcW w:w="1360" w:type="dxa"/>
            <w:vAlign w:val="bottom"/>
          </w:tcPr>
          <w:p>
            <w:pPr>
              <w:jc w:val="center"/>
              <w:spacing w:after="0"/>
              <w:rPr>
                <w:sz w:val="20"/>
                <w:szCs w:val="20"/>
                <w:color w:val="auto"/>
              </w:rPr>
            </w:pPr>
            <w:r>
              <w:rPr>
                <w:rFonts w:ascii="Arial" w:cs="Arial" w:eastAsia="Arial" w:hAnsi="Arial"/>
                <w:sz w:val="14"/>
                <w:szCs w:val="14"/>
                <w:color w:val="58595B"/>
                <w:w w:val="99"/>
              </w:rPr>
              <w:t>40%</w:t>
            </w:r>
          </w:p>
        </w:tc>
        <w:tc>
          <w:tcPr>
            <w:tcW w:w="1360" w:type="dxa"/>
            <w:vAlign w:val="bottom"/>
          </w:tcPr>
          <w:p>
            <w:pPr>
              <w:jc w:val="center"/>
              <w:spacing w:after="0"/>
              <w:rPr>
                <w:sz w:val="20"/>
                <w:szCs w:val="20"/>
                <w:color w:val="auto"/>
              </w:rPr>
            </w:pPr>
            <w:r>
              <w:rPr>
                <w:rFonts w:ascii="Arial" w:cs="Arial" w:eastAsia="Arial" w:hAnsi="Arial"/>
                <w:sz w:val="14"/>
                <w:szCs w:val="14"/>
                <w:color w:val="58595B"/>
              </w:rPr>
              <w:t>92.9%</w:t>
            </w:r>
          </w:p>
        </w:tc>
        <w:tc>
          <w:tcPr>
            <w:tcW w:w="1440" w:type="dxa"/>
            <w:vAlign w:val="bottom"/>
          </w:tcPr>
          <w:p>
            <w:pPr>
              <w:jc w:val="center"/>
              <w:spacing w:after="0"/>
              <w:rPr>
                <w:sz w:val="20"/>
                <w:szCs w:val="20"/>
                <w:color w:val="auto"/>
              </w:rPr>
            </w:pPr>
            <w:r>
              <w:rPr>
                <w:rFonts w:ascii="Arial" w:cs="Arial" w:eastAsia="Arial" w:hAnsi="Arial"/>
                <w:sz w:val="14"/>
                <w:szCs w:val="14"/>
                <w:color w:val="58595B"/>
              </w:rPr>
              <w:t>93%</w:t>
            </w:r>
          </w:p>
        </w:tc>
        <w:tc>
          <w:tcPr>
            <w:tcW w:w="1400" w:type="dxa"/>
            <w:vAlign w:val="bottom"/>
          </w:tcPr>
          <w:p>
            <w:pPr>
              <w:jc w:val="center"/>
              <w:ind w:right="88"/>
              <w:spacing w:after="0"/>
              <w:rPr>
                <w:sz w:val="20"/>
                <w:szCs w:val="20"/>
                <w:color w:val="auto"/>
              </w:rPr>
            </w:pPr>
            <w:r>
              <w:rPr>
                <w:rFonts w:ascii="Arial" w:cs="Arial" w:eastAsia="Arial" w:hAnsi="Arial"/>
                <w:sz w:val="14"/>
                <w:szCs w:val="14"/>
                <w:color w:val="58595B"/>
              </w:rPr>
              <w:t>100%</w:t>
            </w:r>
          </w:p>
        </w:tc>
        <w:tc>
          <w:tcPr>
            <w:tcW w:w="1260" w:type="dxa"/>
            <w:vAlign w:val="bottom"/>
          </w:tcPr>
          <w:p>
            <w:pPr>
              <w:jc w:val="center"/>
              <w:ind w:right="28"/>
              <w:spacing w:after="0"/>
              <w:rPr>
                <w:sz w:val="20"/>
                <w:szCs w:val="20"/>
                <w:color w:val="auto"/>
              </w:rPr>
            </w:pPr>
            <w:r>
              <w:rPr>
                <w:rFonts w:ascii="Arial" w:cs="Arial" w:eastAsia="Arial" w:hAnsi="Arial"/>
                <w:sz w:val="14"/>
                <w:szCs w:val="14"/>
                <w:color w:val="58595B"/>
              </w:rPr>
              <w:t>107%</w:t>
            </w:r>
          </w:p>
        </w:tc>
      </w:tr>
      <w:tr>
        <w:trPr>
          <w:trHeight w:val="237"/>
        </w:trPr>
        <w:tc>
          <w:tcPr>
            <w:tcW w:w="4420" w:type="dxa"/>
            <w:vAlign w:val="bottom"/>
            <w:shd w:val="clear" w:color="auto" w:fill="EFEDED"/>
          </w:tcPr>
          <w:p>
            <w:pPr>
              <w:ind w:left="140"/>
              <w:spacing w:after="0"/>
              <w:rPr>
                <w:sz w:val="20"/>
                <w:szCs w:val="20"/>
                <w:color w:val="auto"/>
              </w:rPr>
            </w:pPr>
            <w:r>
              <w:rPr>
                <w:rFonts w:ascii="Arial" w:cs="Arial" w:eastAsia="Arial" w:hAnsi="Arial"/>
                <w:sz w:val="14"/>
                <w:szCs w:val="14"/>
                <w:b w:val="1"/>
                <w:bCs w:val="1"/>
                <w:color w:val="58595B"/>
              </w:rPr>
              <w:t>Operating Cash Flow</w:t>
            </w:r>
          </w:p>
        </w:tc>
        <w:tc>
          <w:tcPr>
            <w:tcW w:w="1360" w:type="dxa"/>
            <w:vAlign w:val="bottom"/>
            <w:shd w:val="clear" w:color="auto" w:fill="EFEDED"/>
          </w:tcPr>
          <w:p>
            <w:pPr>
              <w:jc w:val="center"/>
              <w:spacing w:after="0"/>
              <w:rPr>
                <w:sz w:val="20"/>
                <w:szCs w:val="20"/>
                <w:color w:val="auto"/>
              </w:rPr>
            </w:pPr>
            <w:r>
              <w:rPr>
                <w:rFonts w:ascii="Arial" w:cs="Arial" w:eastAsia="Arial" w:hAnsi="Arial"/>
                <w:sz w:val="14"/>
                <w:szCs w:val="14"/>
                <w:color w:val="58595B"/>
                <w:w w:val="99"/>
              </w:rPr>
              <w:t>20%</w:t>
            </w:r>
          </w:p>
        </w:tc>
        <w:tc>
          <w:tcPr>
            <w:tcW w:w="13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84.9%</w:t>
            </w:r>
          </w:p>
        </w:tc>
        <w:tc>
          <w:tcPr>
            <w:tcW w:w="14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85%</w:t>
            </w:r>
          </w:p>
        </w:tc>
        <w:tc>
          <w:tcPr>
            <w:tcW w:w="1400" w:type="dxa"/>
            <w:vAlign w:val="bottom"/>
            <w:shd w:val="clear" w:color="auto" w:fill="EFEDED"/>
          </w:tcPr>
          <w:p>
            <w:pPr>
              <w:jc w:val="center"/>
              <w:ind w:right="88"/>
              <w:spacing w:after="0"/>
              <w:rPr>
                <w:sz w:val="20"/>
                <w:szCs w:val="20"/>
                <w:color w:val="auto"/>
              </w:rPr>
            </w:pPr>
            <w:r>
              <w:rPr>
                <w:rFonts w:ascii="Arial" w:cs="Arial" w:eastAsia="Arial" w:hAnsi="Arial"/>
                <w:sz w:val="14"/>
                <w:szCs w:val="14"/>
                <w:color w:val="58595B"/>
              </w:rPr>
              <w:t>100%</w:t>
            </w:r>
          </w:p>
        </w:tc>
        <w:tc>
          <w:tcPr>
            <w:tcW w:w="1260" w:type="dxa"/>
            <w:vAlign w:val="bottom"/>
            <w:shd w:val="clear" w:color="auto" w:fill="EFEDED"/>
          </w:tcPr>
          <w:p>
            <w:pPr>
              <w:jc w:val="center"/>
              <w:ind w:right="28"/>
              <w:spacing w:after="0"/>
              <w:rPr>
                <w:sz w:val="20"/>
                <w:szCs w:val="20"/>
                <w:color w:val="auto"/>
              </w:rPr>
            </w:pPr>
            <w:r>
              <w:rPr>
                <w:rFonts w:ascii="Arial" w:cs="Arial" w:eastAsia="Arial" w:hAnsi="Arial"/>
                <w:sz w:val="14"/>
                <w:szCs w:val="14"/>
                <w:color w:val="58595B"/>
              </w:rPr>
              <w:t>115%</w:t>
            </w:r>
          </w:p>
        </w:tc>
      </w:tr>
      <w:tr>
        <w:trPr>
          <w:trHeight w:val="223"/>
        </w:trPr>
        <w:tc>
          <w:tcPr>
            <w:tcW w:w="4420" w:type="dxa"/>
            <w:vAlign w:val="bottom"/>
            <w:tcBorders>
              <w:bottom w:val="single" w:sz="8" w:color="58595B"/>
            </w:tcBorders>
          </w:tcPr>
          <w:p>
            <w:pPr>
              <w:ind w:left="140"/>
              <w:spacing w:after="0"/>
              <w:rPr>
                <w:sz w:val="20"/>
                <w:szCs w:val="20"/>
                <w:color w:val="auto"/>
              </w:rPr>
            </w:pPr>
            <w:r>
              <w:rPr>
                <w:rFonts w:ascii="Arial" w:cs="Arial" w:eastAsia="Arial" w:hAnsi="Arial"/>
                <w:sz w:val="14"/>
                <w:szCs w:val="14"/>
                <w:b w:val="1"/>
                <w:bCs w:val="1"/>
                <w:color w:val="58595B"/>
              </w:rPr>
              <w:t>Annual Bonus Pool Funding (as a % of Target)</w:t>
            </w:r>
          </w:p>
        </w:tc>
        <w:tc>
          <w:tcPr>
            <w:tcW w:w="1360" w:type="dxa"/>
            <w:vAlign w:val="bottom"/>
            <w:tcBorders>
              <w:bottom w:val="single" w:sz="8" w:color="58595B"/>
            </w:tcBorders>
          </w:tcPr>
          <w:p>
            <w:pPr>
              <w:spacing w:after="0"/>
              <w:rPr>
                <w:sz w:val="19"/>
                <w:szCs w:val="19"/>
                <w:color w:val="auto"/>
              </w:rPr>
            </w:pPr>
          </w:p>
        </w:tc>
        <w:tc>
          <w:tcPr>
            <w:tcW w:w="1360" w:type="dxa"/>
            <w:vAlign w:val="bottom"/>
            <w:tcBorders>
              <w:bottom w:val="single" w:sz="8" w:color="58595B"/>
            </w:tcBorders>
          </w:tcPr>
          <w:p>
            <w:pPr>
              <w:jc w:val="center"/>
              <w:spacing w:after="0"/>
              <w:rPr>
                <w:sz w:val="20"/>
                <w:szCs w:val="20"/>
                <w:color w:val="auto"/>
              </w:rPr>
            </w:pPr>
            <w:r>
              <w:rPr>
                <w:rFonts w:ascii="Arial" w:cs="Arial" w:eastAsia="Arial" w:hAnsi="Arial"/>
                <w:sz w:val="14"/>
                <w:szCs w:val="14"/>
                <w:color w:val="58595B"/>
              </w:rPr>
              <w:t>0%</w:t>
            </w:r>
          </w:p>
        </w:tc>
        <w:tc>
          <w:tcPr>
            <w:tcW w:w="1440" w:type="dxa"/>
            <w:vAlign w:val="bottom"/>
            <w:tcBorders>
              <w:bottom w:val="single" w:sz="8" w:color="58595B"/>
            </w:tcBorders>
          </w:tcPr>
          <w:p>
            <w:pPr>
              <w:jc w:val="center"/>
              <w:spacing w:after="0"/>
              <w:rPr>
                <w:sz w:val="20"/>
                <w:szCs w:val="20"/>
                <w:color w:val="auto"/>
              </w:rPr>
            </w:pPr>
            <w:r>
              <w:rPr>
                <w:rFonts w:ascii="Arial" w:cs="Arial" w:eastAsia="Arial" w:hAnsi="Arial"/>
                <w:sz w:val="14"/>
                <w:szCs w:val="14"/>
                <w:color w:val="58595B"/>
              </w:rPr>
              <w:t>20%</w:t>
            </w:r>
          </w:p>
        </w:tc>
        <w:tc>
          <w:tcPr>
            <w:tcW w:w="1400" w:type="dxa"/>
            <w:vAlign w:val="bottom"/>
            <w:tcBorders>
              <w:bottom w:val="single" w:sz="8" w:color="58595B"/>
            </w:tcBorders>
          </w:tcPr>
          <w:p>
            <w:pPr>
              <w:jc w:val="center"/>
              <w:ind w:right="88"/>
              <w:spacing w:after="0"/>
              <w:rPr>
                <w:sz w:val="20"/>
                <w:szCs w:val="20"/>
                <w:color w:val="auto"/>
              </w:rPr>
            </w:pPr>
            <w:r>
              <w:rPr>
                <w:rFonts w:ascii="Arial" w:cs="Arial" w:eastAsia="Arial" w:hAnsi="Arial"/>
                <w:sz w:val="14"/>
                <w:szCs w:val="14"/>
                <w:color w:val="58595B"/>
              </w:rPr>
              <w:t>100%</w:t>
            </w:r>
          </w:p>
        </w:tc>
        <w:tc>
          <w:tcPr>
            <w:tcW w:w="1260" w:type="dxa"/>
            <w:vAlign w:val="bottom"/>
            <w:tcBorders>
              <w:bottom w:val="single" w:sz="8" w:color="58595B"/>
            </w:tcBorders>
          </w:tcPr>
          <w:p>
            <w:pPr>
              <w:jc w:val="center"/>
              <w:ind w:right="28"/>
              <w:spacing w:after="0"/>
              <w:rPr>
                <w:sz w:val="20"/>
                <w:szCs w:val="20"/>
                <w:color w:val="auto"/>
              </w:rPr>
            </w:pPr>
            <w:r>
              <w:rPr>
                <w:rFonts w:ascii="Arial" w:cs="Arial" w:eastAsia="Arial" w:hAnsi="Arial"/>
                <w:sz w:val="14"/>
                <w:szCs w:val="14"/>
                <w:color w:val="58595B"/>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-925195</wp:posOffset>
            </wp:positionV>
            <wp:extent cx="34632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1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Defined as GAAP net income excluding: (i) depreciation and amortization; (ii) other income (expense); (iii) interest income and expense; (iv) income tax expense (benefit);</w:t>
      </w:r>
    </w:p>
    <w:p>
      <w:pPr>
        <w:spacing w:after="0" w:line="28" w:lineRule="exact"/>
        <w:rPr>
          <w:rFonts w:ascii="Arial" w:cs="Arial" w:eastAsia="Arial" w:hAnsi="Arial"/>
          <w:sz w:val="14"/>
          <w:szCs w:val="14"/>
          <w:color w:val="auto"/>
        </w:rPr>
      </w:pPr>
    </w:p>
    <w:p>
      <w:pPr>
        <w:ind w:left="340" w:right="180"/>
        <w:spacing w:after="0" w:line="272" w:lineRule="auto"/>
        <w:rPr>
          <w:rFonts w:ascii="Arial" w:cs="Arial" w:eastAsia="Arial" w:hAnsi="Arial"/>
          <w:sz w:val="14"/>
          <w:szCs w:val="14"/>
          <w:color w:val="auto"/>
        </w:rPr>
      </w:pPr>
      <w:r>
        <w:rPr>
          <w:rFonts w:ascii="Arial" w:cs="Arial" w:eastAsia="Arial" w:hAnsi="Arial"/>
          <w:sz w:val="14"/>
          <w:szCs w:val="14"/>
          <w:color w:val="auto"/>
        </w:rPr>
        <w:t>(v) impairment charges; and (vi) those operating expenses also excluded from adjusted net income. For fiscal year 2025, the Compensation Committee also adjusted the adjusted EBITDA calculation for purposes of our annual cash bonus program to account for unanticipated tariff impacts affecting the operations and results of the Company. See "Appendix A - Non-GAAP Financial Measures".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43</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color w:val="58595B"/>
        </w:rPr>
        <w:t>Our reported results may be adjusted when comparing to our annual bonus targets for unusual events outside the control of Management including currency impact versus budget and unforeseen circumstances. We also may exclude or include certain transactions depending on their timing, such as acquisitions and divestitures, if these items were not included in the performance target.</w:t>
      </w:r>
    </w:p>
    <w:p>
      <w:pPr>
        <w:spacing w:after="0" w:line="110"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58595B"/>
        </w:rPr>
        <w:t>In 2025, we drove tangible operational progress while continuing to deliver for our customers and patients. As we continue on our transformation journey, 2025 was pivotal in our efforts to build a sustainable foundation. In connection with our implementation of the CMP, we completed baseline audits across all manufacturing facilities, conducted CMP training, and made significant progress in prioritizing our work streams and resources. Our operational and execution focus resulted in significant outcomes in key areas, namely Integra Skin supply reliability, healthier safety stock levels across our portfolio, and the early relaunch of PriMatrix and Durepair through a third-party manufacturing agreement. We experienced strong demand for our differentiated portfolio of leading brands and have begun to make important strategic investments in our processes and capacity expansion of our facilities and equipment to meet increasing demand and support future growth.</w:t>
      </w:r>
    </w:p>
    <w:p>
      <w:pPr>
        <w:spacing w:after="0" w:line="124" w:lineRule="exact"/>
        <w:rPr>
          <w:sz w:val="20"/>
          <w:szCs w:val="20"/>
          <w:color w:val="auto"/>
        </w:rPr>
      </w:pPr>
    </w:p>
    <w:p>
      <w:pPr>
        <w:spacing w:after="0" w:line="233" w:lineRule="exact"/>
        <w:rPr>
          <w:sz w:val="20"/>
          <w:szCs w:val="20"/>
          <w:color w:val="auto"/>
        </w:rPr>
      </w:pPr>
      <w:r>
        <w:rPr>
          <w:rFonts w:ascii="Arial" w:cs="Arial" w:eastAsia="Arial" w:hAnsi="Arial"/>
          <w:sz w:val="16"/>
          <w:szCs w:val="16"/>
          <w:color w:val="58595B"/>
        </w:rPr>
        <w:t>In April 2025, the U.S. government announced new tariffs on goods imported into the U.S. from dozens of countries, including China and the European Union member states. The unanticipated tariff actions affected our costs, supply chain efficiency, and market demand. The tariff actions occurred after the annual incentive goals were approved resulting in financial impacts that were not contemplated when targets were established. The tariff</w:t>
      </w:r>
      <w:r>
        <w:rPr>
          <w:rFonts w:ascii="MS PGothic" w:cs="MS PGothic" w:eastAsia="MS PGothic" w:hAnsi="MS PGothic"/>
          <w:sz w:val="16"/>
          <w:szCs w:val="16"/>
          <w:color w:val="58595B"/>
        </w:rPr>
        <w:t>‑</w:t>
      </w:r>
      <w:r>
        <w:rPr>
          <w:rFonts w:ascii="Arial" w:cs="Arial" w:eastAsia="Arial" w:hAnsi="Arial"/>
          <w:sz w:val="16"/>
          <w:szCs w:val="16"/>
          <w:color w:val="58595B"/>
        </w:rPr>
        <w:t>related pressures did not reflect underlying operational performance but rather represented unexpected macroeconomic shocks beyond management’s control. After the tariffs were implemented, the Compensation Committee determined applying a limited, one-time tariff adjustment was appropriate to ensure incentive outcomes fairly reflected management’s performance in navigating these external conditions. The Compensation Committee concluded that a one-time adjustment better aligned pay with performance and supported the Company’s pay</w:t>
      </w:r>
      <w:r>
        <w:rPr>
          <w:rFonts w:ascii="MS PGothic" w:cs="MS PGothic" w:eastAsia="MS PGothic" w:hAnsi="MS PGothic"/>
          <w:sz w:val="16"/>
          <w:szCs w:val="16"/>
          <w:color w:val="58595B"/>
        </w:rPr>
        <w:t>‑</w:t>
      </w:r>
      <w:r>
        <w:rPr>
          <w:rFonts w:ascii="Arial" w:cs="Arial" w:eastAsia="Arial" w:hAnsi="Arial"/>
          <w:sz w:val="16"/>
          <w:szCs w:val="16"/>
          <w:color w:val="58595B"/>
        </w:rPr>
        <w:t>for</w:t>
      </w:r>
      <w:r>
        <w:rPr>
          <w:rFonts w:ascii="MS PGothic" w:cs="MS PGothic" w:eastAsia="MS PGothic" w:hAnsi="MS PGothic"/>
          <w:sz w:val="16"/>
          <w:szCs w:val="16"/>
          <w:color w:val="58595B"/>
        </w:rPr>
        <w:t>‑</w:t>
      </w:r>
      <w:r>
        <w:rPr>
          <w:rFonts w:ascii="Arial" w:cs="Arial" w:eastAsia="Arial" w:hAnsi="Arial"/>
          <w:sz w:val="16"/>
          <w:szCs w:val="16"/>
          <w:color w:val="58595B"/>
        </w:rPr>
        <w:t>performance philosophy by recognizing management’s effective stewardship through highly unpredictable trade conditions. Absent the tariff adjustment referenced above, actual financial results under the annual cash bonus plan would have fallen below the adjusted EBITDA gate, despite strong execution on controllable operating priorities and effective management mitigation efforts.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58595B"/>
        </w:rPr>
        <w:t>The chart below shows our achievements against the performance targets for each metric in 2025:</w:t>
      </w:r>
    </w:p>
    <w:p>
      <w:pPr>
        <w:sectPr>
          <w:pgSz w:w="11900" w:h="16838" w:orient="portrait"/>
          <w:cols w:equalWidth="0" w:num="1">
            <w:col w:w="11240"/>
          </w:cols>
          <w:pgMar w:left="320" w:top="122" w:right="339" w:bottom="1440" w:gutter="0" w:footer="0" w:header="0"/>
        </w:sectPr>
      </w:pP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58595B"/>
        </w:rPr>
        <w:t>Revenue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58595B"/>
        </w:rPr>
        <w:t>Adjusted EBITDA</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58595B"/>
        </w:rPr>
        <w:t>Operating Cash Flow</w:t>
      </w:r>
    </w:p>
    <w:p>
      <w:pPr>
        <w:spacing w:after="0" w:line="69" w:lineRule="exact"/>
        <w:rPr>
          <w:sz w:val="20"/>
          <w:szCs w:val="20"/>
          <w:color w:val="auto"/>
        </w:rPr>
      </w:pPr>
    </w:p>
    <w:p>
      <w:pPr>
        <w:sectPr>
          <w:pgSz w:w="11900" w:h="16838" w:orient="portrait"/>
          <w:cols w:equalWidth="0" w:num="3">
            <w:col w:w="4280" w:space="720"/>
            <w:col w:w="1700" w:space="720"/>
            <w:col w:w="3820"/>
          </w:cols>
          <w:pgMar w:left="320" w:top="122" w:right="339" w:bottom="1440" w:gutter="0" w:footer="0" w:header="0"/>
          <w:type w:val="continuous"/>
        </w:sectPr>
      </w:pPr>
    </w:p>
    <w:p>
      <w:pPr>
        <w:ind w:left="2640"/>
        <w:spacing w:after="0"/>
        <w:rPr>
          <w:sz w:val="20"/>
          <w:szCs w:val="20"/>
          <w:color w:val="auto"/>
        </w:rPr>
      </w:pPr>
      <w:r>
        <w:rPr>
          <w:rFonts w:ascii="Arial" w:cs="Arial" w:eastAsia="Arial" w:hAnsi="Arial"/>
          <w:sz w:val="14"/>
          <w:szCs w:val="14"/>
          <w:color w:val="58595B"/>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186690</wp:posOffset>
            </wp:positionV>
            <wp:extent cx="1585595" cy="13716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85595"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980"/>
        <w:spacing w:after="0"/>
        <w:rPr>
          <w:sz w:val="20"/>
          <w:szCs w:val="20"/>
          <w:color w:val="auto"/>
        </w:rPr>
      </w:pPr>
      <w:r>
        <w:rPr>
          <w:rFonts w:ascii="Arial" w:cs="Arial" w:eastAsia="Arial" w:hAnsi="Arial"/>
          <w:sz w:val="14"/>
          <w:szCs w:val="14"/>
          <w:color w:val="58595B"/>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83820</wp:posOffset>
            </wp:positionV>
            <wp:extent cx="1585595" cy="14744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85595" cy="1474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58595B"/>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186690</wp:posOffset>
            </wp:positionV>
            <wp:extent cx="1585595" cy="13716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85595" cy="13716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460" w:space="720"/>
            <w:col w:w="1820" w:space="720"/>
            <w:col w:w="352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20"/>
        <w:spacing w:after="0"/>
        <w:tabs>
          <w:tab w:leader="none" w:pos="4720" w:val="left"/>
          <w:tab w:leader="none" w:pos="7260" w:val="left"/>
        </w:tabs>
        <w:rPr>
          <w:sz w:val="20"/>
          <w:szCs w:val="20"/>
          <w:color w:val="auto"/>
        </w:rPr>
      </w:pPr>
      <w:r>
        <w:rPr>
          <w:rFonts w:ascii="Arial" w:cs="Arial" w:eastAsia="Arial" w:hAnsi="Arial"/>
          <w:sz w:val="14"/>
          <w:szCs w:val="14"/>
          <w:b w:val="1"/>
          <w:bCs w:val="1"/>
          <w:color w:val="58595B"/>
        </w:rPr>
        <w:t>Achieved 94.5% of Target</w:t>
      </w:r>
      <w:r>
        <w:rPr>
          <w:sz w:val="20"/>
          <w:szCs w:val="20"/>
          <w:color w:val="auto"/>
        </w:rPr>
        <w:tab/>
      </w:r>
      <w:r>
        <w:rPr>
          <w:rFonts w:ascii="Arial" w:cs="Arial" w:eastAsia="Arial" w:hAnsi="Arial"/>
          <w:sz w:val="14"/>
          <w:szCs w:val="14"/>
          <w:b w:val="1"/>
          <w:bCs w:val="1"/>
          <w:color w:val="58595B"/>
        </w:rPr>
        <w:t>Achieved 94.2% of Target</w:t>
      </w:r>
      <w:r>
        <w:rPr>
          <w:sz w:val="20"/>
          <w:szCs w:val="20"/>
          <w:color w:val="auto"/>
        </w:rPr>
        <w:tab/>
      </w:r>
      <w:r>
        <w:rPr>
          <w:rFonts w:ascii="Arial" w:cs="Arial" w:eastAsia="Arial" w:hAnsi="Arial"/>
          <w:sz w:val="14"/>
          <w:szCs w:val="14"/>
          <w:b w:val="1"/>
          <w:bCs w:val="1"/>
          <w:color w:val="58595B"/>
        </w:rPr>
        <w:t>Achieved 29.5% of Target</w:t>
      </w:r>
    </w:p>
    <w:p>
      <w:pPr>
        <w:spacing w:after="0" w:line="200" w:lineRule="exact"/>
        <w:rPr>
          <w:sz w:val="20"/>
          <w:szCs w:val="20"/>
          <w:color w:val="auto"/>
        </w:rPr>
      </w:pPr>
    </w:p>
    <w:p>
      <w:pPr>
        <w:spacing w:after="0" w:line="228" w:lineRule="exact"/>
        <w:rPr>
          <w:sz w:val="20"/>
          <w:szCs w:val="20"/>
          <w:color w:val="auto"/>
        </w:rPr>
      </w:pPr>
    </w:p>
    <w:p>
      <w:pPr>
        <w:ind w:right="220"/>
        <w:spacing w:after="0" w:line="313" w:lineRule="auto"/>
        <w:rPr>
          <w:sz w:val="20"/>
          <w:szCs w:val="20"/>
          <w:color w:val="auto"/>
        </w:rPr>
      </w:pPr>
      <w:r>
        <w:rPr>
          <w:rFonts w:ascii="Arial" w:cs="Arial" w:eastAsia="Arial" w:hAnsi="Arial"/>
          <w:sz w:val="16"/>
          <w:szCs w:val="16"/>
          <w:color w:val="58595B"/>
        </w:rPr>
        <w:t>The specific revenue metric adjustment reviewed and made by the Compensation Committee for 2025, as reflected in the graph above, included an adjustment for constant currency to eliminate any fluctuations when calculating performance result. Revenue was adjusted by $11 million to $1,624 million from $1,635 million. The specific adjusted EBITDA adjustment reviewed and made by the Compensation Committee for 2025, as reflected in the graph above, included an adjustment for unanticipated tariff actions. Adjusted EBITDA was adjusted by $6.5 million to $324 million from $317.5 million. See "Appendix A - Reconciliation of Non-GAAP Financial Measures".</w:t>
      </w: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44</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58595B"/>
        </w:rPr>
        <w:t>Following the Compensation Committee's approval of a tariff adjustment to adjusted EBITDA, the overall annual bonus pool was funded at 13.3% of target. The Compensation Committee exercised its discretion to approve bonus awards above the 13.3% funding level to: (i) recognize the contributions of the NEOs to advance our CMP, strengthen our quality systems and improve operations, and drive strong commercial execution; and (ii) retain leadership as the Company continues to deliver on its transformation journey. The discretionary funding resulted in a total annual bonus pool funding at 40% of target which was less than the general employee population and which the Committee believed was appropriate to recognize and reward resilience and continued focus on delivering to our customers and patients. Mr. McBreen received additional funding in recognition of his individual assessed performance at an exceeds rating and his exceptional leadership in delivering differentiated commercial execution despite supply challenges as well as advancing product portfolio innovation. For the actual annual bonus amounts paid for fiscal year 2025, see “—2025 Annual Bonus (Paid in March 2026)” below.</w:t>
      </w:r>
    </w:p>
    <w:p>
      <w:pPr>
        <w:spacing w:after="0" w:line="125" w:lineRule="exact"/>
        <w:rPr>
          <w:sz w:val="20"/>
          <w:szCs w:val="20"/>
          <w:color w:val="auto"/>
        </w:rPr>
      </w:pPr>
    </w:p>
    <w:p>
      <w:pPr>
        <w:ind w:right="180"/>
        <w:spacing w:after="0" w:line="356" w:lineRule="auto"/>
        <w:rPr>
          <w:sz w:val="20"/>
          <w:szCs w:val="20"/>
          <w:color w:val="auto"/>
        </w:rPr>
      </w:pPr>
      <w:r>
        <w:rPr>
          <w:rFonts w:ascii="Arial" w:cs="Arial" w:eastAsia="Arial" w:hAnsi="Arial"/>
          <w:sz w:val="16"/>
          <w:szCs w:val="16"/>
          <w:color w:val="58595B"/>
        </w:rPr>
        <w:t>In determining the awards for NEOs, the Compensation Committee considered the bonus pool funding as well as the collective and individual performance of our NEOs, noting the following accomplishments in areas spanning our financial, strategic, operational and people and culture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454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4"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FFFFFF"/>
        </w:rPr>
        <w:t>KEY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362710" cy="39008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62710" cy="3900805"/>
                    </a:xfrm>
                    <a:prstGeom prst="rect">
                      <a:avLst/>
                    </a:prstGeom>
                    <a:noFill/>
                  </pic:spPr>
                </pic:pic>
              </a:graphicData>
            </a:graphic>
          </wp:anchor>
        </w:drawing>
      </w:r>
    </w:p>
    <w:p>
      <w:pPr>
        <w:spacing w:after="0" w:line="368" w:lineRule="exact"/>
        <w:rPr>
          <w:sz w:val="20"/>
          <w:szCs w:val="20"/>
          <w:color w:val="auto"/>
        </w:rPr>
      </w:pPr>
    </w:p>
    <w:p>
      <w:pPr>
        <w:ind w:left="2500" w:right="100" w:hanging="166"/>
        <w:spacing w:after="0" w:line="339" w:lineRule="auto"/>
        <w:tabs>
          <w:tab w:leader="none" w:pos="2462" w:val="left"/>
        </w:tabs>
        <w:numPr>
          <w:ilvl w:val="0"/>
          <w:numId w:val="27"/>
        </w:numPr>
        <w:rPr>
          <w:rFonts w:ascii="Arial" w:cs="Arial" w:eastAsia="Arial" w:hAnsi="Arial"/>
          <w:sz w:val="16"/>
          <w:szCs w:val="16"/>
          <w:color w:val="58595B"/>
        </w:rPr>
      </w:pPr>
      <w:r>
        <w:rPr>
          <w:rFonts w:ascii="Arial" w:cs="Arial" w:eastAsia="Arial" w:hAnsi="Arial"/>
          <w:sz w:val="16"/>
          <w:szCs w:val="16"/>
          <w:color w:val="58595B"/>
        </w:rPr>
        <w:t>2025 full year reported revenues of $1,635.2 million, an increase of 1.5% on a reported basis (and a decrease of 0.7% on an organic basis) compared to 2024; delivered full year EPS within guidance range, taking tariffs into consideration</w:t>
      </w:r>
    </w:p>
    <w:p>
      <w:pPr>
        <w:spacing w:after="0" w:line="60" w:lineRule="exact"/>
        <w:rPr>
          <w:rFonts w:ascii="Arial" w:cs="Arial" w:eastAsia="Arial" w:hAnsi="Arial"/>
          <w:sz w:val="16"/>
          <w:szCs w:val="16"/>
          <w:color w:val="58595B"/>
        </w:rPr>
      </w:pPr>
    </w:p>
    <w:p>
      <w:pPr>
        <w:ind w:left="2500" w:right="160" w:hanging="166"/>
        <w:spacing w:after="0" w:line="319" w:lineRule="auto"/>
        <w:tabs>
          <w:tab w:leader="none" w:pos="2462" w:val="left"/>
        </w:tabs>
        <w:numPr>
          <w:ilvl w:val="0"/>
          <w:numId w:val="27"/>
        </w:numPr>
        <w:rPr>
          <w:rFonts w:ascii="Arial" w:cs="Arial" w:eastAsia="Arial" w:hAnsi="Arial"/>
          <w:sz w:val="16"/>
          <w:szCs w:val="16"/>
          <w:color w:val="58595B"/>
        </w:rPr>
      </w:pPr>
      <w:r>
        <w:rPr>
          <w:rFonts w:ascii="Arial" w:cs="Arial" w:eastAsia="Arial" w:hAnsi="Arial"/>
          <w:sz w:val="16"/>
          <w:szCs w:val="16"/>
          <w:color w:val="58595B"/>
        </w:rPr>
        <w:t>Strengthened the executive leadership team with appointments of six talented leaders: CVP, Global Supply Chain; SVP, Transformation &amp; Project Management Office; Chief Medical Officer; Chief Quality Officer; Chief Legal Officer; and Chief Technology Officer</w:t>
      </w:r>
    </w:p>
    <w:p>
      <w:pPr>
        <w:spacing w:after="0" w:line="130" w:lineRule="exact"/>
        <w:rPr>
          <w:rFonts w:ascii="Arial" w:cs="Arial" w:eastAsia="Arial" w:hAnsi="Arial"/>
          <w:sz w:val="16"/>
          <w:szCs w:val="16"/>
          <w:color w:val="58595B"/>
        </w:rPr>
      </w:pPr>
    </w:p>
    <w:p>
      <w:pPr>
        <w:ind w:left="2500" w:right="300" w:hanging="166"/>
        <w:spacing w:after="0" w:line="339" w:lineRule="auto"/>
        <w:tabs>
          <w:tab w:leader="none" w:pos="2462" w:val="left"/>
        </w:tabs>
        <w:numPr>
          <w:ilvl w:val="0"/>
          <w:numId w:val="27"/>
        </w:numPr>
        <w:rPr>
          <w:rFonts w:ascii="Arial" w:cs="Arial" w:eastAsia="Arial" w:hAnsi="Arial"/>
          <w:sz w:val="16"/>
          <w:szCs w:val="16"/>
          <w:color w:val="58595B"/>
        </w:rPr>
      </w:pPr>
      <w:r>
        <w:rPr>
          <w:rFonts w:ascii="Arial" w:cs="Arial" w:eastAsia="Arial" w:hAnsi="Arial"/>
          <w:sz w:val="16"/>
          <w:szCs w:val="16"/>
          <w:color w:val="58595B"/>
        </w:rPr>
        <w:t>Developed and launched a comprehensive transformation and margin expansion plan, encompassing operating model redesign, procurement and third party cost reduction, and engineering workflow optimization</w:t>
      </w:r>
    </w:p>
    <w:p>
      <w:pPr>
        <w:spacing w:after="0" w:line="114" w:lineRule="exact"/>
        <w:rPr>
          <w:rFonts w:ascii="Arial" w:cs="Arial" w:eastAsia="Arial" w:hAnsi="Arial"/>
          <w:sz w:val="16"/>
          <w:szCs w:val="16"/>
          <w:color w:val="58595B"/>
        </w:rPr>
      </w:pPr>
    </w:p>
    <w:p>
      <w:pPr>
        <w:ind w:left="2500" w:right="560" w:hanging="166"/>
        <w:spacing w:after="0" w:line="299" w:lineRule="auto"/>
        <w:tabs>
          <w:tab w:leader="none" w:pos="2462" w:val="left"/>
        </w:tabs>
        <w:numPr>
          <w:ilvl w:val="0"/>
          <w:numId w:val="27"/>
        </w:numPr>
        <w:rPr>
          <w:rFonts w:ascii="Arial" w:cs="Arial" w:eastAsia="Arial" w:hAnsi="Arial"/>
          <w:sz w:val="16"/>
          <w:szCs w:val="16"/>
          <w:color w:val="58595B"/>
        </w:rPr>
      </w:pPr>
      <w:r>
        <w:rPr>
          <w:rFonts w:ascii="Arial" w:cs="Arial" w:eastAsia="Arial" w:hAnsi="Arial"/>
          <w:sz w:val="16"/>
          <w:szCs w:val="16"/>
          <w:color w:val="58595B"/>
        </w:rPr>
        <w:t>Drove material progress on regulatory compliance and quality remediation, advancing the CMP, completing all manufacturing site audits ahead of plan, strengthening executive quality governance, and maintaining constructive</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43"/>
        </w:trPr>
        <w:tc>
          <w:tcPr>
            <w:tcW w:w="1640" w:type="dxa"/>
            <w:vAlign w:val="bottom"/>
          </w:tcPr>
          <w:p>
            <w:pPr>
              <w:spacing w:after="0"/>
              <w:rPr>
                <w:sz w:val="20"/>
                <w:szCs w:val="20"/>
                <w:color w:val="auto"/>
              </w:rPr>
            </w:pPr>
            <w:r>
              <w:rPr>
                <w:rFonts w:ascii="Arial" w:cs="Arial" w:eastAsia="Arial" w:hAnsi="Arial"/>
                <w:sz w:val="16"/>
                <w:szCs w:val="16"/>
                <w:b w:val="1"/>
                <w:bCs w:val="1"/>
                <w:color w:val="58595B"/>
              </w:rPr>
              <w:t>Mojdeh Poul</w:t>
            </w:r>
          </w:p>
        </w:tc>
        <w:tc>
          <w:tcPr>
            <w:tcW w:w="9080" w:type="dxa"/>
            <w:vAlign w:val="bottom"/>
          </w:tcPr>
          <w:p>
            <w:pPr>
              <w:ind w:left="680"/>
              <w:spacing w:after="0"/>
              <w:rPr>
                <w:sz w:val="20"/>
                <w:szCs w:val="20"/>
                <w:color w:val="auto"/>
              </w:rPr>
            </w:pPr>
            <w:r>
              <w:rPr>
                <w:rFonts w:ascii="Arial" w:cs="Arial" w:eastAsia="Arial" w:hAnsi="Arial"/>
                <w:sz w:val="16"/>
                <w:szCs w:val="16"/>
                <w:color w:val="58595B"/>
              </w:rPr>
              <w:t>engagement with the FDA on progress towards completion of committed deliverables for the December 2024 warning</w:t>
            </w:r>
          </w:p>
        </w:tc>
      </w:tr>
      <w:tr>
        <w:trPr>
          <w:trHeight w:val="215"/>
        </w:trPr>
        <w:tc>
          <w:tcPr>
            <w:tcW w:w="1640" w:type="dxa"/>
            <w:vAlign w:val="bottom"/>
          </w:tcPr>
          <w:p>
            <w:pPr>
              <w:spacing w:after="0"/>
              <w:rPr>
                <w:sz w:val="18"/>
                <w:szCs w:val="18"/>
                <w:color w:val="auto"/>
              </w:rPr>
            </w:pPr>
          </w:p>
        </w:tc>
        <w:tc>
          <w:tcPr>
            <w:tcW w:w="9080" w:type="dxa"/>
            <w:vAlign w:val="bottom"/>
          </w:tcPr>
          <w:p>
            <w:pPr>
              <w:ind w:left="680"/>
              <w:spacing w:after="0"/>
              <w:rPr>
                <w:sz w:val="20"/>
                <w:szCs w:val="20"/>
                <w:color w:val="auto"/>
              </w:rPr>
            </w:pPr>
            <w:r>
              <w:rPr>
                <w:rFonts w:ascii="Arial" w:cs="Arial" w:eastAsia="Arial" w:hAnsi="Arial"/>
                <w:sz w:val="16"/>
                <w:szCs w:val="16"/>
                <w:color w:val="58595B"/>
              </w:rPr>
              <w:t>letter</w:t>
            </w:r>
          </w:p>
        </w:tc>
      </w:tr>
    </w:tbl>
    <w:p>
      <w:pPr>
        <w:spacing w:after="0" w:line="177" w:lineRule="exact"/>
        <w:rPr>
          <w:sz w:val="20"/>
          <w:szCs w:val="20"/>
          <w:color w:val="auto"/>
        </w:rPr>
      </w:pPr>
    </w:p>
    <w:p>
      <w:pPr>
        <w:ind w:left="2460" w:hanging="126"/>
        <w:spacing w:after="0"/>
        <w:tabs>
          <w:tab w:leader="none" w:pos="2460" w:val="left"/>
        </w:tabs>
        <w:numPr>
          <w:ilvl w:val="0"/>
          <w:numId w:val="28"/>
        </w:numPr>
        <w:rPr>
          <w:rFonts w:ascii="Arial" w:cs="Arial" w:eastAsia="Arial" w:hAnsi="Arial"/>
          <w:sz w:val="16"/>
          <w:szCs w:val="16"/>
          <w:color w:val="58595B"/>
        </w:rPr>
      </w:pPr>
      <w:r>
        <w:rPr>
          <w:rFonts w:ascii="Arial" w:cs="Arial" w:eastAsia="Arial" w:hAnsi="Arial"/>
          <w:sz w:val="16"/>
          <w:szCs w:val="16"/>
          <w:color w:val="58595B"/>
        </w:rPr>
        <w:t>Advanced operational and supply chain resilience initiatives, including supplier quality and resiliency programs,</w:t>
      </w:r>
    </w:p>
    <w:p>
      <w:pPr>
        <w:spacing w:after="0" w:line="59" w:lineRule="exact"/>
        <w:rPr>
          <w:rFonts w:ascii="Arial" w:cs="Arial" w:eastAsia="Arial" w:hAnsi="Arial"/>
          <w:sz w:val="16"/>
          <w:szCs w:val="16"/>
          <w:color w:val="58595B"/>
        </w:rPr>
      </w:pPr>
    </w:p>
    <w:p>
      <w:pPr>
        <w:ind w:left="2500" w:right="540"/>
        <w:spacing w:after="0" w:line="339" w:lineRule="auto"/>
        <w:rPr>
          <w:rFonts w:ascii="Arial" w:cs="Arial" w:eastAsia="Arial" w:hAnsi="Arial"/>
          <w:sz w:val="16"/>
          <w:szCs w:val="16"/>
          <w:color w:val="58595B"/>
        </w:rPr>
      </w:pPr>
      <w:r>
        <w:rPr>
          <w:rFonts w:ascii="Arial" w:cs="Arial" w:eastAsia="Arial" w:hAnsi="Arial"/>
          <w:sz w:val="16"/>
          <w:szCs w:val="16"/>
          <w:color w:val="58595B"/>
        </w:rPr>
        <w:t>manufacturing yield improvements (e.g., &gt;50% improvement in Integra Skin yields), and critical capacity expansion investments supporting long term growth</w:t>
      </w:r>
    </w:p>
    <w:p>
      <w:pPr>
        <w:spacing w:after="0" w:line="101" w:lineRule="exact"/>
        <w:rPr>
          <w:rFonts w:ascii="Arial" w:cs="Arial" w:eastAsia="Arial" w:hAnsi="Arial"/>
          <w:sz w:val="16"/>
          <w:szCs w:val="16"/>
          <w:color w:val="58595B"/>
        </w:rPr>
      </w:pPr>
    </w:p>
    <w:p>
      <w:pPr>
        <w:ind w:left="2460" w:hanging="126"/>
        <w:spacing w:after="0"/>
        <w:tabs>
          <w:tab w:leader="none" w:pos="2460" w:val="left"/>
        </w:tabs>
        <w:numPr>
          <w:ilvl w:val="0"/>
          <w:numId w:val="28"/>
        </w:numPr>
        <w:rPr>
          <w:rFonts w:ascii="Arial" w:cs="Arial" w:eastAsia="Arial" w:hAnsi="Arial"/>
          <w:sz w:val="16"/>
          <w:szCs w:val="16"/>
          <w:color w:val="58595B"/>
        </w:rPr>
      </w:pPr>
      <w:r>
        <w:rPr>
          <w:rFonts w:ascii="Arial" w:cs="Arial" w:eastAsia="Arial" w:hAnsi="Arial"/>
          <w:sz w:val="16"/>
          <w:szCs w:val="16"/>
          <w:color w:val="58595B"/>
        </w:rPr>
        <w:t>Led disciplined enterprise-wide portfolio and program prioritization and capital allocation under Program Management</w:t>
      </w:r>
    </w:p>
    <w:p>
      <w:pPr>
        <w:spacing w:after="0" w:line="59" w:lineRule="exact"/>
        <w:rPr>
          <w:rFonts w:ascii="Arial" w:cs="Arial" w:eastAsia="Arial" w:hAnsi="Arial"/>
          <w:sz w:val="16"/>
          <w:szCs w:val="16"/>
          <w:color w:val="58595B"/>
        </w:rPr>
      </w:pPr>
    </w:p>
    <w:p>
      <w:pPr>
        <w:ind w:left="2500" w:right="320"/>
        <w:spacing w:after="0" w:line="339" w:lineRule="auto"/>
        <w:rPr>
          <w:rFonts w:ascii="Arial" w:cs="Arial" w:eastAsia="Arial" w:hAnsi="Arial"/>
          <w:sz w:val="16"/>
          <w:szCs w:val="16"/>
          <w:color w:val="58595B"/>
        </w:rPr>
      </w:pPr>
      <w:r>
        <w:rPr>
          <w:rFonts w:ascii="Arial" w:cs="Arial" w:eastAsia="Arial" w:hAnsi="Arial"/>
          <w:sz w:val="16"/>
          <w:szCs w:val="16"/>
          <w:color w:val="58595B"/>
        </w:rPr>
        <w:t>Office oversight. Improved supply reliability for key products, relaunched PriMatrix &amp; Durepair one year ahead of plan, and remains on-track for SurgiMend relaunch in Q4 2026</w:t>
      </w:r>
    </w:p>
    <w:p>
      <w:pPr>
        <w:spacing w:after="0" w:line="114" w:lineRule="exact"/>
        <w:rPr>
          <w:rFonts w:ascii="Arial" w:cs="Arial" w:eastAsia="Arial" w:hAnsi="Arial"/>
          <w:sz w:val="16"/>
          <w:szCs w:val="16"/>
          <w:color w:val="58595B"/>
        </w:rPr>
      </w:pPr>
    </w:p>
    <w:p>
      <w:pPr>
        <w:jc w:val="both"/>
        <w:ind w:left="2500" w:right="80" w:hanging="166"/>
        <w:spacing w:after="0" w:line="319" w:lineRule="auto"/>
        <w:tabs>
          <w:tab w:leader="none" w:pos="2462" w:val="left"/>
        </w:tabs>
        <w:numPr>
          <w:ilvl w:val="0"/>
          <w:numId w:val="28"/>
        </w:numPr>
        <w:rPr>
          <w:rFonts w:ascii="Arial" w:cs="Arial" w:eastAsia="Arial" w:hAnsi="Arial"/>
          <w:sz w:val="16"/>
          <w:szCs w:val="16"/>
          <w:color w:val="58595B"/>
        </w:rPr>
      </w:pPr>
      <w:r>
        <w:rPr>
          <w:rFonts w:ascii="Arial" w:cs="Arial" w:eastAsia="Arial" w:hAnsi="Arial"/>
          <w:sz w:val="16"/>
          <w:szCs w:val="16"/>
          <w:color w:val="58595B"/>
        </w:rPr>
        <w:t>Set a clear tone for quality, accountability, and execution across the enterprise, refreshing the company’s Purpose, Vision, and Values, and launching a disciplined, multi-year cultural transformation focused on leadership expectations, operating rigor, and performance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45</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132320" cy="1454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FFFFFF"/>
        </w:rPr>
        <w:t>KEY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46462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71" w:lineRule="exact"/>
        <w:rPr>
          <w:sz w:val="20"/>
          <w:szCs w:val="20"/>
          <w:color w:val="auto"/>
        </w:rPr>
      </w:pPr>
    </w:p>
    <w:p>
      <w:pPr>
        <w:ind w:left="2500" w:right="80" w:hanging="166"/>
        <w:spacing w:after="0" w:line="339" w:lineRule="auto"/>
        <w:tabs>
          <w:tab w:leader="none" w:pos="2462" w:val="left"/>
        </w:tabs>
        <w:numPr>
          <w:ilvl w:val="0"/>
          <w:numId w:val="29"/>
        </w:numPr>
        <w:rPr>
          <w:rFonts w:ascii="Arial" w:cs="Arial" w:eastAsia="Arial" w:hAnsi="Arial"/>
          <w:sz w:val="16"/>
          <w:szCs w:val="16"/>
          <w:color w:val="58595B"/>
        </w:rPr>
      </w:pPr>
      <w:r>
        <w:rPr>
          <w:rFonts w:ascii="Arial" w:cs="Arial" w:eastAsia="Arial" w:hAnsi="Arial"/>
          <w:sz w:val="16"/>
          <w:szCs w:val="16"/>
          <w:color w:val="58595B"/>
        </w:rPr>
        <w:t>2025 full year reported revenues of $1,635.2 million, an increase of 1.5% on a reported basis (and a decrease of 0.7% on an organic basis) compared to 2024; delivered full year EPS within guidance range, taking tariffs into consideration</w:t>
      </w:r>
    </w:p>
    <w:p>
      <w:pPr>
        <w:spacing w:after="0" w:line="114" w:lineRule="exact"/>
        <w:rPr>
          <w:rFonts w:ascii="Arial" w:cs="Arial" w:eastAsia="Arial" w:hAnsi="Arial"/>
          <w:sz w:val="16"/>
          <w:szCs w:val="16"/>
          <w:color w:val="58595B"/>
        </w:rPr>
      </w:pPr>
    </w:p>
    <w:p>
      <w:pPr>
        <w:ind w:left="2500" w:right="40" w:hanging="166"/>
        <w:spacing w:after="0" w:line="339" w:lineRule="auto"/>
        <w:tabs>
          <w:tab w:leader="none" w:pos="2462" w:val="left"/>
        </w:tabs>
        <w:numPr>
          <w:ilvl w:val="0"/>
          <w:numId w:val="29"/>
        </w:numPr>
        <w:rPr>
          <w:rFonts w:ascii="Arial" w:cs="Arial" w:eastAsia="Arial" w:hAnsi="Arial"/>
          <w:sz w:val="16"/>
          <w:szCs w:val="16"/>
          <w:color w:val="58595B"/>
        </w:rPr>
      </w:pPr>
      <w:r>
        <w:rPr>
          <w:rFonts w:ascii="Arial" w:cs="Arial" w:eastAsia="Arial" w:hAnsi="Arial"/>
          <w:sz w:val="16"/>
          <w:szCs w:val="16"/>
          <w:color w:val="58595B"/>
        </w:rPr>
        <w:t>Led significant operational expense management throughout 2025 and across the company; implemented proactive tariffs impact mitigation strategies, resulting in achievement of adjusted EBITDA margin of 19.4%</w:t>
      </w:r>
    </w:p>
    <w:p>
      <w:pPr>
        <w:spacing w:after="0" w:line="114" w:lineRule="exact"/>
        <w:rPr>
          <w:rFonts w:ascii="Arial" w:cs="Arial" w:eastAsia="Arial" w:hAnsi="Arial"/>
          <w:sz w:val="16"/>
          <w:szCs w:val="16"/>
          <w:color w:val="58595B"/>
        </w:rPr>
      </w:pPr>
    </w:p>
    <w:p>
      <w:pPr>
        <w:ind w:left="2460" w:hanging="126"/>
        <w:spacing w:after="0"/>
        <w:tabs>
          <w:tab w:leader="none" w:pos="2460" w:val="left"/>
        </w:tabs>
        <w:numPr>
          <w:ilvl w:val="0"/>
          <w:numId w:val="29"/>
        </w:numPr>
        <w:rPr>
          <w:rFonts w:ascii="Arial" w:cs="Arial" w:eastAsia="Arial" w:hAnsi="Arial"/>
          <w:sz w:val="16"/>
          <w:szCs w:val="16"/>
          <w:color w:val="58595B"/>
        </w:rPr>
      </w:pPr>
      <w:r>
        <w:rPr>
          <w:rFonts w:ascii="Arial" w:cs="Arial" w:eastAsia="Arial" w:hAnsi="Arial"/>
          <w:sz w:val="16"/>
          <w:szCs w:val="16"/>
          <w:color w:val="58595B"/>
        </w:rPr>
        <w:t>Established CAPEX council, enabling rigorous proactive capital expenses management process and delivering beyond</w:t>
      </w:r>
    </w:p>
    <w:p>
      <w:pPr>
        <w:sectPr>
          <w:pgSz w:w="11900" w:h="16838" w:orient="portrait"/>
          <w:cols w:equalWidth="0" w:num="1">
            <w:col w:w="11220"/>
          </w:cols>
          <w:pgMar w:left="320" w:top="122" w:right="359" w:bottom="1440" w:gutter="0" w:footer="0" w:header="0"/>
        </w:sectPr>
      </w:pP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8595B"/>
        </w:rPr>
        <w:t>Lea Knight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ind w:right="180"/>
        <w:spacing w:after="0" w:line="339" w:lineRule="auto"/>
        <w:rPr>
          <w:sz w:val="20"/>
          <w:szCs w:val="20"/>
          <w:color w:val="auto"/>
        </w:rPr>
      </w:pPr>
      <w:r>
        <w:rPr>
          <w:rFonts w:ascii="Arial" w:cs="Arial" w:eastAsia="Arial" w:hAnsi="Arial"/>
          <w:sz w:val="16"/>
          <w:szCs w:val="16"/>
          <w:color w:val="58595B"/>
        </w:rPr>
        <w:t>expected savings in 2025; strengthened EU-MDR program supervision and execution resulting in reduction in expected spending</w:t>
      </w:r>
    </w:p>
    <w:p>
      <w:pPr>
        <w:spacing w:after="0" w:line="115" w:lineRule="exact"/>
        <w:rPr>
          <w:sz w:val="20"/>
          <w:szCs w:val="20"/>
          <w:color w:val="auto"/>
        </w:rPr>
      </w:pPr>
    </w:p>
    <w:p>
      <w:pPr>
        <w:sectPr>
          <w:pgSz w:w="11900" w:h="16838" w:orient="portrait"/>
          <w:cols w:equalWidth="0" w:num="2">
            <w:col w:w="1780" w:space="720"/>
            <w:col w:w="8720"/>
          </w:cols>
          <w:pgMar w:left="320" w:top="122" w:right="359" w:bottom="1440" w:gutter="0" w:footer="0" w:header="0"/>
          <w:type w:val="continuous"/>
        </w:sectPr>
      </w:pPr>
    </w:p>
    <w:p>
      <w:pPr>
        <w:ind w:left="2500" w:right="20" w:hanging="166"/>
        <w:spacing w:after="0" w:line="339" w:lineRule="auto"/>
        <w:tabs>
          <w:tab w:leader="none" w:pos="2462" w:val="left"/>
        </w:tabs>
        <w:numPr>
          <w:ilvl w:val="0"/>
          <w:numId w:val="30"/>
        </w:numPr>
        <w:rPr>
          <w:rFonts w:ascii="Arial" w:cs="Arial" w:eastAsia="Arial" w:hAnsi="Arial"/>
          <w:sz w:val="16"/>
          <w:szCs w:val="16"/>
          <w:color w:val="58595B"/>
        </w:rPr>
      </w:pPr>
      <w:r>
        <w:rPr>
          <w:rFonts w:ascii="Arial" w:cs="Arial" w:eastAsia="Arial" w:hAnsi="Arial"/>
          <w:sz w:val="16"/>
          <w:szCs w:val="16"/>
          <w:color w:val="58595B"/>
        </w:rPr>
        <w:t>Strengthened Finance capabilities notably through augmented financial analytics and improved business engagement and budgeting process; served as a core member of the Company Transformation and Program Management Office</w:t>
      </w:r>
    </w:p>
    <w:p>
      <w:pPr>
        <w:spacing w:after="0" w:line="114" w:lineRule="exact"/>
        <w:rPr>
          <w:rFonts w:ascii="Arial" w:cs="Arial" w:eastAsia="Arial" w:hAnsi="Arial"/>
          <w:sz w:val="16"/>
          <w:szCs w:val="16"/>
          <w:color w:val="58595B"/>
        </w:rPr>
      </w:pPr>
    </w:p>
    <w:p>
      <w:pPr>
        <w:ind w:left="2500" w:right="360" w:hanging="166"/>
        <w:spacing w:after="0" w:line="339" w:lineRule="auto"/>
        <w:tabs>
          <w:tab w:leader="none" w:pos="2462" w:val="left"/>
        </w:tabs>
        <w:numPr>
          <w:ilvl w:val="0"/>
          <w:numId w:val="30"/>
        </w:numPr>
        <w:rPr>
          <w:rFonts w:ascii="Arial" w:cs="Arial" w:eastAsia="Arial" w:hAnsi="Arial"/>
          <w:sz w:val="16"/>
          <w:szCs w:val="16"/>
          <w:color w:val="58595B"/>
        </w:rPr>
      </w:pPr>
      <w:r>
        <w:rPr>
          <w:rFonts w:ascii="Arial" w:cs="Arial" w:eastAsia="Arial" w:hAnsi="Arial"/>
          <w:sz w:val="16"/>
          <w:szCs w:val="16"/>
          <w:color w:val="58595B"/>
        </w:rPr>
        <w:t>Led the advancement of inclusive workplace initiatives by serving as the executive sponsor of the Business Resource Group BUILD (Black Employees United at Integra for Leadership and Development)</w:t>
      </w:r>
    </w:p>
    <w:p>
      <w:pPr>
        <w:spacing w:after="0" w:line="168" w:lineRule="exact"/>
        <w:rPr>
          <w:rFonts w:ascii="Arial" w:cs="Arial" w:eastAsia="Arial" w:hAnsi="Arial"/>
          <w:sz w:val="16"/>
          <w:szCs w:val="16"/>
          <w:color w:val="58595B"/>
        </w:rPr>
      </w:pPr>
    </w:p>
    <w:p>
      <w:pPr>
        <w:ind w:left="2500" w:right="740" w:hanging="166"/>
        <w:spacing w:after="0" w:line="339" w:lineRule="auto"/>
        <w:tabs>
          <w:tab w:leader="none" w:pos="2462" w:val="left"/>
        </w:tabs>
        <w:numPr>
          <w:ilvl w:val="0"/>
          <w:numId w:val="30"/>
        </w:numPr>
        <w:rPr>
          <w:rFonts w:ascii="Arial" w:cs="Arial" w:eastAsia="Arial" w:hAnsi="Arial"/>
          <w:sz w:val="16"/>
          <w:szCs w:val="16"/>
          <w:color w:val="58595B"/>
        </w:rPr>
      </w:pPr>
      <w:r>
        <w:rPr>
          <w:rFonts w:ascii="Arial" w:cs="Arial" w:eastAsia="Arial" w:hAnsi="Arial"/>
          <w:sz w:val="16"/>
          <w:szCs w:val="16"/>
          <w:color w:val="58595B"/>
        </w:rPr>
        <w:t>Delivered lower than expected reported revenues with decline of 6.9% vs. 2024, partly attributable to quality and operational issues associated with MediHoney</w:t>
      </w:r>
    </w:p>
    <w:p>
      <w:pPr>
        <w:spacing w:after="0" w:line="114" w:lineRule="exact"/>
        <w:rPr>
          <w:rFonts w:ascii="Arial" w:cs="Arial" w:eastAsia="Arial" w:hAnsi="Arial"/>
          <w:sz w:val="16"/>
          <w:szCs w:val="16"/>
          <w:color w:val="58595B"/>
        </w:rPr>
      </w:pPr>
    </w:p>
    <w:p>
      <w:pPr>
        <w:ind w:left="2500" w:right="180" w:hanging="166"/>
        <w:spacing w:after="0" w:line="339" w:lineRule="auto"/>
        <w:tabs>
          <w:tab w:leader="none" w:pos="2462" w:val="left"/>
        </w:tabs>
        <w:numPr>
          <w:ilvl w:val="0"/>
          <w:numId w:val="30"/>
        </w:numPr>
        <w:rPr>
          <w:rFonts w:ascii="Arial" w:cs="Arial" w:eastAsia="Arial" w:hAnsi="Arial"/>
          <w:sz w:val="16"/>
          <w:szCs w:val="16"/>
          <w:color w:val="58595B"/>
        </w:rPr>
      </w:pPr>
      <w:r>
        <w:rPr>
          <w:rFonts w:ascii="Arial" w:cs="Arial" w:eastAsia="Arial" w:hAnsi="Arial"/>
          <w:sz w:val="16"/>
          <w:szCs w:val="16"/>
          <w:color w:val="58595B"/>
        </w:rPr>
        <w:t>Successfully led the return of the PriMatrix and Durepair products to the market, almost a year ahead of plan through an outsourced partner</w:t>
      </w:r>
    </w:p>
    <w:p>
      <w:pPr>
        <w:spacing w:after="0" w:line="114" w:lineRule="exact"/>
        <w:rPr>
          <w:rFonts w:ascii="Arial" w:cs="Arial" w:eastAsia="Arial" w:hAnsi="Arial"/>
          <w:sz w:val="16"/>
          <w:szCs w:val="16"/>
          <w:color w:val="58595B"/>
        </w:rPr>
      </w:pPr>
    </w:p>
    <w:p>
      <w:pPr>
        <w:ind w:left="2500" w:right="60" w:hanging="166"/>
        <w:spacing w:after="0" w:line="289" w:lineRule="auto"/>
        <w:tabs>
          <w:tab w:leader="none" w:pos="2462" w:val="left"/>
        </w:tabs>
        <w:numPr>
          <w:ilvl w:val="0"/>
          <w:numId w:val="30"/>
        </w:numPr>
        <w:rPr>
          <w:rFonts w:ascii="Arial" w:cs="Arial" w:eastAsia="Arial" w:hAnsi="Arial"/>
          <w:sz w:val="16"/>
          <w:szCs w:val="16"/>
          <w:color w:val="58595B"/>
        </w:rPr>
      </w:pPr>
      <w:r>
        <w:rPr>
          <w:rFonts w:ascii="Arial" w:cs="Arial" w:eastAsia="Arial" w:hAnsi="Arial"/>
          <w:sz w:val="16"/>
          <w:szCs w:val="16"/>
          <w:color w:val="58595B"/>
        </w:rPr>
        <w:t>Advanced critical PMA (SurgiMend and DuraSorb) and clinical evidence programs, underpinning future growth in Surgical Reconstruction and Wound Reconstruction</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8595B"/>
        </w:rPr>
        <w:t>Robert T. Davis, Jr.</w:t>
      </w:r>
    </w:p>
    <w:p>
      <w:pPr>
        <w:spacing w:after="0" w:line="9" w:lineRule="exact"/>
        <w:rPr>
          <w:sz w:val="20"/>
          <w:szCs w:val="20"/>
          <w:color w:val="auto"/>
        </w:rPr>
      </w:pPr>
    </w:p>
    <w:p>
      <w:pPr>
        <w:ind w:left="2500" w:right="440" w:hanging="166"/>
        <w:spacing w:after="0" w:line="336" w:lineRule="auto"/>
        <w:tabs>
          <w:tab w:leader="none" w:pos="2462" w:val="left"/>
        </w:tabs>
        <w:numPr>
          <w:ilvl w:val="0"/>
          <w:numId w:val="31"/>
        </w:numPr>
        <w:rPr>
          <w:rFonts w:ascii="Arial" w:cs="Arial" w:eastAsia="Arial" w:hAnsi="Arial"/>
          <w:sz w:val="16"/>
          <w:szCs w:val="16"/>
          <w:color w:val="58595B"/>
        </w:rPr>
      </w:pPr>
      <w:r>
        <w:rPr>
          <w:rFonts w:ascii="Arial" w:cs="Arial" w:eastAsia="Arial" w:hAnsi="Arial"/>
          <w:sz w:val="16"/>
          <w:szCs w:val="16"/>
          <w:color w:val="58595B"/>
        </w:rPr>
        <w:t>Realized significant progress in preparing, submitting, and implementing requirements for EU MDR compliance, with multiple file submissions and implementations</w:t>
      </w:r>
    </w:p>
    <w:p>
      <w:pPr>
        <w:spacing w:after="0" w:line="103" w:lineRule="exact"/>
        <w:rPr>
          <w:rFonts w:ascii="Arial" w:cs="Arial" w:eastAsia="Arial" w:hAnsi="Arial"/>
          <w:sz w:val="16"/>
          <w:szCs w:val="16"/>
          <w:color w:val="58595B"/>
        </w:rPr>
      </w:pPr>
    </w:p>
    <w:p>
      <w:pPr>
        <w:ind w:left="2500" w:right="560" w:hanging="166"/>
        <w:spacing w:after="0" w:line="356" w:lineRule="auto"/>
        <w:tabs>
          <w:tab w:leader="none" w:pos="2462" w:val="left"/>
        </w:tabs>
        <w:numPr>
          <w:ilvl w:val="0"/>
          <w:numId w:val="31"/>
        </w:numPr>
        <w:rPr>
          <w:rFonts w:ascii="Arial" w:cs="Arial" w:eastAsia="Arial" w:hAnsi="Arial"/>
          <w:sz w:val="16"/>
          <w:szCs w:val="16"/>
          <w:color w:val="58595B"/>
        </w:rPr>
      </w:pPr>
      <w:r>
        <w:rPr>
          <w:rFonts w:ascii="Arial" w:cs="Arial" w:eastAsia="Arial" w:hAnsi="Arial"/>
          <w:sz w:val="16"/>
          <w:szCs w:val="16"/>
          <w:color w:val="58595B"/>
        </w:rPr>
        <w:t>Stabilized core operations and talent, driving disciplined cost management, inventory controls, and retention of key leadership and commercial team</w:t>
      </w:r>
    </w:p>
    <w:p>
      <w:pPr>
        <w:spacing w:after="0" w:line="88" w:lineRule="exact"/>
        <w:rPr>
          <w:rFonts w:ascii="Arial" w:cs="Arial" w:eastAsia="Arial" w:hAnsi="Arial"/>
          <w:sz w:val="16"/>
          <w:szCs w:val="16"/>
          <w:color w:val="58595B"/>
        </w:rPr>
      </w:pPr>
    </w:p>
    <w:p>
      <w:pPr>
        <w:ind w:left="2500" w:right="300" w:hanging="166"/>
        <w:spacing w:after="0" w:line="339" w:lineRule="auto"/>
        <w:tabs>
          <w:tab w:leader="none" w:pos="2462" w:val="left"/>
        </w:tabs>
        <w:numPr>
          <w:ilvl w:val="0"/>
          <w:numId w:val="31"/>
        </w:numPr>
        <w:rPr>
          <w:rFonts w:ascii="Arial" w:cs="Arial" w:eastAsia="Arial" w:hAnsi="Arial"/>
          <w:sz w:val="16"/>
          <w:szCs w:val="16"/>
          <w:color w:val="58595B"/>
        </w:rPr>
      </w:pPr>
      <w:r>
        <w:rPr>
          <w:rFonts w:ascii="Arial" w:cs="Arial" w:eastAsia="Arial" w:hAnsi="Arial"/>
          <w:sz w:val="16"/>
          <w:szCs w:val="16"/>
          <w:color w:val="58595B"/>
        </w:rPr>
        <w:t>Led the advancement of inclusive workplace initiatives by serving as the executive sponsor of Integra’s Veteran (IVET) Business Resource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46</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132320" cy="145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FFFFFF"/>
        </w:rPr>
        <w:t>KEY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41916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4191635"/>
                    </a:xfrm>
                    <a:prstGeom prst="rect">
                      <a:avLst/>
                    </a:prstGeom>
                    <a:noFill/>
                  </pic:spPr>
                </pic:pic>
              </a:graphicData>
            </a:graphic>
          </wp:anchor>
        </w:drawing>
      </w:r>
    </w:p>
    <w:p>
      <w:pPr>
        <w:spacing w:after="0" w:line="71" w:lineRule="exact"/>
        <w:rPr>
          <w:sz w:val="20"/>
          <w:szCs w:val="20"/>
          <w:color w:val="auto"/>
        </w:rPr>
      </w:pPr>
    </w:p>
    <w:p>
      <w:pPr>
        <w:ind w:left="2460" w:hanging="126"/>
        <w:spacing w:after="0"/>
        <w:tabs>
          <w:tab w:leader="none" w:pos="246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Achieved reported growth of 5% overall, with strong performance in ENT, Instruments and neurosurgery in the US</w:t>
      </w:r>
    </w:p>
    <w:p>
      <w:pPr>
        <w:spacing w:after="0" w:line="153" w:lineRule="exact"/>
        <w:rPr>
          <w:rFonts w:ascii="Arial" w:cs="Arial" w:eastAsia="Arial" w:hAnsi="Arial"/>
          <w:sz w:val="16"/>
          <w:szCs w:val="16"/>
          <w:color w:val="58595B"/>
        </w:rPr>
      </w:pPr>
    </w:p>
    <w:p>
      <w:pPr>
        <w:ind w:left="2460" w:hanging="126"/>
        <w:spacing w:after="0"/>
        <w:tabs>
          <w:tab w:leader="none" w:pos="246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Product launches: successfully launched TruDi 3.1 FMR as part of the ENT business (Acclarent portfolio); launched</w:t>
      </w:r>
    </w:p>
    <w:p>
      <w:pPr>
        <w:spacing w:after="0" w:line="59" w:lineRule="exact"/>
        <w:rPr>
          <w:rFonts w:ascii="Arial" w:cs="Arial" w:eastAsia="Arial" w:hAnsi="Arial"/>
          <w:sz w:val="16"/>
          <w:szCs w:val="16"/>
          <w:color w:val="58595B"/>
        </w:rPr>
      </w:pPr>
    </w:p>
    <w:p>
      <w:pPr>
        <w:ind w:left="2500" w:right="340"/>
        <w:spacing w:after="0" w:line="339" w:lineRule="auto"/>
        <w:rPr>
          <w:rFonts w:ascii="Arial" w:cs="Arial" w:eastAsia="Arial" w:hAnsi="Arial"/>
          <w:sz w:val="16"/>
          <w:szCs w:val="16"/>
          <w:color w:val="58595B"/>
        </w:rPr>
      </w:pPr>
      <w:r>
        <w:rPr>
          <w:rFonts w:ascii="Arial" w:cs="Arial" w:eastAsia="Arial" w:hAnsi="Arial"/>
          <w:sz w:val="16"/>
          <w:szCs w:val="16"/>
          <w:color w:val="58595B"/>
        </w:rPr>
        <w:t>Durepair 8 months ahead of schedule with strong commercial performance indicators; Mayfield Ghost launched in Q4 with promising commercial start; obtained Libertis 510k on time</w:t>
      </w:r>
    </w:p>
    <w:p>
      <w:pPr>
        <w:spacing w:after="0" w:line="61"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740" w:type="dxa"/>
            <w:vAlign w:val="bottom"/>
            <w:vMerge w:val="restart"/>
          </w:tcPr>
          <w:p>
            <w:pPr>
              <w:spacing w:after="0"/>
              <w:rPr>
                <w:sz w:val="20"/>
                <w:szCs w:val="20"/>
                <w:color w:val="auto"/>
              </w:rPr>
            </w:pPr>
            <w:r>
              <w:rPr>
                <w:rFonts w:ascii="Arial" w:cs="Arial" w:eastAsia="Arial" w:hAnsi="Arial"/>
                <w:sz w:val="16"/>
                <w:szCs w:val="16"/>
                <w:b w:val="1"/>
                <w:bCs w:val="1"/>
                <w:color w:val="58595B"/>
              </w:rPr>
              <w:t>Michael J. McBreen</w:t>
            </w:r>
          </w:p>
        </w:tc>
        <w:tc>
          <w:tcPr>
            <w:tcW w:w="8980" w:type="dxa"/>
            <w:vAlign w:val="bottom"/>
          </w:tcPr>
          <w:p>
            <w:pPr>
              <w:jc w:val="right"/>
              <w:spacing w:after="0"/>
              <w:rPr>
                <w:sz w:val="20"/>
                <w:szCs w:val="20"/>
                <w:color w:val="auto"/>
              </w:rPr>
            </w:pPr>
            <w:r>
              <w:rPr>
                <w:rFonts w:ascii="Arial" w:cs="Arial" w:eastAsia="Arial" w:hAnsi="Arial"/>
                <w:sz w:val="16"/>
                <w:szCs w:val="16"/>
                <w:color w:val="58595B"/>
              </w:rPr>
              <w:t>• Sponsored global marketing capabilities redesign as part of company transformation, enabling new model deployment in</w:t>
            </w:r>
          </w:p>
        </w:tc>
        <w:tc>
          <w:tcPr>
            <w:tcW w:w="0" w:type="dxa"/>
            <w:vAlign w:val="bottom"/>
          </w:tcPr>
          <w:p>
            <w:pPr>
              <w:spacing w:after="0"/>
              <w:rPr>
                <w:sz w:val="1"/>
                <w:szCs w:val="1"/>
                <w:color w:val="auto"/>
              </w:rPr>
            </w:pPr>
          </w:p>
        </w:tc>
      </w:tr>
      <w:tr>
        <w:trPr>
          <w:trHeight w:val="89"/>
        </w:trPr>
        <w:tc>
          <w:tcPr>
            <w:tcW w:w="1740" w:type="dxa"/>
            <w:vAlign w:val="bottom"/>
            <w:vMerge w:val="continue"/>
          </w:tcPr>
          <w:p>
            <w:pPr>
              <w:spacing w:after="0"/>
              <w:rPr>
                <w:sz w:val="7"/>
                <w:szCs w:val="7"/>
                <w:color w:val="auto"/>
              </w:rPr>
            </w:pPr>
          </w:p>
        </w:tc>
        <w:tc>
          <w:tcPr>
            <w:tcW w:w="8980" w:type="dxa"/>
            <w:vAlign w:val="bottom"/>
            <w:vMerge w:val="restart"/>
          </w:tcPr>
          <w:p>
            <w:pPr>
              <w:jc w:val="right"/>
              <w:ind w:right="8139"/>
              <w:spacing w:after="0"/>
              <w:rPr>
                <w:sz w:val="20"/>
                <w:szCs w:val="20"/>
                <w:color w:val="auto"/>
              </w:rPr>
            </w:pPr>
            <w:r>
              <w:rPr>
                <w:rFonts w:ascii="Arial" w:cs="Arial" w:eastAsia="Arial" w:hAnsi="Arial"/>
                <w:sz w:val="16"/>
                <w:szCs w:val="16"/>
                <w:color w:val="58595B"/>
              </w:rPr>
              <w:t>2026</w:t>
            </w:r>
          </w:p>
        </w:tc>
        <w:tc>
          <w:tcPr>
            <w:tcW w:w="0" w:type="dxa"/>
            <w:vAlign w:val="bottom"/>
          </w:tcPr>
          <w:p>
            <w:pPr>
              <w:spacing w:after="0"/>
              <w:rPr>
                <w:sz w:val="1"/>
                <w:szCs w:val="1"/>
                <w:color w:val="auto"/>
              </w:rPr>
            </w:pPr>
          </w:p>
        </w:tc>
      </w:tr>
      <w:tr>
        <w:trPr>
          <w:trHeight w:val="140"/>
        </w:trPr>
        <w:tc>
          <w:tcPr>
            <w:tcW w:w="1740" w:type="dxa"/>
            <w:vAlign w:val="bottom"/>
          </w:tcPr>
          <w:p>
            <w:pPr>
              <w:spacing w:after="0"/>
              <w:rPr>
                <w:sz w:val="12"/>
                <w:szCs w:val="12"/>
                <w:color w:val="auto"/>
              </w:rPr>
            </w:pPr>
          </w:p>
        </w:tc>
        <w:tc>
          <w:tcPr>
            <w:tcW w:w="8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500" w:right="200" w:hanging="166"/>
        <w:spacing w:after="0" w:line="356" w:lineRule="auto"/>
        <w:tabs>
          <w:tab w:leader="none" w:pos="2462" w:val="left"/>
        </w:tabs>
        <w:numPr>
          <w:ilvl w:val="0"/>
          <w:numId w:val="33"/>
        </w:numPr>
        <w:rPr>
          <w:rFonts w:ascii="Arial" w:cs="Arial" w:eastAsia="Arial" w:hAnsi="Arial"/>
          <w:sz w:val="16"/>
          <w:szCs w:val="16"/>
          <w:color w:val="58595B"/>
        </w:rPr>
      </w:pPr>
      <w:r>
        <w:rPr>
          <w:rFonts w:ascii="Arial" w:cs="Arial" w:eastAsia="Arial" w:hAnsi="Arial"/>
          <w:sz w:val="16"/>
          <w:szCs w:val="16"/>
          <w:color w:val="58595B"/>
        </w:rPr>
        <w:t>Maintained stability in leadership and sales teams while enabling an overall strong commercial execution and delivery of strategic projects</w:t>
      </w:r>
    </w:p>
    <w:p>
      <w:pPr>
        <w:spacing w:after="0" w:line="34" w:lineRule="exact"/>
        <w:rPr>
          <w:rFonts w:ascii="Arial" w:cs="Arial" w:eastAsia="Arial" w:hAnsi="Arial"/>
          <w:sz w:val="16"/>
          <w:szCs w:val="16"/>
          <w:color w:val="58595B"/>
        </w:rPr>
      </w:pPr>
    </w:p>
    <w:p>
      <w:pPr>
        <w:ind w:left="2500" w:right="240" w:hanging="166"/>
        <w:spacing w:after="0" w:line="356" w:lineRule="auto"/>
        <w:tabs>
          <w:tab w:leader="none" w:pos="2462" w:val="left"/>
        </w:tabs>
        <w:numPr>
          <w:ilvl w:val="0"/>
          <w:numId w:val="33"/>
        </w:numPr>
        <w:rPr>
          <w:rFonts w:ascii="Arial" w:cs="Arial" w:eastAsia="Arial" w:hAnsi="Arial"/>
          <w:sz w:val="16"/>
          <w:szCs w:val="16"/>
          <w:color w:val="58595B"/>
        </w:rPr>
      </w:pPr>
      <w:r>
        <w:rPr>
          <w:rFonts w:ascii="Arial" w:cs="Arial" w:eastAsia="Arial" w:hAnsi="Arial"/>
          <w:sz w:val="16"/>
          <w:szCs w:val="16"/>
          <w:color w:val="58595B"/>
        </w:rPr>
        <w:t>Led the advancement of inclusive workplace initiatives by serving as the executive sponsor of Integra’s Asian American and Pacific Islander Business Resource Group</w:t>
      </w:r>
    </w:p>
    <w:p>
      <w:pPr>
        <w:spacing w:after="0" w:line="102" w:lineRule="exact"/>
        <w:rPr>
          <w:rFonts w:ascii="Arial" w:cs="Arial" w:eastAsia="Arial" w:hAnsi="Arial"/>
          <w:sz w:val="16"/>
          <w:szCs w:val="16"/>
          <w:color w:val="58595B"/>
        </w:rPr>
      </w:pPr>
    </w:p>
    <w:p>
      <w:pPr>
        <w:ind w:left="2460" w:hanging="126"/>
        <w:spacing w:after="0"/>
        <w:tabs>
          <w:tab w:leader="none" w:pos="2460" w:val="left"/>
        </w:tabs>
        <w:numPr>
          <w:ilvl w:val="0"/>
          <w:numId w:val="33"/>
        </w:numPr>
        <w:rPr>
          <w:rFonts w:ascii="Arial" w:cs="Arial" w:eastAsia="Arial" w:hAnsi="Arial"/>
          <w:sz w:val="16"/>
          <w:szCs w:val="16"/>
          <w:color w:val="58595B"/>
        </w:rPr>
      </w:pPr>
      <w:r>
        <w:rPr>
          <w:rFonts w:ascii="Arial" w:cs="Arial" w:eastAsia="Arial" w:hAnsi="Arial"/>
          <w:sz w:val="16"/>
          <w:szCs w:val="16"/>
          <w:color w:val="58595B"/>
        </w:rPr>
        <w:t>Grew international markets overall by approximately 3% over 2024 despite supply constraints</w:t>
      </w:r>
    </w:p>
    <w:p>
      <w:pPr>
        <w:spacing w:after="0" w:line="153" w:lineRule="exact"/>
        <w:rPr>
          <w:rFonts w:ascii="Arial" w:cs="Arial" w:eastAsia="Arial" w:hAnsi="Arial"/>
          <w:sz w:val="16"/>
          <w:szCs w:val="16"/>
          <w:color w:val="58595B"/>
        </w:rPr>
      </w:pPr>
    </w:p>
    <w:p>
      <w:pPr>
        <w:ind w:left="2500" w:right="600" w:hanging="166"/>
        <w:spacing w:after="0" w:line="356" w:lineRule="auto"/>
        <w:tabs>
          <w:tab w:leader="none" w:pos="2462" w:val="left"/>
        </w:tabs>
        <w:numPr>
          <w:ilvl w:val="0"/>
          <w:numId w:val="33"/>
        </w:numPr>
        <w:rPr>
          <w:rFonts w:ascii="Arial" w:cs="Arial" w:eastAsia="Arial" w:hAnsi="Arial"/>
          <w:sz w:val="16"/>
          <w:szCs w:val="16"/>
          <w:color w:val="58595B"/>
        </w:rPr>
      </w:pPr>
      <w:r>
        <w:rPr>
          <w:rFonts w:ascii="Arial" w:cs="Arial" w:eastAsia="Arial" w:hAnsi="Arial"/>
          <w:sz w:val="16"/>
          <w:szCs w:val="16"/>
          <w:color w:val="58595B"/>
        </w:rPr>
        <w:t>Focused on and expanded in the iNPH (idiopathic normal pressure hydrocephalus) market through driving therapy awareness and education, adding over 50 new accounts across international for this indication</w:t>
      </w:r>
    </w:p>
    <w:p>
      <w:pPr>
        <w:spacing w:after="0" w:line="34" w:lineRule="exact"/>
        <w:rPr>
          <w:rFonts w:ascii="Arial" w:cs="Arial" w:eastAsia="Arial" w:hAnsi="Arial"/>
          <w:sz w:val="16"/>
          <w:szCs w:val="16"/>
          <w:color w:val="58595B"/>
        </w:rPr>
      </w:pPr>
    </w:p>
    <w:p>
      <w:pPr>
        <w:ind w:left="2460" w:hanging="126"/>
        <w:spacing w:after="0"/>
        <w:tabs>
          <w:tab w:leader="none" w:pos="2460" w:val="left"/>
        </w:tabs>
        <w:numPr>
          <w:ilvl w:val="0"/>
          <w:numId w:val="33"/>
        </w:numPr>
        <w:rPr>
          <w:rFonts w:ascii="Arial" w:cs="Arial" w:eastAsia="Arial" w:hAnsi="Arial"/>
          <w:sz w:val="16"/>
          <w:szCs w:val="16"/>
          <w:color w:val="58595B"/>
        </w:rPr>
      </w:pPr>
      <w:r>
        <w:rPr>
          <w:rFonts w:ascii="Arial" w:cs="Arial" w:eastAsia="Arial" w:hAnsi="Arial"/>
          <w:sz w:val="16"/>
          <w:szCs w:val="16"/>
          <w:color w:val="58595B"/>
        </w:rPr>
        <w:t>Recaptured market share for shunts business, recovering the 2023 level as supply was restored</w:t>
      </w:r>
    </w:p>
    <w:p>
      <w:pPr>
        <w:spacing w:after="0" w:line="167" w:lineRule="exact"/>
        <w:rPr>
          <w:rFonts w:ascii="Arial" w:cs="Arial" w:eastAsia="Arial" w:hAnsi="Arial"/>
          <w:sz w:val="16"/>
          <w:szCs w:val="16"/>
          <w:color w:val="58595B"/>
        </w:rPr>
      </w:pPr>
    </w:p>
    <w:p>
      <w:pPr>
        <w:ind w:left="2460" w:hanging="126"/>
        <w:spacing w:after="0"/>
        <w:tabs>
          <w:tab w:leader="none" w:pos="2460" w:val="left"/>
        </w:tabs>
        <w:numPr>
          <w:ilvl w:val="0"/>
          <w:numId w:val="33"/>
        </w:numPr>
        <w:rPr>
          <w:rFonts w:ascii="Arial" w:cs="Arial" w:eastAsia="Arial" w:hAnsi="Arial"/>
          <w:sz w:val="16"/>
          <w:szCs w:val="16"/>
          <w:color w:val="58595B"/>
        </w:rPr>
      </w:pPr>
      <w:r>
        <w:rPr>
          <w:rFonts w:ascii="Arial" w:cs="Arial" w:eastAsia="Arial" w:hAnsi="Arial"/>
          <w:sz w:val="16"/>
          <w:szCs w:val="16"/>
          <w:color w:val="58595B"/>
        </w:rPr>
        <w:t>Implemented India direct go-to-market model in Q2 2025, resulting in significant price increase with &gt;50 % increase in</w:t>
      </w:r>
    </w:p>
    <w:p>
      <w:pPr>
        <w:spacing w:after="0" w:line="46" w:lineRule="exact"/>
        <w:rPr>
          <w:sz w:val="20"/>
          <w:szCs w:val="20"/>
          <w:color w:val="auto"/>
        </w:rPr>
      </w:pPr>
    </w:p>
    <w:tbl>
      <w:tblPr>
        <w:tblLayout w:type="fixed"/>
        <w:tblInd w:w="180" w:type="dxa"/>
        <w:tblCellMar>
          <w:top w:w="0" w:type="dxa"/>
          <w:left w:w="0" w:type="dxa"/>
          <w:bottom w:w="0" w:type="dxa"/>
          <w:right w:w="0" w:type="dxa"/>
        </w:tblCellMar>
      </w:tblPr>
      <w:tr>
        <w:trPr>
          <w:trHeight w:val="215"/>
        </w:trPr>
        <w:tc>
          <w:tcPr>
            <w:tcW w:w="1780" w:type="dxa"/>
            <w:vAlign w:val="bottom"/>
            <w:vMerge w:val="restart"/>
          </w:tcPr>
          <w:p>
            <w:pPr>
              <w:spacing w:after="0"/>
              <w:rPr>
                <w:sz w:val="20"/>
                <w:szCs w:val="20"/>
                <w:color w:val="auto"/>
              </w:rPr>
            </w:pPr>
            <w:r>
              <w:rPr>
                <w:rFonts w:ascii="Arial" w:cs="Arial" w:eastAsia="Arial" w:hAnsi="Arial"/>
                <w:sz w:val="16"/>
                <w:szCs w:val="16"/>
                <w:b w:val="1"/>
                <w:bCs w:val="1"/>
                <w:color w:val="58595B"/>
              </w:rPr>
              <w:t>Harvinder Singh</w:t>
            </w:r>
          </w:p>
        </w:tc>
        <w:tc>
          <w:tcPr>
            <w:tcW w:w="1960" w:type="dxa"/>
            <w:vAlign w:val="bottom"/>
          </w:tcPr>
          <w:p>
            <w:pPr>
              <w:ind w:left="540"/>
              <w:spacing w:after="0"/>
              <w:rPr>
                <w:sz w:val="20"/>
                <w:szCs w:val="20"/>
                <w:color w:val="auto"/>
              </w:rPr>
            </w:pPr>
            <w:r>
              <w:rPr>
                <w:rFonts w:ascii="Arial" w:cs="Arial" w:eastAsia="Arial" w:hAnsi="Arial"/>
                <w:sz w:val="16"/>
                <w:szCs w:val="16"/>
                <w:color w:val="58595B"/>
                <w:w w:val="99"/>
              </w:rPr>
              <w:t>gross margin profile</w:t>
            </w:r>
          </w:p>
        </w:tc>
        <w:tc>
          <w:tcPr>
            <w:tcW w:w="0" w:type="dxa"/>
            <w:vAlign w:val="bottom"/>
          </w:tcPr>
          <w:p>
            <w:pPr>
              <w:spacing w:after="0"/>
              <w:rPr>
                <w:sz w:val="1"/>
                <w:szCs w:val="1"/>
                <w:color w:val="auto"/>
              </w:rPr>
            </w:pPr>
          </w:p>
        </w:tc>
      </w:tr>
      <w:tr>
        <w:trPr>
          <w:trHeight w:val="103"/>
        </w:trPr>
        <w:tc>
          <w:tcPr>
            <w:tcW w:w="178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500" w:right="200" w:hanging="166"/>
        <w:spacing w:after="0" w:line="356" w:lineRule="auto"/>
        <w:tabs>
          <w:tab w:leader="none" w:pos="2462" w:val="left"/>
        </w:tabs>
        <w:numPr>
          <w:ilvl w:val="0"/>
          <w:numId w:val="34"/>
        </w:numPr>
        <w:rPr>
          <w:rFonts w:ascii="Arial" w:cs="Arial" w:eastAsia="Arial" w:hAnsi="Arial"/>
          <w:sz w:val="16"/>
          <w:szCs w:val="16"/>
          <w:color w:val="58595B"/>
        </w:rPr>
      </w:pPr>
      <w:r>
        <w:rPr>
          <w:rFonts w:ascii="Arial" w:cs="Arial" w:eastAsia="Arial" w:hAnsi="Arial"/>
          <w:sz w:val="16"/>
          <w:szCs w:val="16"/>
          <w:color w:val="58595B"/>
        </w:rPr>
        <w:t>Expanded China addressable market achieving listings in approximately 190 new hospitals, positioning the company for growth in 2026</w:t>
      </w:r>
    </w:p>
    <w:p>
      <w:pPr>
        <w:spacing w:after="0" w:line="34" w:lineRule="exact"/>
        <w:rPr>
          <w:rFonts w:ascii="Arial" w:cs="Arial" w:eastAsia="Arial" w:hAnsi="Arial"/>
          <w:sz w:val="16"/>
          <w:szCs w:val="16"/>
          <w:color w:val="58595B"/>
        </w:rPr>
      </w:pPr>
    </w:p>
    <w:p>
      <w:pPr>
        <w:ind w:left="2500" w:right="60" w:hanging="166"/>
        <w:spacing w:after="0" w:line="356" w:lineRule="auto"/>
        <w:tabs>
          <w:tab w:leader="none" w:pos="2462" w:val="left"/>
        </w:tabs>
        <w:numPr>
          <w:ilvl w:val="0"/>
          <w:numId w:val="34"/>
        </w:numPr>
        <w:rPr>
          <w:rFonts w:ascii="Arial" w:cs="Arial" w:eastAsia="Arial" w:hAnsi="Arial"/>
          <w:sz w:val="16"/>
          <w:szCs w:val="16"/>
          <w:color w:val="58595B"/>
        </w:rPr>
      </w:pPr>
      <w:r>
        <w:rPr>
          <w:rFonts w:ascii="Arial" w:cs="Arial" w:eastAsia="Arial" w:hAnsi="Arial"/>
          <w:sz w:val="16"/>
          <w:szCs w:val="16"/>
          <w:color w:val="58595B"/>
        </w:rPr>
        <w:t>Realized major progress on the In-China-For-China manufacturing investment. Submitted both Cerelink and Duragen plus for PTR submission in September 2025</w:t>
      </w:r>
    </w:p>
    <w:p>
      <w:pPr>
        <w:spacing w:after="0" w:line="34" w:lineRule="exact"/>
        <w:rPr>
          <w:rFonts w:ascii="Arial" w:cs="Arial" w:eastAsia="Arial" w:hAnsi="Arial"/>
          <w:sz w:val="16"/>
          <w:szCs w:val="16"/>
          <w:color w:val="58595B"/>
        </w:rPr>
      </w:pPr>
    </w:p>
    <w:p>
      <w:pPr>
        <w:ind w:left="2500" w:right="100" w:hanging="166"/>
        <w:spacing w:after="0" w:line="339" w:lineRule="auto"/>
        <w:tabs>
          <w:tab w:leader="none" w:pos="2462" w:val="left"/>
        </w:tabs>
        <w:numPr>
          <w:ilvl w:val="0"/>
          <w:numId w:val="34"/>
        </w:numPr>
        <w:rPr>
          <w:rFonts w:ascii="Arial" w:cs="Arial" w:eastAsia="Arial" w:hAnsi="Arial"/>
          <w:sz w:val="16"/>
          <w:szCs w:val="16"/>
          <w:color w:val="58595B"/>
        </w:rPr>
      </w:pPr>
      <w:r>
        <w:rPr>
          <w:rFonts w:ascii="Arial" w:cs="Arial" w:eastAsia="Arial" w:hAnsi="Arial"/>
          <w:sz w:val="16"/>
          <w:szCs w:val="16"/>
          <w:color w:val="58595B"/>
        </w:rPr>
        <w:t>Increased leadership robustness and talent at all levels, improving key country and regional leadership, notably in Europe and Asia 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2025 Annual Bonus (Paid in March 2026)</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shows the actual annual bonus amounts awarded for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80" w:type="dxa"/>
            <w:vAlign w:val="bottom"/>
            <w:shd w:val="clear" w:color="auto" w:fill="009845"/>
          </w:tcPr>
          <w:p>
            <w:pPr>
              <w:spacing w:after="0"/>
              <w:rPr>
                <w:sz w:val="16"/>
                <w:szCs w:val="16"/>
                <w:color w:val="auto"/>
              </w:rPr>
            </w:pPr>
          </w:p>
        </w:tc>
        <w:tc>
          <w:tcPr>
            <w:tcW w:w="1920" w:type="dxa"/>
            <w:vAlign w:val="bottom"/>
            <w:vMerge w:val="restart"/>
            <w:shd w:val="clear" w:color="auto" w:fill="009845"/>
          </w:tcPr>
          <w:p>
            <w:pPr>
              <w:jc w:val="center"/>
              <w:ind w:left="308"/>
              <w:spacing w:after="0"/>
              <w:rPr>
                <w:sz w:val="20"/>
                <w:szCs w:val="20"/>
                <w:color w:val="auto"/>
              </w:rPr>
            </w:pPr>
            <w:r>
              <w:rPr>
                <w:rFonts w:ascii="Arial" w:cs="Arial" w:eastAsia="Arial" w:hAnsi="Arial"/>
                <w:sz w:val="14"/>
                <w:szCs w:val="14"/>
                <w:b w:val="1"/>
                <w:bCs w:val="1"/>
                <w:color w:val="FFFFFF"/>
              </w:rPr>
              <w:t>Target as a % of</w:t>
            </w:r>
          </w:p>
        </w:tc>
        <w:tc>
          <w:tcPr>
            <w:tcW w:w="1280" w:type="dxa"/>
            <w:vAlign w:val="bottom"/>
            <w:vMerge w:val="restart"/>
            <w:shd w:val="clear" w:color="auto" w:fill="009845"/>
          </w:tcPr>
          <w:p>
            <w:pPr>
              <w:jc w:val="center"/>
              <w:ind w:left="8"/>
              <w:spacing w:after="0"/>
              <w:rPr>
                <w:sz w:val="20"/>
                <w:szCs w:val="20"/>
                <w:color w:val="auto"/>
              </w:rPr>
            </w:pPr>
            <w:r>
              <w:rPr>
                <w:rFonts w:ascii="Arial" w:cs="Arial" w:eastAsia="Arial" w:hAnsi="Arial"/>
                <w:sz w:val="14"/>
                <w:szCs w:val="14"/>
                <w:b w:val="1"/>
                <w:bCs w:val="1"/>
                <w:color w:val="FFFFFF"/>
              </w:rPr>
              <w:t>Target Award</w:t>
            </w:r>
          </w:p>
        </w:tc>
        <w:tc>
          <w:tcPr>
            <w:tcW w:w="1580" w:type="dxa"/>
            <w:vAlign w:val="bottom"/>
            <w:vMerge w:val="restart"/>
            <w:shd w:val="clear" w:color="auto" w:fill="009845"/>
          </w:tcPr>
          <w:p>
            <w:pPr>
              <w:jc w:val="center"/>
              <w:ind w:left="68"/>
              <w:spacing w:after="0"/>
              <w:rPr>
                <w:sz w:val="20"/>
                <w:szCs w:val="20"/>
                <w:color w:val="auto"/>
              </w:rPr>
            </w:pPr>
            <w:r>
              <w:rPr>
                <w:rFonts w:ascii="Arial" w:cs="Arial" w:eastAsia="Arial" w:hAnsi="Arial"/>
                <w:sz w:val="14"/>
                <w:szCs w:val="14"/>
                <w:b w:val="1"/>
                <w:bCs w:val="1"/>
                <w:color w:val="FFFFFF"/>
              </w:rPr>
              <w:t>Actual Award Based</w:t>
            </w:r>
          </w:p>
        </w:tc>
        <w:tc>
          <w:tcPr>
            <w:tcW w:w="14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Actual Award Based</w:t>
            </w:r>
          </w:p>
        </w:tc>
        <w:tc>
          <w:tcPr>
            <w:tcW w:w="1540" w:type="dxa"/>
            <w:vAlign w:val="bottom"/>
            <w:vMerge w:val="restart"/>
            <w:shd w:val="clear" w:color="auto" w:fill="009845"/>
          </w:tcPr>
          <w:p>
            <w:pPr>
              <w:jc w:val="center"/>
              <w:spacing w:after="0"/>
              <w:rPr>
                <w:sz w:val="20"/>
                <w:szCs w:val="20"/>
                <w:color w:val="auto"/>
              </w:rPr>
            </w:pPr>
            <w:r>
              <w:rPr>
                <w:rFonts w:ascii="Arial" w:cs="Arial" w:eastAsia="Arial" w:hAnsi="Arial"/>
                <w:sz w:val="14"/>
                <w:szCs w:val="14"/>
                <w:b w:val="1"/>
                <w:bCs w:val="1"/>
                <w:color w:val="FFFFFF"/>
              </w:rPr>
              <w:t>Actual Total Amount</w:t>
            </w:r>
          </w:p>
        </w:tc>
        <w:tc>
          <w:tcPr>
            <w:tcW w:w="1380" w:type="dxa"/>
            <w:vAlign w:val="bottom"/>
            <w:vMerge w:val="restart"/>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Actual as a % of</w:t>
            </w:r>
          </w:p>
        </w:tc>
        <w:tc>
          <w:tcPr>
            <w:tcW w:w="0" w:type="dxa"/>
            <w:vAlign w:val="bottom"/>
          </w:tcPr>
          <w:p>
            <w:pPr>
              <w:spacing w:after="0"/>
              <w:rPr>
                <w:sz w:val="1"/>
                <w:szCs w:val="1"/>
                <w:color w:val="auto"/>
              </w:rPr>
            </w:pPr>
          </w:p>
        </w:tc>
      </w:tr>
      <w:tr>
        <w:trPr>
          <w:trHeight w:val="162"/>
        </w:trPr>
        <w:tc>
          <w:tcPr>
            <w:tcW w:w="2080" w:type="dxa"/>
            <w:vAlign w:val="bottom"/>
            <w:shd w:val="clear" w:color="auto" w:fill="009845"/>
          </w:tcPr>
          <w:p>
            <w:pPr>
              <w:spacing w:after="0"/>
              <w:rPr>
                <w:sz w:val="14"/>
                <w:szCs w:val="14"/>
                <w:color w:val="auto"/>
              </w:rPr>
            </w:pPr>
          </w:p>
        </w:tc>
        <w:tc>
          <w:tcPr>
            <w:tcW w:w="1920" w:type="dxa"/>
            <w:vAlign w:val="bottom"/>
            <w:vMerge w:val="continue"/>
            <w:shd w:val="clear" w:color="auto" w:fill="009845"/>
          </w:tcPr>
          <w:p>
            <w:pPr>
              <w:spacing w:after="0"/>
              <w:rPr>
                <w:sz w:val="14"/>
                <w:szCs w:val="14"/>
                <w:color w:val="auto"/>
              </w:rPr>
            </w:pPr>
          </w:p>
        </w:tc>
        <w:tc>
          <w:tcPr>
            <w:tcW w:w="1280" w:type="dxa"/>
            <w:vAlign w:val="bottom"/>
            <w:vMerge w:val="continue"/>
            <w:shd w:val="clear" w:color="auto" w:fill="009845"/>
          </w:tcPr>
          <w:p>
            <w:pPr>
              <w:spacing w:after="0"/>
              <w:rPr>
                <w:sz w:val="14"/>
                <w:szCs w:val="14"/>
                <w:color w:val="auto"/>
              </w:rPr>
            </w:pPr>
          </w:p>
        </w:tc>
        <w:tc>
          <w:tcPr>
            <w:tcW w:w="1580" w:type="dxa"/>
            <w:vAlign w:val="bottom"/>
            <w:vMerge w:val="continue"/>
            <w:shd w:val="clear" w:color="auto" w:fill="009845"/>
          </w:tcPr>
          <w:p>
            <w:pPr>
              <w:spacing w:after="0"/>
              <w:rPr>
                <w:sz w:val="14"/>
                <w:szCs w:val="14"/>
                <w:color w:val="auto"/>
              </w:rPr>
            </w:pPr>
          </w:p>
        </w:tc>
        <w:tc>
          <w:tcPr>
            <w:tcW w:w="14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on Discretionary</w:t>
            </w:r>
          </w:p>
        </w:tc>
        <w:tc>
          <w:tcPr>
            <w:tcW w:w="1540" w:type="dxa"/>
            <w:vAlign w:val="bottom"/>
            <w:vMerge w:val="continue"/>
            <w:shd w:val="clear" w:color="auto" w:fill="009845"/>
          </w:tcPr>
          <w:p>
            <w:pPr>
              <w:spacing w:after="0"/>
              <w:rPr>
                <w:sz w:val="14"/>
                <w:szCs w:val="14"/>
                <w:color w:val="auto"/>
              </w:rPr>
            </w:pPr>
          </w:p>
        </w:tc>
        <w:tc>
          <w:tcPr>
            <w:tcW w:w="1380" w:type="dxa"/>
            <w:vAlign w:val="bottom"/>
            <w:vMerge w:val="continue"/>
            <w:shd w:val="clear" w:color="auto" w:fill="009845"/>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80" w:type="dxa"/>
            <w:vAlign w:val="bottom"/>
            <w:shd w:val="clear" w:color="auto" w:fill="009845"/>
          </w:tcPr>
          <w:p>
            <w:pPr>
              <w:spacing w:after="0"/>
              <w:rPr>
                <w:sz w:val="18"/>
                <w:szCs w:val="18"/>
                <w:color w:val="auto"/>
              </w:rPr>
            </w:pPr>
          </w:p>
        </w:tc>
        <w:tc>
          <w:tcPr>
            <w:tcW w:w="1920" w:type="dxa"/>
            <w:vAlign w:val="bottom"/>
            <w:shd w:val="clear" w:color="auto" w:fill="009845"/>
          </w:tcPr>
          <w:p>
            <w:pPr>
              <w:jc w:val="center"/>
              <w:ind w:left="308"/>
              <w:spacing w:after="0"/>
              <w:rPr>
                <w:sz w:val="20"/>
                <w:szCs w:val="20"/>
                <w:color w:val="auto"/>
              </w:rPr>
            </w:pPr>
            <w:r>
              <w:rPr>
                <w:rFonts w:ascii="Arial" w:cs="Arial" w:eastAsia="Arial" w:hAnsi="Arial"/>
                <w:sz w:val="14"/>
                <w:szCs w:val="14"/>
                <w:b w:val="1"/>
                <w:bCs w:val="1"/>
                <w:color w:val="FFFFFF"/>
              </w:rPr>
              <w:t>Base Salary</w:t>
            </w:r>
          </w:p>
        </w:tc>
        <w:tc>
          <w:tcPr>
            <w:tcW w:w="1280" w:type="dxa"/>
            <w:vAlign w:val="bottom"/>
            <w:shd w:val="clear" w:color="auto" w:fill="009845"/>
          </w:tcPr>
          <w:p>
            <w:pPr>
              <w:jc w:val="center"/>
              <w:ind w:left="8"/>
              <w:spacing w:after="0"/>
              <w:rPr>
                <w:sz w:val="20"/>
                <w:szCs w:val="20"/>
                <w:color w:val="auto"/>
              </w:rPr>
            </w:pPr>
            <w:r>
              <w:rPr>
                <w:rFonts w:ascii="Arial" w:cs="Arial" w:eastAsia="Arial" w:hAnsi="Arial"/>
                <w:sz w:val="14"/>
                <w:szCs w:val="14"/>
                <w:b w:val="1"/>
                <w:bCs w:val="1"/>
                <w:color w:val="FFFFFF"/>
              </w:rPr>
              <w:t>Opportunity</w:t>
            </w:r>
          </w:p>
        </w:tc>
        <w:tc>
          <w:tcPr>
            <w:tcW w:w="1580" w:type="dxa"/>
            <w:vAlign w:val="bottom"/>
            <w:shd w:val="clear" w:color="auto" w:fill="009845"/>
          </w:tcPr>
          <w:p>
            <w:pPr>
              <w:jc w:val="center"/>
              <w:ind w:left="68"/>
              <w:spacing w:after="0"/>
              <w:rPr>
                <w:sz w:val="20"/>
                <w:szCs w:val="20"/>
                <w:color w:val="auto"/>
              </w:rPr>
            </w:pPr>
            <w:r>
              <w:rPr>
                <w:rFonts w:ascii="Arial" w:cs="Arial" w:eastAsia="Arial" w:hAnsi="Arial"/>
                <w:sz w:val="14"/>
                <w:szCs w:val="14"/>
                <w:b w:val="1"/>
                <w:bCs w:val="1"/>
                <w:color w:val="FFFFFF"/>
              </w:rPr>
              <w:t>on 13.3% Funding</w:t>
            </w:r>
          </w:p>
        </w:tc>
        <w:tc>
          <w:tcPr>
            <w:tcW w:w="14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Funding</w:t>
            </w:r>
          </w:p>
        </w:tc>
        <w:tc>
          <w:tcPr>
            <w:tcW w:w="15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Awarded</w:t>
            </w:r>
          </w:p>
        </w:tc>
        <w:tc>
          <w:tcPr>
            <w:tcW w:w="1380" w:type="dxa"/>
            <w:vAlign w:val="bottom"/>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w w:val="98"/>
              </w:rPr>
              <w:t>Target</w:t>
            </w:r>
          </w:p>
        </w:tc>
        <w:tc>
          <w:tcPr>
            <w:tcW w:w="0" w:type="dxa"/>
            <w:vAlign w:val="bottom"/>
          </w:tcPr>
          <w:p>
            <w:pPr>
              <w:spacing w:after="0"/>
              <w:rPr>
                <w:sz w:val="1"/>
                <w:szCs w:val="1"/>
                <w:color w:val="auto"/>
              </w:rPr>
            </w:pPr>
          </w:p>
        </w:tc>
      </w:tr>
      <w:tr>
        <w:trPr>
          <w:trHeight w:val="229"/>
        </w:trPr>
        <w:tc>
          <w:tcPr>
            <w:tcW w:w="2080" w:type="dxa"/>
            <w:vAlign w:val="bottom"/>
            <w:shd w:val="clear" w:color="auto" w:fill="EFEDED"/>
          </w:tcPr>
          <w:p>
            <w:pPr>
              <w:ind w:left="140"/>
              <w:spacing w:after="0"/>
              <w:rPr>
                <w:sz w:val="20"/>
                <w:szCs w:val="20"/>
                <w:color w:val="auto"/>
              </w:rPr>
            </w:pPr>
            <w:r>
              <w:rPr>
                <w:rFonts w:ascii="Arial" w:cs="Arial" w:eastAsia="Arial" w:hAnsi="Arial"/>
                <w:sz w:val="14"/>
                <w:szCs w:val="14"/>
                <w:b w:val="1"/>
                <w:bCs w:val="1"/>
                <w:color w:val="58595B"/>
              </w:rPr>
              <w:t>Mojdeh Poul</w:t>
            </w:r>
          </w:p>
        </w:tc>
        <w:tc>
          <w:tcPr>
            <w:tcW w:w="1920" w:type="dxa"/>
            <w:vAlign w:val="bottom"/>
            <w:shd w:val="clear" w:color="auto" w:fill="EFEDED"/>
          </w:tcPr>
          <w:p>
            <w:pPr>
              <w:jc w:val="center"/>
              <w:ind w:left="308"/>
              <w:spacing w:after="0"/>
              <w:rPr>
                <w:sz w:val="20"/>
                <w:szCs w:val="20"/>
                <w:color w:val="auto"/>
              </w:rPr>
            </w:pPr>
            <w:r>
              <w:rPr>
                <w:rFonts w:ascii="Arial" w:cs="Arial" w:eastAsia="Arial" w:hAnsi="Arial"/>
                <w:sz w:val="14"/>
                <w:szCs w:val="14"/>
                <w:color w:val="58595B"/>
              </w:rPr>
              <w:t>125%</w:t>
            </w:r>
          </w:p>
        </w:tc>
        <w:tc>
          <w:tcPr>
            <w:tcW w:w="1280" w:type="dxa"/>
            <w:vAlign w:val="bottom"/>
            <w:shd w:val="clear" w:color="auto" w:fill="EFEDED"/>
          </w:tcPr>
          <w:p>
            <w:pPr>
              <w:jc w:val="center"/>
              <w:ind w:left="8"/>
              <w:spacing w:after="0"/>
              <w:rPr>
                <w:sz w:val="20"/>
                <w:szCs w:val="20"/>
                <w:color w:val="auto"/>
              </w:rPr>
            </w:pPr>
            <w:r>
              <w:rPr>
                <w:rFonts w:ascii="Arial" w:cs="Arial" w:eastAsia="Arial" w:hAnsi="Arial"/>
                <w:sz w:val="14"/>
                <w:szCs w:val="14"/>
                <w:color w:val="58595B"/>
              </w:rPr>
              <w:t>$1,312,500</w:t>
            </w:r>
          </w:p>
        </w:tc>
        <w:tc>
          <w:tcPr>
            <w:tcW w:w="1580" w:type="dxa"/>
            <w:vAlign w:val="bottom"/>
            <w:shd w:val="clear" w:color="auto" w:fill="EFEDED"/>
          </w:tcPr>
          <w:p>
            <w:pPr>
              <w:jc w:val="center"/>
              <w:ind w:left="68"/>
              <w:spacing w:after="0"/>
              <w:rPr>
                <w:sz w:val="20"/>
                <w:szCs w:val="20"/>
                <w:color w:val="auto"/>
              </w:rPr>
            </w:pPr>
            <w:r>
              <w:rPr>
                <w:rFonts w:ascii="Arial" w:cs="Arial" w:eastAsia="Arial" w:hAnsi="Arial"/>
                <w:sz w:val="14"/>
                <w:szCs w:val="14"/>
                <w:color w:val="58595B"/>
              </w:rPr>
              <w:t>$174,563</w:t>
            </w:r>
          </w:p>
        </w:tc>
        <w:tc>
          <w:tcPr>
            <w:tcW w:w="14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$350,438</w:t>
            </w:r>
          </w:p>
        </w:tc>
        <w:tc>
          <w:tcPr>
            <w:tcW w:w="15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$525,000</w:t>
            </w:r>
          </w:p>
        </w:tc>
        <w:tc>
          <w:tcPr>
            <w:tcW w:w="138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rPr>
              <w:t>40%</w:t>
            </w:r>
          </w:p>
        </w:tc>
        <w:tc>
          <w:tcPr>
            <w:tcW w:w="0" w:type="dxa"/>
            <w:vAlign w:val="bottom"/>
          </w:tcPr>
          <w:p>
            <w:pPr>
              <w:spacing w:after="0"/>
              <w:rPr>
                <w:sz w:val="1"/>
                <w:szCs w:val="1"/>
                <w:color w:val="auto"/>
              </w:rPr>
            </w:pPr>
          </w:p>
        </w:tc>
      </w:tr>
      <w:tr>
        <w:trPr>
          <w:trHeight w:val="222"/>
        </w:trPr>
        <w:tc>
          <w:tcPr>
            <w:tcW w:w="2080" w:type="dxa"/>
            <w:vAlign w:val="bottom"/>
          </w:tcPr>
          <w:p>
            <w:pPr>
              <w:ind w:left="140"/>
              <w:spacing w:after="0"/>
              <w:rPr>
                <w:sz w:val="20"/>
                <w:szCs w:val="20"/>
                <w:color w:val="auto"/>
              </w:rPr>
            </w:pPr>
            <w:r>
              <w:rPr>
                <w:rFonts w:ascii="Arial" w:cs="Arial" w:eastAsia="Arial" w:hAnsi="Arial"/>
                <w:sz w:val="14"/>
                <w:szCs w:val="14"/>
                <w:b w:val="1"/>
                <w:bCs w:val="1"/>
                <w:color w:val="58595B"/>
              </w:rPr>
              <w:t>Lea Knight</w:t>
            </w:r>
          </w:p>
        </w:tc>
        <w:tc>
          <w:tcPr>
            <w:tcW w:w="1920" w:type="dxa"/>
            <w:vAlign w:val="bottom"/>
          </w:tcPr>
          <w:p>
            <w:pPr>
              <w:jc w:val="center"/>
              <w:ind w:left="308"/>
              <w:spacing w:after="0"/>
              <w:rPr>
                <w:sz w:val="20"/>
                <w:szCs w:val="20"/>
                <w:color w:val="auto"/>
              </w:rPr>
            </w:pPr>
            <w:r>
              <w:rPr>
                <w:rFonts w:ascii="Arial" w:cs="Arial" w:eastAsia="Arial" w:hAnsi="Arial"/>
                <w:sz w:val="14"/>
                <w:szCs w:val="14"/>
                <w:color w:val="58595B"/>
              </w:rPr>
              <w:t>90%</w:t>
            </w:r>
          </w:p>
        </w:tc>
        <w:tc>
          <w:tcPr>
            <w:tcW w:w="1280" w:type="dxa"/>
            <w:vAlign w:val="bottom"/>
          </w:tcPr>
          <w:p>
            <w:pPr>
              <w:jc w:val="center"/>
              <w:ind w:left="8"/>
              <w:spacing w:after="0"/>
              <w:rPr>
                <w:sz w:val="20"/>
                <w:szCs w:val="20"/>
                <w:color w:val="auto"/>
              </w:rPr>
            </w:pPr>
            <w:r>
              <w:rPr>
                <w:rFonts w:ascii="Arial" w:cs="Arial" w:eastAsia="Arial" w:hAnsi="Arial"/>
                <w:sz w:val="14"/>
                <w:szCs w:val="14"/>
                <w:color w:val="58595B"/>
              </w:rPr>
              <w:t>$580,138</w:t>
            </w:r>
          </w:p>
        </w:tc>
        <w:tc>
          <w:tcPr>
            <w:tcW w:w="1580" w:type="dxa"/>
            <w:vAlign w:val="bottom"/>
          </w:tcPr>
          <w:p>
            <w:pPr>
              <w:jc w:val="center"/>
              <w:ind w:left="68"/>
              <w:spacing w:after="0"/>
              <w:rPr>
                <w:sz w:val="20"/>
                <w:szCs w:val="20"/>
                <w:color w:val="auto"/>
              </w:rPr>
            </w:pPr>
            <w:r>
              <w:rPr>
                <w:rFonts w:ascii="Arial" w:cs="Arial" w:eastAsia="Arial" w:hAnsi="Arial"/>
                <w:sz w:val="14"/>
                <w:szCs w:val="14"/>
                <w:color w:val="58595B"/>
              </w:rPr>
              <w:t>$77,158</w:t>
            </w:r>
          </w:p>
        </w:tc>
        <w:tc>
          <w:tcPr>
            <w:tcW w:w="1460" w:type="dxa"/>
            <w:vAlign w:val="bottom"/>
          </w:tcPr>
          <w:p>
            <w:pPr>
              <w:jc w:val="center"/>
              <w:spacing w:after="0"/>
              <w:rPr>
                <w:sz w:val="20"/>
                <w:szCs w:val="20"/>
                <w:color w:val="auto"/>
              </w:rPr>
            </w:pPr>
            <w:r>
              <w:rPr>
                <w:rFonts w:ascii="Arial" w:cs="Arial" w:eastAsia="Arial" w:hAnsi="Arial"/>
                <w:sz w:val="14"/>
                <w:szCs w:val="14"/>
                <w:color w:val="58595B"/>
              </w:rPr>
              <w:t>$154,897</w:t>
            </w:r>
          </w:p>
        </w:tc>
        <w:tc>
          <w:tcPr>
            <w:tcW w:w="1540" w:type="dxa"/>
            <w:vAlign w:val="bottom"/>
          </w:tcPr>
          <w:p>
            <w:pPr>
              <w:jc w:val="center"/>
              <w:spacing w:after="0"/>
              <w:rPr>
                <w:sz w:val="20"/>
                <w:szCs w:val="20"/>
                <w:color w:val="auto"/>
              </w:rPr>
            </w:pPr>
            <w:r>
              <w:rPr>
                <w:rFonts w:ascii="Arial" w:cs="Arial" w:eastAsia="Arial" w:hAnsi="Arial"/>
                <w:sz w:val="14"/>
                <w:szCs w:val="14"/>
                <w:color w:val="58595B"/>
              </w:rPr>
              <w:t>$232,055</w:t>
            </w:r>
          </w:p>
        </w:tc>
        <w:tc>
          <w:tcPr>
            <w:tcW w:w="1380" w:type="dxa"/>
            <w:vAlign w:val="bottom"/>
          </w:tcPr>
          <w:p>
            <w:pPr>
              <w:jc w:val="center"/>
              <w:ind w:right="8"/>
              <w:spacing w:after="0"/>
              <w:rPr>
                <w:sz w:val="20"/>
                <w:szCs w:val="20"/>
                <w:color w:val="auto"/>
              </w:rPr>
            </w:pPr>
            <w:r>
              <w:rPr>
                <w:rFonts w:ascii="Arial" w:cs="Arial" w:eastAsia="Arial" w:hAnsi="Arial"/>
                <w:sz w:val="14"/>
                <w:szCs w:val="14"/>
                <w:color w:val="58595B"/>
              </w:rPr>
              <w:t>40%</w:t>
            </w:r>
          </w:p>
        </w:tc>
        <w:tc>
          <w:tcPr>
            <w:tcW w:w="0" w:type="dxa"/>
            <w:vAlign w:val="bottom"/>
          </w:tcPr>
          <w:p>
            <w:pPr>
              <w:spacing w:after="0"/>
              <w:rPr>
                <w:sz w:val="1"/>
                <w:szCs w:val="1"/>
                <w:color w:val="auto"/>
              </w:rPr>
            </w:pPr>
          </w:p>
        </w:tc>
      </w:tr>
      <w:tr>
        <w:trPr>
          <w:trHeight w:val="237"/>
        </w:trPr>
        <w:tc>
          <w:tcPr>
            <w:tcW w:w="2080" w:type="dxa"/>
            <w:vAlign w:val="bottom"/>
            <w:shd w:val="clear" w:color="auto" w:fill="EFEDED"/>
          </w:tcPr>
          <w:p>
            <w:pPr>
              <w:ind w:left="140"/>
              <w:spacing w:after="0"/>
              <w:rPr>
                <w:sz w:val="20"/>
                <w:szCs w:val="20"/>
                <w:color w:val="auto"/>
              </w:rPr>
            </w:pPr>
            <w:r>
              <w:rPr>
                <w:rFonts w:ascii="Arial" w:cs="Arial" w:eastAsia="Arial" w:hAnsi="Arial"/>
                <w:sz w:val="14"/>
                <w:szCs w:val="14"/>
                <w:b w:val="1"/>
                <w:bCs w:val="1"/>
                <w:color w:val="58595B"/>
              </w:rPr>
              <w:t>Robert T. Davis, Jr.</w:t>
            </w:r>
          </w:p>
        </w:tc>
        <w:tc>
          <w:tcPr>
            <w:tcW w:w="1920" w:type="dxa"/>
            <w:vAlign w:val="bottom"/>
            <w:shd w:val="clear" w:color="auto" w:fill="EFEDED"/>
          </w:tcPr>
          <w:p>
            <w:pPr>
              <w:jc w:val="center"/>
              <w:ind w:left="308"/>
              <w:spacing w:after="0"/>
              <w:rPr>
                <w:sz w:val="20"/>
                <w:szCs w:val="20"/>
                <w:color w:val="auto"/>
              </w:rPr>
            </w:pPr>
            <w:r>
              <w:rPr>
                <w:rFonts w:ascii="Arial" w:cs="Arial" w:eastAsia="Arial" w:hAnsi="Arial"/>
                <w:sz w:val="14"/>
                <w:szCs w:val="14"/>
                <w:color w:val="58595B"/>
              </w:rPr>
              <w:t>70%</w:t>
            </w:r>
          </w:p>
        </w:tc>
        <w:tc>
          <w:tcPr>
            <w:tcW w:w="1280" w:type="dxa"/>
            <w:vAlign w:val="bottom"/>
            <w:shd w:val="clear" w:color="auto" w:fill="EFEDED"/>
          </w:tcPr>
          <w:p>
            <w:pPr>
              <w:jc w:val="center"/>
              <w:ind w:left="8"/>
              <w:spacing w:after="0"/>
              <w:rPr>
                <w:sz w:val="20"/>
                <w:szCs w:val="20"/>
                <w:color w:val="auto"/>
              </w:rPr>
            </w:pPr>
            <w:r>
              <w:rPr>
                <w:rFonts w:ascii="Arial" w:cs="Arial" w:eastAsia="Arial" w:hAnsi="Arial"/>
                <w:sz w:val="14"/>
                <w:szCs w:val="14"/>
                <w:color w:val="58595B"/>
              </w:rPr>
              <w:t>$416,588</w:t>
            </w:r>
          </w:p>
        </w:tc>
        <w:tc>
          <w:tcPr>
            <w:tcW w:w="1580" w:type="dxa"/>
            <w:vAlign w:val="bottom"/>
            <w:shd w:val="clear" w:color="auto" w:fill="EFEDED"/>
          </w:tcPr>
          <w:p>
            <w:pPr>
              <w:jc w:val="center"/>
              <w:ind w:left="68"/>
              <w:spacing w:after="0"/>
              <w:rPr>
                <w:sz w:val="20"/>
                <w:szCs w:val="20"/>
                <w:color w:val="auto"/>
              </w:rPr>
            </w:pPr>
            <w:r>
              <w:rPr>
                <w:rFonts w:ascii="Arial" w:cs="Arial" w:eastAsia="Arial" w:hAnsi="Arial"/>
                <w:sz w:val="14"/>
                <w:szCs w:val="14"/>
                <w:color w:val="58595B"/>
              </w:rPr>
              <w:t>$55,406</w:t>
            </w:r>
          </w:p>
        </w:tc>
        <w:tc>
          <w:tcPr>
            <w:tcW w:w="14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$69,594</w:t>
            </w:r>
          </w:p>
        </w:tc>
        <w:tc>
          <w:tcPr>
            <w:tcW w:w="15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$125,000</w:t>
            </w:r>
          </w:p>
        </w:tc>
        <w:tc>
          <w:tcPr>
            <w:tcW w:w="138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rPr>
              <w:t>30%</w:t>
            </w:r>
          </w:p>
        </w:tc>
        <w:tc>
          <w:tcPr>
            <w:tcW w:w="0" w:type="dxa"/>
            <w:vAlign w:val="bottom"/>
          </w:tcPr>
          <w:p>
            <w:pPr>
              <w:spacing w:after="0"/>
              <w:rPr>
                <w:sz w:val="1"/>
                <w:szCs w:val="1"/>
                <w:color w:val="auto"/>
              </w:rPr>
            </w:pPr>
          </w:p>
        </w:tc>
      </w:tr>
      <w:tr>
        <w:trPr>
          <w:trHeight w:val="222"/>
        </w:trPr>
        <w:tc>
          <w:tcPr>
            <w:tcW w:w="2080" w:type="dxa"/>
            <w:vAlign w:val="bottom"/>
          </w:tcPr>
          <w:p>
            <w:pPr>
              <w:ind w:left="140"/>
              <w:spacing w:after="0"/>
              <w:rPr>
                <w:sz w:val="20"/>
                <w:szCs w:val="20"/>
                <w:color w:val="auto"/>
              </w:rPr>
            </w:pPr>
            <w:r>
              <w:rPr>
                <w:rFonts w:ascii="Arial" w:cs="Arial" w:eastAsia="Arial" w:hAnsi="Arial"/>
                <w:sz w:val="14"/>
                <w:szCs w:val="14"/>
                <w:b w:val="1"/>
                <w:bCs w:val="1"/>
                <w:color w:val="58595B"/>
              </w:rPr>
              <w:t>Michael J. McBreen</w:t>
            </w:r>
          </w:p>
        </w:tc>
        <w:tc>
          <w:tcPr>
            <w:tcW w:w="1920" w:type="dxa"/>
            <w:vAlign w:val="bottom"/>
          </w:tcPr>
          <w:p>
            <w:pPr>
              <w:jc w:val="center"/>
              <w:ind w:left="308"/>
              <w:spacing w:after="0"/>
              <w:rPr>
                <w:sz w:val="20"/>
                <w:szCs w:val="20"/>
                <w:color w:val="auto"/>
              </w:rPr>
            </w:pPr>
            <w:r>
              <w:rPr>
                <w:rFonts w:ascii="Arial" w:cs="Arial" w:eastAsia="Arial" w:hAnsi="Arial"/>
                <w:sz w:val="14"/>
                <w:szCs w:val="14"/>
                <w:color w:val="58595B"/>
              </w:rPr>
              <w:t>85%</w:t>
            </w:r>
          </w:p>
        </w:tc>
        <w:tc>
          <w:tcPr>
            <w:tcW w:w="1280" w:type="dxa"/>
            <w:vAlign w:val="bottom"/>
          </w:tcPr>
          <w:p>
            <w:pPr>
              <w:jc w:val="center"/>
              <w:ind w:left="8"/>
              <w:spacing w:after="0"/>
              <w:rPr>
                <w:sz w:val="20"/>
                <w:szCs w:val="20"/>
                <w:color w:val="auto"/>
              </w:rPr>
            </w:pPr>
            <w:r>
              <w:rPr>
                <w:rFonts w:ascii="Arial" w:cs="Arial" w:eastAsia="Arial" w:hAnsi="Arial"/>
                <w:sz w:val="14"/>
                <w:szCs w:val="14"/>
                <w:color w:val="58595B"/>
              </w:rPr>
              <w:t>$547,188</w:t>
            </w:r>
          </w:p>
        </w:tc>
        <w:tc>
          <w:tcPr>
            <w:tcW w:w="1580" w:type="dxa"/>
            <w:vAlign w:val="bottom"/>
          </w:tcPr>
          <w:p>
            <w:pPr>
              <w:jc w:val="center"/>
              <w:ind w:left="68"/>
              <w:spacing w:after="0"/>
              <w:rPr>
                <w:sz w:val="20"/>
                <w:szCs w:val="20"/>
                <w:color w:val="auto"/>
              </w:rPr>
            </w:pPr>
            <w:r>
              <w:rPr>
                <w:rFonts w:ascii="Arial" w:cs="Arial" w:eastAsia="Arial" w:hAnsi="Arial"/>
                <w:sz w:val="14"/>
                <w:szCs w:val="14"/>
                <w:color w:val="58595B"/>
              </w:rPr>
              <w:t>$72,776</w:t>
            </w:r>
          </w:p>
        </w:tc>
        <w:tc>
          <w:tcPr>
            <w:tcW w:w="1460" w:type="dxa"/>
            <w:vAlign w:val="bottom"/>
          </w:tcPr>
          <w:p>
            <w:pPr>
              <w:jc w:val="center"/>
              <w:spacing w:after="0"/>
              <w:rPr>
                <w:sz w:val="20"/>
                <w:szCs w:val="20"/>
                <w:color w:val="auto"/>
              </w:rPr>
            </w:pPr>
            <w:r>
              <w:rPr>
                <w:rFonts w:ascii="Arial" w:cs="Arial" w:eastAsia="Arial" w:hAnsi="Arial"/>
                <w:sz w:val="14"/>
                <w:szCs w:val="14"/>
                <w:color w:val="58595B"/>
              </w:rPr>
              <w:t>$189,874</w:t>
            </w:r>
          </w:p>
        </w:tc>
        <w:tc>
          <w:tcPr>
            <w:tcW w:w="1540" w:type="dxa"/>
            <w:vAlign w:val="bottom"/>
          </w:tcPr>
          <w:p>
            <w:pPr>
              <w:jc w:val="center"/>
              <w:spacing w:after="0"/>
              <w:rPr>
                <w:sz w:val="20"/>
                <w:szCs w:val="20"/>
                <w:color w:val="auto"/>
              </w:rPr>
            </w:pPr>
            <w:r>
              <w:rPr>
                <w:rFonts w:ascii="Arial" w:cs="Arial" w:eastAsia="Arial" w:hAnsi="Arial"/>
                <w:sz w:val="14"/>
                <w:szCs w:val="14"/>
                <w:color w:val="58595B"/>
              </w:rPr>
              <w:t>$262,650</w:t>
            </w:r>
          </w:p>
        </w:tc>
        <w:tc>
          <w:tcPr>
            <w:tcW w:w="1380" w:type="dxa"/>
            <w:vAlign w:val="bottom"/>
          </w:tcPr>
          <w:p>
            <w:pPr>
              <w:jc w:val="center"/>
              <w:ind w:right="8"/>
              <w:spacing w:after="0"/>
              <w:rPr>
                <w:sz w:val="20"/>
                <w:szCs w:val="20"/>
                <w:color w:val="auto"/>
              </w:rPr>
            </w:pPr>
            <w:r>
              <w:rPr>
                <w:rFonts w:ascii="Arial" w:cs="Arial" w:eastAsia="Arial" w:hAnsi="Arial"/>
                <w:sz w:val="14"/>
                <w:szCs w:val="14"/>
                <w:color w:val="58595B"/>
              </w:rPr>
              <w:t>48%</w:t>
            </w:r>
          </w:p>
        </w:tc>
        <w:tc>
          <w:tcPr>
            <w:tcW w:w="0" w:type="dxa"/>
            <w:vAlign w:val="bottom"/>
          </w:tcPr>
          <w:p>
            <w:pPr>
              <w:spacing w:after="0"/>
              <w:rPr>
                <w:sz w:val="1"/>
                <w:szCs w:val="1"/>
                <w:color w:val="auto"/>
              </w:rPr>
            </w:pPr>
          </w:p>
        </w:tc>
      </w:tr>
      <w:tr>
        <w:trPr>
          <w:trHeight w:val="231"/>
        </w:trPr>
        <w:tc>
          <w:tcPr>
            <w:tcW w:w="2080" w:type="dxa"/>
            <w:vAlign w:val="bottom"/>
            <w:tcBorders>
              <w:bottom w:val="single" w:sz="8" w:color="58595B"/>
            </w:tcBorders>
            <w:shd w:val="clear" w:color="auto" w:fill="EFEDED"/>
          </w:tcPr>
          <w:p>
            <w:pPr>
              <w:ind w:left="140"/>
              <w:spacing w:after="0"/>
              <w:rPr>
                <w:sz w:val="20"/>
                <w:szCs w:val="20"/>
                <w:color w:val="auto"/>
              </w:rPr>
            </w:pPr>
            <w:r>
              <w:rPr>
                <w:rFonts w:ascii="Arial" w:cs="Arial" w:eastAsia="Arial" w:hAnsi="Arial"/>
                <w:sz w:val="14"/>
                <w:szCs w:val="14"/>
                <w:b w:val="1"/>
                <w:bCs w:val="1"/>
                <w:color w:val="58595B"/>
              </w:rPr>
              <w:t>Harvinder Singh</w:t>
            </w:r>
          </w:p>
        </w:tc>
        <w:tc>
          <w:tcPr>
            <w:tcW w:w="1920" w:type="dxa"/>
            <w:vAlign w:val="bottom"/>
            <w:tcBorders>
              <w:bottom w:val="single" w:sz="8" w:color="58595B"/>
            </w:tcBorders>
            <w:shd w:val="clear" w:color="auto" w:fill="EFEDED"/>
          </w:tcPr>
          <w:p>
            <w:pPr>
              <w:jc w:val="center"/>
              <w:ind w:left="308"/>
              <w:spacing w:after="0"/>
              <w:rPr>
                <w:sz w:val="20"/>
                <w:szCs w:val="20"/>
                <w:color w:val="auto"/>
              </w:rPr>
            </w:pPr>
            <w:r>
              <w:rPr>
                <w:rFonts w:ascii="Arial" w:cs="Arial" w:eastAsia="Arial" w:hAnsi="Arial"/>
                <w:sz w:val="14"/>
                <w:szCs w:val="14"/>
                <w:color w:val="58595B"/>
              </w:rPr>
              <w:t>60%</w:t>
            </w:r>
          </w:p>
        </w:tc>
        <w:tc>
          <w:tcPr>
            <w:tcW w:w="1280" w:type="dxa"/>
            <w:vAlign w:val="bottom"/>
            <w:tcBorders>
              <w:bottom w:val="single" w:sz="8" w:color="58595B"/>
            </w:tcBorders>
            <w:shd w:val="clear" w:color="auto" w:fill="EFEDED"/>
          </w:tcPr>
          <w:p>
            <w:pPr>
              <w:jc w:val="center"/>
              <w:ind w:left="8"/>
              <w:spacing w:after="0"/>
              <w:rPr>
                <w:sz w:val="20"/>
                <w:szCs w:val="20"/>
                <w:color w:val="auto"/>
              </w:rPr>
            </w:pPr>
            <w:r>
              <w:rPr>
                <w:rFonts w:ascii="Arial" w:cs="Arial" w:eastAsia="Arial" w:hAnsi="Arial"/>
                <w:sz w:val="14"/>
                <w:szCs w:val="14"/>
                <w:color w:val="58595B"/>
              </w:rPr>
              <w:t>$341,550</w:t>
            </w:r>
          </w:p>
        </w:tc>
        <w:tc>
          <w:tcPr>
            <w:tcW w:w="1580" w:type="dxa"/>
            <w:vAlign w:val="bottom"/>
            <w:tcBorders>
              <w:bottom w:val="single" w:sz="8" w:color="58595B"/>
            </w:tcBorders>
            <w:shd w:val="clear" w:color="auto" w:fill="EFEDED"/>
          </w:tcPr>
          <w:p>
            <w:pPr>
              <w:jc w:val="center"/>
              <w:ind w:left="68"/>
              <w:spacing w:after="0"/>
              <w:rPr>
                <w:sz w:val="20"/>
                <w:szCs w:val="20"/>
                <w:color w:val="auto"/>
              </w:rPr>
            </w:pPr>
            <w:r>
              <w:rPr>
                <w:rFonts w:ascii="Arial" w:cs="Arial" w:eastAsia="Arial" w:hAnsi="Arial"/>
                <w:sz w:val="14"/>
                <w:szCs w:val="14"/>
                <w:color w:val="58595B"/>
              </w:rPr>
              <w:t>$45,426</w:t>
            </w:r>
          </w:p>
        </w:tc>
        <w:tc>
          <w:tcPr>
            <w:tcW w:w="146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rPr>
              <w:t>$91,194</w:t>
            </w:r>
          </w:p>
        </w:tc>
        <w:tc>
          <w:tcPr>
            <w:tcW w:w="154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rPr>
              <w:t>$136,620</w:t>
            </w:r>
          </w:p>
        </w:tc>
        <w:tc>
          <w:tcPr>
            <w:tcW w:w="1380" w:type="dxa"/>
            <w:vAlign w:val="bottom"/>
            <w:tcBorders>
              <w:bottom w:val="single" w:sz="8" w:color="58595B"/>
            </w:tcBorders>
            <w:shd w:val="clear" w:color="auto" w:fill="EFEDED"/>
          </w:tcPr>
          <w:p>
            <w:pPr>
              <w:jc w:val="center"/>
              <w:ind w:right="8"/>
              <w:spacing w:after="0"/>
              <w:rPr>
                <w:sz w:val="20"/>
                <w:szCs w:val="20"/>
                <w:color w:val="auto"/>
              </w:rPr>
            </w:pPr>
            <w:r>
              <w:rPr>
                <w:rFonts w:ascii="Arial" w:cs="Arial" w:eastAsia="Arial" w:hAnsi="Arial"/>
                <w:sz w:val="14"/>
                <w:szCs w:val="14"/>
                <w:color w:val="58595B"/>
              </w:rPr>
              <w:t>40%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Due to his retirement on January 6, 2025, Mr. De Witte did not receive an annual bonus amount for 2025.</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47</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Equity Grants</w:t>
      </w:r>
    </w:p>
    <w:p>
      <w:pPr>
        <w:spacing w:after="0" w:line="81"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58595B"/>
        </w:rPr>
        <w:t>Equity grants help to align executive interests with those of our stockholders. The Compensation Committee considers Company performance, individual performance, long-term potential and market practice when determining the value and type of equity. We award an annual grant mix of time-based vesting equity awards (comprised of either RSAs or RSUs), non-qualified stock options and PSUs, as shown below. Ms. Poul's annual equity grant contained a mix of 25% RSUs, 25% stock options and 50% PSUs in 2025. Ms. Poul received a one-time grant of 50% RSUs and 50% stock options in connection with her hire in 2025, which is not reflected in the charts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40640</wp:posOffset>
            </wp:positionV>
            <wp:extent cx="5966460" cy="18605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6460"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240" w:type="dxa"/>
            <w:vAlign w:val="bottom"/>
            <w:shd w:val="clear" w:color="auto" w:fill="009845"/>
          </w:tcPr>
          <w:p>
            <w:pPr>
              <w:spacing w:after="0"/>
              <w:rPr>
                <w:sz w:val="15"/>
                <w:szCs w:val="15"/>
                <w:color w:val="auto"/>
              </w:rPr>
            </w:pPr>
          </w:p>
        </w:tc>
        <w:tc>
          <w:tcPr>
            <w:tcW w:w="2220" w:type="dxa"/>
            <w:vAlign w:val="bottom"/>
            <w:shd w:val="clear" w:color="auto" w:fill="009845"/>
          </w:tcPr>
          <w:p>
            <w:pPr>
              <w:spacing w:after="0"/>
              <w:rPr>
                <w:sz w:val="15"/>
                <w:szCs w:val="15"/>
                <w:color w:val="auto"/>
              </w:rPr>
            </w:pPr>
          </w:p>
        </w:tc>
        <w:tc>
          <w:tcPr>
            <w:tcW w:w="2260" w:type="dxa"/>
            <w:vAlign w:val="bottom"/>
            <w:shd w:val="clear" w:color="auto" w:fill="009845"/>
          </w:tcPr>
          <w:p>
            <w:pPr>
              <w:spacing w:after="0"/>
              <w:rPr>
                <w:sz w:val="15"/>
                <w:szCs w:val="15"/>
                <w:color w:val="auto"/>
              </w:rPr>
            </w:pPr>
          </w:p>
        </w:tc>
        <w:tc>
          <w:tcPr>
            <w:tcW w:w="2240" w:type="dxa"/>
            <w:vAlign w:val="bottom"/>
            <w:shd w:val="clear" w:color="auto" w:fill="009845"/>
          </w:tcPr>
          <w:p>
            <w:pPr>
              <w:ind w:left="660"/>
              <w:spacing w:after="0"/>
              <w:rPr>
                <w:sz w:val="20"/>
                <w:szCs w:val="20"/>
                <w:color w:val="auto"/>
              </w:rPr>
            </w:pPr>
            <w:r>
              <w:rPr>
                <w:rFonts w:ascii="Arial" w:cs="Arial" w:eastAsia="Arial" w:hAnsi="Arial"/>
                <w:sz w:val="14"/>
                <w:szCs w:val="14"/>
                <w:b w:val="1"/>
                <w:bCs w:val="1"/>
                <w:color w:val="FFFFFF"/>
              </w:rPr>
              <w:t>Non-Qualified</w:t>
            </w:r>
          </w:p>
        </w:tc>
        <w:tc>
          <w:tcPr>
            <w:tcW w:w="2240" w:type="dxa"/>
            <w:vAlign w:val="bottom"/>
            <w:shd w:val="clear" w:color="auto" w:fill="009845"/>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240" w:type="dxa"/>
            <w:vAlign w:val="bottom"/>
            <w:tcBorders>
              <w:bottom w:val="single" w:sz="8" w:color="009845"/>
            </w:tcBorders>
            <w:shd w:val="clear" w:color="auto" w:fill="009845"/>
          </w:tcPr>
          <w:p>
            <w:pPr>
              <w:spacing w:after="0"/>
              <w:rPr>
                <w:sz w:val="22"/>
                <w:szCs w:val="22"/>
                <w:color w:val="auto"/>
              </w:rPr>
            </w:pPr>
          </w:p>
        </w:tc>
        <w:tc>
          <w:tcPr>
            <w:tcW w:w="2220" w:type="dxa"/>
            <w:vAlign w:val="bottom"/>
            <w:tcBorders>
              <w:bottom w:val="single" w:sz="8" w:color="009845"/>
            </w:tcBorders>
            <w:shd w:val="clear" w:color="auto" w:fill="009845"/>
          </w:tcPr>
          <w:p>
            <w:pPr>
              <w:ind w:left="900"/>
              <w:spacing w:after="0"/>
              <w:rPr>
                <w:sz w:val="20"/>
                <w:szCs w:val="20"/>
                <w:color w:val="auto"/>
              </w:rPr>
            </w:pPr>
            <w:r>
              <w:rPr>
                <w:rFonts w:ascii="Arial" w:cs="Arial" w:eastAsia="Arial" w:hAnsi="Arial"/>
                <w:sz w:val="14"/>
                <w:szCs w:val="14"/>
                <w:b w:val="1"/>
                <w:bCs w:val="1"/>
                <w:color w:val="FFFFFF"/>
              </w:rPr>
              <w:t>RSAs</w:t>
            </w:r>
            <w:r>
              <w:rPr>
                <w:rFonts w:ascii="Arial" w:cs="Arial" w:eastAsia="Arial" w:hAnsi="Arial"/>
                <w:sz w:val="18"/>
                <w:szCs w:val="18"/>
                <w:b w:val="1"/>
                <w:bCs w:val="1"/>
                <w:color w:val="FFFFFF"/>
                <w:vertAlign w:val="superscript"/>
              </w:rPr>
              <w:t>1</w:t>
            </w:r>
          </w:p>
        </w:tc>
        <w:tc>
          <w:tcPr>
            <w:tcW w:w="2260" w:type="dxa"/>
            <w:vAlign w:val="bottom"/>
            <w:tcBorders>
              <w:bottom w:val="single" w:sz="8" w:color="009845"/>
            </w:tcBorders>
            <w:shd w:val="clear" w:color="auto" w:fill="009845"/>
          </w:tcPr>
          <w:p>
            <w:pPr>
              <w:ind w:left="920"/>
              <w:spacing w:after="0"/>
              <w:rPr>
                <w:sz w:val="20"/>
                <w:szCs w:val="20"/>
                <w:color w:val="auto"/>
              </w:rPr>
            </w:pPr>
            <w:r>
              <w:rPr>
                <w:rFonts w:ascii="Arial" w:cs="Arial" w:eastAsia="Arial" w:hAnsi="Arial"/>
                <w:sz w:val="14"/>
                <w:szCs w:val="14"/>
                <w:b w:val="1"/>
                <w:bCs w:val="1"/>
                <w:color w:val="FFFFFF"/>
              </w:rPr>
              <w:t>RSUs</w:t>
            </w:r>
            <w:r>
              <w:rPr>
                <w:rFonts w:ascii="Arial" w:cs="Arial" w:eastAsia="Arial" w:hAnsi="Arial"/>
                <w:sz w:val="18"/>
                <w:szCs w:val="18"/>
                <w:b w:val="1"/>
                <w:bCs w:val="1"/>
                <w:color w:val="FFFFFF"/>
                <w:vertAlign w:val="superscript"/>
              </w:rPr>
              <w:t>2</w:t>
            </w:r>
          </w:p>
        </w:tc>
        <w:tc>
          <w:tcPr>
            <w:tcW w:w="2240" w:type="dxa"/>
            <w:vAlign w:val="bottom"/>
            <w:tcBorders>
              <w:bottom w:val="single" w:sz="8" w:color="009845"/>
            </w:tcBorders>
            <w:shd w:val="clear" w:color="auto" w:fill="009845"/>
          </w:tcPr>
          <w:p>
            <w:pPr>
              <w:ind w:left="640"/>
              <w:spacing w:after="0"/>
              <w:rPr>
                <w:sz w:val="20"/>
                <w:szCs w:val="20"/>
                <w:color w:val="auto"/>
              </w:rPr>
            </w:pPr>
            <w:r>
              <w:rPr>
                <w:rFonts w:ascii="Arial" w:cs="Arial" w:eastAsia="Arial" w:hAnsi="Arial"/>
                <w:sz w:val="14"/>
                <w:szCs w:val="14"/>
                <w:b w:val="1"/>
                <w:bCs w:val="1"/>
                <w:color w:val="FFFFFF"/>
              </w:rPr>
              <w:t>Stock Options</w:t>
            </w:r>
          </w:p>
        </w:tc>
        <w:tc>
          <w:tcPr>
            <w:tcW w:w="2240" w:type="dxa"/>
            <w:vAlign w:val="bottom"/>
            <w:tcBorders>
              <w:bottom w:val="single" w:sz="8" w:color="009845"/>
            </w:tcBorders>
            <w:shd w:val="clear" w:color="auto" w:fill="009845"/>
          </w:tcPr>
          <w:p>
            <w:pPr>
              <w:ind w:left="940"/>
              <w:spacing w:after="0"/>
              <w:rPr>
                <w:sz w:val="20"/>
                <w:szCs w:val="20"/>
                <w:color w:val="auto"/>
              </w:rPr>
            </w:pPr>
            <w:r>
              <w:rPr>
                <w:rFonts w:ascii="Arial" w:cs="Arial" w:eastAsia="Arial" w:hAnsi="Arial"/>
                <w:sz w:val="14"/>
                <w:szCs w:val="14"/>
                <w:b w:val="1"/>
                <w:bCs w:val="1"/>
                <w:color w:val="FFFFFF"/>
              </w:rPr>
              <w:t>PSUs</w:t>
            </w:r>
          </w:p>
        </w:tc>
        <w:tc>
          <w:tcPr>
            <w:tcW w:w="0" w:type="dxa"/>
            <w:vAlign w:val="bottom"/>
          </w:tcPr>
          <w:p>
            <w:pPr>
              <w:spacing w:after="0"/>
              <w:rPr>
                <w:sz w:val="1"/>
                <w:szCs w:val="1"/>
                <w:color w:val="auto"/>
              </w:rPr>
            </w:pPr>
          </w:p>
        </w:tc>
      </w:tr>
      <w:tr>
        <w:trPr>
          <w:trHeight w:val="180"/>
        </w:trPr>
        <w:tc>
          <w:tcPr>
            <w:tcW w:w="2240" w:type="dxa"/>
            <w:vAlign w:val="bottom"/>
            <w:shd w:val="clear" w:color="auto" w:fill="EFEDED"/>
          </w:tcPr>
          <w:p>
            <w:pPr>
              <w:spacing w:after="0"/>
              <w:rPr>
                <w:sz w:val="15"/>
                <w:szCs w:val="15"/>
                <w:color w:val="auto"/>
              </w:rPr>
            </w:pPr>
          </w:p>
        </w:tc>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40" w:type="dxa"/>
            <w:vAlign w:val="bottom"/>
          </w:tcPr>
          <w:p>
            <w:pPr>
              <w:ind w:left="100"/>
              <w:spacing w:after="0"/>
              <w:rPr>
                <w:sz w:val="20"/>
                <w:szCs w:val="20"/>
                <w:color w:val="auto"/>
              </w:rPr>
            </w:pPr>
            <w:r>
              <w:rPr>
                <w:rFonts w:ascii="Arial" w:cs="Arial" w:eastAsia="Arial" w:hAnsi="Arial"/>
                <w:sz w:val="14"/>
                <w:szCs w:val="14"/>
                <w:color w:val="58595B"/>
              </w:rPr>
              <w:t>Once vested, stock options give</w:t>
            </w: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Notional units which are</w:t>
            </w:r>
          </w:p>
        </w:tc>
        <w:tc>
          <w:tcPr>
            <w:tcW w:w="0" w:type="dxa"/>
            <w:vAlign w:val="bottom"/>
          </w:tcPr>
          <w:p>
            <w:pPr>
              <w:spacing w:after="0"/>
              <w:rPr>
                <w:sz w:val="1"/>
                <w:szCs w:val="1"/>
                <w:color w:val="auto"/>
              </w:rPr>
            </w:pPr>
          </w:p>
        </w:tc>
      </w:tr>
      <w:tr>
        <w:trPr>
          <w:trHeight w:val="81"/>
        </w:trPr>
        <w:tc>
          <w:tcPr>
            <w:tcW w:w="2240" w:type="dxa"/>
            <w:vAlign w:val="bottom"/>
            <w:shd w:val="clear" w:color="auto" w:fill="EFEDED"/>
          </w:tcPr>
          <w:p>
            <w:pPr>
              <w:spacing w:after="0"/>
              <w:rPr>
                <w:sz w:val="7"/>
                <w:szCs w:val="7"/>
                <w:color w:val="auto"/>
              </w:rPr>
            </w:pPr>
          </w:p>
        </w:tc>
        <w:tc>
          <w:tcPr>
            <w:tcW w:w="2220" w:type="dxa"/>
            <w:vAlign w:val="bottom"/>
          </w:tcPr>
          <w:p>
            <w:pPr>
              <w:spacing w:after="0"/>
              <w:rPr>
                <w:sz w:val="7"/>
                <w:szCs w:val="7"/>
                <w:color w:val="auto"/>
              </w:rPr>
            </w:pPr>
          </w:p>
        </w:tc>
        <w:tc>
          <w:tcPr>
            <w:tcW w:w="2260" w:type="dxa"/>
            <w:vAlign w:val="bottom"/>
            <w:vMerge w:val="restart"/>
          </w:tcPr>
          <w:p>
            <w:pPr>
              <w:ind w:left="120"/>
              <w:spacing w:after="0"/>
              <w:rPr>
                <w:sz w:val="20"/>
                <w:szCs w:val="20"/>
                <w:color w:val="auto"/>
              </w:rPr>
            </w:pPr>
            <w:r>
              <w:rPr>
                <w:rFonts w:ascii="Arial" w:cs="Arial" w:eastAsia="Arial" w:hAnsi="Arial"/>
                <w:sz w:val="14"/>
                <w:szCs w:val="14"/>
                <w:color w:val="58595B"/>
              </w:rPr>
              <w:t>Notional units which are</w:t>
            </w: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an executive the right to</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240" w:type="dxa"/>
            <w:vAlign w:val="bottom"/>
            <w:shd w:val="clear" w:color="auto" w:fill="EFEDED"/>
          </w:tcPr>
          <w:p>
            <w:pPr>
              <w:spacing w:after="0"/>
              <w:rPr>
                <w:sz w:val="8"/>
                <w:szCs w:val="8"/>
                <w:color w:val="auto"/>
              </w:rPr>
            </w:pPr>
          </w:p>
        </w:tc>
        <w:tc>
          <w:tcPr>
            <w:tcW w:w="2220" w:type="dxa"/>
            <w:vAlign w:val="bottom"/>
            <w:vMerge w:val="restart"/>
          </w:tcPr>
          <w:p>
            <w:pPr>
              <w:ind w:left="100"/>
              <w:spacing w:after="0"/>
              <w:rPr>
                <w:sz w:val="20"/>
                <w:szCs w:val="20"/>
                <w:color w:val="auto"/>
              </w:rPr>
            </w:pPr>
            <w:r>
              <w:rPr>
                <w:rFonts w:ascii="Arial" w:cs="Arial" w:eastAsia="Arial" w:hAnsi="Arial"/>
                <w:sz w:val="14"/>
                <w:szCs w:val="14"/>
                <w:color w:val="58595B"/>
              </w:rPr>
              <w:t>Represents actual ownership of</w:t>
            </w:r>
          </w:p>
        </w:tc>
        <w:tc>
          <w:tcPr>
            <w:tcW w:w="2260" w:type="dxa"/>
            <w:vAlign w:val="bottom"/>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redeemable for Integra stock</w:t>
            </w:r>
          </w:p>
        </w:tc>
        <w:tc>
          <w:tcPr>
            <w:tcW w:w="0" w:type="dxa"/>
            <w:vAlign w:val="bottom"/>
          </w:tcPr>
          <w:p>
            <w:pPr>
              <w:spacing w:after="0"/>
              <w:rPr>
                <w:sz w:val="1"/>
                <w:szCs w:val="1"/>
                <w:color w:val="auto"/>
              </w:rPr>
            </w:pPr>
          </w:p>
        </w:tc>
      </w:tr>
      <w:tr>
        <w:trPr>
          <w:trHeight w:val="81"/>
        </w:trPr>
        <w:tc>
          <w:tcPr>
            <w:tcW w:w="2240" w:type="dxa"/>
            <w:vAlign w:val="bottom"/>
            <w:shd w:val="clear" w:color="auto" w:fill="EFEDED"/>
          </w:tcPr>
          <w:p>
            <w:pPr>
              <w:spacing w:after="0"/>
              <w:rPr>
                <w:sz w:val="7"/>
                <w:szCs w:val="7"/>
                <w:color w:val="auto"/>
              </w:rPr>
            </w:pPr>
          </w:p>
        </w:tc>
        <w:tc>
          <w:tcPr>
            <w:tcW w:w="2220" w:type="dxa"/>
            <w:vAlign w:val="bottom"/>
            <w:vMerge w:val="continue"/>
          </w:tcPr>
          <w:p>
            <w:pPr>
              <w:spacing w:after="0"/>
              <w:rPr>
                <w:sz w:val="7"/>
                <w:szCs w:val="7"/>
                <w:color w:val="auto"/>
              </w:rPr>
            </w:pPr>
          </w:p>
        </w:tc>
        <w:tc>
          <w:tcPr>
            <w:tcW w:w="2260" w:type="dxa"/>
            <w:vAlign w:val="bottom"/>
            <w:vMerge w:val="restart"/>
          </w:tcPr>
          <w:p>
            <w:pPr>
              <w:ind w:left="120"/>
              <w:spacing w:after="0"/>
              <w:rPr>
                <w:sz w:val="20"/>
                <w:szCs w:val="20"/>
                <w:color w:val="auto"/>
              </w:rPr>
            </w:pPr>
            <w:r>
              <w:rPr>
                <w:rFonts w:ascii="Arial" w:cs="Arial" w:eastAsia="Arial" w:hAnsi="Arial"/>
                <w:sz w:val="14"/>
                <w:szCs w:val="14"/>
                <w:color w:val="58595B"/>
              </w:rPr>
              <w:t>redeemable for Integra stock;</w:t>
            </w: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purchase Integra stock at an</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24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Definition</w:t>
            </w:r>
          </w:p>
        </w:tc>
        <w:tc>
          <w:tcPr>
            <w:tcW w:w="2220" w:type="dxa"/>
            <w:vAlign w:val="bottom"/>
            <w:vMerge w:val="restart"/>
          </w:tcPr>
          <w:p>
            <w:pPr>
              <w:ind w:left="100"/>
              <w:spacing w:after="0"/>
              <w:rPr>
                <w:sz w:val="20"/>
                <w:szCs w:val="20"/>
                <w:color w:val="auto"/>
              </w:rPr>
            </w:pPr>
            <w:r>
              <w:rPr>
                <w:rFonts w:ascii="Arial" w:cs="Arial" w:eastAsia="Arial" w:hAnsi="Arial"/>
                <w:sz w:val="14"/>
                <w:szCs w:val="14"/>
                <w:color w:val="58595B"/>
              </w:rPr>
              <w:t>Integra stock that becomes the</w:t>
            </w:r>
          </w:p>
        </w:tc>
        <w:tc>
          <w:tcPr>
            <w:tcW w:w="2260" w:type="dxa"/>
            <w:vAlign w:val="bottom"/>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subject to performance; their</w:t>
            </w:r>
          </w:p>
        </w:tc>
        <w:tc>
          <w:tcPr>
            <w:tcW w:w="0" w:type="dxa"/>
            <w:vAlign w:val="bottom"/>
          </w:tcPr>
          <w:p>
            <w:pPr>
              <w:spacing w:after="0"/>
              <w:rPr>
                <w:sz w:val="1"/>
                <w:szCs w:val="1"/>
                <w:color w:val="auto"/>
              </w:rPr>
            </w:pPr>
          </w:p>
        </w:tc>
      </w:tr>
      <w:tr>
        <w:trPr>
          <w:trHeight w:val="81"/>
        </w:trPr>
        <w:tc>
          <w:tcPr>
            <w:tcW w:w="2240" w:type="dxa"/>
            <w:vAlign w:val="bottom"/>
            <w:vMerge w:val="continue"/>
            <w:shd w:val="clear" w:color="auto" w:fill="EFEDED"/>
          </w:tcPr>
          <w:p>
            <w:pPr>
              <w:spacing w:after="0"/>
              <w:rPr>
                <w:sz w:val="7"/>
                <w:szCs w:val="7"/>
                <w:color w:val="auto"/>
              </w:rPr>
            </w:pPr>
          </w:p>
        </w:tc>
        <w:tc>
          <w:tcPr>
            <w:tcW w:w="2220" w:type="dxa"/>
            <w:vAlign w:val="bottom"/>
            <w:vMerge w:val="continue"/>
          </w:tcPr>
          <w:p>
            <w:pPr>
              <w:spacing w:after="0"/>
              <w:rPr>
                <w:sz w:val="7"/>
                <w:szCs w:val="7"/>
                <w:color w:val="auto"/>
              </w:rPr>
            </w:pPr>
          </w:p>
        </w:tc>
        <w:tc>
          <w:tcPr>
            <w:tcW w:w="2260" w:type="dxa"/>
            <w:vAlign w:val="bottom"/>
            <w:vMerge w:val="restart"/>
          </w:tcPr>
          <w:p>
            <w:pPr>
              <w:ind w:left="120"/>
              <w:spacing w:after="0"/>
              <w:rPr>
                <w:sz w:val="20"/>
                <w:szCs w:val="20"/>
                <w:color w:val="auto"/>
              </w:rPr>
            </w:pPr>
            <w:r>
              <w:rPr>
                <w:rFonts w:ascii="Arial" w:cs="Arial" w:eastAsia="Arial" w:hAnsi="Arial"/>
                <w:sz w:val="14"/>
                <w:szCs w:val="14"/>
                <w:color w:val="58595B"/>
              </w:rPr>
              <w:t>their value tracks the value of</w:t>
            </w: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exercise price equal to the</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240" w:type="dxa"/>
            <w:vAlign w:val="bottom"/>
            <w:shd w:val="clear" w:color="auto" w:fill="EFEDED"/>
          </w:tcPr>
          <w:p>
            <w:pPr>
              <w:spacing w:after="0"/>
              <w:rPr>
                <w:sz w:val="8"/>
                <w:szCs w:val="8"/>
                <w:color w:val="auto"/>
              </w:rPr>
            </w:pPr>
          </w:p>
        </w:tc>
        <w:tc>
          <w:tcPr>
            <w:tcW w:w="2220" w:type="dxa"/>
            <w:vAlign w:val="bottom"/>
            <w:vMerge w:val="restart"/>
          </w:tcPr>
          <w:p>
            <w:pPr>
              <w:ind w:left="100"/>
              <w:spacing w:after="0"/>
              <w:rPr>
                <w:sz w:val="20"/>
                <w:szCs w:val="20"/>
                <w:color w:val="auto"/>
              </w:rPr>
            </w:pPr>
            <w:r>
              <w:rPr>
                <w:rFonts w:ascii="Arial" w:cs="Arial" w:eastAsia="Arial" w:hAnsi="Arial"/>
                <w:sz w:val="14"/>
                <w:szCs w:val="14"/>
                <w:color w:val="58595B"/>
              </w:rPr>
              <w:t>executive’s upon vesting</w:t>
            </w:r>
          </w:p>
        </w:tc>
        <w:tc>
          <w:tcPr>
            <w:tcW w:w="2260" w:type="dxa"/>
            <w:vAlign w:val="bottom"/>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value tracks the value of Integra</w:t>
            </w:r>
          </w:p>
        </w:tc>
        <w:tc>
          <w:tcPr>
            <w:tcW w:w="0" w:type="dxa"/>
            <w:vAlign w:val="bottom"/>
          </w:tcPr>
          <w:p>
            <w:pPr>
              <w:spacing w:after="0"/>
              <w:rPr>
                <w:sz w:val="1"/>
                <w:szCs w:val="1"/>
                <w:color w:val="auto"/>
              </w:rPr>
            </w:pPr>
          </w:p>
        </w:tc>
      </w:tr>
      <w:tr>
        <w:trPr>
          <w:trHeight w:val="81"/>
        </w:trPr>
        <w:tc>
          <w:tcPr>
            <w:tcW w:w="2240" w:type="dxa"/>
            <w:vAlign w:val="bottom"/>
            <w:shd w:val="clear" w:color="auto" w:fill="EFEDED"/>
          </w:tcPr>
          <w:p>
            <w:pPr>
              <w:spacing w:after="0"/>
              <w:rPr>
                <w:sz w:val="7"/>
                <w:szCs w:val="7"/>
                <w:color w:val="auto"/>
              </w:rPr>
            </w:pPr>
          </w:p>
        </w:tc>
        <w:tc>
          <w:tcPr>
            <w:tcW w:w="2220" w:type="dxa"/>
            <w:vAlign w:val="bottom"/>
            <w:vMerge w:val="continue"/>
          </w:tcPr>
          <w:p>
            <w:pPr>
              <w:spacing w:after="0"/>
              <w:rPr>
                <w:sz w:val="7"/>
                <w:szCs w:val="7"/>
                <w:color w:val="auto"/>
              </w:rPr>
            </w:pPr>
          </w:p>
        </w:tc>
        <w:tc>
          <w:tcPr>
            <w:tcW w:w="2260" w:type="dxa"/>
            <w:vAlign w:val="bottom"/>
            <w:vMerge w:val="restart"/>
          </w:tcPr>
          <w:p>
            <w:pPr>
              <w:ind w:left="120"/>
              <w:spacing w:after="0"/>
              <w:rPr>
                <w:sz w:val="20"/>
                <w:szCs w:val="20"/>
                <w:color w:val="auto"/>
              </w:rPr>
            </w:pPr>
            <w:r>
              <w:rPr>
                <w:rFonts w:ascii="Arial" w:cs="Arial" w:eastAsia="Arial" w:hAnsi="Arial"/>
                <w:sz w:val="14"/>
                <w:szCs w:val="14"/>
                <w:color w:val="58595B"/>
              </w:rPr>
              <w:t>Integra stock</w:t>
            </w: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closing price of our common</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240" w:type="dxa"/>
            <w:vAlign w:val="bottom"/>
            <w:shd w:val="clear" w:color="auto" w:fill="EFEDED"/>
          </w:tcPr>
          <w:p>
            <w:pPr>
              <w:spacing w:after="0"/>
              <w:rPr>
                <w:sz w:val="8"/>
                <w:szCs w:val="8"/>
                <w:color w:val="auto"/>
              </w:rPr>
            </w:pPr>
          </w:p>
        </w:tc>
        <w:tc>
          <w:tcPr>
            <w:tcW w:w="222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stock</w:t>
            </w:r>
          </w:p>
        </w:tc>
        <w:tc>
          <w:tcPr>
            <w:tcW w:w="0" w:type="dxa"/>
            <w:vAlign w:val="bottom"/>
          </w:tcPr>
          <w:p>
            <w:pPr>
              <w:spacing w:after="0"/>
              <w:rPr>
                <w:sz w:val="1"/>
                <w:szCs w:val="1"/>
                <w:color w:val="auto"/>
              </w:rPr>
            </w:pPr>
          </w:p>
        </w:tc>
      </w:tr>
      <w:tr>
        <w:trPr>
          <w:trHeight w:val="96"/>
        </w:trPr>
        <w:tc>
          <w:tcPr>
            <w:tcW w:w="2240" w:type="dxa"/>
            <w:vAlign w:val="bottom"/>
            <w:shd w:val="clear" w:color="auto" w:fill="EFEDED"/>
          </w:tcPr>
          <w:p>
            <w:pPr>
              <w:spacing w:after="0"/>
              <w:rPr>
                <w:sz w:val="8"/>
                <w:szCs w:val="8"/>
                <w:color w:val="auto"/>
              </w:rPr>
            </w:pPr>
          </w:p>
        </w:tc>
        <w:tc>
          <w:tcPr>
            <w:tcW w:w="22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stock on the date of grant</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240" w:type="dxa"/>
            <w:vAlign w:val="bottom"/>
            <w:tcBorders>
              <w:bottom w:val="single" w:sz="8" w:color="EFEDED"/>
            </w:tcBorders>
            <w:shd w:val="clear" w:color="auto" w:fill="EFEDED"/>
          </w:tcPr>
          <w:p>
            <w:pPr>
              <w:spacing w:after="0"/>
              <w:rPr>
                <w:sz w:val="10"/>
                <w:szCs w:val="10"/>
                <w:color w:val="auto"/>
              </w:rPr>
            </w:pPr>
          </w:p>
        </w:tc>
        <w:tc>
          <w:tcPr>
            <w:tcW w:w="22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240" w:type="dxa"/>
            <w:vAlign w:val="bottom"/>
            <w:tcBorders>
              <w:top w:val="single" w:sz="8" w:color="58595B"/>
              <w:bottom w:val="single" w:sz="8" w:color="58595B"/>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 of Equity Grant</w:t>
            </w:r>
          </w:p>
        </w:tc>
        <w:tc>
          <w:tcPr>
            <w:tcW w:w="2220" w:type="dxa"/>
            <w:vAlign w:val="bottom"/>
            <w:tcBorders>
              <w:top w:val="single" w:sz="8" w:color="58595B"/>
              <w:bottom w:val="single" w:sz="8" w:color="58595B"/>
            </w:tcBorders>
          </w:tcPr>
          <w:p>
            <w:pPr>
              <w:ind w:left="100"/>
              <w:spacing w:after="0"/>
              <w:rPr>
                <w:sz w:val="20"/>
                <w:szCs w:val="20"/>
                <w:color w:val="auto"/>
              </w:rPr>
            </w:pPr>
            <w:r>
              <w:rPr>
                <w:rFonts w:ascii="Arial" w:cs="Arial" w:eastAsia="Arial" w:hAnsi="Arial"/>
                <w:sz w:val="14"/>
                <w:szCs w:val="14"/>
                <w:color w:val="58595B"/>
              </w:rPr>
              <w:t>25%</w:t>
            </w:r>
          </w:p>
        </w:tc>
        <w:tc>
          <w:tcPr>
            <w:tcW w:w="2260" w:type="dxa"/>
            <w:vAlign w:val="bottom"/>
            <w:tcBorders>
              <w:top w:val="single" w:sz="8" w:color="58595B"/>
              <w:bottom w:val="single" w:sz="8" w:color="58595B"/>
            </w:tcBorders>
          </w:tcPr>
          <w:p>
            <w:pPr>
              <w:ind w:left="120"/>
              <w:spacing w:after="0"/>
              <w:rPr>
                <w:sz w:val="20"/>
                <w:szCs w:val="20"/>
                <w:color w:val="auto"/>
              </w:rPr>
            </w:pPr>
            <w:r>
              <w:rPr>
                <w:rFonts w:ascii="Arial" w:cs="Arial" w:eastAsia="Arial" w:hAnsi="Arial"/>
                <w:sz w:val="14"/>
                <w:szCs w:val="14"/>
                <w:color w:val="58595B"/>
              </w:rPr>
              <w:t>25%</w:t>
            </w:r>
          </w:p>
        </w:tc>
        <w:tc>
          <w:tcPr>
            <w:tcW w:w="2240" w:type="dxa"/>
            <w:vAlign w:val="bottom"/>
            <w:tcBorders>
              <w:top w:val="single" w:sz="8" w:color="58595B"/>
              <w:bottom w:val="single" w:sz="8" w:color="58595B"/>
            </w:tcBorders>
          </w:tcPr>
          <w:p>
            <w:pPr>
              <w:ind w:left="100"/>
              <w:spacing w:after="0"/>
              <w:rPr>
                <w:sz w:val="20"/>
                <w:szCs w:val="20"/>
                <w:color w:val="auto"/>
              </w:rPr>
            </w:pPr>
            <w:r>
              <w:rPr>
                <w:rFonts w:ascii="Arial" w:cs="Arial" w:eastAsia="Arial" w:hAnsi="Arial"/>
                <w:sz w:val="14"/>
                <w:szCs w:val="14"/>
                <w:color w:val="58595B"/>
              </w:rPr>
              <w:t>25%</w:t>
            </w:r>
          </w:p>
        </w:tc>
        <w:tc>
          <w:tcPr>
            <w:tcW w:w="2240" w:type="dxa"/>
            <w:vAlign w:val="bottom"/>
            <w:tcBorders>
              <w:top w:val="single" w:sz="8" w:color="58595B"/>
              <w:bottom w:val="single" w:sz="8" w:color="58595B"/>
            </w:tcBorders>
          </w:tcPr>
          <w:p>
            <w:pPr>
              <w:ind w:left="100"/>
              <w:spacing w:after="0"/>
              <w:rPr>
                <w:sz w:val="20"/>
                <w:szCs w:val="20"/>
                <w:color w:val="auto"/>
              </w:rPr>
            </w:pPr>
            <w:r>
              <w:rPr>
                <w:rFonts w:ascii="Arial" w:cs="Arial" w:eastAsia="Arial" w:hAnsi="Arial"/>
                <w:sz w:val="14"/>
                <w:szCs w:val="14"/>
                <w:color w:val="58595B"/>
              </w:rPr>
              <w:t>50%</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58595B"/>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Performance Metric</w:t>
            </w:r>
          </w:p>
        </w:tc>
        <w:tc>
          <w:tcPr>
            <w:tcW w:w="2220" w:type="dxa"/>
            <w:vAlign w:val="bottom"/>
            <w:tcBorders>
              <w:bottom w:val="single" w:sz="8" w:color="58595B"/>
            </w:tcBorders>
          </w:tcPr>
          <w:p>
            <w:pPr>
              <w:ind w:left="100"/>
              <w:spacing w:after="0"/>
              <w:rPr>
                <w:sz w:val="20"/>
                <w:szCs w:val="20"/>
                <w:color w:val="auto"/>
              </w:rPr>
            </w:pPr>
            <w:r>
              <w:rPr>
                <w:rFonts w:ascii="Arial" w:cs="Arial" w:eastAsia="Arial" w:hAnsi="Arial"/>
                <w:sz w:val="14"/>
                <w:szCs w:val="14"/>
                <w:color w:val="58595B"/>
              </w:rPr>
              <w:t>Stock price and time</w:t>
            </w:r>
          </w:p>
        </w:tc>
        <w:tc>
          <w:tcPr>
            <w:tcW w:w="2260" w:type="dxa"/>
            <w:vAlign w:val="bottom"/>
            <w:tcBorders>
              <w:bottom w:val="single" w:sz="8" w:color="58595B"/>
            </w:tcBorders>
          </w:tcPr>
          <w:p>
            <w:pPr>
              <w:ind w:left="120"/>
              <w:spacing w:after="0"/>
              <w:rPr>
                <w:sz w:val="20"/>
                <w:szCs w:val="20"/>
                <w:color w:val="auto"/>
              </w:rPr>
            </w:pPr>
            <w:r>
              <w:rPr>
                <w:rFonts w:ascii="Arial" w:cs="Arial" w:eastAsia="Arial" w:hAnsi="Arial"/>
                <w:sz w:val="14"/>
                <w:szCs w:val="14"/>
                <w:color w:val="58595B"/>
              </w:rPr>
              <w:t>Stock price and time</w:t>
            </w:r>
          </w:p>
        </w:tc>
        <w:tc>
          <w:tcPr>
            <w:tcW w:w="2240" w:type="dxa"/>
            <w:vAlign w:val="bottom"/>
            <w:tcBorders>
              <w:bottom w:val="single" w:sz="8" w:color="58595B"/>
            </w:tcBorders>
          </w:tcPr>
          <w:p>
            <w:pPr>
              <w:ind w:left="100"/>
              <w:spacing w:after="0"/>
              <w:rPr>
                <w:sz w:val="20"/>
                <w:szCs w:val="20"/>
                <w:color w:val="auto"/>
              </w:rPr>
            </w:pPr>
            <w:r>
              <w:rPr>
                <w:rFonts w:ascii="Arial" w:cs="Arial" w:eastAsia="Arial" w:hAnsi="Arial"/>
                <w:sz w:val="14"/>
                <w:szCs w:val="14"/>
                <w:color w:val="58595B"/>
              </w:rPr>
              <w:t>Stock price and time</w:t>
            </w:r>
          </w:p>
        </w:tc>
        <w:tc>
          <w:tcPr>
            <w:tcW w:w="2240" w:type="dxa"/>
            <w:vAlign w:val="bottom"/>
            <w:tcBorders>
              <w:bottom w:val="single" w:sz="8" w:color="58595B"/>
            </w:tcBorders>
          </w:tcPr>
          <w:p>
            <w:pPr>
              <w:ind w:left="100"/>
              <w:spacing w:after="0"/>
              <w:rPr>
                <w:sz w:val="20"/>
                <w:szCs w:val="20"/>
                <w:color w:val="auto"/>
              </w:rPr>
            </w:pPr>
            <w:r>
              <w:rPr>
                <w:rFonts w:ascii="Arial" w:cs="Arial" w:eastAsia="Arial" w:hAnsi="Arial"/>
                <w:sz w:val="14"/>
                <w:szCs w:val="14"/>
                <w:color w:val="58595B"/>
              </w:rPr>
              <w:t>Organic revenue growth</w:t>
            </w:r>
          </w:p>
        </w:tc>
        <w:tc>
          <w:tcPr>
            <w:tcW w:w="0" w:type="dxa"/>
            <w:vAlign w:val="bottom"/>
          </w:tcPr>
          <w:p>
            <w:pPr>
              <w:spacing w:after="0"/>
              <w:rPr>
                <w:sz w:val="1"/>
                <w:szCs w:val="1"/>
                <w:color w:val="auto"/>
              </w:rPr>
            </w:pPr>
          </w:p>
        </w:tc>
      </w:tr>
      <w:tr>
        <w:trPr>
          <w:trHeight w:val="180"/>
        </w:trPr>
        <w:tc>
          <w:tcPr>
            <w:tcW w:w="2240" w:type="dxa"/>
            <w:vAlign w:val="bottom"/>
            <w:shd w:val="clear" w:color="auto" w:fill="EFEDED"/>
          </w:tcPr>
          <w:p>
            <w:pPr>
              <w:spacing w:after="0"/>
              <w:rPr>
                <w:sz w:val="15"/>
                <w:szCs w:val="15"/>
                <w:color w:val="auto"/>
              </w:rPr>
            </w:pPr>
          </w:p>
        </w:tc>
        <w:tc>
          <w:tcPr>
            <w:tcW w:w="2220" w:type="dxa"/>
            <w:vAlign w:val="bottom"/>
          </w:tcPr>
          <w:p>
            <w:pPr>
              <w:spacing w:after="0"/>
              <w:rPr>
                <w:sz w:val="15"/>
                <w:szCs w:val="15"/>
                <w:color w:val="auto"/>
              </w:rPr>
            </w:pPr>
          </w:p>
        </w:tc>
        <w:tc>
          <w:tcPr>
            <w:tcW w:w="2260" w:type="dxa"/>
            <w:vAlign w:val="bottom"/>
          </w:tcPr>
          <w:p>
            <w:pPr>
              <w:ind w:left="120"/>
              <w:spacing w:after="0"/>
              <w:rPr>
                <w:sz w:val="20"/>
                <w:szCs w:val="20"/>
                <w:color w:val="auto"/>
              </w:rPr>
            </w:pPr>
            <w:r>
              <w:rPr>
                <w:rFonts w:ascii="Arial" w:cs="Arial" w:eastAsia="Arial" w:hAnsi="Arial"/>
                <w:sz w:val="14"/>
                <w:szCs w:val="14"/>
                <w:color w:val="58595B"/>
              </w:rPr>
              <w:t>Annually over three years;</w:t>
            </w:r>
          </w:p>
        </w:tc>
        <w:tc>
          <w:tcPr>
            <w:tcW w:w="2240" w:type="dxa"/>
            <w:vAlign w:val="bottom"/>
          </w:tcPr>
          <w:p>
            <w:pPr>
              <w:spacing w:after="0"/>
              <w:rPr>
                <w:sz w:val="15"/>
                <w:szCs w:val="15"/>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Annually over three years based</w:t>
            </w:r>
          </w:p>
        </w:tc>
        <w:tc>
          <w:tcPr>
            <w:tcW w:w="0" w:type="dxa"/>
            <w:vAlign w:val="bottom"/>
          </w:tcPr>
          <w:p>
            <w:pPr>
              <w:spacing w:after="0"/>
              <w:rPr>
                <w:sz w:val="1"/>
                <w:szCs w:val="1"/>
                <w:color w:val="auto"/>
              </w:rPr>
            </w:pPr>
          </w:p>
        </w:tc>
      </w:tr>
      <w:tr>
        <w:trPr>
          <w:trHeight w:val="81"/>
        </w:trPr>
        <w:tc>
          <w:tcPr>
            <w:tcW w:w="2240" w:type="dxa"/>
            <w:vAlign w:val="bottom"/>
            <w:shd w:val="clear" w:color="auto" w:fill="EFEDED"/>
          </w:tcPr>
          <w:p>
            <w:pPr>
              <w:spacing w:after="0"/>
              <w:rPr>
                <w:sz w:val="7"/>
                <w:szCs w:val="7"/>
                <w:color w:val="auto"/>
              </w:rPr>
            </w:pPr>
          </w:p>
        </w:tc>
        <w:tc>
          <w:tcPr>
            <w:tcW w:w="2220" w:type="dxa"/>
            <w:vAlign w:val="bottom"/>
          </w:tcPr>
          <w:p>
            <w:pPr>
              <w:spacing w:after="0"/>
              <w:rPr>
                <w:sz w:val="7"/>
                <w:szCs w:val="7"/>
                <w:color w:val="auto"/>
              </w:rPr>
            </w:pPr>
          </w:p>
        </w:tc>
        <w:tc>
          <w:tcPr>
            <w:tcW w:w="2260" w:type="dxa"/>
            <w:vAlign w:val="bottom"/>
            <w:vMerge w:val="restart"/>
          </w:tcPr>
          <w:p>
            <w:pPr>
              <w:ind w:left="120"/>
              <w:spacing w:after="0"/>
              <w:rPr>
                <w:sz w:val="20"/>
                <w:szCs w:val="20"/>
                <w:color w:val="auto"/>
              </w:rPr>
            </w:pPr>
            <w:r>
              <w:rPr>
                <w:rFonts w:ascii="Arial" w:cs="Arial" w:eastAsia="Arial" w:hAnsi="Arial"/>
                <w:sz w:val="14"/>
                <w:szCs w:val="14"/>
                <w:color w:val="58595B"/>
              </w:rPr>
              <w:t>payment is generally deferred</w:t>
            </w:r>
          </w:p>
        </w:tc>
        <w:tc>
          <w:tcPr>
            <w:tcW w:w="224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24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Vesting</w:t>
            </w:r>
          </w:p>
        </w:tc>
        <w:tc>
          <w:tcPr>
            <w:tcW w:w="2220" w:type="dxa"/>
            <w:vAlign w:val="bottom"/>
            <w:vMerge w:val="restart"/>
          </w:tcPr>
          <w:p>
            <w:pPr>
              <w:ind w:left="100"/>
              <w:spacing w:after="0"/>
              <w:rPr>
                <w:sz w:val="20"/>
                <w:szCs w:val="20"/>
                <w:color w:val="auto"/>
              </w:rPr>
            </w:pPr>
            <w:r>
              <w:rPr>
                <w:rFonts w:ascii="Arial" w:cs="Arial" w:eastAsia="Arial" w:hAnsi="Arial"/>
                <w:sz w:val="14"/>
                <w:szCs w:val="14"/>
                <w:color w:val="58595B"/>
              </w:rPr>
              <w:t>Annually over three years</w:t>
            </w:r>
          </w:p>
        </w:tc>
        <w:tc>
          <w:tcPr>
            <w:tcW w:w="2260" w:type="dxa"/>
            <w:vAlign w:val="bottom"/>
            <w:vMerge w:val="continue"/>
          </w:tcPr>
          <w:p>
            <w:pPr>
              <w:spacing w:after="0"/>
              <w:rPr>
                <w:sz w:val="8"/>
                <w:szCs w:val="8"/>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Annually over four years</w:t>
            </w: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on achievement of performance</w:t>
            </w:r>
          </w:p>
        </w:tc>
        <w:tc>
          <w:tcPr>
            <w:tcW w:w="0" w:type="dxa"/>
            <w:vAlign w:val="bottom"/>
          </w:tcPr>
          <w:p>
            <w:pPr>
              <w:spacing w:after="0"/>
              <w:rPr>
                <w:sz w:val="1"/>
                <w:szCs w:val="1"/>
                <w:color w:val="auto"/>
              </w:rPr>
            </w:pPr>
          </w:p>
        </w:tc>
      </w:tr>
      <w:tr>
        <w:trPr>
          <w:trHeight w:val="81"/>
        </w:trPr>
        <w:tc>
          <w:tcPr>
            <w:tcW w:w="2240" w:type="dxa"/>
            <w:vAlign w:val="bottom"/>
            <w:vMerge w:val="continue"/>
            <w:shd w:val="clear" w:color="auto" w:fill="EFEDED"/>
          </w:tcPr>
          <w:p>
            <w:pPr>
              <w:spacing w:after="0"/>
              <w:rPr>
                <w:sz w:val="7"/>
                <w:szCs w:val="7"/>
                <w:color w:val="auto"/>
              </w:rPr>
            </w:pPr>
          </w:p>
        </w:tc>
        <w:tc>
          <w:tcPr>
            <w:tcW w:w="2220" w:type="dxa"/>
            <w:vAlign w:val="bottom"/>
            <w:vMerge w:val="continue"/>
          </w:tcPr>
          <w:p>
            <w:pPr>
              <w:spacing w:after="0"/>
              <w:rPr>
                <w:sz w:val="7"/>
                <w:szCs w:val="7"/>
                <w:color w:val="auto"/>
              </w:rPr>
            </w:pPr>
          </w:p>
        </w:tc>
        <w:tc>
          <w:tcPr>
            <w:tcW w:w="2260" w:type="dxa"/>
            <w:vAlign w:val="bottom"/>
            <w:vMerge w:val="restart"/>
          </w:tcPr>
          <w:p>
            <w:pPr>
              <w:ind w:left="120"/>
              <w:spacing w:after="0"/>
              <w:rPr>
                <w:sz w:val="20"/>
                <w:szCs w:val="20"/>
                <w:color w:val="auto"/>
              </w:rPr>
            </w:pPr>
            <w:r>
              <w:rPr>
                <w:rFonts w:ascii="Arial" w:cs="Arial" w:eastAsia="Arial" w:hAnsi="Arial"/>
                <w:sz w:val="14"/>
                <w:szCs w:val="14"/>
                <w:color w:val="58595B"/>
              </w:rPr>
              <w:t>until after CEO’s departure from</w:t>
            </w:r>
          </w:p>
        </w:tc>
        <w:tc>
          <w:tcPr>
            <w:tcW w:w="2240" w:type="dxa"/>
            <w:vAlign w:val="bottom"/>
            <w:vMerge w:val="continue"/>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240" w:type="dxa"/>
            <w:vAlign w:val="bottom"/>
            <w:shd w:val="clear" w:color="auto" w:fill="EFEDED"/>
          </w:tcPr>
          <w:p>
            <w:pPr>
              <w:spacing w:after="0"/>
              <w:rPr>
                <w:sz w:val="8"/>
                <w:szCs w:val="8"/>
                <w:color w:val="auto"/>
              </w:rPr>
            </w:pPr>
          </w:p>
        </w:tc>
        <w:tc>
          <w:tcPr>
            <w:tcW w:w="222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goals</w:t>
            </w:r>
          </w:p>
        </w:tc>
        <w:tc>
          <w:tcPr>
            <w:tcW w:w="0" w:type="dxa"/>
            <w:vAlign w:val="bottom"/>
          </w:tcPr>
          <w:p>
            <w:pPr>
              <w:spacing w:after="0"/>
              <w:rPr>
                <w:sz w:val="1"/>
                <w:szCs w:val="1"/>
                <w:color w:val="auto"/>
              </w:rPr>
            </w:pPr>
          </w:p>
        </w:tc>
      </w:tr>
      <w:tr>
        <w:trPr>
          <w:trHeight w:val="96"/>
        </w:trPr>
        <w:tc>
          <w:tcPr>
            <w:tcW w:w="2240" w:type="dxa"/>
            <w:vAlign w:val="bottom"/>
            <w:shd w:val="clear" w:color="auto" w:fill="EFEDED"/>
          </w:tcPr>
          <w:p>
            <w:pPr>
              <w:spacing w:after="0"/>
              <w:rPr>
                <w:sz w:val="8"/>
                <w:szCs w:val="8"/>
                <w:color w:val="auto"/>
              </w:rPr>
            </w:pPr>
          </w:p>
        </w:tc>
        <w:tc>
          <w:tcPr>
            <w:tcW w:w="2220" w:type="dxa"/>
            <w:vAlign w:val="bottom"/>
          </w:tcPr>
          <w:p>
            <w:pPr>
              <w:spacing w:after="0"/>
              <w:rPr>
                <w:sz w:val="8"/>
                <w:szCs w:val="8"/>
                <w:color w:val="auto"/>
              </w:rPr>
            </w:pPr>
          </w:p>
        </w:tc>
        <w:tc>
          <w:tcPr>
            <w:tcW w:w="2260" w:type="dxa"/>
            <w:vAlign w:val="bottom"/>
            <w:vMerge w:val="restart"/>
          </w:tcPr>
          <w:p>
            <w:pPr>
              <w:ind w:left="120"/>
              <w:spacing w:after="0"/>
              <w:rPr>
                <w:sz w:val="20"/>
                <w:szCs w:val="20"/>
                <w:color w:val="auto"/>
              </w:rPr>
            </w:pPr>
            <w:r>
              <w:rPr>
                <w:rFonts w:ascii="Arial" w:cs="Arial" w:eastAsia="Arial" w:hAnsi="Arial"/>
                <w:sz w:val="14"/>
                <w:szCs w:val="14"/>
                <w:color w:val="58595B"/>
              </w:rPr>
              <w:t>Integra</w:t>
            </w:r>
          </w:p>
        </w:tc>
        <w:tc>
          <w:tcPr>
            <w:tcW w:w="22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240" w:type="dxa"/>
            <w:vAlign w:val="bottom"/>
            <w:tcBorders>
              <w:bottom w:val="single" w:sz="8" w:color="EFEDED"/>
            </w:tcBorders>
            <w:shd w:val="clear" w:color="auto" w:fill="EFEDED"/>
          </w:tcPr>
          <w:p>
            <w:pPr>
              <w:spacing w:after="0"/>
              <w:rPr>
                <w:sz w:val="8"/>
                <w:szCs w:val="8"/>
                <w:color w:val="auto"/>
              </w:rPr>
            </w:pPr>
          </w:p>
        </w:tc>
        <w:tc>
          <w:tcPr>
            <w:tcW w:w="222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58595B"/>
          </w:tcPr>
          <w:p>
            <w:pPr>
              <w:spacing w:after="0" w:line="20" w:lineRule="exact"/>
              <w:rPr>
                <w:sz w:val="1"/>
                <w:szCs w:val="1"/>
                <w:color w:val="auto"/>
              </w:rPr>
            </w:pPr>
          </w:p>
        </w:tc>
        <w:tc>
          <w:tcPr>
            <w:tcW w:w="2220" w:type="dxa"/>
            <w:vAlign w:val="bottom"/>
            <w:shd w:val="clear" w:color="auto" w:fill="58595B"/>
          </w:tcPr>
          <w:p>
            <w:pPr>
              <w:spacing w:after="0" w:line="20" w:lineRule="exact"/>
              <w:rPr>
                <w:sz w:val="1"/>
                <w:szCs w:val="1"/>
                <w:color w:val="auto"/>
              </w:rPr>
            </w:pPr>
          </w:p>
        </w:tc>
        <w:tc>
          <w:tcPr>
            <w:tcW w:w="2260" w:type="dxa"/>
            <w:vAlign w:val="bottom"/>
            <w:shd w:val="clear" w:color="auto" w:fill="58595B"/>
          </w:tcPr>
          <w:p>
            <w:pPr>
              <w:spacing w:after="0" w:line="20" w:lineRule="exact"/>
              <w:rPr>
                <w:sz w:val="1"/>
                <w:szCs w:val="1"/>
                <w:color w:val="auto"/>
              </w:rPr>
            </w:pPr>
          </w:p>
        </w:tc>
        <w:tc>
          <w:tcPr>
            <w:tcW w:w="2240" w:type="dxa"/>
            <w:vAlign w:val="bottom"/>
            <w:shd w:val="clear" w:color="auto" w:fill="58595B"/>
          </w:tcPr>
          <w:p>
            <w:pPr>
              <w:spacing w:after="0" w:line="20" w:lineRule="exact"/>
              <w:rPr>
                <w:sz w:val="1"/>
                <w:szCs w:val="1"/>
                <w:color w:val="auto"/>
              </w:rPr>
            </w:pPr>
          </w:p>
        </w:tc>
        <w:tc>
          <w:tcPr>
            <w:tcW w:w="2240" w:type="dxa"/>
            <w:vAlign w:val="bottom"/>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All NEOs received RSAs, excluding Ms. Poul who received RSUs.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Only Ms. Poul received RSUs.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Annual Equity Compensation Grants</w:t>
      </w:r>
    </w:p>
    <w:p>
      <w:pPr>
        <w:spacing w:after="0" w:line="72"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58595B"/>
        </w:rPr>
        <w:t>Annual equity grants are typically made in March of each year. The following criteria are evaluated for each of our NEOs when determining the value of their annual equity award:</w:t>
      </w:r>
    </w:p>
    <w:p>
      <w:pPr>
        <w:spacing w:after="0" w:line="61" w:lineRule="exact"/>
        <w:rPr>
          <w:sz w:val="20"/>
          <w:szCs w:val="20"/>
          <w:color w:val="auto"/>
        </w:rPr>
      </w:pPr>
    </w:p>
    <w:p>
      <w:pPr>
        <w:ind w:left="620" w:hanging="126"/>
        <w:spacing w:after="0"/>
        <w:tabs>
          <w:tab w:leader="none" w:pos="620" w:val="left"/>
        </w:tabs>
        <w:numPr>
          <w:ilvl w:val="0"/>
          <w:numId w:val="37"/>
        </w:numPr>
        <w:rPr>
          <w:rFonts w:ascii="Arial" w:cs="Arial" w:eastAsia="Arial" w:hAnsi="Arial"/>
          <w:sz w:val="16"/>
          <w:szCs w:val="16"/>
          <w:color w:val="58595B"/>
        </w:rPr>
      </w:pPr>
      <w:r>
        <w:rPr>
          <w:rFonts w:ascii="Arial" w:cs="Arial" w:eastAsia="Arial" w:hAnsi="Arial"/>
          <w:sz w:val="16"/>
          <w:szCs w:val="16"/>
          <w:color w:val="58595B"/>
        </w:rPr>
        <w:t>Performance over the long term;</w:t>
      </w:r>
    </w:p>
    <w:p>
      <w:pPr>
        <w:spacing w:after="0" w:line="153" w:lineRule="exact"/>
        <w:rPr>
          <w:rFonts w:ascii="Arial" w:cs="Arial" w:eastAsia="Arial" w:hAnsi="Arial"/>
          <w:sz w:val="16"/>
          <w:szCs w:val="16"/>
          <w:color w:val="58595B"/>
        </w:rPr>
      </w:pPr>
    </w:p>
    <w:p>
      <w:pPr>
        <w:ind w:left="620" w:hanging="126"/>
        <w:spacing w:after="0"/>
        <w:tabs>
          <w:tab w:leader="none" w:pos="620" w:val="left"/>
        </w:tabs>
        <w:numPr>
          <w:ilvl w:val="0"/>
          <w:numId w:val="37"/>
        </w:numPr>
        <w:rPr>
          <w:rFonts w:ascii="Arial" w:cs="Arial" w:eastAsia="Arial" w:hAnsi="Arial"/>
          <w:sz w:val="16"/>
          <w:szCs w:val="16"/>
          <w:color w:val="58595B"/>
        </w:rPr>
      </w:pPr>
      <w:r>
        <w:rPr>
          <w:rFonts w:ascii="Arial" w:cs="Arial" w:eastAsia="Arial" w:hAnsi="Arial"/>
          <w:sz w:val="16"/>
          <w:szCs w:val="16"/>
          <w:color w:val="58595B"/>
        </w:rPr>
        <w:t>Performance during the prior year;</w:t>
      </w:r>
    </w:p>
    <w:p>
      <w:pPr>
        <w:spacing w:after="0" w:line="167" w:lineRule="exact"/>
        <w:rPr>
          <w:rFonts w:ascii="Arial" w:cs="Arial" w:eastAsia="Arial" w:hAnsi="Arial"/>
          <w:sz w:val="16"/>
          <w:szCs w:val="16"/>
          <w:color w:val="58595B"/>
        </w:rPr>
      </w:pPr>
    </w:p>
    <w:p>
      <w:pPr>
        <w:ind w:left="620" w:hanging="126"/>
        <w:spacing w:after="0"/>
        <w:tabs>
          <w:tab w:leader="none" w:pos="620" w:val="left"/>
        </w:tabs>
        <w:numPr>
          <w:ilvl w:val="0"/>
          <w:numId w:val="37"/>
        </w:numPr>
        <w:rPr>
          <w:rFonts w:ascii="Arial" w:cs="Arial" w:eastAsia="Arial" w:hAnsi="Arial"/>
          <w:sz w:val="16"/>
          <w:szCs w:val="16"/>
          <w:color w:val="58595B"/>
        </w:rPr>
      </w:pPr>
      <w:r>
        <w:rPr>
          <w:rFonts w:ascii="Arial" w:cs="Arial" w:eastAsia="Arial" w:hAnsi="Arial"/>
          <w:sz w:val="16"/>
          <w:szCs w:val="16"/>
          <w:color w:val="58595B"/>
        </w:rPr>
        <w:t>Long-term potential and succession planning;</w:t>
      </w:r>
    </w:p>
    <w:p>
      <w:pPr>
        <w:spacing w:after="0" w:line="153" w:lineRule="exact"/>
        <w:rPr>
          <w:rFonts w:ascii="Arial" w:cs="Arial" w:eastAsia="Arial" w:hAnsi="Arial"/>
          <w:sz w:val="16"/>
          <w:szCs w:val="16"/>
          <w:color w:val="58595B"/>
        </w:rPr>
      </w:pPr>
    </w:p>
    <w:p>
      <w:pPr>
        <w:ind w:left="620" w:hanging="126"/>
        <w:spacing w:after="0"/>
        <w:tabs>
          <w:tab w:leader="none" w:pos="620" w:val="left"/>
        </w:tabs>
        <w:numPr>
          <w:ilvl w:val="0"/>
          <w:numId w:val="37"/>
        </w:numPr>
        <w:rPr>
          <w:rFonts w:ascii="Arial" w:cs="Arial" w:eastAsia="Arial" w:hAnsi="Arial"/>
          <w:sz w:val="16"/>
          <w:szCs w:val="16"/>
          <w:color w:val="58595B"/>
        </w:rPr>
      </w:pPr>
      <w:r>
        <w:rPr>
          <w:rFonts w:ascii="Arial" w:cs="Arial" w:eastAsia="Arial" w:hAnsi="Arial"/>
          <w:sz w:val="16"/>
          <w:szCs w:val="16"/>
          <w:color w:val="58595B"/>
        </w:rPr>
        <w:t>Retention considerations;</w:t>
      </w:r>
    </w:p>
    <w:p>
      <w:pPr>
        <w:spacing w:after="0" w:line="153" w:lineRule="exact"/>
        <w:rPr>
          <w:rFonts w:ascii="Arial" w:cs="Arial" w:eastAsia="Arial" w:hAnsi="Arial"/>
          <w:sz w:val="16"/>
          <w:szCs w:val="16"/>
          <w:color w:val="58595B"/>
        </w:rPr>
      </w:pPr>
    </w:p>
    <w:p>
      <w:pPr>
        <w:ind w:left="620" w:hanging="126"/>
        <w:spacing w:after="0"/>
        <w:tabs>
          <w:tab w:leader="none" w:pos="620" w:val="left"/>
        </w:tabs>
        <w:numPr>
          <w:ilvl w:val="0"/>
          <w:numId w:val="37"/>
        </w:numPr>
        <w:rPr>
          <w:rFonts w:ascii="Arial" w:cs="Arial" w:eastAsia="Arial" w:hAnsi="Arial"/>
          <w:sz w:val="16"/>
          <w:szCs w:val="16"/>
          <w:color w:val="58595B"/>
        </w:rPr>
      </w:pPr>
      <w:r>
        <w:rPr>
          <w:rFonts w:ascii="Arial" w:cs="Arial" w:eastAsia="Arial" w:hAnsi="Arial"/>
          <w:sz w:val="16"/>
          <w:szCs w:val="16"/>
          <w:color w:val="58595B"/>
        </w:rPr>
        <w:t>Leadership and innovation; and</w:t>
      </w:r>
    </w:p>
    <w:p>
      <w:pPr>
        <w:spacing w:after="0" w:line="167" w:lineRule="exact"/>
        <w:rPr>
          <w:rFonts w:ascii="Arial" w:cs="Arial" w:eastAsia="Arial" w:hAnsi="Arial"/>
          <w:sz w:val="16"/>
          <w:szCs w:val="16"/>
          <w:color w:val="58595B"/>
        </w:rPr>
      </w:pPr>
    </w:p>
    <w:p>
      <w:pPr>
        <w:ind w:left="620" w:hanging="126"/>
        <w:spacing w:after="0"/>
        <w:tabs>
          <w:tab w:leader="none" w:pos="620" w:val="left"/>
        </w:tabs>
        <w:numPr>
          <w:ilvl w:val="0"/>
          <w:numId w:val="37"/>
        </w:numPr>
        <w:rPr>
          <w:rFonts w:ascii="Arial" w:cs="Arial" w:eastAsia="Arial" w:hAnsi="Arial"/>
          <w:sz w:val="16"/>
          <w:szCs w:val="16"/>
          <w:color w:val="58595B"/>
        </w:rPr>
      </w:pPr>
      <w:r>
        <w:rPr>
          <w:rFonts w:ascii="Arial" w:cs="Arial" w:eastAsia="Arial" w:hAnsi="Arial"/>
          <w:sz w:val="16"/>
          <w:szCs w:val="16"/>
          <w:color w:val="58595B"/>
        </w:rPr>
        <w:t>Market practices for comparable positions.</w:t>
      </w:r>
    </w:p>
    <w:p>
      <w:pPr>
        <w:spacing w:after="0" w:line="200" w:lineRule="exact"/>
        <w:rPr>
          <w:sz w:val="20"/>
          <w:szCs w:val="20"/>
          <w:color w:val="auto"/>
        </w:rPr>
      </w:pPr>
    </w:p>
    <w:p>
      <w:pPr>
        <w:spacing w:after="0" w:line="38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48</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4" w:name="page55"/>
    <w:bookmarkEnd w:id="54"/>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009845"/>
        </w:rPr>
        <w:t>2025 Equity Compensation Decisions</w:t>
      </w:r>
    </w:p>
    <w:p>
      <w:pPr>
        <w:spacing w:after="0" w:line="178" w:lineRule="exact"/>
        <w:rPr>
          <w:sz w:val="20"/>
          <w:szCs w:val="20"/>
          <w:color w:val="auto"/>
        </w:rPr>
      </w:pPr>
    </w:p>
    <w:p>
      <w:pPr>
        <w:ind w:right="220"/>
        <w:spacing w:after="0" w:line="356" w:lineRule="auto"/>
        <w:rPr>
          <w:sz w:val="20"/>
          <w:szCs w:val="20"/>
          <w:color w:val="auto"/>
        </w:rPr>
      </w:pPr>
      <w:r>
        <w:rPr>
          <w:rFonts w:ascii="Arial" w:cs="Arial" w:eastAsia="Arial" w:hAnsi="Arial"/>
          <w:sz w:val="16"/>
          <w:szCs w:val="16"/>
          <w:color w:val="58595B"/>
        </w:rPr>
        <w:t>The Compensation Committee reviewed the target total direct compensation of our NEOs compared to our peers and made market adjustments to annual equity grant values to continue to be competitive with our peer group.</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58595B"/>
        </w:rPr>
        <w:t>In January 2025, Ms. Poul received a portion of her annual equity grant consisting of 25% restricted stock units and 25% non-qualified stock options each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with a grant date fair market value of approximately $1,500,000, respectively. In addition, Ms. Poul received a one-time grant of restricted stock units and</w:t>
      </w:r>
    </w:p>
    <w:p>
      <w:pPr>
        <w:spacing w:after="0" w:line="31" w:lineRule="exact"/>
        <w:rPr>
          <w:sz w:val="20"/>
          <w:szCs w:val="20"/>
          <w:color w:val="auto"/>
        </w:rPr>
      </w:pPr>
    </w:p>
    <w:p>
      <w:pPr>
        <w:spacing w:after="0" w:line="184" w:lineRule="exact"/>
        <w:rPr>
          <w:sz w:val="20"/>
          <w:szCs w:val="20"/>
          <w:color w:val="auto"/>
        </w:rPr>
      </w:pPr>
      <w:r>
        <w:rPr>
          <w:rFonts w:ascii="Arial" w:cs="Arial" w:eastAsia="Arial" w:hAnsi="Arial"/>
          <w:sz w:val="16"/>
          <w:szCs w:val="16"/>
          <w:color w:val="58595B"/>
        </w:rPr>
        <w:t>non-qualified stock options each with a grant date fair market value of approximately $750,000. The one</w:t>
      </w:r>
      <w:r>
        <w:rPr>
          <w:rFonts w:ascii="MS PGothic" w:cs="MS PGothic" w:eastAsia="MS PGothic" w:hAnsi="MS PGothic"/>
          <w:sz w:val="16"/>
          <w:szCs w:val="16"/>
          <w:color w:val="58595B"/>
        </w:rPr>
        <w:t>‑</w:t>
      </w:r>
      <w:r>
        <w:rPr>
          <w:rFonts w:ascii="Arial" w:cs="Arial" w:eastAsia="Arial" w:hAnsi="Arial"/>
          <w:sz w:val="16"/>
          <w:szCs w:val="16"/>
          <w:color w:val="58595B"/>
        </w:rPr>
        <w:t>time equity award was granted as an employment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58595B"/>
        </w:rPr>
        <w:t>inducement to secure her acceptance of the Chief Executive Officer role and to replace compensation she was expected to forgo by not standing for</w:t>
      </w:r>
    </w:p>
    <w:p>
      <w:pPr>
        <w:spacing w:after="0" w:line="24" w:lineRule="exact"/>
        <w:rPr>
          <w:sz w:val="20"/>
          <w:szCs w:val="20"/>
          <w:color w:val="auto"/>
        </w:rPr>
      </w:pPr>
    </w:p>
    <w:p>
      <w:pPr>
        <w:spacing w:after="0" w:line="184" w:lineRule="exact"/>
        <w:rPr>
          <w:sz w:val="20"/>
          <w:szCs w:val="20"/>
          <w:color w:val="auto"/>
        </w:rPr>
      </w:pPr>
      <w:r>
        <w:rPr>
          <w:rFonts w:ascii="Arial" w:cs="Arial" w:eastAsia="Arial" w:hAnsi="Arial"/>
          <w:sz w:val="16"/>
          <w:szCs w:val="16"/>
          <w:color w:val="58595B"/>
        </w:rPr>
        <w:t>re</w:t>
      </w:r>
      <w:r>
        <w:rPr>
          <w:rFonts w:ascii="MS PGothic" w:cs="MS PGothic" w:eastAsia="MS PGothic" w:hAnsi="MS PGothic"/>
          <w:sz w:val="16"/>
          <w:szCs w:val="16"/>
          <w:color w:val="58595B"/>
        </w:rPr>
        <w:t>‑</w:t>
      </w:r>
      <w:r>
        <w:rPr>
          <w:rFonts w:ascii="Arial" w:cs="Arial" w:eastAsia="Arial" w:hAnsi="Arial"/>
          <w:sz w:val="16"/>
          <w:szCs w:val="16"/>
          <w:color w:val="58595B"/>
        </w:rPr>
        <w:t>election to two external boards on which she previously served. Ms. Poul received her PSU grant in March 2025 in alignment with the company’s annual</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58595B"/>
        </w:rPr>
        <w:t>grant with a grant date fair market value of approximately $3,000,000. In March 2025, each of the other NEOs received an annual equity grant of PSUs, non-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58595B"/>
        </w:rPr>
        <w:t>qualified stock options and time-based vesting equity awards.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shd w:val="clear" w:color="auto" w:fill="009845"/>
          </w:tcPr>
          <w:p>
            <w:pPr>
              <w:spacing w:after="0"/>
              <w:rPr>
                <w:sz w:val="18"/>
                <w:szCs w:val="18"/>
                <w:color w:val="auto"/>
              </w:rPr>
            </w:pPr>
          </w:p>
        </w:tc>
        <w:tc>
          <w:tcPr>
            <w:tcW w:w="2660" w:type="dxa"/>
            <w:vAlign w:val="bottom"/>
            <w:shd w:val="clear" w:color="auto" w:fill="009845"/>
          </w:tcPr>
          <w:p>
            <w:pPr>
              <w:spacing w:after="0"/>
              <w:rPr>
                <w:sz w:val="18"/>
                <w:szCs w:val="18"/>
                <w:color w:val="auto"/>
              </w:rPr>
            </w:pPr>
          </w:p>
        </w:tc>
        <w:tc>
          <w:tcPr>
            <w:tcW w:w="4240" w:type="dxa"/>
            <w:vAlign w:val="bottom"/>
            <w:gridSpan w:val="3"/>
            <w:shd w:val="clear" w:color="auto" w:fill="009845"/>
          </w:tcPr>
          <w:p>
            <w:pPr>
              <w:jc w:val="right"/>
              <w:ind w:right="1068"/>
              <w:spacing w:after="0"/>
              <w:rPr>
                <w:sz w:val="20"/>
                <w:szCs w:val="20"/>
                <w:color w:val="auto"/>
              </w:rPr>
            </w:pPr>
            <w:r>
              <w:rPr>
                <w:rFonts w:ascii="Arial" w:cs="Arial" w:eastAsia="Arial" w:hAnsi="Arial"/>
                <w:sz w:val="14"/>
                <w:szCs w:val="14"/>
                <w:b w:val="1"/>
                <w:bCs w:val="1"/>
                <w:color w:val="FFFFFF"/>
              </w:rPr>
              <w:t>Fair Market Value At Grant — 2025</w:t>
            </w:r>
          </w:p>
        </w:tc>
        <w:tc>
          <w:tcPr>
            <w:tcW w:w="1120" w:type="dxa"/>
            <w:vAlign w:val="bottom"/>
            <w:shd w:val="clear" w:color="auto" w:fill="009845"/>
          </w:tcPr>
          <w:p>
            <w:pPr>
              <w:spacing w:after="0"/>
              <w:rPr>
                <w:sz w:val="18"/>
                <w:szCs w:val="18"/>
                <w:color w:val="auto"/>
              </w:rPr>
            </w:pPr>
          </w:p>
        </w:tc>
      </w:tr>
      <w:tr>
        <w:trPr>
          <w:trHeight w:val="220"/>
        </w:trPr>
        <w:tc>
          <w:tcPr>
            <w:tcW w:w="2900" w:type="dxa"/>
            <w:vAlign w:val="bottom"/>
            <w:shd w:val="clear" w:color="auto" w:fill="009845"/>
          </w:tcPr>
          <w:p>
            <w:pPr>
              <w:spacing w:after="0"/>
              <w:rPr>
                <w:sz w:val="19"/>
                <w:szCs w:val="19"/>
                <w:color w:val="auto"/>
              </w:rPr>
            </w:pPr>
          </w:p>
        </w:tc>
        <w:tc>
          <w:tcPr>
            <w:tcW w:w="2660" w:type="dxa"/>
            <w:vAlign w:val="bottom"/>
            <w:shd w:val="clear" w:color="auto" w:fill="009845"/>
          </w:tcPr>
          <w:p>
            <w:pPr>
              <w:jc w:val="right"/>
              <w:ind w:right="28"/>
              <w:spacing w:after="0"/>
              <w:rPr>
                <w:sz w:val="20"/>
                <w:szCs w:val="20"/>
                <w:color w:val="auto"/>
              </w:rPr>
            </w:pPr>
            <w:r>
              <w:rPr>
                <w:rFonts w:ascii="Arial" w:cs="Arial" w:eastAsia="Arial" w:hAnsi="Arial"/>
                <w:sz w:val="14"/>
                <w:szCs w:val="14"/>
                <w:b w:val="1"/>
                <w:bCs w:val="1"/>
                <w:color w:val="FFFFFF"/>
              </w:rPr>
              <w:t>Restricted Stock</w:t>
            </w:r>
          </w:p>
        </w:tc>
        <w:tc>
          <w:tcPr>
            <w:tcW w:w="1420" w:type="dxa"/>
            <w:vAlign w:val="bottom"/>
            <w:shd w:val="clear" w:color="auto" w:fill="009845"/>
          </w:tcPr>
          <w:p>
            <w:pPr>
              <w:jc w:val="right"/>
              <w:ind w:right="108"/>
              <w:spacing w:after="0"/>
              <w:rPr>
                <w:sz w:val="20"/>
                <w:szCs w:val="20"/>
                <w:color w:val="auto"/>
              </w:rPr>
            </w:pPr>
            <w:r>
              <w:rPr>
                <w:rFonts w:ascii="Arial" w:cs="Arial" w:eastAsia="Arial" w:hAnsi="Arial"/>
                <w:sz w:val="14"/>
                <w:szCs w:val="14"/>
                <w:b w:val="1"/>
                <w:bCs w:val="1"/>
                <w:color w:val="FFFFFF"/>
              </w:rPr>
              <w:t>Restricted Stock</w:t>
            </w:r>
          </w:p>
        </w:tc>
        <w:tc>
          <w:tcPr>
            <w:tcW w:w="1380" w:type="dxa"/>
            <w:vAlign w:val="bottom"/>
            <w:shd w:val="clear" w:color="auto" w:fill="009845"/>
          </w:tcPr>
          <w:p>
            <w:pPr>
              <w:jc w:val="right"/>
              <w:ind w:right="148"/>
              <w:spacing w:after="0"/>
              <w:rPr>
                <w:sz w:val="20"/>
                <w:szCs w:val="20"/>
                <w:color w:val="auto"/>
              </w:rPr>
            </w:pPr>
            <w:r>
              <w:rPr>
                <w:rFonts w:ascii="Arial" w:cs="Arial" w:eastAsia="Arial" w:hAnsi="Arial"/>
                <w:sz w:val="14"/>
                <w:szCs w:val="14"/>
                <w:b w:val="1"/>
                <w:bCs w:val="1"/>
                <w:color w:val="FFFFFF"/>
              </w:rPr>
              <w:t>Non-Qualified</w:t>
            </w:r>
          </w:p>
        </w:tc>
        <w:tc>
          <w:tcPr>
            <w:tcW w:w="1440" w:type="dxa"/>
            <w:vAlign w:val="bottom"/>
            <w:shd w:val="clear" w:color="auto" w:fill="009845"/>
          </w:tcPr>
          <w:p>
            <w:pPr>
              <w:jc w:val="right"/>
              <w:ind w:right="268"/>
              <w:spacing w:after="0"/>
              <w:rPr>
                <w:sz w:val="20"/>
                <w:szCs w:val="20"/>
                <w:color w:val="auto"/>
              </w:rPr>
            </w:pPr>
            <w:r>
              <w:rPr>
                <w:rFonts w:ascii="Arial" w:cs="Arial" w:eastAsia="Arial" w:hAnsi="Arial"/>
                <w:sz w:val="14"/>
                <w:szCs w:val="14"/>
                <w:b w:val="1"/>
                <w:bCs w:val="1"/>
                <w:color w:val="FFFFFF"/>
              </w:rPr>
              <w:t>Performance</w:t>
            </w:r>
          </w:p>
        </w:tc>
        <w:tc>
          <w:tcPr>
            <w:tcW w:w="1120" w:type="dxa"/>
            <w:vAlign w:val="bottom"/>
            <w:shd w:val="clear" w:color="auto" w:fill="009845"/>
          </w:tcPr>
          <w:p>
            <w:pPr>
              <w:spacing w:after="0"/>
              <w:rPr>
                <w:sz w:val="19"/>
                <w:szCs w:val="19"/>
                <w:color w:val="auto"/>
              </w:rPr>
            </w:pPr>
          </w:p>
        </w:tc>
      </w:tr>
      <w:tr>
        <w:trPr>
          <w:trHeight w:val="212"/>
        </w:trPr>
        <w:tc>
          <w:tcPr>
            <w:tcW w:w="2900" w:type="dxa"/>
            <w:vAlign w:val="bottom"/>
            <w:shd w:val="clear" w:color="auto" w:fill="009845"/>
          </w:tcPr>
          <w:p>
            <w:pPr>
              <w:spacing w:after="0"/>
              <w:rPr>
                <w:sz w:val="18"/>
                <w:szCs w:val="18"/>
                <w:color w:val="auto"/>
              </w:rPr>
            </w:pPr>
          </w:p>
        </w:tc>
        <w:tc>
          <w:tcPr>
            <w:tcW w:w="2660" w:type="dxa"/>
            <w:vAlign w:val="bottom"/>
            <w:shd w:val="clear" w:color="auto" w:fill="009845"/>
          </w:tcPr>
          <w:p>
            <w:pPr>
              <w:jc w:val="right"/>
              <w:ind w:right="28"/>
              <w:spacing w:after="0"/>
              <w:rPr>
                <w:sz w:val="20"/>
                <w:szCs w:val="20"/>
                <w:color w:val="auto"/>
              </w:rPr>
            </w:pPr>
            <w:r>
              <w:rPr>
                <w:rFonts w:ascii="Arial" w:cs="Arial" w:eastAsia="Arial" w:hAnsi="Arial"/>
                <w:sz w:val="14"/>
                <w:szCs w:val="14"/>
                <w:b w:val="1"/>
                <w:bCs w:val="1"/>
                <w:color w:val="FFFFFF"/>
              </w:rPr>
              <w:t>Awards</w:t>
            </w:r>
          </w:p>
        </w:tc>
        <w:tc>
          <w:tcPr>
            <w:tcW w:w="1420" w:type="dxa"/>
            <w:vAlign w:val="bottom"/>
            <w:shd w:val="clear" w:color="auto" w:fill="009845"/>
          </w:tcPr>
          <w:p>
            <w:pPr>
              <w:jc w:val="right"/>
              <w:ind w:right="108"/>
              <w:spacing w:after="0"/>
              <w:rPr>
                <w:sz w:val="20"/>
                <w:szCs w:val="20"/>
                <w:color w:val="auto"/>
              </w:rPr>
            </w:pPr>
            <w:r>
              <w:rPr>
                <w:rFonts w:ascii="Arial" w:cs="Arial" w:eastAsia="Arial" w:hAnsi="Arial"/>
                <w:sz w:val="14"/>
                <w:szCs w:val="14"/>
                <w:b w:val="1"/>
                <w:bCs w:val="1"/>
                <w:color w:val="FFFFFF"/>
              </w:rPr>
              <w:t>Units</w:t>
            </w:r>
          </w:p>
        </w:tc>
        <w:tc>
          <w:tcPr>
            <w:tcW w:w="1380" w:type="dxa"/>
            <w:vAlign w:val="bottom"/>
            <w:shd w:val="clear" w:color="auto" w:fill="009845"/>
          </w:tcPr>
          <w:p>
            <w:pPr>
              <w:jc w:val="right"/>
              <w:ind w:right="148"/>
              <w:spacing w:after="0"/>
              <w:rPr>
                <w:sz w:val="20"/>
                <w:szCs w:val="20"/>
                <w:color w:val="auto"/>
              </w:rPr>
            </w:pPr>
            <w:r>
              <w:rPr>
                <w:rFonts w:ascii="Arial" w:cs="Arial" w:eastAsia="Arial" w:hAnsi="Arial"/>
                <w:sz w:val="14"/>
                <w:szCs w:val="14"/>
                <w:b w:val="1"/>
                <w:bCs w:val="1"/>
                <w:color w:val="FFFFFF"/>
              </w:rPr>
              <w:t>Stock Options</w:t>
            </w:r>
          </w:p>
        </w:tc>
        <w:tc>
          <w:tcPr>
            <w:tcW w:w="1440" w:type="dxa"/>
            <w:vAlign w:val="bottom"/>
            <w:shd w:val="clear" w:color="auto" w:fill="009845"/>
          </w:tcPr>
          <w:p>
            <w:pPr>
              <w:jc w:val="right"/>
              <w:ind w:right="268"/>
              <w:spacing w:after="0"/>
              <w:rPr>
                <w:sz w:val="20"/>
                <w:szCs w:val="20"/>
                <w:color w:val="auto"/>
              </w:rPr>
            </w:pPr>
            <w:r>
              <w:rPr>
                <w:rFonts w:ascii="Arial" w:cs="Arial" w:eastAsia="Arial" w:hAnsi="Arial"/>
                <w:sz w:val="14"/>
                <w:szCs w:val="14"/>
                <w:b w:val="1"/>
                <w:bCs w:val="1"/>
                <w:color w:val="FFFFFF"/>
              </w:rPr>
              <w:t>Stock Units</w:t>
            </w:r>
          </w:p>
        </w:tc>
        <w:tc>
          <w:tcPr>
            <w:tcW w:w="1120" w:type="dxa"/>
            <w:vAlign w:val="bottom"/>
            <w:shd w:val="clear" w:color="auto" w:fill="009845"/>
          </w:tcPr>
          <w:p>
            <w:pPr>
              <w:jc w:val="right"/>
              <w:ind w:right="48"/>
              <w:spacing w:after="0"/>
              <w:rPr>
                <w:sz w:val="20"/>
                <w:szCs w:val="20"/>
                <w:color w:val="auto"/>
              </w:rPr>
            </w:pPr>
            <w:r>
              <w:rPr>
                <w:rFonts w:ascii="Arial" w:cs="Arial" w:eastAsia="Arial" w:hAnsi="Arial"/>
                <w:sz w:val="14"/>
                <w:szCs w:val="14"/>
                <w:b w:val="1"/>
                <w:bCs w:val="1"/>
                <w:color w:val="FFFFFF"/>
              </w:rPr>
              <w:t>Total</w:t>
            </w:r>
          </w:p>
        </w:tc>
      </w:tr>
      <w:tr>
        <w:trPr>
          <w:trHeight w:val="230"/>
        </w:trPr>
        <w:tc>
          <w:tcPr>
            <w:tcW w:w="2900" w:type="dxa"/>
            <w:vAlign w:val="bottom"/>
            <w:shd w:val="clear" w:color="auto" w:fill="EFEDED"/>
          </w:tcPr>
          <w:p>
            <w:pPr>
              <w:ind w:left="140"/>
              <w:spacing w:after="0"/>
              <w:rPr>
                <w:sz w:val="20"/>
                <w:szCs w:val="20"/>
                <w:color w:val="auto"/>
              </w:rPr>
            </w:pPr>
            <w:r>
              <w:rPr>
                <w:rFonts w:ascii="Arial" w:cs="Arial" w:eastAsia="Arial" w:hAnsi="Arial"/>
                <w:sz w:val="14"/>
                <w:szCs w:val="14"/>
                <w:b w:val="1"/>
                <w:bCs w:val="1"/>
                <w:color w:val="58595B"/>
              </w:rPr>
              <w:t>Mojdeh Poul</w:t>
            </w:r>
          </w:p>
        </w:tc>
        <w:tc>
          <w:tcPr>
            <w:tcW w:w="2660" w:type="dxa"/>
            <w:vAlign w:val="bottom"/>
            <w:shd w:val="clear" w:color="auto" w:fill="EFEDED"/>
          </w:tcPr>
          <w:p>
            <w:pPr>
              <w:spacing w:after="0"/>
              <w:rPr>
                <w:sz w:val="19"/>
                <w:szCs w:val="19"/>
                <w:color w:val="auto"/>
              </w:rPr>
            </w:pPr>
          </w:p>
        </w:tc>
        <w:tc>
          <w:tcPr>
            <w:tcW w:w="1420" w:type="dxa"/>
            <w:vAlign w:val="bottom"/>
            <w:shd w:val="clear" w:color="auto" w:fill="EFEDED"/>
          </w:tcPr>
          <w:p>
            <w:pPr>
              <w:jc w:val="right"/>
              <w:ind w:right="168"/>
              <w:spacing w:after="0"/>
              <w:rPr>
                <w:sz w:val="20"/>
                <w:szCs w:val="20"/>
                <w:color w:val="auto"/>
              </w:rPr>
            </w:pPr>
            <w:r>
              <w:rPr>
                <w:rFonts w:ascii="Arial" w:cs="Arial" w:eastAsia="Arial" w:hAnsi="Arial"/>
                <w:sz w:val="14"/>
                <w:szCs w:val="14"/>
                <w:color w:val="58595B"/>
              </w:rPr>
              <w:t>2,219,867</w:t>
            </w:r>
          </w:p>
        </w:tc>
        <w:tc>
          <w:tcPr>
            <w:tcW w:w="1380" w:type="dxa"/>
            <w:vAlign w:val="bottom"/>
            <w:shd w:val="clear" w:color="auto" w:fill="EFEDED"/>
          </w:tcPr>
          <w:p>
            <w:pPr>
              <w:jc w:val="right"/>
              <w:ind w:right="208"/>
              <w:spacing w:after="0"/>
              <w:rPr>
                <w:sz w:val="20"/>
                <w:szCs w:val="20"/>
                <w:color w:val="auto"/>
              </w:rPr>
            </w:pPr>
            <w:r>
              <w:rPr>
                <w:rFonts w:ascii="Arial" w:cs="Arial" w:eastAsia="Arial" w:hAnsi="Arial"/>
                <w:sz w:val="14"/>
                <w:szCs w:val="14"/>
                <w:color w:val="58595B"/>
              </w:rPr>
              <w:t>2,250,011</w:t>
            </w:r>
          </w:p>
        </w:tc>
        <w:tc>
          <w:tcPr>
            <w:tcW w:w="144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3,000,001</w:t>
            </w:r>
          </w:p>
        </w:tc>
        <w:tc>
          <w:tcPr>
            <w:tcW w:w="1120" w:type="dxa"/>
            <w:vAlign w:val="bottom"/>
            <w:shd w:val="clear" w:color="auto" w:fill="EFEDED"/>
          </w:tcPr>
          <w:p>
            <w:pPr>
              <w:jc w:val="right"/>
              <w:ind w:right="88"/>
              <w:spacing w:after="0"/>
              <w:rPr>
                <w:sz w:val="20"/>
                <w:szCs w:val="20"/>
                <w:color w:val="auto"/>
              </w:rPr>
            </w:pPr>
            <w:r>
              <w:rPr>
                <w:rFonts w:ascii="Arial" w:cs="Arial" w:eastAsia="Arial" w:hAnsi="Arial"/>
                <w:sz w:val="14"/>
                <w:szCs w:val="14"/>
                <w:color w:val="58595B"/>
              </w:rPr>
              <w:t>7,469,879</w:t>
            </w:r>
          </w:p>
        </w:tc>
      </w:tr>
      <w:tr>
        <w:trPr>
          <w:trHeight w:val="222"/>
        </w:trPr>
        <w:tc>
          <w:tcPr>
            <w:tcW w:w="2900" w:type="dxa"/>
            <w:vAlign w:val="bottom"/>
          </w:tcPr>
          <w:p>
            <w:pPr>
              <w:ind w:left="140"/>
              <w:spacing w:after="0"/>
              <w:rPr>
                <w:sz w:val="20"/>
                <w:szCs w:val="20"/>
                <w:color w:val="auto"/>
              </w:rPr>
            </w:pPr>
            <w:r>
              <w:rPr>
                <w:rFonts w:ascii="Arial" w:cs="Arial" w:eastAsia="Arial" w:hAnsi="Arial"/>
                <w:sz w:val="14"/>
                <w:szCs w:val="14"/>
                <w:b w:val="1"/>
                <w:bCs w:val="1"/>
                <w:color w:val="58595B"/>
              </w:rPr>
              <w:t>Lea Knight</w:t>
            </w:r>
          </w:p>
        </w:tc>
        <w:tc>
          <w:tcPr>
            <w:tcW w:w="2660" w:type="dxa"/>
            <w:vAlign w:val="bottom"/>
          </w:tcPr>
          <w:p>
            <w:pPr>
              <w:jc w:val="right"/>
              <w:ind w:right="88"/>
              <w:spacing w:after="0"/>
              <w:rPr>
                <w:sz w:val="20"/>
                <w:szCs w:val="20"/>
                <w:color w:val="auto"/>
              </w:rPr>
            </w:pPr>
            <w:r>
              <w:rPr>
                <w:rFonts w:ascii="Arial" w:cs="Arial" w:eastAsia="Arial" w:hAnsi="Arial"/>
                <w:sz w:val="14"/>
                <w:szCs w:val="14"/>
                <w:color w:val="58595B"/>
              </w:rPr>
              <w:t>499,573</w:t>
            </w:r>
          </w:p>
        </w:tc>
        <w:tc>
          <w:tcPr>
            <w:tcW w:w="1420" w:type="dxa"/>
            <w:vAlign w:val="bottom"/>
          </w:tcPr>
          <w:p>
            <w:pPr>
              <w:spacing w:after="0"/>
              <w:rPr>
                <w:sz w:val="19"/>
                <w:szCs w:val="19"/>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58595B"/>
              </w:rPr>
              <w:t>499,574</w:t>
            </w:r>
          </w:p>
        </w:tc>
        <w:tc>
          <w:tcPr>
            <w:tcW w:w="1440" w:type="dxa"/>
            <w:vAlign w:val="bottom"/>
          </w:tcPr>
          <w:p>
            <w:pPr>
              <w:jc w:val="right"/>
              <w:ind w:right="308"/>
              <w:spacing w:after="0"/>
              <w:rPr>
                <w:sz w:val="20"/>
                <w:szCs w:val="20"/>
                <w:color w:val="auto"/>
              </w:rPr>
            </w:pPr>
            <w:r>
              <w:rPr>
                <w:rFonts w:ascii="Arial" w:cs="Arial" w:eastAsia="Arial" w:hAnsi="Arial"/>
                <w:sz w:val="14"/>
                <w:szCs w:val="14"/>
                <w:color w:val="58595B"/>
              </w:rPr>
              <w:t>999,146</w:t>
            </w:r>
          </w:p>
        </w:tc>
        <w:tc>
          <w:tcPr>
            <w:tcW w:w="1120" w:type="dxa"/>
            <w:vAlign w:val="bottom"/>
          </w:tcPr>
          <w:p>
            <w:pPr>
              <w:jc w:val="right"/>
              <w:ind w:right="88"/>
              <w:spacing w:after="0"/>
              <w:rPr>
                <w:sz w:val="20"/>
                <w:szCs w:val="20"/>
                <w:color w:val="auto"/>
              </w:rPr>
            </w:pPr>
            <w:r>
              <w:rPr>
                <w:rFonts w:ascii="Arial" w:cs="Arial" w:eastAsia="Arial" w:hAnsi="Arial"/>
                <w:sz w:val="14"/>
                <w:szCs w:val="14"/>
                <w:color w:val="58595B"/>
              </w:rPr>
              <w:t>1,998,293</w:t>
            </w:r>
          </w:p>
        </w:tc>
      </w:tr>
      <w:tr>
        <w:trPr>
          <w:trHeight w:val="237"/>
        </w:trPr>
        <w:tc>
          <w:tcPr>
            <w:tcW w:w="2900" w:type="dxa"/>
            <w:vAlign w:val="bottom"/>
            <w:shd w:val="clear" w:color="auto" w:fill="EFEDED"/>
          </w:tcPr>
          <w:p>
            <w:pPr>
              <w:ind w:left="140"/>
              <w:spacing w:after="0"/>
              <w:rPr>
                <w:sz w:val="20"/>
                <w:szCs w:val="20"/>
                <w:color w:val="auto"/>
              </w:rPr>
            </w:pPr>
            <w:r>
              <w:rPr>
                <w:rFonts w:ascii="Arial" w:cs="Arial" w:eastAsia="Arial" w:hAnsi="Arial"/>
                <w:sz w:val="14"/>
                <w:szCs w:val="14"/>
                <w:b w:val="1"/>
                <w:bCs w:val="1"/>
                <w:color w:val="58595B"/>
              </w:rPr>
              <w:t>Robert T. Davis, Jr.</w:t>
            </w:r>
          </w:p>
        </w:tc>
        <w:tc>
          <w:tcPr>
            <w:tcW w:w="2660" w:type="dxa"/>
            <w:vAlign w:val="bottom"/>
            <w:shd w:val="clear" w:color="auto" w:fill="EFEDED"/>
          </w:tcPr>
          <w:p>
            <w:pPr>
              <w:jc w:val="right"/>
              <w:ind w:right="88"/>
              <w:spacing w:after="0"/>
              <w:rPr>
                <w:sz w:val="20"/>
                <w:szCs w:val="20"/>
                <w:color w:val="auto"/>
              </w:rPr>
            </w:pPr>
            <w:r>
              <w:rPr>
                <w:rFonts w:ascii="Arial" w:cs="Arial" w:eastAsia="Arial" w:hAnsi="Arial"/>
                <w:sz w:val="14"/>
                <w:szCs w:val="14"/>
                <w:color w:val="58595B"/>
              </w:rPr>
              <w:t>297,579</w:t>
            </w:r>
          </w:p>
        </w:tc>
        <w:tc>
          <w:tcPr>
            <w:tcW w:w="1420" w:type="dxa"/>
            <w:vAlign w:val="bottom"/>
            <w:shd w:val="clear" w:color="auto" w:fill="EFEDED"/>
          </w:tcPr>
          <w:p>
            <w:pPr>
              <w:spacing w:after="0"/>
              <w:rPr>
                <w:sz w:val="20"/>
                <w:szCs w:val="20"/>
                <w:color w:val="auto"/>
              </w:rPr>
            </w:pPr>
          </w:p>
        </w:tc>
        <w:tc>
          <w:tcPr>
            <w:tcW w:w="1380" w:type="dxa"/>
            <w:vAlign w:val="bottom"/>
            <w:shd w:val="clear" w:color="auto" w:fill="EFEDED"/>
          </w:tcPr>
          <w:p>
            <w:pPr>
              <w:jc w:val="right"/>
              <w:ind w:right="208"/>
              <w:spacing w:after="0"/>
              <w:rPr>
                <w:sz w:val="20"/>
                <w:szCs w:val="20"/>
                <w:color w:val="auto"/>
              </w:rPr>
            </w:pPr>
            <w:r>
              <w:rPr>
                <w:rFonts w:ascii="Arial" w:cs="Arial" w:eastAsia="Arial" w:hAnsi="Arial"/>
                <w:sz w:val="14"/>
                <w:szCs w:val="14"/>
                <w:color w:val="58595B"/>
              </w:rPr>
              <w:t>297,566</w:t>
            </w:r>
          </w:p>
        </w:tc>
        <w:tc>
          <w:tcPr>
            <w:tcW w:w="144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595,134</w:t>
            </w:r>
          </w:p>
        </w:tc>
        <w:tc>
          <w:tcPr>
            <w:tcW w:w="1120" w:type="dxa"/>
            <w:vAlign w:val="bottom"/>
            <w:shd w:val="clear" w:color="auto" w:fill="EFEDED"/>
          </w:tcPr>
          <w:p>
            <w:pPr>
              <w:jc w:val="right"/>
              <w:ind w:right="88"/>
              <w:spacing w:after="0"/>
              <w:rPr>
                <w:sz w:val="20"/>
                <w:szCs w:val="20"/>
                <w:color w:val="auto"/>
              </w:rPr>
            </w:pPr>
            <w:r>
              <w:rPr>
                <w:rFonts w:ascii="Arial" w:cs="Arial" w:eastAsia="Arial" w:hAnsi="Arial"/>
                <w:sz w:val="14"/>
                <w:szCs w:val="14"/>
                <w:color w:val="58595B"/>
              </w:rPr>
              <w:t>1,190,279</w:t>
            </w:r>
          </w:p>
        </w:tc>
      </w:tr>
      <w:tr>
        <w:trPr>
          <w:trHeight w:val="222"/>
        </w:trPr>
        <w:tc>
          <w:tcPr>
            <w:tcW w:w="2900" w:type="dxa"/>
            <w:vAlign w:val="bottom"/>
          </w:tcPr>
          <w:p>
            <w:pPr>
              <w:ind w:left="140"/>
              <w:spacing w:after="0"/>
              <w:rPr>
                <w:sz w:val="20"/>
                <w:szCs w:val="20"/>
                <w:color w:val="auto"/>
              </w:rPr>
            </w:pPr>
            <w:r>
              <w:rPr>
                <w:rFonts w:ascii="Arial" w:cs="Arial" w:eastAsia="Arial" w:hAnsi="Arial"/>
                <w:sz w:val="14"/>
                <w:szCs w:val="14"/>
                <w:b w:val="1"/>
                <w:bCs w:val="1"/>
                <w:color w:val="58595B"/>
              </w:rPr>
              <w:t>Michael J. McBreen</w:t>
            </w:r>
          </w:p>
        </w:tc>
        <w:tc>
          <w:tcPr>
            <w:tcW w:w="2660" w:type="dxa"/>
            <w:vAlign w:val="bottom"/>
          </w:tcPr>
          <w:p>
            <w:pPr>
              <w:jc w:val="right"/>
              <w:ind w:right="88"/>
              <w:spacing w:after="0"/>
              <w:rPr>
                <w:sz w:val="20"/>
                <w:szCs w:val="20"/>
                <w:color w:val="auto"/>
              </w:rPr>
            </w:pPr>
            <w:r>
              <w:rPr>
                <w:rFonts w:ascii="Arial" w:cs="Arial" w:eastAsia="Arial" w:hAnsi="Arial"/>
                <w:sz w:val="14"/>
                <w:szCs w:val="14"/>
                <w:color w:val="58595B"/>
              </w:rPr>
              <w:t>442,596</w:t>
            </w:r>
          </w:p>
        </w:tc>
        <w:tc>
          <w:tcPr>
            <w:tcW w:w="1420" w:type="dxa"/>
            <w:vAlign w:val="bottom"/>
          </w:tcPr>
          <w:p>
            <w:pPr>
              <w:spacing w:after="0"/>
              <w:rPr>
                <w:sz w:val="19"/>
                <w:szCs w:val="19"/>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color w:val="58595B"/>
              </w:rPr>
              <w:t>442,583</w:t>
            </w:r>
          </w:p>
        </w:tc>
        <w:tc>
          <w:tcPr>
            <w:tcW w:w="1440" w:type="dxa"/>
            <w:vAlign w:val="bottom"/>
          </w:tcPr>
          <w:p>
            <w:pPr>
              <w:jc w:val="right"/>
              <w:ind w:right="308"/>
              <w:spacing w:after="0"/>
              <w:rPr>
                <w:sz w:val="20"/>
                <w:szCs w:val="20"/>
                <w:color w:val="auto"/>
              </w:rPr>
            </w:pPr>
            <w:r>
              <w:rPr>
                <w:rFonts w:ascii="Arial" w:cs="Arial" w:eastAsia="Arial" w:hAnsi="Arial"/>
                <w:sz w:val="14"/>
                <w:szCs w:val="14"/>
                <w:color w:val="58595B"/>
              </w:rPr>
              <w:t>885,168</w:t>
            </w:r>
          </w:p>
        </w:tc>
        <w:tc>
          <w:tcPr>
            <w:tcW w:w="1120" w:type="dxa"/>
            <w:vAlign w:val="bottom"/>
          </w:tcPr>
          <w:p>
            <w:pPr>
              <w:jc w:val="right"/>
              <w:ind w:right="88"/>
              <w:spacing w:after="0"/>
              <w:rPr>
                <w:sz w:val="20"/>
                <w:szCs w:val="20"/>
                <w:color w:val="auto"/>
              </w:rPr>
            </w:pPr>
            <w:r>
              <w:rPr>
                <w:rFonts w:ascii="Arial" w:cs="Arial" w:eastAsia="Arial" w:hAnsi="Arial"/>
                <w:sz w:val="14"/>
                <w:szCs w:val="14"/>
                <w:color w:val="58595B"/>
              </w:rPr>
              <w:t>1,770,347</w:t>
            </w:r>
          </w:p>
        </w:tc>
      </w:tr>
      <w:tr>
        <w:trPr>
          <w:trHeight w:val="231"/>
        </w:trPr>
        <w:tc>
          <w:tcPr>
            <w:tcW w:w="2900" w:type="dxa"/>
            <w:vAlign w:val="bottom"/>
            <w:tcBorders>
              <w:bottom w:val="single" w:sz="8" w:color="58595B"/>
            </w:tcBorders>
            <w:shd w:val="clear" w:color="auto" w:fill="EFEDED"/>
          </w:tcPr>
          <w:p>
            <w:pPr>
              <w:ind w:left="140"/>
              <w:spacing w:after="0"/>
              <w:rPr>
                <w:sz w:val="20"/>
                <w:szCs w:val="20"/>
                <w:color w:val="auto"/>
              </w:rPr>
            </w:pPr>
            <w:r>
              <w:rPr>
                <w:rFonts w:ascii="Arial" w:cs="Arial" w:eastAsia="Arial" w:hAnsi="Arial"/>
                <w:sz w:val="14"/>
                <w:szCs w:val="14"/>
                <w:b w:val="1"/>
                <w:bCs w:val="1"/>
                <w:color w:val="58595B"/>
              </w:rPr>
              <w:t>Harvinder Singh</w:t>
            </w:r>
          </w:p>
        </w:tc>
        <w:tc>
          <w:tcPr>
            <w:tcW w:w="2660" w:type="dxa"/>
            <w:vAlign w:val="bottom"/>
            <w:tcBorders>
              <w:bottom w:val="single" w:sz="8" w:color="58595B"/>
            </w:tcBorders>
            <w:shd w:val="clear" w:color="auto" w:fill="EFEDED"/>
          </w:tcPr>
          <w:p>
            <w:pPr>
              <w:jc w:val="right"/>
              <w:ind w:right="88"/>
              <w:spacing w:after="0"/>
              <w:rPr>
                <w:sz w:val="20"/>
                <w:szCs w:val="20"/>
                <w:color w:val="auto"/>
              </w:rPr>
            </w:pPr>
            <w:r>
              <w:rPr>
                <w:rFonts w:ascii="Arial" w:cs="Arial" w:eastAsia="Arial" w:hAnsi="Arial"/>
                <w:sz w:val="14"/>
                <w:szCs w:val="14"/>
                <w:color w:val="58595B"/>
              </w:rPr>
              <w:t>227,717</w:t>
            </w:r>
          </w:p>
        </w:tc>
        <w:tc>
          <w:tcPr>
            <w:tcW w:w="1420" w:type="dxa"/>
            <w:vAlign w:val="bottom"/>
            <w:tcBorders>
              <w:bottom w:val="single" w:sz="8" w:color="58595B"/>
            </w:tcBorders>
            <w:shd w:val="clear" w:color="auto" w:fill="EFEDED"/>
          </w:tcPr>
          <w:p>
            <w:pPr>
              <w:spacing w:after="0"/>
              <w:rPr>
                <w:sz w:val="20"/>
                <w:szCs w:val="20"/>
                <w:color w:val="auto"/>
              </w:rPr>
            </w:pPr>
          </w:p>
        </w:tc>
        <w:tc>
          <w:tcPr>
            <w:tcW w:w="1380" w:type="dxa"/>
            <w:vAlign w:val="bottom"/>
            <w:tcBorders>
              <w:bottom w:val="single" w:sz="8" w:color="58595B"/>
            </w:tcBorders>
            <w:shd w:val="clear" w:color="auto" w:fill="EFEDED"/>
          </w:tcPr>
          <w:p>
            <w:pPr>
              <w:jc w:val="right"/>
              <w:ind w:right="208"/>
              <w:spacing w:after="0"/>
              <w:rPr>
                <w:sz w:val="20"/>
                <w:szCs w:val="20"/>
                <w:color w:val="auto"/>
              </w:rPr>
            </w:pPr>
            <w:r>
              <w:rPr>
                <w:rFonts w:ascii="Arial" w:cs="Arial" w:eastAsia="Arial" w:hAnsi="Arial"/>
                <w:sz w:val="14"/>
                <w:szCs w:val="14"/>
                <w:color w:val="58595B"/>
              </w:rPr>
              <w:t>227,704</w:t>
            </w:r>
          </w:p>
        </w:tc>
        <w:tc>
          <w:tcPr>
            <w:tcW w:w="1440" w:type="dxa"/>
            <w:vAlign w:val="bottom"/>
            <w:tcBorders>
              <w:bottom w:val="single" w:sz="8" w:color="58595B"/>
            </w:tcBorders>
            <w:shd w:val="clear" w:color="auto" w:fill="EFEDED"/>
          </w:tcPr>
          <w:p>
            <w:pPr>
              <w:jc w:val="right"/>
              <w:ind w:right="308"/>
              <w:spacing w:after="0"/>
              <w:rPr>
                <w:sz w:val="20"/>
                <w:szCs w:val="20"/>
                <w:color w:val="auto"/>
              </w:rPr>
            </w:pPr>
            <w:r>
              <w:rPr>
                <w:rFonts w:ascii="Arial" w:cs="Arial" w:eastAsia="Arial" w:hAnsi="Arial"/>
                <w:sz w:val="14"/>
                <w:szCs w:val="14"/>
                <w:color w:val="58595B"/>
              </w:rPr>
              <w:t>455,409</w:t>
            </w:r>
          </w:p>
        </w:tc>
        <w:tc>
          <w:tcPr>
            <w:tcW w:w="1120" w:type="dxa"/>
            <w:vAlign w:val="bottom"/>
            <w:tcBorders>
              <w:bottom w:val="single" w:sz="8" w:color="58595B"/>
            </w:tcBorders>
            <w:shd w:val="clear" w:color="auto" w:fill="EFEDED"/>
          </w:tcPr>
          <w:p>
            <w:pPr>
              <w:jc w:val="right"/>
              <w:ind w:right="88"/>
              <w:spacing w:after="0"/>
              <w:rPr>
                <w:sz w:val="20"/>
                <w:szCs w:val="20"/>
                <w:color w:val="auto"/>
              </w:rPr>
            </w:pPr>
            <w:r>
              <w:rPr>
                <w:rFonts w:ascii="Arial" w:cs="Arial" w:eastAsia="Arial" w:hAnsi="Arial"/>
                <w:sz w:val="14"/>
                <w:szCs w:val="14"/>
                <w:color w:val="58595B"/>
              </w:rPr>
              <w:t>910,830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-1002030</wp:posOffset>
            </wp:positionV>
            <wp:extent cx="42430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106"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Due to his retirement on January 6, 2025, Mr. De Witte did not receive an annual equity grant for 2025.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Using Organic Revenue Growth As The PSU Performance Metric</w:t>
      </w:r>
    </w:p>
    <w:p>
      <w:pPr>
        <w:spacing w:after="0" w:line="81" w:lineRule="exact"/>
        <w:rPr>
          <w:sz w:val="20"/>
          <w:szCs w:val="20"/>
          <w:color w:val="auto"/>
        </w:rPr>
      </w:pPr>
    </w:p>
    <w:p>
      <w:pPr>
        <w:ind w:right="240"/>
        <w:spacing w:after="0" w:line="328" w:lineRule="auto"/>
        <w:rPr>
          <w:sz w:val="20"/>
          <w:szCs w:val="20"/>
          <w:color w:val="auto"/>
        </w:rPr>
      </w:pPr>
      <w:r>
        <w:rPr>
          <w:rFonts w:ascii="Arial" w:cs="Arial" w:eastAsia="Arial" w:hAnsi="Arial"/>
          <w:sz w:val="16"/>
          <w:szCs w:val="16"/>
          <w:b w:val="1"/>
          <w:bCs w:val="1"/>
          <w:color w:val="58595B"/>
        </w:rPr>
        <w:t xml:space="preserve">Annual organic revenue growth </w:t>
      </w:r>
      <w:r>
        <w:rPr>
          <w:rFonts w:ascii="Arial" w:cs="Arial" w:eastAsia="Arial" w:hAnsi="Arial"/>
          <w:sz w:val="16"/>
          <w:szCs w:val="16"/>
          <w:color w:val="58595B"/>
        </w:rPr>
        <w:t>is the performance metric for PSU awards as it is a key indicator of the strength of our business and stockholder return.</w:t>
      </w:r>
      <w:r>
        <w:rPr>
          <w:rFonts w:ascii="Arial" w:cs="Arial" w:eastAsia="Arial" w:hAnsi="Arial"/>
          <w:sz w:val="16"/>
          <w:szCs w:val="16"/>
          <w:b w:val="1"/>
          <w:bCs w:val="1"/>
          <w:color w:val="58595B"/>
        </w:rPr>
        <w:t xml:space="preserve"> </w:t>
      </w:r>
      <w:r>
        <w:rPr>
          <w:rFonts w:ascii="Arial" w:cs="Arial" w:eastAsia="Arial" w:hAnsi="Arial"/>
          <w:sz w:val="16"/>
          <w:szCs w:val="16"/>
          <w:color w:val="58595B"/>
        </w:rPr>
        <w:t>Organic revenue consists of total revenues excluding the effects of currency exchange rates, revenues from current-period acquisitions and product divestitures and discontinuances. Organic revenue growth is the increase in organic revenue compared to the prior year.</w:t>
      </w:r>
    </w:p>
    <w:p>
      <w:pPr>
        <w:spacing w:after="0" w:line="110" w:lineRule="exact"/>
        <w:rPr>
          <w:sz w:val="20"/>
          <w:szCs w:val="20"/>
          <w:color w:val="auto"/>
        </w:rPr>
      </w:pPr>
    </w:p>
    <w:p>
      <w:pPr>
        <w:ind w:right="420"/>
        <w:spacing w:after="0" w:line="328" w:lineRule="auto"/>
        <w:rPr>
          <w:sz w:val="20"/>
          <w:szCs w:val="20"/>
          <w:color w:val="auto"/>
        </w:rPr>
      </w:pPr>
      <w:r>
        <w:rPr>
          <w:rFonts w:ascii="Arial" w:cs="Arial" w:eastAsia="Arial" w:hAnsi="Arial"/>
          <w:sz w:val="16"/>
          <w:szCs w:val="16"/>
          <w:color w:val="58595B"/>
        </w:rPr>
        <w:t>The three-year annual organic revenue growth goal is derived from a rigorous process that involves input and discussions among the Compensation Committee, CEO and management. We annually review the metrics (and related targets) used in our annual bonus and equity programs to ensure they remain aligned to Integra’s strategic plan.</w:t>
      </w:r>
    </w:p>
    <w:p>
      <w:pPr>
        <w:spacing w:after="0" w:line="123" w:lineRule="exact"/>
        <w:rPr>
          <w:sz w:val="20"/>
          <w:szCs w:val="20"/>
          <w:color w:val="auto"/>
        </w:rPr>
      </w:pPr>
    </w:p>
    <w:p>
      <w:pPr>
        <w:ind w:right="80"/>
        <w:spacing w:after="0" w:line="231" w:lineRule="exact"/>
        <w:rPr>
          <w:sz w:val="20"/>
          <w:szCs w:val="20"/>
          <w:color w:val="auto"/>
        </w:rPr>
      </w:pPr>
      <w:r>
        <w:rPr>
          <w:rFonts w:ascii="Arial" w:cs="Arial" w:eastAsia="Arial" w:hAnsi="Arial"/>
          <w:sz w:val="16"/>
          <w:szCs w:val="16"/>
          <w:color w:val="58595B"/>
        </w:rPr>
        <w:t>Beginning with the 2026-2028 performance cycle, the Compensation Committee, in consultation with WTW, approved changes to the PSU award design to further align long</w:t>
      </w:r>
      <w:r>
        <w:rPr>
          <w:rFonts w:ascii="MS PGothic" w:cs="MS PGothic" w:eastAsia="MS PGothic" w:hAnsi="MS PGothic"/>
          <w:sz w:val="16"/>
          <w:szCs w:val="16"/>
          <w:color w:val="58595B"/>
        </w:rPr>
        <w:t>‑</w:t>
      </w:r>
      <w:r>
        <w:rPr>
          <w:rFonts w:ascii="Arial" w:cs="Arial" w:eastAsia="Arial" w:hAnsi="Arial"/>
          <w:sz w:val="16"/>
          <w:szCs w:val="16"/>
          <w:color w:val="58595B"/>
        </w:rPr>
        <w:t>term incentives with the Company’s strategic priorities and stockholder interests. Specifically, adjusted EBITDA margin will be used as a second performance metric for PSU awards. Adjusted EBITDA margin consists of our adjusted EBITDA divided by our GAAP revenues. Under the revised PSU award program, each of the performance metrics will be weighted equally when determining achievement of performance goals under the revised PSU awards. In addition, the performance vesting percentage for achievement at the maximum level was increased from 150% to 200%. The Compensation Committee believes these changes will both better align our PSU award program with the market and our peers and drive improved top line and bottom line performance. Such changes will further align our plan with long-term value creation.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PSU Vesting For Equity Grants</w:t>
      </w:r>
    </w:p>
    <w:p>
      <w:pPr>
        <w:spacing w:after="0" w:line="72"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58595B"/>
        </w:rPr>
        <w:t>For the 2023, 2024 and 2025 PSU grants, each NEO is eligible to receive shares of the Company’s common stock ranging from 0% to 150% of target based on the Company’s achievement of an annual organic revenue growth goal over the prior year’s organic revenue amount during each fiscal year of the performance period as follows: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60" w:type="dxa"/>
            <w:vAlign w:val="bottom"/>
            <w:shd w:val="clear" w:color="auto" w:fill="009845"/>
          </w:tcPr>
          <w:p>
            <w:pPr>
              <w:spacing w:after="0"/>
              <w:rPr>
                <w:sz w:val="16"/>
                <w:szCs w:val="16"/>
                <w:color w:val="auto"/>
              </w:rPr>
            </w:pPr>
          </w:p>
        </w:tc>
        <w:tc>
          <w:tcPr>
            <w:tcW w:w="2380" w:type="dxa"/>
            <w:vAlign w:val="bottom"/>
            <w:shd w:val="clear" w:color="auto" w:fill="009845"/>
          </w:tcPr>
          <w:p>
            <w:pPr>
              <w:jc w:val="center"/>
              <w:ind w:left="68"/>
              <w:spacing w:after="0"/>
              <w:rPr>
                <w:sz w:val="20"/>
                <w:szCs w:val="20"/>
                <w:color w:val="auto"/>
              </w:rPr>
            </w:pPr>
            <w:r>
              <w:rPr>
                <w:rFonts w:ascii="Arial" w:cs="Arial" w:eastAsia="Arial" w:hAnsi="Arial"/>
                <w:sz w:val="14"/>
                <w:szCs w:val="14"/>
                <w:b w:val="1"/>
                <w:bCs w:val="1"/>
                <w:color w:val="FFFFFF"/>
              </w:rPr>
              <w:t>2023</w:t>
            </w:r>
          </w:p>
        </w:tc>
        <w:tc>
          <w:tcPr>
            <w:tcW w:w="222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2024</w:t>
            </w:r>
          </w:p>
        </w:tc>
        <w:tc>
          <w:tcPr>
            <w:tcW w:w="22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2025</w:t>
            </w:r>
          </w:p>
        </w:tc>
        <w:tc>
          <w:tcPr>
            <w:tcW w:w="21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Performance</w:t>
            </w:r>
          </w:p>
        </w:tc>
      </w:tr>
      <w:tr>
        <w:trPr>
          <w:trHeight w:val="212"/>
        </w:trPr>
        <w:tc>
          <w:tcPr>
            <w:tcW w:w="2260" w:type="dxa"/>
            <w:vAlign w:val="bottom"/>
            <w:shd w:val="clear" w:color="auto" w:fill="009845"/>
          </w:tcPr>
          <w:p>
            <w:pPr>
              <w:spacing w:after="0"/>
              <w:rPr>
                <w:sz w:val="18"/>
                <w:szCs w:val="18"/>
                <w:color w:val="auto"/>
              </w:rPr>
            </w:pPr>
          </w:p>
        </w:tc>
        <w:tc>
          <w:tcPr>
            <w:tcW w:w="2380" w:type="dxa"/>
            <w:vAlign w:val="bottom"/>
            <w:shd w:val="clear" w:color="auto" w:fill="009845"/>
          </w:tcPr>
          <w:p>
            <w:pPr>
              <w:ind w:left="640"/>
              <w:spacing w:after="0"/>
              <w:rPr>
                <w:sz w:val="20"/>
                <w:szCs w:val="20"/>
                <w:color w:val="auto"/>
              </w:rPr>
            </w:pPr>
            <w:r>
              <w:rPr>
                <w:rFonts w:ascii="Arial" w:cs="Arial" w:eastAsia="Arial" w:hAnsi="Arial"/>
                <w:sz w:val="14"/>
                <w:szCs w:val="14"/>
                <w:b w:val="1"/>
                <w:bCs w:val="1"/>
                <w:color w:val="FFFFFF"/>
              </w:rPr>
              <w:t>Performance Goal</w:t>
            </w:r>
          </w:p>
        </w:tc>
        <w:tc>
          <w:tcPr>
            <w:tcW w:w="2220" w:type="dxa"/>
            <w:vAlign w:val="bottom"/>
            <w:shd w:val="clear" w:color="auto" w:fill="009845"/>
          </w:tcPr>
          <w:p>
            <w:pPr>
              <w:ind w:left="500"/>
              <w:spacing w:after="0"/>
              <w:rPr>
                <w:sz w:val="20"/>
                <w:szCs w:val="20"/>
                <w:color w:val="auto"/>
              </w:rPr>
            </w:pPr>
            <w:r>
              <w:rPr>
                <w:rFonts w:ascii="Arial" w:cs="Arial" w:eastAsia="Arial" w:hAnsi="Arial"/>
                <w:sz w:val="14"/>
                <w:szCs w:val="14"/>
                <w:b w:val="1"/>
                <w:bCs w:val="1"/>
                <w:color w:val="FFFFFF"/>
              </w:rPr>
              <w:t>Performance Goal</w:t>
            </w:r>
          </w:p>
        </w:tc>
        <w:tc>
          <w:tcPr>
            <w:tcW w:w="2200" w:type="dxa"/>
            <w:vAlign w:val="bottom"/>
            <w:shd w:val="clear" w:color="auto" w:fill="009845"/>
          </w:tcPr>
          <w:p>
            <w:pPr>
              <w:ind w:left="500"/>
              <w:spacing w:after="0"/>
              <w:rPr>
                <w:sz w:val="20"/>
                <w:szCs w:val="20"/>
                <w:color w:val="auto"/>
              </w:rPr>
            </w:pPr>
            <w:r>
              <w:rPr>
                <w:rFonts w:ascii="Arial" w:cs="Arial" w:eastAsia="Arial" w:hAnsi="Arial"/>
                <w:sz w:val="14"/>
                <w:szCs w:val="14"/>
                <w:b w:val="1"/>
                <w:bCs w:val="1"/>
                <w:color w:val="FFFFFF"/>
              </w:rPr>
              <w:t>Performance Goal</w:t>
            </w:r>
          </w:p>
        </w:tc>
        <w:tc>
          <w:tcPr>
            <w:tcW w:w="21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Vesting Percentage</w:t>
            </w:r>
          </w:p>
        </w:tc>
      </w:tr>
      <w:tr>
        <w:trPr>
          <w:trHeight w:val="209"/>
        </w:trPr>
        <w:tc>
          <w:tcPr>
            <w:tcW w:w="226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4"/>
                <w:szCs w:val="14"/>
                <w:color w:val="58595B"/>
              </w:rPr>
              <w:t>Below Threshold Level</w:t>
            </w:r>
          </w:p>
        </w:tc>
        <w:tc>
          <w:tcPr>
            <w:tcW w:w="2380" w:type="dxa"/>
            <w:vAlign w:val="bottom"/>
            <w:tcBorders>
              <w:bottom w:val="single" w:sz="8" w:color="EFEDED"/>
            </w:tcBorders>
            <w:shd w:val="clear" w:color="auto" w:fill="EFEDED"/>
          </w:tcPr>
          <w:p>
            <w:pPr>
              <w:jc w:val="center"/>
              <w:ind w:left="68"/>
              <w:spacing w:after="0"/>
              <w:rPr>
                <w:sz w:val="20"/>
                <w:szCs w:val="20"/>
                <w:color w:val="auto"/>
              </w:rPr>
            </w:pPr>
            <w:r>
              <w:rPr>
                <w:rFonts w:ascii="Arial" w:cs="Arial" w:eastAsia="Arial" w:hAnsi="Arial"/>
                <w:sz w:val="14"/>
                <w:szCs w:val="14"/>
                <w:color w:val="58595B"/>
                <w:w w:val="98"/>
              </w:rPr>
              <w:t>&lt;2%</w:t>
            </w:r>
          </w:p>
        </w:tc>
        <w:tc>
          <w:tcPr>
            <w:tcW w:w="22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&lt;2%</w:t>
            </w:r>
          </w:p>
        </w:tc>
        <w:tc>
          <w:tcPr>
            <w:tcW w:w="22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&lt;2%</w:t>
            </w:r>
          </w:p>
        </w:tc>
        <w:tc>
          <w:tcPr>
            <w:tcW w:w="21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w w:val="98"/>
              </w:rPr>
              <w:t>0%</w:t>
            </w:r>
          </w:p>
        </w:tc>
      </w:tr>
      <w:tr>
        <w:trPr>
          <w:trHeight w:val="208"/>
        </w:trPr>
        <w:tc>
          <w:tcPr>
            <w:tcW w:w="2260" w:type="dxa"/>
            <w:vAlign w:val="bottom"/>
          </w:tcPr>
          <w:p>
            <w:pPr>
              <w:ind w:left="140"/>
              <w:spacing w:after="0"/>
              <w:rPr>
                <w:sz w:val="20"/>
                <w:szCs w:val="20"/>
                <w:color w:val="auto"/>
              </w:rPr>
            </w:pPr>
            <w:r>
              <w:rPr>
                <w:rFonts w:ascii="Arial" w:cs="Arial" w:eastAsia="Arial" w:hAnsi="Arial"/>
                <w:sz w:val="14"/>
                <w:szCs w:val="14"/>
                <w:color w:val="58595B"/>
              </w:rPr>
              <w:t>Threshold Level</w:t>
            </w:r>
          </w:p>
        </w:tc>
        <w:tc>
          <w:tcPr>
            <w:tcW w:w="2380" w:type="dxa"/>
            <w:vAlign w:val="bottom"/>
          </w:tcPr>
          <w:p>
            <w:pPr>
              <w:jc w:val="center"/>
              <w:ind w:left="68"/>
              <w:spacing w:after="0"/>
              <w:rPr>
                <w:sz w:val="20"/>
                <w:szCs w:val="20"/>
                <w:color w:val="auto"/>
              </w:rPr>
            </w:pPr>
            <w:r>
              <w:rPr>
                <w:rFonts w:ascii="Arial" w:cs="Arial" w:eastAsia="Arial" w:hAnsi="Arial"/>
                <w:sz w:val="14"/>
                <w:szCs w:val="14"/>
                <w:color w:val="58595B"/>
                <w:w w:val="98"/>
              </w:rPr>
              <w:t>2%</w:t>
            </w:r>
          </w:p>
        </w:tc>
        <w:tc>
          <w:tcPr>
            <w:tcW w:w="2220" w:type="dxa"/>
            <w:vAlign w:val="bottom"/>
          </w:tcPr>
          <w:p>
            <w:pPr>
              <w:jc w:val="center"/>
              <w:spacing w:after="0"/>
              <w:rPr>
                <w:sz w:val="20"/>
                <w:szCs w:val="20"/>
                <w:color w:val="auto"/>
              </w:rPr>
            </w:pPr>
            <w:r>
              <w:rPr>
                <w:rFonts w:ascii="Arial" w:cs="Arial" w:eastAsia="Arial" w:hAnsi="Arial"/>
                <w:sz w:val="14"/>
                <w:szCs w:val="14"/>
                <w:color w:val="58595B"/>
              </w:rPr>
              <w:t>2%</w:t>
            </w:r>
          </w:p>
        </w:tc>
        <w:tc>
          <w:tcPr>
            <w:tcW w:w="2200" w:type="dxa"/>
            <w:vAlign w:val="bottom"/>
          </w:tcPr>
          <w:p>
            <w:pPr>
              <w:jc w:val="center"/>
              <w:spacing w:after="0"/>
              <w:rPr>
                <w:sz w:val="20"/>
                <w:szCs w:val="20"/>
                <w:color w:val="auto"/>
              </w:rPr>
            </w:pPr>
            <w:r>
              <w:rPr>
                <w:rFonts w:ascii="Arial" w:cs="Arial" w:eastAsia="Arial" w:hAnsi="Arial"/>
                <w:sz w:val="14"/>
                <w:szCs w:val="14"/>
                <w:color w:val="58595B"/>
              </w:rPr>
              <w:t>2%</w:t>
            </w:r>
          </w:p>
        </w:tc>
        <w:tc>
          <w:tcPr>
            <w:tcW w:w="2180" w:type="dxa"/>
            <w:vAlign w:val="bottom"/>
          </w:tcPr>
          <w:p>
            <w:pPr>
              <w:jc w:val="center"/>
              <w:spacing w:after="0"/>
              <w:rPr>
                <w:sz w:val="20"/>
                <w:szCs w:val="20"/>
                <w:color w:val="auto"/>
              </w:rPr>
            </w:pPr>
            <w:r>
              <w:rPr>
                <w:rFonts w:ascii="Arial" w:cs="Arial" w:eastAsia="Arial" w:hAnsi="Arial"/>
                <w:sz w:val="14"/>
                <w:szCs w:val="14"/>
                <w:color w:val="58595B"/>
                <w:w w:val="99"/>
              </w:rPr>
              <w:t>50%</w:t>
            </w:r>
          </w:p>
        </w:tc>
      </w:tr>
      <w:tr>
        <w:trPr>
          <w:trHeight w:val="22"/>
        </w:trPr>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226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4"/>
                <w:szCs w:val="14"/>
                <w:color w:val="58595B"/>
              </w:rPr>
              <w:t>Target Level</w:t>
            </w:r>
          </w:p>
        </w:tc>
        <w:tc>
          <w:tcPr>
            <w:tcW w:w="2380" w:type="dxa"/>
            <w:vAlign w:val="bottom"/>
            <w:tcBorders>
              <w:bottom w:val="single" w:sz="8" w:color="EFEDED"/>
            </w:tcBorders>
            <w:shd w:val="clear" w:color="auto" w:fill="EFEDED"/>
          </w:tcPr>
          <w:p>
            <w:pPr>
              <w:jc w:val="center"/>
              <w:ind w:left="68"/>
              <w:spacing w:after="0"/>
              <w:rPr>
                <w:sz w:val="20"/>
                <w:szCs w:val="20"/>
                <w:color w:val="auto"/>
              </w:rPr>
            </w:pPr>
            <w:r>
              <w:rPr>
                <w:rFonts w:ascii="Arial" w:cs="Arial" w:eastAsia="Arial" w:hAnsi="Arial"/>
                <w:sz w:val="14"/>
                <w:szCs w:val="14"/>
                <w:color w:val="58595B"/>
              </w:rPr>
              <w:t>5.7%</w:t>
            </w:r>
          </w:p>
        </w:tc>
        <w:tc>
          <w:tcPr>
            <w:tcW w:w="22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5.7%</w:t>
            </w:r>
          </w:p>
        </w:tc>
        <w:tc>
          <w:tcPr>
            <w:tcW w:w="22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5%</w:t>
            </w:r>
          </w:p>
        </w:tc>
        <w:tc>
          <w:tcPr>
            <w:tcW w:w="21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100%</w:t>
            </w:r>
          </w:p>
        </w:tc>
      </w:tr>
      <w:tr>
        <w:trPr>
          <w:trHeight w:val="208"/>
        </w:trPr>
        <w:tc>
          <w:tcPr>
            <w:tcW w:w="2260" w:type="dxa"/>
            <w:vAlign w:val="bottom"/>
          </w:tcPr>
          <w:p>
            <w:pPr>
              <w:ind w:left="140"/>
              <w:spacing w:after="0"/>
              <w:rPr>
                <w:sz w:val="20"/>
                <w:szCs w:val="20"/>
                <w:color w:val="auto"/>
              </w:rPr>
            </w:pPr>
            <w:r>
              <w:rPr>
                <w:rFonts w:ascii="Arial" w:cs="Arial" w:eastAsia="Arial" w:hAnsi="Arial"/>
                <w:sz w:val="14"/>
                <w:szCs w:val="14"/>
                <w:color w:val="58595B"/>
              </w:rPr>
              <w:t>Maximum Level</w:t>
            </w:r>
          </w:p>
        </w:tc>
        <w:tc>
          <w:tcPr>
            <w:tcW w:w="2380" w:type="dxa"/>
            <w:vAlign w:val="bottom"/>
          </w:tcPr>
          <w:p>
            <w:pPr>
              <w:jc w:val="center"/>
              <w:ind w:left="68"/>
              <w:spacing w:after="0"/>
              <w:rPr>
                <w:sz w:val="20"/>
                <w:szCs w:val="20"/>
                <w:color w:val="auto"/>
              </w:rPr>
            </w:pPr>
            <w:r>
              <w:rPr>
                <w:rFonts w:ascii="Arial" w:cs="Arial" w:eastAsia="Arial" w:hAnsi="Arial"/>
                <w:sz w:val="14"/>
                <w:szCs w:val="14"/>
                <w:color w:val="58595B"/>
                <w:w w:val="98"/>
              </w:rPr>
              <w:t>7%</w:t>
            </w:r>
          </w:p>
        </w:tc>
        <w:tc>
          <w:tcPr>
            <w:tcW w:w="2220" w:type="dxa"/>
            <w:vAlign w:val="bottom"/>
          </w:tcPr>
          <w:p>
            <w:pPr>
              <w:jc w:val="center"/>
              <w:spacing w:after="0"/>
              <w:rPr>
                <w:sz w:val="20"/>
                <w:szCs w:val="20"/>
                <w:color w:val="auto"/>
              </w:rPr>
            </w:pPr>
            <w:r>
              <w:rPr>
                <w:rFonts w:ascii="Arial" w:cs="Arial" w:eastAsia="Arial" w:hAnsi="Arial"/>
                <w:sz w:val="14"/>
                <w:szCs w:val="14"/>
                <w:color w:val="58595B"/>
              </w:rPr>
              <w:t>7%</w:t>
            </w:r>
          </w:p>
        </w:tc>
        <w:tc>
          <w:tcPr>
            <w:tcW w:w="2200" w:type="dxa"/>
            <w:vAlign w:val="bottom"/>
          </w:tcPr>
          <w:p>
            <w:pPr>
              <w:jc w:val="center"/>
              <w:spacing w:after="0"/>
              <w:rPr>
                <w:sz w:val="20"/>
                <w:szCs w:val="20"/>
                <w:color w:val="auto"/>
              </w:rPr>
            </w:pPr>
            <w:r>
              <w:rPr>
                <w:rFonts w:ascii="Arial" w:cs="Arial" w:eastAsia="Arial" w:hAnsi="Arial"/>
                <w:sz w:val="14"/>
                <w:szCs w:val="14"/>
                <w:color w:val="58595B"/>
              </w:rPr>
              <w:t>7%</w:t>
            </w:r>
          </w:p>
        </w:tc>
        <w:tc>
          <w:tcPr>
            <w:tcW w:w="2180" w:type="dxa"/>
            <w:vAlign w:val="bottom"/>
          </w:tcPr>
          <w:p>
            <w:pPr>
              <w:jc w:val="center"/>
              <w:spacing w:after="0"/>
              <w:rPr>
                <w:sz w:val="20"/>
                <w:szCs w:val="20"/>
                <w:color w:val="auto"/>
              </w:rPr>
            </w:pPr>
            <w:r>
              <w:rPr>
                <w:rFonts w:ascii="Arial" w:cs="Arial" w:eastAsia="Arial" w:hAnsi="Arial"/>
                <w:sz w:val="14"/>
                <w:szCs w:val="14"/>
                <w:color w:val="58595B"/>
              </w:rPr>
              <w:t>150%</w:t>
            </w:r>
          </w:p>
        </w:tc>
      </w:tr>
      <w:tr>
        <w:trPr>
          <w:trHeight w:val="22"/>
        </w:trPr>
        <w:tc>
          <w:tcPr>
            <w:tcW w:w="2260" w:type="dxa"/>
            <w:vAlign w:val="bottom"/>
            <w:tcBorders>
              <w:bottom w:val="single" w:sz="8" w:color="58595B"/>
            </w:tcBorders>
          </w:tcPr>
          <w:p>
            <w:pPr>
              <w:spacing w:after="0" w:line="20" w:lineRule="exact"/>
              <w:rPr>
                <w:sz w:val="1"/>
                <w:szCs w:val="1"/>
                <w:color w:val="auto"/>
              </w:rPr>
            </w:pPr>
          </w:p>
        </w:tc>
        <w:tc>
          <w:tcPr>
            <w:tcW w:w="2380" w:type="dxa"/>
            <w:vAlign w:val="bottom"/>
            <w:tcBorders>
              <w:bottom w:val="single" w:sz="8" w:color="58595B"/>
            </w:tcBorders>
          </w:tcPr>
          <w:p>
            <w:pPr>
              <w:spacing w:after="0" w:line="20" w:lineRule="exact"/>
              <w:rPr>
                <w:sz w:val="1"/>
                <w:szCs w:val="1"/>
                <w:color w:val="auto"/>
              </w:rPr>
            </w:pPr>
          </w:p>
        </w:tc>
        <w:tc>
          <w:tcPr>
            <w:tcW w:w="2220" w:type="dxa"/>
            <w:vAlign w:val="bottom"/>
            <w:tcBorders>
              <w:bottom w:val="single" w:sz="8" w:color="58595B"/>
            </w:tcBorders>
          </w:tcPr>
          <w:p>
            <w:pPr>
              <w:spacing w:after="0" w:line="20" w:lineRule="exact"/>
              <w:rPr>
                <w:sz w:val="1"/>
                <w:szCs w:val="1"/>
                <w:color w:val="auto"/>
              </w:rPr>
            </w:pPr>
          </w:p>
        </w:tc>
        <w:tc>
          <w:tcPr>
            <w:tcW w:w="2200" w:type="dxa"/>
            <w:vAlign w:val="bottom"/>
            <w:tcBorders>
              <w:bottom w:val="single" w:sz="8" w:color="58595B"/>
            </w:tcBorders>
          </w:tcPr>
          <w:p>
            <w:pPr>
              <w:spacing w:after="0" w:line="20" w:lineRule="exact"/>
              <w:rPr>
                <w:sz w:val="1"/>
                <w:szCs w:val="1"/>
                <w:color w:val="auto"/>
              </w:rPr>
            </w:pPr>
          </w:p>
        </w:tc>
        <w:tc>
          <w:tcPr>
            <w:tcW w:w="2180" w:type="dxa"/>
            <w:vAlign w:val="bottom"/>
            <w:tcBorders>
              <w:bottom w:val="single" w:sz="8" w:color="58595B"/>
            </w:tcBorders>
          </w:tcPr>
          <w:p>
            <w:pPr>
              <w:spacing w:after="0" w:line="20" w:lineRule="exact"/>
              <w:rPr>
                <w:sz w:val="1"/>
                <w:szCs w:val="1"/>
                <w:color w:val="auto"/>
              </w:rPr>
            </w:pPr>
          </w:p>
        </w:tc>
      </w:tr>
    </w:tbl>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444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22"/>
                <w:szCs w:val="22"/>
                <w:b w:val="1"/>
                <w:bCs w:val="1"/>
                <w:color w:val="FFFFFF"/>
              </w:rPr>
              <w:t>If...</w:t>
            </w:r>
          </w:p>
        </w:tc>
        <w:tc>
          <w:tcPr>
            <w:tcW w:w="6800" w:type="dxa"/>
            <w:vAlign w:val="bottom"/>
            <w:tcBorders>
              <w:bottom w:val="single" w:sz="8" w:color="009845"/>
            </w:tcBorders>
            <w:shd w:val="clear" w:color="auto" w:fill="009845"/>
          </w:tcPr>
          <w:p>
            <w:pPr>
              <w:ind w:left="140"/>
              <w:spacing w:after="0"/>
              <w:rPr>
                <w:sz w:val="20"/>
                <w:szCs w:val="20"/>
                <w:color w:val="auto"/>
              </w:rPr>
            </w:pPr>
            <w:r>
              <w:rPr>
                <w:rFonts w:ascii="Arial" w:cs="Arial" w:eastAsia="Arial" w:hAnsi="Arial"/>
                <w:sz w:val="22"/>
                <w:szCs w:val="22"/>
                <w:b w:val="1"/>
                <w:bCs w:val="1"/>
                <w:color w:val="FFFFFF"/>
              </w:rPr>
              <w:t>Then...</w:t>
            </w:r>
          </w:p>
        </w:tc>
      </w:tr>
      <w:tr>
        <w:trPr>
          <w:trHeight w:val="162"/>
        </w:trPr>
        <w:tc>
          <w:tcPr>
            <w:tcW w:w="4440" w:type="dxa"/>
            <w:vAlign w:val="bottom"/>
          </w:tcPr>
          <w:p>
            <w:pPr>
              <w:spacing w:after="0"/>
              <w:rPr>
                <w:sz w:val="14"/>
                <w:szCs w:val="14"/>
                <w:color w:val="auto"/>
              </w:rPr>
            </w:pPr>
          </w:p>
        </w:tc>
        <w:tc>
          <w:tcPr>
            <w:tcW w:w="6800" w:type="dxa"/>
            <w:vAlign w:val="bottom"/>
            <w:shd w:val="clear" w:color="auto" w:fill="EFEDED"/>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9429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6" w:lineRule="exact"/>
        <w:rPr>
          <w:sz w:val="20"/>
          <w:szCs w:val="20"/>
          <w:color w:val="auto"/>
        </w:rPr>
      </w:pPr>
    </w:p>
    <w:p>
      <w:pPr>
        <w:ind w:left="180" w:right="80"/>
        <w:spacing w:after="0" w:line="349" w:lineRule="auto"/>
        <w:rPr>
          <w:sz w:val="20"/>
          <w:szCs w:val="20"/>
          <w:color w:val="auto"/>
        </w:rPr>
      </w:pPr>
      <w:r>
        <w:rPr>
          <w:rFonts w:ascii="Arial" w:cs="Arial" w:eastAsia="Arial" w:hAnsi="Arial"/>
          <w:sz w:val="16"/>
          <w:szCs w:val="16"/>
          <w:b w:val="1"/>
          <w:bCs w:val="1"/>
          <w:color w:val="58595B"/>
        </w:rPr>
        <w:t>Growth in annual organic revenue over prior year is between threshold and target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2726055" cy="643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72605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right="80"/>
        <w:spacing w:after="0" w:line="349" w:lineRule="auto"/>
        <w:rPr>
          <w:sz w:val="20"/>
          <w:szCs w:val="20"/>
          <w:color w:val="auto"/>
        </w:rPr>
      </w:pPr>
      <w:r>
        <w:rPr>
          <w:rFonts w:ascii="Arial" w:cs="Arial" w:eastAsia="Arial" w:hAnsi="Arial"/>
          <w:sz w:val="16"/>
          <w:szCs w:val="16"/>
          <w:b w:val="1"/>
          <w:bCs w:val="1"/>
          <w:color w:val="58595B"/>
        </w:rPr>
        <w:t>Growth in annual organic revenue over prior year is between target and maximum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2726055" cy="9429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726055" cy="94297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00"/>
        <w:spacing w:after="0" w:line="322" w:lineRule="auto"/>
        <w:rPr>
          <w:sz w:val="20"/>
          <w:szCs w:val="20"/>
          <w:color w:val="auto"/>
        </w:rPr>
      </w:pPr>
      <w:r>
        <w:rPr>
          <w:rFonts w:ascii="Arial" w:cs="Arial" w:eastAsia="Arial" w:hAnsi="Arial"/>
          <w:sz w:val="16"/>
          <w:szCs w:val="16"/>
          <w:b w:val="1"/>
          <w:bCs w:val="1"/>
          <w:color w:val="58595B"/>
        </w:rPr>
        <w:t>Target performance in a particular year is not attained but the Company achieves its cumulative goal (an average three-year annual organic revenue growth rate of at least target level)</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200"/>
        <w:spacing w:after="0" w:line="318" w:lineRule="auto"/>
        <w:rPr>
          <w:sz w:val="20"/>
          <w:szCs w:val="20"/>
          <w:color w:val="auto"/>
        </w:rPr>
      </w:pPr>
      <w:r>
        <w:rPr>
          <w:rFonts w:ascii="Arial" w:cs="Arial" w:eastAsia="Arial" w:hAnsi="Arial"/>
          <w:sz w:val="16"/>
          <w:szCs w:val="16"/>
          <w:color w:val="58595B"/>
        </w:rPr>
        <w:t>Performance vesting percentage is determined by extrapolating between threshold level— anchor points of 3% annual organic revenue growth (with a 70% performance vesting percentage) and 4% annual organic revenue growth (with an 85% performance vesting percentage)—and target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264160</wp:posOffset>
            </wp:positionV>
            <wp:extent cx="4320540" cy="643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20540" cy="643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58595B"/>
        </w:rPr>
        <w:t>Performance vesting percentage is determined by linear interpolation between target level and maximum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253365</wp:posOffset>
            </wp:positionV>
            <wp:extent cx="4320540" cy="9429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20540" cy="94297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right="820"/>
        <w:spacing w:after="0" w:line="339" w:lineRule="auto"/>
        <w:rPr>
          <w:sz w:val="20"/>
          <w:szCs w:val="20"/>
          <w:color w:val="auto"/>
        </w:rPr>
      </w:pPr>
      <w:r>
        <w:rPr>
          <w:rFonts w:ascii="Arial" w:cs="Arial" w:eastAsia="Arial" w:hAnsi="Arial"/>
          <w:sz w:val="16"/>
          <w:szCs w:val="16"/>
          <w:color w:val="58595B"/>
        </w:rPr>
        <w:t>Additional PSUs will vest on the third anniversary of the grant date (as though the performance goal for the fiscal year was achieved at target level).</w:t>
      </w:r>
    </w:p>
    <w:p>
      <w:pPr>
        <w:spacing w:after="0" w:line="667" w:lineRule="exact"/>
        <w:rPr>
          <w:sz w:val="20"/>
          <w:szCs w:val="20"/>
          <w:color w:val="auto"/>
        </w:rPr>
      </w:pPr>
    </w:p>
    <w:p>
      <w:pPr>
        <w:sectPr>
          <w:pgSz w:w="11900" w:h="16838" w:orient="portrait"/>
          <w:cols w:equalWidth="0" w:num="2">
            <w:col w:w="4240" w:space="340"/>
            <w:col w:w="6660"/>
          </w:cols>
          <w:pgMar w:left="320" w:top="122" w:right="33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PSU Grant Vesting Based on 2025 Performance Results</w:t>
      </w:r>
    </w:p>
    <w:p>
      <w:pPr>
        <w:spacing w:after="0" w:line="85"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58595B"/>
        </w:rPr>
        <w:t>2025 was a pivotal year in our transformation. We drove tangible operational progress while continuing to deliver for our customers and patients. We experienced strong demand for our differentiated portfolio of leading brands and have begun to make important strategic investments in our quality management systems processes and capacity expansion of our facilities and equipment to meet increasing demand and support future growth. Notwithstanding these achievements, in February 2026, the Compensation Committee determined that the Company did not exceed the threshold goal level set with respect to the Company's growth in annual organic revenue for fiscal year 2025 for the PSUs granted in 2023, 2024 and 2025. Accordingly, the portions of such grants eligible to vest in 2026 based on the Company's performance in fiscal 2025 did not vest.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60" w:type="dxa"/>
            <w:vAlign w:val="bottom"/>
            <w:shd w:val="clear" w:color="auto" w:fill="009845"/>
          </w:tcPr>
          <w:p>
            <w:pPr>
              <w:spacing w:after="0"/>
              <w:rPr>
                <w:sz w:val="21"/>
                <w:szCs w:val="21"/>
                <w:color w:val="auto"/>
              </w:rPr>
            </w:pP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2023 Grant</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2024 Grant</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2025 Grant</w:t>
            </w:r>
          </w:p>
        </w:tc>
      </w:tr>
      <w:tr>
        <w:trPr>
          <w:trHeight w:val="196"/>
        </w:trPr>
        <w:tc>
          <w:tcPr>
            <w:tcW w:w="5660" w:type="dxa"/>
            <w:vAlign w:val="bottom"/>
            <w:shd w:val="clear" w:color="auto" w:fill="009845"/>
          </w:tcPr>
          <w:p>
            <w:pPr>
              <w:spacing w:after="0"/>
              <w:rPr>
                <w:sz w:val="17"/>
                <w:szCs w:val="17"/>
                <w:color w:val="auto"/>
              </w:rPr>
            </w:pP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(Year 3 Vesting)</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(Year 2 Vesting)</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(Year 1 Vesting)</w:t>
            </w:r>
          </w:p>
        </w:tc>
      </w:tr>
      <w:tr>
        <w:trPr>
          <w:trHeight w:val="70"/>
        </w:trPr>
        <w:tc>
          <w:tcPr>
            <w:tcW w:w="5660" w:type="dxa"/>
            <w:vAlign w:val="bottom"/>
            <w:shd w:val="clear" w:color="auto" w:fill="009845"/>
          </w:tcPr>
          <w:p>
            <w:pPr>
              <w:spacing w:after="0"/>
              <w:rPr>
                <w:sz w:val="6"/>
                <w:szCs w:val="6"/>
                <w:color w:val="auto"/>
              </w:rPr>
            </w:pPr>
          </w:p>
        </w:tc>
        <w:tc>
          <w:tcPr>
            <w:tcW w:w="1860" w:type="dxa"/>
            <w:vAlign w:val="bottom"/>
            <w:shd w:val="clear" w:color="auto" w:fill="009845"/>
          </w:tcPr>
          <w:p>
            <w:pPr>
              <w:spacing w:after="0"/>
              <w:rPr>
                <w:sz w:val="6"/>
                <w:szCs w:val="6"/>
                <w:color w:val="auto"/>
              </w:rPr>
            </w:pPr>
          </w:p>
        </w:tc>
        <w:tc>
          <w:tcPr>
            <w:tcW w:w="1860" w:type="dxa"/>
            <w:vAlign w:val="bottom"/>
            <w:shd w:val="clear" w:color="auto" w:fill="009845"/>
          </w:tcPr>
          <w:p>
            <w:pPr>
              <w:spacing w:after="0"/>
              <w:rPr>
                <w:sz w:val="6"/>
                <w:szCs w:val="6"/>
                <w:color w:val="auto"/>
              </w:rPr>
            </w:pPr>
          </w:p>
        </w:tc>
        <w:tc>
          <w:tcPr>
            <w:tcW w:w="1860" w:type="dxa"/>
            <w:vAlign w:val="bottom"/>
            <w:shd w:val="clear" w:color="auto" w:fill="009845"/>
          </w:tcPr>
          <w:p>
            <w:pPr>
              <w:spacing w:after="0"/>
              <w:rPr>
                <w:sz w:val="6"/>
                <w:szCs w:val="6"/>
                <w:color w:val="auto"/>
              </w:rPr>
            </w:pPr>
          </w:p>
        </w:tc>
      </w:tr>
      <w:tr>
        <w:trPr>
          <w:trHeight w:val="210"/>
        </w:trPr>
        <w:tc>
          <w:tcPr>
            <w:tcW w:w="566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4"/>
                <w:szCs w:val="14"/>
                <w:color w:val="58595B"/>
              </w:rPr>
              <w:t>Baseline (Fiscal 2024 Revenue Achievement)</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$1,611</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w w:val="97"/>
              </w:rPr>
              <w:t>$1,611</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w w:val="97"/>
              </w:rPr>
              <w:t>$1,611</w:t>
            </w:r>
          </w:p>
        </w:tc>
      </w:tr>
      <w:tr>
        <w:trPr>
          <w:trHeight w:val="208"/>
        </w:trPr>
        <w:tc>
          <w:tcPr>
            <w:tcW w:w="5660" w:type="dxa"/>
            <w:vAlign w:val="bottom"/>
          </w:tcPr>
          <w:p>
            <w:pPr>
              <w:ind w:left="140"/>
              <w:spacing w:after="0"/>
              <w:rPr>
                <w:sz w:val="20"/>
                <w:szCs w:val="20"/>
                <w:color w:val="auto"/>
              </w:rPr>
            </w:pPr>
            <w:r>
              <w:rPr>
                <w:rFonts w:ascii="Arial" w:cs="Arial" w:eastAsia="Arial" w:hAnsi="Arial"/>
                <w:sz w:val="14"/>
                <w:szCs w:val="14"/>
                <w:color w:val="58595B"/>
              </w:rPr>
              <w:t>Threshold</w:t>
            </w:r>
          </w:p>
        </w:tc>
        <w:tc>
          <w:tcPr>
            <w:tcW w:w="1860" w:type="dxa"/>
            <w:vAlign w:val="bottom"/>
          </w:tcPr>
          <w:p>
            <w:pPr>
              <w:jc w:val="center"/>
              <w:spacing w:after="0"/>
              <w:rPr>
                <w:sz w:val="20"/>
                <w:szCs w:val="20"/>
                <w:color w:val="auto"/>
              </w:rPr>
            </w:pPr>
            <w:r>
              <w:rPr>
                <w:rFonts w:ascii="Arial" w:cs="Arial" w:eastAsia="Arial" w:hAnsi="Arial"/>
                <w:sz w:val="14"/>
                <w:szCs w:val="14"/>
                <w:color w:val="58595B"/>
                <w:w w:val="98"/>
              </w:rPr>
              <w:t>2%</w:t>
            </w:r>
          </w:p>
        </w:tc>
        <w:tc>
          <w:tcPr>
            <w:tcW w:w="1860" w:type="dxa"/>
            <w:vAlign w:val="bottom"/>
          </w:tcPr>
          <w:p>
            <w:pPr>
              <w:jc w:val="center"/>
              <w:spacing w:after="0"/>
              <w:rPr>
                <w:sz w:val="20"/>
                <w:szCs w:val="20"/>
                <w:color w:val="auto"/>
              </w:rPr>
            </w:pPr>
            <w:r>
              <w:rPr>
                <w:rFonts w:ascii="Arial" w:cs="Arial" w:eastAsia="Arial" w:hAnsi="Arial"/>
                <w:sz w:val="14"/>
                <w:szCs w:val="14"/>
                <w:color w:val="58595B"/>
                <w:w w:val="98"/>
              </w:rPr>
              <w:t>2%</w:t>
            </w:r>
          </w:p>
        </w:tc>
        <w:tc>
          <w:tcPr>
            <w:tcW w:w="1860" w:type="dxa"/>
            <w:vAlign w:val="bottom"/>
          </w:tcPr>
          <w:p>
            <w:pPr>
              <w:jc w:val="center"/>
              <w:spacing w:after="0"/>
              <w:rPr>
                <w:sz w:val="20"/>
                <w:szCs w:val="20"/>
                <w:color w:val="auto"/>
              </w:rPr>
            </w:pPr>
            <w:r>
              <w:rPr>
                <w:rFonts w:ascii="Arial" w:cs="Arial" w:eastAsia="Arial" w:hAnsi="Arial"/>
                <w:sz w:val="14"/>
                <w:szCs w:val="14"/>
                <w:color w:val="58595B"/>
              </w:rPr>
              <w:t>2%</w:t>
            </w:r>
          </w:p>
        </w:tc>
      </w:tr>
      <w:tr>
        <w:trPr>
          <w:trHeight w:val="22"/>
        </w:trPr>
        <w:tc>
          <w:tcPr>
            <w:tcW w:w="5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0"/>
        </w:trPr>
        <w:tc>
          <w:tcPr>
            <w:tcW w:w="566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4"/>
                <w:szCs w:val="14"/>
                <w:color w:val="58595B"/>
              </w:rPr>
              <w:t>Target</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5.7%</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5.7%</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5%</w:t>
            </w:r>
          </w:p>
        </w:tc>
      </w:tr>
      <w:tr>
        <w:trPr>
          <w:trHeight w:val="208"/>
        </w:trPr>
        <w:tc>
          <w:tcPr>
            <w:tcW w:w="5660" w:type="dxa"/>
            <w:vAlign w:val="bottom"/>
          </w:tcPr>
          <w:p>
            <w:pPr>
              <w:ind w:left="140"/>
              <w:spacing w:after="0"/>
              <w:rPr>
                <w:sz w:val="20"/>
                <w:szCs w:val="20"/>
                <w:color w:val="auto"/>
              </w:rPr>
            </w:pPr>
            <w:r>
              <w:rPr>
                <w:rFonts w:ascii="Arial" w:cs="Arial" w:eastAsia="Arial" w:hAnsi="Arial"/>
                <w:sz w:val="14"/>
                <w:szCs w:val="14"/>
                <w:color w:val="58595B"/>
              </w:rPr>
              <w:t>Maximum</w:t>
            </w:r>
          </w:p>
        </w:tc>
        <w:tc>
          <w:tcPr>
            <w:tcW w:w="1860" w:type="dxa"/>
            <w:vAlign w:val="bottom"/>
          </w:tcPr>
          <w:p>
            <w:pPr>
              <w:jc w:val="center"/>
              <w:spacing w:after="0"/>
              <w:rPr>
                <w:sz w:val="20"/>
                <w:szCs w:val="20"/>
                <w:color w:val="auto"/>
              </w:rPr>
            </w:pPr>
            <w:r>
              <w:rPr>
                <w:rFonts w:ascii="Arial" w:cs="Arial" w:eastAsia="Arial" w:hAnsi="Arial"/>
                <w:sz w:val="14"/>
                <w:szCs w:val="14"/>
                <w:color w:val="58595B"/>
                <w:w w:val="98"/>
              </w:rPr>
              <w:t>7%</w:t>
            </w:r>
          </w:p>
        </w:tc>
        <w:tc>
          <w:tcPr>
            <w:tcW w:w="1860" w:type="dxa"/>
            <w:vAlign w:val="bottom"/>
          </w:tcPr>
          <w:p>
            <w:pPr>
              <w:jc w:val="center"/>
              <w:spacing w:after="0"/>
              <w:rPr>
                <w:sz w:val="20"/>
                <w:szCs w:val="20"/>
                <w:color w:val="auto"/>
              </w:rPr>
            </w:pPr>
            <w:r>
              <w:rPr>
                <w:rFonts w:ascii="Arial" w:cs="Arial" w:eastAsia="Arial" w:hAnsi="Arial"/>
                <w:sz w:val="14"/>
                <w:szCs w:val="14"/>
                <w:color w:val="58595B"/>
                <w:w w:val="98"/>
              </w:rPr>
              <w:t>7%</w:t>
            </w:r>
          </w:p>
        </w:tc>
        <w:tc>
          <w:tcPr>
            <w:tcW w:w="1860" w:type="dxa"/>
            <w:vAlign w:val="bottom"/>
          </w:tcPr>
          <w:p>
            <w:pPr>
              <w:jc w:val="center"/>
              <w:spacing w:after="0"/>
              <w:rPr>
                <w:sz w:val="20"/>
                <w:szCs w:val="20"/>
                <w:color w:val="auto"/>
              </w:rPr>
            </w:pPr>
            <w:r>
              <w:rPr>
                <w:rFonts w:ascii="Arial" w:cs="Arial" w:eastAsia="Arial" w:hAnsi="Arial"/>
                <w:sz w:val="14"/>
                <w:szCs w:val="14"/>
                <w:color w:val="58595B"/>
              </w:rPr>
              <w:t>7%</w:t>
            </w:r>
          </w:p>
        </w:tc>
      </w:tr>
      <w:tr>
        <w:trPr>
          <w:trHeight w:val="22"/>
        </w:trPr>
        <w:tc>
          <w:tcPr>
            <w:tcW w:w="5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30"/>
        </w:trPr>
        <w:tc>
          <w:tcPr>
            <w:tcW w:w="5660" w:type="dxa"/>
            <w:vAlign w:val="bottom"/>
            <w:shd w:val="clear" w:color="auto" w:fill="EFEDED"/>
          </w:tcPr>
          <w:p>
            <w:pPr>
              <w:ind w:left="140"/>
              <w:spacing w:after="0"/>
              <w:rPr>
                <w:sz w:val="20"/>
                <w:szCs w:val="20"/>
                <w:color w:val="auto"/>
              </w:rPr>
            </w:pPr>
            <w:r>
              <w:rPr>
                <w:rFonts w:ascii="Arial" w:cs="Arial" w:eastAsia="Arial" w:hAnsi="Arial"/>
                <w:sz w:val="14"/>
                <w:szCs w:val="14"/>
                <w:b w:val="1"/>
                <w:bCs w:val="1"/>
                <w:color w:val="58595B"/>
              </w:rPr>
              <w:t>Fiscal 2025 Revenue Achievement</w:t>
            </w:r>
          </w:p>
        </w:tc>
        <w:tc>
          <w:tcPr>
            <w:tcW w:w="18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$1,624</w:t>
            </w:r>
          </w:p>
        </w:tc>
        <w:tc>
          <w:tcPr>
            <w:tcW w:w="18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$1,624</w:t>
            </w:r>
          </w:p>
        </w:tc>
        <w:tc>
          <w:tcPr>
            <w:tcW w:w="18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$1,624</w:t>
            </w:r>
          </w:p>
        </w:tc>
      </w:tr>
      <w:tr>
        <w:trPr>
          <w:trHeight w:val="229"/>
        </w:trPr>
        <w:tc>
          <w:tcPr>
            <w:tcW w:w="5660" w:type="dxa"/>
            <w:vAlign w:val="bottom"/>
          </w:tcPr>
          <w:p>
            <w:pPr>
              <w:ind w:left="140"/>
              <w:spacing w:after="0"/>
              <w:rPr>
                <w:sz w:val="20"/>
                <w:szCs w:val="20"/>
                <w:color w:val="auto"/>
              </w:rPr>
            </w:pPr>
            <w:r>
              <w:rPr>
                <w:rFonts w:ascii="Arial" w:cs="Arial" w:eastAsia="Arial" w:hAnsi="Arial"/>
                <w:sz w:val="14"/>
                <w:szCs w:val="14"/>
                <w:color w:val="58595B"/>
              </w:rPr>
              <w:t>Organic Revenue Growth</w:t>
            </w:r>
            <w:r>
              <w:rPr>
                <w:rFonts w:ascii="Arial" w:cs="Arial" w:eastAsia="Arial" w:hAnsi="Arial"/>
                <w:sz w:val="18"/>
                <w:szCs w:val="18"/>
                <w:color w:val="58595B"/>
                <w:vertAlign w:val="superscript"/>
              </w:rPr>
              <w:t>(1)</w:t>
            </w:r>
          </w:p>
        </w:tc>
        <w:tc>
          <w:tcPr>
            <w:tcW w:w="1860" w:type="dxa"/>
            <w:vAlign w:val="bottom"/>
          </w:tcPr>
          <w:p>
            <w:pPr>
              <w:jc w:val="center"/>
              <w:spacing w:after="0"/>
              <w:rPr>
                <w:sz w:val="20"/>
                <w:szCs w:val="20"/>
                <w:color w:val="auto"/>
              </w:rPr>
            </w:pPr>
            <w:r>
              <w:rPr>
                <w:rFonts w:ascii="Arial" w:cs="Arial" w:eastAsia="Arial" w:hAnsi="Arial"/>
                <w:sz w:val="14"/>
                <w:szCs w:val="14"/>
                <w:color w:val="58595B"/>
              </w:rPr>
              <w:t>(0.7)%</w:t>
            </w:r>
          </w:p>
        </w:tc>
        <w:tc>
          <w:tcPr>
            <w:tcW w:w="1860" w:type="dxa"/>
            <w:vAlign w:val="bottom"/>
          </w:tcPr>
          <w:p>
            <w:pPr>
              <w:jc w:val="center"/>
              <w:spacing w:after="0"/>
              <w:rPr>
                <w:sz w:val="20"/>
                <w:szCs w:val="20"/>
                <w:color w:val="auto"/>
              </w:rPr>
            </w:pPr>
            <w:r>
              <w:rPr>
                <w:rFonts w:ascii="Arial" w:cs="Arial" w:eastAsia="Arial" w:hAnsi="Arial"/>
                <w:sz w:val="14"/>
                <w:szCs w:val="14"/>
                <w:color w:val="58595B"/>
              </w:rPr>
              <w:t>(0.7)%</w:t>
            </w:r>
          </w:p>
        </w:tc>
        <w:tc>
          <w:tcPr>
            <w:tcW w:w="1860" w:type="dxa"/>
            <w:vAlign w:val="bottom"/>
          </w:tcPr>
          <w:p>
            <w:pPr>
              <w:jc w:val="center"/>
              <w:spacing w:after="0"/>
              <w:rPr>
                <w:sz w:val="20"/>
                <w:szCs w:val="20"/>
                <w:color w:val="auto"/>
              </w:rPr>
            </w:pPr>
            <w:r>
              <w:rPr>
                <w:rFonts w:ascii="Arial" w:cs="Arial" w:eastAsia="Arial" w:hAnsi="Arial"/>
                <w:sz w:val="14"/>
                <w:szCs w:val="14"/>
                <w:color w:val="58595B"/>
              </w:rPr>
              <w:t>(0.7)%</w:t>
            </w:r>
          </w:p>
        </w:tc>
      </w:tr>
      <w:tr>
        <w:trPr>
          <w:trHeight w:val="223"/>
        </w:trPr>
        <w:tc>
          <w:tcPr>
            <w:tcW w:w="5660" w:type="dxa"/>
            <w:vAlign w:val="bottom"/>
            <w:tcBorders>
              <w:bottom w:val="single" w:sz="8" w:color="58595B"/>
            </w:tcBorders>
            <w:shd w:val="clear" w:color="auto" w:fill="EFEDED"/>
          </w:tcPr>
          <w:p>
            <w:pPr>
              <w:ind w:left="140"/>
              <w:spacing w:after="0"/>
              <w:rPr>
                <w:sz w:val="20"/>
                <w:szCs w:val="20"/>
                <w:color w:val="auto"/>
              </w:rPr>
            </w:pPr>
            <w:r>
              <w:rPr>
                <w:rFonts w:ascii="Arial" w:cs="Arial" w:eastAsia="Arial" w:hAnsi="Arial"/>
                <w:sz w:val="14"/>
                <w:szCs w:val="14"/>
                <w:b w:val="1"/>
                <w:bCs w:val="1"/>
                <w:color w:val="58595B"/>
              </w:rPr>
              <w:t>ACTUAL VESTING PERCENTAGE</w:t>
            </w:r>
          </w:p>
        </w:tc>
        <w:tc>
          <w:tcPr>
            <w:tcW w:w="186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w w:val="98"/>
              </w:rPr>
              <w:t>0%</w:t>
            </w:r>
          </w:p>
        </w:tc>
        <w:tc>
          <w:tcPr>
            <w:tcW w:w="186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w w:val="98"/>
              </w:rPr>
              <w:t>0%</w:t>
            </w:r>
          </w:p>
        </w:tc>
        <w:tc>
          <w:tcPr>
            <w:tcW w:w="186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rPr>
              <w:t>0%</w:t>
            </w:r>
          </w:p>
        </w:tc>
      </w:tr>
    </w:tbl>
    <w:p>
      <w:pPr>
        <w:spacing w:after="0" w:line="139"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Organic revenue growth excludes $29.1M in inorganic revenue attributable to the Acclarent acquisition subsequent to the April 1, 2024 acquisition date.</w:t>
      </w:r>
    </w:p>
    <w:p>
      <w:pPr>
        <w:spacing w:after="0" w:line="200" w:lineRule="exact"/>
        <w:rPr>
          <w:sz w:val="20"/>
          <w:szCs w:val="20"/>
          <w:color w:val="auto"/>
        </w:rPr>
      </w:pPr>
    </w:p>
    <w:p>
      <w:pPr>
        <w:spacing w:after="0" w:line="40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50</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Starting in 2026, we have transitioned from issuing RSAs and will replace with RSUs for the other NEOs to better align to market practice. We also suspended the use of stock options due to their high share usage negatively impacting our burn rate and long-term share pool sustainability. Transitioning to 50% PSUs and 50% RSUs allows us to maintain competitive pay while significantly reducing dilution and maintaining a similar performance-orientation of our annual equity program.</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009845"/>
        </w:rPr>
        <w:t>Other Benefits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Retirement Savings Programs</w:t>
      </w:r>
    </w:p>
    <w:p>
      <w:pPr>
        <w:spacing w:after="0" w:line="72" w:lineRule="exact"/>
        <w:rPr>
          <w:sz w:val="20"/>
          <w:szCs w:val="20"/>
          <w:color w:val="auto"/>
        </w:rPr>
      </w:pPr>
    </w:p>
    <w:p>
      <w:pPr>
        <w:ind w:right="160"/>
        <w:spacing w:after="0" w:line="318" w:lineRule="auto"/>
        <w:rPr>
          <w:sz w:val="20"/>
          <w:szCs w:val="20"/>
          <w:color w:val="auto"/>
        </w:rPr>
      </w:pPr>
      <w:r>
        <w:rPr>
          <w:rFonts w:ascii="Arial" w:cs="Arial" w:eastAsia="Arial" w:hAnsi="Arial"/>
          <w:sz w:val="16"/>
          <w:szCs w:val="16"/>
          <w:color w:val="58595B"/>
        </w:rPr>
        <w:t>In 2025, we provided retirement benefits to our NEOs through the defined contribution retirement savings plan, which is the same plan available to all employees. Company matching contributions for our NEOs are shown in the "Breakdown of All Other Compensation — 2025" table appearing in the CD&amp;A of this proxy statement. A non-qualified deferred compensation program exists for all employees who meet the IRS annual compensation limit of Section 401(a)(17) of the Internal Revenue Code of 1986, as amended (the "Code") and conforms with the requirements of Section 409A of the Code. Employees may defer up to 75% of base salary and up to 100% of performance-based cash bonus on a pre-tax basis.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Other Benefits</w:t>
      </w:r>
    </w:p>
    <w:p>
      <w:pPr>
        <w:spacing w:after="0" w:line="72" w:lineRule="exact"/>
        <w:rPr>
          <w:sz w:val="20"/>
          <w:szCs w:val="20"/>
          <w:color w:val="auto"/>
        </w:rPr>
      </w:pPr>
    </w:p>
    <w:p>
      <w:pPr>
        <w:ind w:right="340"/>
        <w:spacing w:after="0" w:line="328" w:lineRule="auto"/>
        <w:rPr>
          <w:sz w:val="20"/>
          <w:szCs w:val="20"/>
          <w:color w:val="auto"/>
        </w:rPr>
      </w:pPr>
      <w:r>
        <w:rPr>
          <w:rFonts w:ascii="Arial" w:cs="Arial" w:eastAsia="Arial" w:hAnsi="Arial"/>
          <w:sz w:val="16"/>
          <w:szCs w:val="16"/>
          <w:color w:val="58595B"/>
        </w:rPr>
        <w:t>In 2025, our NEOs participated in benefit offerings on the same basis as all other employees except for the Executive Physical Exam Program, which provides payment for a comprehensive annual physical exam for each of our NEOs and aligns with the Company’s culture of health and wellness, which supports improved executive performance.</w:t>
      </w:r>
    </w:p>
    <w:p>
      <w:pPr>
        <w:spacing w:after="0" w:line="110"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58595B"/>
        </w:rPr>
        <w:t>Ms. Poul received $250,000 as a lump sum relocation payment and a tax gross up of $107,056 consistent with the Company’s relocation policy in connection with her hire in 2025. The relocation amount is shown in the "Breakdown of All Other Compensation — 2025" table appearing in the CD&amp;A of this proxy statement.</w:t>
      </w:r>
    </w:p>
    <w:p>
      <w:pPr>
        <w:sectPr>
          <w:pgSz w:w="11900" w:h="16838" w:orient="portrait"/>
          <w:cols w:equalWidth="0" w:num="1">
            <w:col w:w="11240"/>
          </w:cols>
          <w:pgMar w:left="320" w:top="122" w:right="3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color w:val="009845"/>
        </w:rPr>
        <w:t>Other Key Features Of Our Executive Compensation Program</w:t>
      </w:r>
    </w:p>
    <w:p>
      <w:pPr>
        <w:spacing w:after="0" w:line="247" w:lineRule="exact"/>
        <w:rPr>
          <w:sz w:val="20"/>
          <w:szCs w:val="20"/>
          <w:color w:val="auto"/>
        </w:rPr>
      </w:pPr>
    </w:p>
    <w:p>
      <w:pPr>
        <w:ind w:left="20"/>
        <w:spacing w:after="0" w:line="312" w:lineRule="auto"/>
        <w:rPr>
          <w:sz w:val="20"/>
          <w:szCs w:val="20"/>
          <w:color w:val="auto"/>
        </w:rPr>
      </w:pPr>
      <w:r>
        <w:rPr>
          <w:rFonts w:ascii="Arial" w:cs="Arial" w:eastAsia="Arial" w:hAnsi="Arial"/>
          <w:sz w:val="16"/>
          <w:szCs w:val="16"/>
          <w:color w:val="58595B"/>
        </w:rPr>
        <w:t>We have implemented policies aimed at fostering sustainable growth by further aligning the financial interests of our executives and stockholders with long-term stock price performance. In addition, our compensation policies and practices for all employees are reviewed annually to determine whether any risks associated with such policies and practices encourage unnecessary or excessive risk-taking or are reasonably likely to have an adverse effect on the Company. Our compensation programs are designed with an appropriate balance of risk and reward in relation to our business strategy and do not encourage excessive or unnecessary risk-taking behavior. The risk-mitigating features incorporated within our compensation programs are outlined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009845"/>
        </w:rPr>
        <w:t xml:space="preserve">The Compensation Committee reviewed management’s </w:t>
      </w:r>
      <w:r>
        <w:rPr>
          <w:rFonts w:ascii="Arial" w:cs="Arial" w:eastAsia="Arial" w:hAnsi="Arial"/>
          <w:sz w:val="18"/>
          <w:szCs w:val="18"/>
          <w:b w:val="1"/>
          <w:bCs w:val="1"/>
          <w:color w:val="009845"/>
        </w:rPr>
        <w:t>risk assessment report</w:t>
      </w:r>
      <w:r>
        <w:rPr>
          <w:rFonts w:ascii="Arial" w:cs="Arial" w:eastAsia="Arial" w:hAnsi="Arial"/>
          <w:sz w:val="18"/>
          <w:szCs w:val="18"/>
          <w:color w:val="009845"/>
        </w:rPr>
        <w:t xml:space="preserve">, and as a result of the risk assessment, the Compensation Committee </w:t>
      </w:r>
      <w:r>
        <w:rPr>
          <w:rFonts w:ascii="Arial" w:cs="Arial" w:eastAsia="Arial" w:hAnsi="Arial"/>
          <w:sz w:val="18"/>
          <w:szCs w:val="18"/>
          <w:b w:val="1"/>
          <w:bCs w:val="1"/>
          <w:color w:val="009845"/>
        </w:rPr>
        <w:t>does not believe</w:t>
      </w:r>
      <w:r>
        <w:rPr>
          <w:rFonts w:ascii="Arial" w:cs="Arial" w:eastAsia="Arial" w:hAnsi="Arial"/>
          <w:sz w:val="18"/>
          <w:szCs w:val="18"/>
          <w:color w:val="009845"/>
        </w:rPr>
        <w:t xml:space="preserve"> </w:t>
      </w:r>
      <w:r>
        <w:rPr>
          <w:rFonts w:ascii="Arial" w:cs="Arial" w:eastAsia="Arial" w:hAnsi="Arial"/>
          <w:sz w:val="18"/>
          <w:szCs w:val="18"/>
          <w:b w:val="1"/>
          <w:bCs w:val="1"/>
          <w:color w:val="009845"/>
        </w:rPr>
        <w:t>risks relating to our compensation programs are reasonably likely to have a material adverse effect on the Company</w:t>
      </w:r>
      <w:r>
        <w:rPr>
          <w:rFonts w:ascii="Arial" w:cs="Arial" w:eastAsia="Arial" w:hAnsi="Arial"/>
          <w:sz w:val="18"/>
          <w:szCs w:val="18"/>
          <w:color w:val="00984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-1224915</wp:posOffset>
            </wp:positionV>
            <wp:extent cx="2588895" cy="14916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88895" cy="149161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6920" w:space="500"/>
            <w:col w:w="3820"/>
          </w:cols>
          <w:pgMar w:left="320" w:top="122" w:right="33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Stock Ownership Guidelines</w:t>
      </w:r>
    </w:p>
    <w:p>
      <w:pPr>
        <w:spacing w:after="0" w:line="7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58595B"/>
        </w:rPr>
        <w:t>Our stock ownership guidelines require all executive officers to hold a minimum number of shares of our stock while serving in these leadership positions. The guidelines are intended to align the interests of executives with those of our stockholders by requiring executives to be subject to the same long-term stock price volatility our stockholders experience. Named executive officers have five years from their appointment/hire date to meet their stock ownership guidelines. For purposes of measuring compliance with these guidelines, the following are counted to determine whether the required ownership interest has been satisfied: (i) shares of common stock owned directly or indirectly by the executive officer or his or her immediate family members, (ii) vested shares of restricted stock and shares underlying vested RSUs, and (iii) unvested shares of restricted stock and shares underlying unvested RSUs (provided, in each case, such shares or units vest based on time and not performance). Shares underlying unexercised stock options (whether vested or unvested) and performance-based awards do not count towards satisfying these guidelines.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58595B"/>
        </w:rPr>
        <w:t>The minimum ownership threshold is based on a multiple of base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Position</w:t>
            </w:r>
          </w:p>
        </w:tc>
        <w:tc>
          <w:tcPr>
            <w:tcW w:w="2920" w:type="dxa"/>
            <w:vAlign w:val="bottom"/>
            <w:shd w:val="clear" w:color="auto" w:fill="009845"/>
          </w:tcPr>
          <w:p>
            <w:pPr>
              <w:ind w:left="20"/>
              <w:spacing w:after="0"/>
              <w:rPr>
                <w:sz w:val="20"/>
                <w:szCs w:val="20"/>
                <w:color w:val="auto"/>
              </w:rPr>
            </w:pPr>
            <w:r>
              <w:rPr>
                <w:rFonts w:ascii="Arial" w:cs="Arial" w:eastAsia="Arial" w:hAnsi="Arial"/>
                <w:sz w:val="14"/>
                <w:szCs w:val="14"/>
                <w:b w:val="1"/>
                <w:bCs w:val="1"/>
                <w:color w:val="FFFFFF"/>
              </w:rPr>
              <w:t>Stock Ownership Guideline</w:t>
            </w:r>
          </w:p>
        </w:tc>
      </w:tr>
      <w:tr>
        <w:trPr>
          <w:trHeight w:val="67"/>
        </w:trPr>
        <w:tc>
          <w:tcPr>
            <w:tcW w:w="8320" w:type="dxa"/>
            <w:vAlign w:val="bottom"/>
            <w:shd w:val="clear" w:color="auto" w:fill="009845"/>
          </w:tcPr>
          <w:p>
            <w:pPr>
              <w:spacing w:after="0"/>
              <w:rPr>
                <w:sz w:val="5"/>
                <w:szCs w:val="5"/>
                <w:color w:val="auto"/>
              </w:rPr>
            </w:pPr>
          </w:p>
        </w:tc>
        <w:tc>
          <w:tcPr>
            <w:tcW w:w="2920" w:type="dxa"/>
            <w:vAlign w:val="bottom"/>
            <w:shd w:val="clear" w:color="auto" w:fill="009845"/>
          </w:tcPr>
          <w:p>
            <w:pPr>
              <w:spacing w:after="0"/>
              <w:rPr>
                <w:sz w:val="5"/>
                <w:szCs w:val="5"/>
                <w:color w:val="auto"/>
              </w:rPr>
            </w:pPr>
          </w:p>
        </w:tc>
      </w:tr>
      <w:tr>
        <w:trPr>
          <w:trHeight w:val="209"/>
        </w:trPr>
        <w:tc>
          <w:tcPr>
            <w:tcW w:w="83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CEO</w:t>
            </w:r>
          </w:p>
        </w:tc>
        <w:tc>
          <w:tcPr>
            <w:tcW w:w="292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color w:val="58595B"/>
              </w:rPr>
              <w:t>6 times base salary</w:t>
            </w:r>
          </w:p>
        </w:tc>
      </w:tr>
      <w:tr>
        <w:trPr>
          <w:trHeight w:val="208"/>
        </w:trPr>
        <w:tc>
          <w:tcPr>
            <w:tcW w:w="8320" w:type="dxa"/>
            <w:vAlign w:val="bottom"/>
          </w:tcPr>
          <w:p>
            <w:pPr>
              <w:ind w:left="100"/>
              <w:spacing w:after="0"/>
              <w:rPr>
                <w:sz w:val="20"/>
                <w:szCs w:val="20"/>
                <w:color w:val="auto"/>
              </w:rPr>
            </w:pPr>
            <w:r>
              <w:rPr>
                <w:rFonts w:ascii="Arial" w:cs="Arial" w:eastAsia="Arial" w:hAnsi="Arial"/>
                <w:sz w:val="14"/>
                <w:szCs w:val="14"/>
                <w:color w:val="58595B"/>
              </w:rPr>
              <w:t>CFO</w:t>
            </w:r>
          </w:p>
        </w:tc>
        <w:tc>
          <w:tcPr>
            <w:tcW w:w="2920" w:type="dxa"/>
            <w:vAlign w:val="bottom"/>
          </w:tcPr>
          <w:p>
            <w:pPr>
              <w:ind w:left="20"/>
              <w:spacing w:after="0"/>
              <w:rPr>
                <w:sz w:val="20"/>
                <w:szCs w:val="20"/>
                <w:color w:val="auto"/>
              </w:rPr>
            </w:pPr>
            <w:r>
              <w:rPr>
                <w:rFonts w:ascii="Arial" w:cs="Arial" w:eastAsia="Arial" w:hAnsi="Arial"/>
                <w:sz w:val="14"/>
                <w:szCs w:val="14"/>
                <w:color w:val="58595B"/>
              </w:rPr>
              <w:t>2 times base salary</w:t>
            </w:r>
          </w:p>
        </w:tc>
      </w:tr>
      <w:tr>
        <w:trPr>
          <w:trHeight w:val="22"/>
        </w:trPr>
        <w:tc>
          <w:tcPr>
            <w:tcW w:w="8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9"/>
        </w:trPr>
        <w:tc>
          <w:tcPr>
            <w:tcW w:w="83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All other Executive Officers</w:t>
            </w:r>
          </w:p>
        </w:tc>
        <w:tc>
          <w:tcPr>
            <w:tcW w:w="292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color w:val="58595B"/>
              </w:rPr>
              <w:t>1 times base salary</w:t>
            </w:r>
          </w:p>
        </w:tc>
      </w:tr>
      <w:tr>
        <w:trPr>
          <w:trHeight w:val="20"/>
        </w:trPr>
        <w:tc>
          <w:tcPr>
            <w:tcW w:w="8320" w:type="dxa"/>
            <w:vAlign w:val="bottom"/>
            <w:shd w:val="clear" w:color="auto" w:fill="58595B"/>
          </w:tcPr>
          <w:p>
            <w:pPr>
              <w:spacing w:after="0" w:line="20" w:lineRule="exact"/>
              <w:rPr>
                <w:sz w:val="1"/>
                <w:szCs w:val="1"/>
                <w:color w:val="auto"/>
              </w:rPr>
            </w:pPr>
          </w:p>
        </w:tc>
        <w:tc>
          <w:tcPr>
            <w:tcW w:w="2920" w:type="dxa"/>
            <w:vAlign w:val="bottom"/>
            <w:shd w:val="clear" w:color="auto" w:fill="58595B"/>
          </w:tcPr>
          <w:p>
            <w:pPr>
              <w:spacing w:after="0" w:line="20" w:lineRule="exact"/>
              <w:rPr>
                <w:sz w:val="1"/>
                <w:szCs w:val="1"/>
                <w:color w:val="auto"/>
              </w:rPr>
            </w:pPr>
          </w:p>
        </w:tc>
      </w:tr>
    </w:tbl>
    <w:p>
      <w:pPr>
        <w:spacing w:after="0" w:line="364" w:lineRule="exact"/>
        <w:rPr>
          <w:sz w:val="20"/>
          <w:szCs w:val="20"/>
          <w:color w:val="auto"/>
        </w:rPr>
      </w:pPr>
    </w:p>
    <w:p>
      <w:pPr>
        <w:ind w:right="260"/>
        <w:spacing w:after="0" w:line="328" w:lineRule="auto"/>
        <w:rPr>
          <w:sz w:val="20"/>
          <w:szCs w:val="20"/>
          <w:color w:val="auto"/>
        </w:rPr>
      </w:pPr>
      <w:r>
        <w:rPr>
          <w:rFonts w:ascii="Arial" w:cs="Arial" w:eastAsia="Arial" w:hAnsi="Arial"/>
          <w:sz w:val="16"/>
          <w:szCs w:val="16"/>
          <w:color w:val="58595B"/>
        </w:rPr>
        <w:t>Currently, all of our NEOs are in compliance with the stock ownership guidelines. Consistent with the terms of the guidelines, Mses. Poul and Knight have five years from the commencement of their employment with the Company, or until January 5, 2030 and June 28, 2028, respectively, to comply with the stock ownership guidelines and are currently progressing towards meeting the ownership guidelines.</w:t>
      </w:r>
    </w:p>
    <w:p>
      <w:pPr>
        <w:spacing w:after="0" w:line="110"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color w:val="58595B"/>
        </w:rPr>
        <w:t>We have a compensation recoupment, or clawback, policy, which we adopted in October 2023 to comply with Nasdaq listing standards implementing Exchange Act Rule 10D-1. The clawback policy includes mandatory recoupment of excess incentive-based compensation received by a covered executive (including the NEOs) on or after October 2, 2023 in the event of a restatement of the Company’s financial statements due to material non-compliance with any financial reporting requirement under federal securities laws, as required by Exchange Act Rule 10D-1. We maintain a separate clawback policy applicable if a restatement of our financial results is required to correct a material error or inaccuracy due to the fraud or intentional misconduct of any employee (including the NEOs). If applicable, the Compensation Committee can recoup from an employee (including the NEOs) the bonuses or equity awards awarded on or after January 1, 2013 and cancel outstanding annual bonus or equity award opportunities.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Insider Trading Policy and Anti-Pledging Policies</w:t>
      </w:r>
    </w:p>
    <w:p>
      <w:pPr>
        <w:spacing w:after="0" w:line="81" w:lineRule="exact"/>
        <w:rPr>
          <w:sz w:val="20"/>
          <w:szCs w:val="20"/>
          <w:color w:val="auto"/>
        </w:rPr>
      </w:pPr>
    </w:p>
    <w:p>
      <w:pPr>
        <w:ind w:right="220"/>
        <w:spacing w:after="0" w:line="328" w:lineRule="auto"/>
        <w:rPr>
          <w:sz w:val="20"/>
          <w:szCs w:val="20"/>
          <w:color w:val="auto"/>
        </w:rPr>
      </w:pPr>
      <w:r>
        <w:rPr>
          <w:rFonts w:ascii="Arial" w:cs="Arial" w:eastAsia="Arial" w:hAnsi="Arial"/>
          <w:sz w:val="16"/>
          <w:szCs w:val="16"/>
          <w:color w:val="58595B"/>
        </w:rPr>
        <w:t>We have adopted insider trading policies and procedures governing the purchase, sale and other transactions in Company securities by the Company’s directors, officers, and employees, and other covered persons which we believe are reasonably designed to promote compliance with insider trading laws, rules and regulations and applicable exchange listing standards.</w:t>
      </w:r>
    </w:p>
    <w:p>
      <w:pPr>
        <w:spacing w:after="0" w:line="110"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Our Insider Trading Policy prohibits without exception hedging and pledging of our securities by any employee, including our NEOs and directors. Prohibited trading practices include short sales, puts, calls, forward sales, equity swaps, or other hedging transactions. In addition, all employees including our NEOs and directors are forbidden from (i) holding Integra securities in a margin account, (ii) buying Integra securities on margin, (iii) pledging Integra securities as collateral for a loan or (iv) pledging Integra securities in any other arrangement. For our NEOs, and other participants subject to the Company’s Trading Window Group Policy, trading is permitted only during scheduled trading windows and requires a pre-clearance by our legal department. Subject to this policy and applicable rules and regulations, our NEOs may enter into a trading plan under Rule 10b5-1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Timing of Equity Grants</w:t>
      </w:r>
    </w:p>
    <w:p>
      <w:pPr>
        <w:spacing w:after="0" w:line="81"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58595B"/>
        </w:rPr>
        <w:t>Annual equity awards, including stock options, are typically granted during an open trading window following the Company’s earnings release for the prior fiscal year. For new hires, equity awards, including stock options, are typically granted on the first of the month following their hire. Under the ESPP, eligible employees, including the NEOs, may purchase shares at a discount, with purchase dates taking place on the last trading day of each fiscal year using payroll deductions accumulated during the prior twelve-month period.</w:t>
      </w:r>
    </w:p>
    <w:p>
      <w:pPr>
        <w:spacing w:after="0" w:line="113" w:lineRule="exact"/>
        <w:rPr>
          <w:sz w:val="20"/>
          <w:szCs w:val="20"/>
          <w:color w:val="auto"/>
        </w:rPr>
      </w:pPr>
    </w:p>
    <w:p>
      <w:pPr>
        <w:ind w:right="100"/>
        <w:spacing w:after="0" w:line="328" w:lineRule="auto"/>
        <w:rPr>
          <w:sz w:val="20"/>
          <w:szCs w:val="20"/>
          <w:color w:val="auto"/>
        </w:rPr>
      </w:pPr>
      <w:r>
        <w:rPr>
          <w:rFonts w:ascii="Arial" w:cs="Arial" w:eastAsia="Arial" w:hAnsi="Arial"/>
          <w:sz w:val="16"/>
          <w:szCs w:val="16"/>
          <w:color w:val="58595B"/>
        </w:rPr>
        <w:t>The Compensation Committee does not take material nonpublic information into account when determining the timing and terms of equity awards, including stock options, and the Company does not time the disclosure of material nonpublic information for the purpose of affecting the value of executive compensation.</w:t>
      </w:r>
    </w:p>
    <w:p>
      <w:pPr>
        <w:spacing w:after="0" w:line="110" w:lineRule="exact"/>
        <w:rPr>
          <w:sz w:val="20"/>
          <w:szCs w:val="20"/>
          <w:color w:val="auto"/>
        </w:rPr>
      </w:pPr>
    </w:p>
    <w:p>
      <w:pPr>
        <w:spacing w:after="0" w:line="356" w:lineRule="auto"/>
        <w:rPr>
          <w:sz w:val="20"/>
          <w:szCs w:val="20"/>
          <w:color w:val="auto"/>
        </w:rPr>
      </w:pPr>
      <w:r>
        <w:rPr>
          <w:rFonts w:ascii="Arial" w:cs="Arial" w:eastAsia="Arial" w:hAnsi="Arial"/>
          <w:sz w:val="16"/>
          <w:szCs w:val="16"/>
          <w:color w:val="58595B"/>
        </w:rPr>
        <w:t>During fiscal 2025, no stock options were granted to the NEOs in the period beginning four business days before and ending one business day after the filing or furnishing of any Form 10-Q, Form 10-K or Form 8-K that disclosed material nonpublic information.</w:t>
      </w: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52</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Impact of Accounting and Tax Requirements on Compensation</w:t>
      </w:r>
    </w:p>
    <w:p>
      <w:pPr>
        <w:spacing w:after="0" w:line="81"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58595B"/>
        </w:rPr>
        <w:t>In structuring compensation arrangements, the Compensation Committee considers that Section 162(m) of the Code limits the deductibility of compensation paid to the CEO, CFO and other NEOs and certain other officers to $1.0 million per year, but their decisions are not driven by this limitation.</w:t>
      </w:r>
    </w:p>
    <w:p>
      <w:pPr>
        <w:spacing w:after="0" w:line="115"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58595B"/>
        </w:rPr>
        <w:t>We account for stock-based compensation in accordance with FASB ASC Topic 718, which requires us to recognize compensation expense for share-based payments (including non-qualified stock options, RSAs, RSUs, PSUs and other forms of equity compensation). The Compensation Committee regularly considers the accounting implications of significant compensation decisions, especially in connection with decisions that relate to equity compensation awards. As accounting standards change, we may revise certain programs to appropriately align accounting expenses of our equity awards with our overall executive compensation philosophy and objectives.</w:t>
      </w:r>
    </w:p>
    <w:p>
      <w:pPr>
        <w:spacing w:after="0" w:line="137"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color w:val="58595B"/>
        </w:rPr>
        <w:t>Although the Compensation Committee generally considers the tax and accounting implications of its compensation decisions, the primary drivers for determining the amount and form of executive compensation are the attraction, motivation and retention of executive talent rather than the Internal Revenue Code or accounting requirements.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09845"/>
        </w:rPr>
        <w:t>Employment and Post-Employment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58595B"/>
        </w:rPr>
        <w:t>We do not have employment agreements with our NEOs other than Ms. Poul and our former President &amp; Chief Executive Officer, Mr. De Witte.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CEO Agreements: Ms. Poul</w:t>
      </w:r>
    </w:p>
    <w:p>
      <w:pPr>
        <w:spacing w:after="0" w:line="72" w:lineRule="exact"/>
        <w:rPr>
          <w:sz w:val="20"/>
          <w:szCs w:val="20"/>
          <w:color w:val="auto"/>
        </w:rPr>
      </w:pPr>
    </w:p>
    <w:p>
      <w:pPr>
        <w:jc w:val="both"/>
        <w:ind w:right="120"/>
        <w:spacing w:after="0" w:line="328" w:lineRule="auto"/>
        <w:rPr>
          <w:sz w:val="20"/>
          <w:szCs w:val="20"/>
          <w:color w:val="auto"/>
        </w:rPr>
      </w:pPr>
      <w:r>
        <w:rPr>
          <w:rFonts w:ascii="Arial" w:cs="Arial" w:eastAsia="Arial" w:hAnsi="Arial"/>
          <w:sz w:val="16"/>
          <w:szCs w:val="16"/>
          <w:color w:val="58595B"/>
        </w:rPr>
        <w:t>On November 4, 2024, the Company entered into an employment agreement with Ms. Poul (the "Employment Agreement") effective as of January 6, 2025 (the "Effective Date"). The initial term of Ms. Poul's Employment Agreement expires on the third anniversary of the Effective Date, unless earlier terminated, and is subject to successive automatic one-year renewal terms unless either party gives timely written notice of termination.</w:t>
      </w:r>
    </w:p>
    <w:p>
      <w:pPr>
        <w:spacing w:after="0" w:line="110"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color w:val="58595B"/>
        </w:rPr>
        <w:t>Ms. Poul’s base salary is subject to annual review and may be increased at the discretion of the Compensation Committee. Ms. Poul will also be eligible for an annual bonus opportunity at a percentage of her annual base salary. Her actual bonus will be based on performance relative to the performance goals established under the annual bonus program by the Compensation Committee. Consistent with Company policies, Ms. Poul, as an employee of the Company, will not be entitled to any compensation for her service as a director on the Board. The Employment Agreement provides that commencing in 2026, Ms. Poul is eligible to receive annual equity-based awards, with the amount, form and mix of such award to be determined by the Compensation Committee in its discretion.</w:t>
      </w:r>
    </w:p>
    <w:p>
      <w:pPr>
        <w:spacing w:after="0" w:line="122"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58595B"/>
        </w:rPr>
        <w:t>Under the Employment Agreement, Ms. Poul received a one-time payment of $250,000 grossed-up for taxes to cover relocation expenses and Ms. Poul was also eligible to receive reimbursement of: (i) up to $50,000 in temporary housing expenses for up to six months; and (ii) up to $25,000 in legal fees and expenses actually incurred in connection with the drafting, review and negotiation of the Employment Agreement and any related agreements on or prior to the Effective Date.</w:t>
      </w:r>
    </w:p>
    <w:p>
      <w:pPr>
        <w:spacing w:after="0" w:line="113"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Under the Employment Agreement, if Ms. Poul’s employment is terminated outside the context of a “change in control” by the Company for a reason other than death, disability, or “cause” or by Ms. Poul for “good reason,” Ms. Poul will be eligible to receive (i) a severance amount equal to 2.0 times her then-current annual base salary payable over the two-year period following such termination and (ii) a monthly cash payment equal to Ms. Poul’s monthly COBRA premium cost for family health coverage for up to 18 months following such termination.</w:t>
      </w:r>
    </w:p>
    <w:p>
      <w:pPr>
        <w:spacing w:after="0" w:line="132"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58595B"/>
        </w:rPr>
        <w:t>If, within 24 months following a “change in control” of the Company, Ms. Poul terminates her employment for “good reason,” or her employment is terminated by the Company for a reason other than death, disability, or “cause,” Ms. Poul will be eligible to receive: (i) a single lump sum severance amount equal to 2.99 times the sum of Ms. Poul’s then-current annual base salary and Target Bonus, (ii) a monthly cash payment equal to Ms. Poul’s monthly COBRA premium cost for family health coverage for up to 18 months following such termination, (iii) a single lump sum equal to the pro rata portion of Ms. Poul’s annual bonus (based on actual results) for the year in which the termination occurs, and (iv) full accelerated vesting of all outstanding equity awards granted to Ms. Poul and, to the</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58595B"/>
        </w:rPr>
        <w:t>extent any outstanding equity award is a Company stock option, such option will remain exercisable until the earlier of the first anniversary of the termination date and the expiration date set forth in the option agreement evidencing such option.</w:t>
      </w:r>
    </w:p>
    <w:p>
      <w:pPr>
        <w:spacing w:after="0" w:line="115"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58595B"/>
        </w:rPr>
        <w:t>If Ms. Poul’s employment is terminated due to her death, then her estate will receive (i) a lump sum cash payment equal to Ms. Poul’s annual base salary, and (ii) a monthly cash payment equal to Ms. Poul's monthly family COBRA premium for up to 12 months after her death.</w:t>
      </w:r>
    </w:p>
    <w:p>
      <w:pPr>
        <w:spacing w:after="0" w:line="115"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58595B"/>
        </w:rPr>
        <w:t>Ms. Poul’s right to receive the severance payments and benefits pursuant to the Employment Agreement (other than upon her death) is contingent on Ms. Poul’s execution and non-revocation of a general release of claims in favor of the Company. In addition, to the extent that any payment or benefit received in connection with a change in control would be subject to an excise tax under Section 4999 of the Internal Revenue Code, such payments and/or benefits will be subject to a “best pay cap” reduction if such reduction would result in a greater net after-tax benefit to Ms. Poul than receiving the full amount of such payments.</w:t>
      </w:r>
    </w:p>
    <w:p>
      <w:pPr>
        <w:spacing w:after="0" w:line="137" w:lineRule="exact"/>
        <w:rPr>
          <w:sz w:val="20"/>
          <w:szCs w:val="20"/>
          <w:color w:val="auto"/>
        </w:rPr>
      </w:pPr>
    </w:p>
    <w:p>
      <w:pPr>
        <w:ind w:right="600"/>
        <w:spacing w:after="0" w:line="339" w:lineRule="auto"/>
        <w:rPr>
          <w:sz w:val="20"/>
          <w:szCs w:val="20"/>
          <w:color w:val="auto"/>
        </w:rPr>
      </w:pPr>
      <w:r>
        <w:rPr>
          <w:rFonts w:ascii="Arial" w:cs="Arial" w:eastAsia="Arial" w:hAnsi="Arial"/>
          <w:sz w:val="16"/>
          <w:szCs w:val="16"/>
          <w:color w:val="58595B"/>
        </w:rPr>
        <w:t>The description of the Employment Agreement does not purport to be complete and is qualified in its entirety by reference to the complete text of the Employment Agreement, which is incorporated by reference to Exhibit 10.1 the Company's Current Report on Form 8-K filed on November 4, 2024.</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CEO Agreements: Mr. De Witte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58595B"/>
        </w:rPr>
        <w:t>The terms of Mr. De Witte’s employment agreement as in effect prior to his retirement on January 6, 2025 are described below.</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58595B"/>
        </w:rPr>
        <w:t>On October 28, 2021, the Company entered into an employment agreement with Mr. De Witte (the "De Witte Agreement").</w:t>
      </w:r>
    </w:p>
    <w:p>
      <w:pPr>
        <w:spacing w:after="0" w:line="208"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color w:val="58595B"/>
        </w:rPr>
        <w:t>Mr. De Witte’s base salary was reviewed and could be adjusted annually based on the Compensation Committee’s review. Mr. De Witte’s bonus opportunity ranged from 50% of his target annual bonus opportunity (if threshold performance goals are achieved) to a maximum of 200% of his target annual bonus opportunity. The actual amount of any such annual bonus paid to Mr. De Witte was based on company performance and the satisfaction of performance objectives established and evaluated by the Compensation Committee. Consistent with Company policies, Mr. De Witte, as an employee of the Company, was not entitled to any compensation for his service as a director on the Board.</w:t>
      </w:r>
    </w:p>
    <w:p>
      <w:pPr>
        <w:spacing w:after="0" w:line="118" w:lineRule="exact"/>
        <w:rPr>
          <w:sz w:val="20"/>
          <w:szCs w:val="20"/>
          <w:color w:val="auto"/>
        </w:rPr>
      </w:pPr>
    </w:p>
    <w:p>
      <w:pPr>
        <w:ind w:right="180"/>
        <w:spacing w:after="0" w:line="318" w:lineRule="auto"/>
        <w:rPr>
          <w:sz w:val="20"/>
          <w:szCs w:val="20"/>
          <w:color w:val="auto"/>
        </w:rPr>
      </w:pPr>
      <w:r>
        <w:rPr>
          <w:rFonts w:ascii="Arial" w:cs="Arial" w:eastAsia="Arial" w:hAnsi="Arial"/>
          <w:sz w:val="16"/>
          <w:szCs w:val="16"/>
          <w:color w:val="58595B"/>
        </w:rPr>
        <w:t>The De Witte Agreement provided that Mr. De Witte was eligible to receive a discretionary annual equity award, with the amount, form and mix of such award to be determined by the Compensation Committee in its discretion. Any annual equity awards would be granted pursuant to award agreements on forms substantially similar to the applicable form attached to the De Witte Agreement, which included provisions for accelerated time-vesting in connection with Mr. De Witte’s retirement.</w:t>
      </w:r>
    </w:p>
    <w:p>
      <w:pPr>
        <w:spacing w:after="0" w:line="132"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The De Witte Agreement provided that Mr. Witte’s non-qualified stock options would remain exercisable for up to two years following a qualifying termination or such longer period of time provided in the applicable option agreement. The De Witte Agreement contained non-compete and non-solicitation covenants that extended for 18 months following the termination of Mr. De Witte’s employment. The De Witte Agreement provided for certain payments and benefits upon any of several events of termination of employment, including termination of employment in connection with a change in control.</w:t>
      </w:r>
    </w:p>
    <w:p>
      <w:pPr>
        <w:spacing w:after="0" w:line="118"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color w:val="58595B"/>
        </w:rPr>
        <w:t>In connection with his retirement and the services Mr. De Witte provided during the Company's search for his successor, the Company and Mr. De Witte entered into a letter agreement, dated February 27, 2024 (the “De Witte Letter Agreement”), modifying the De Witte Agreement. The Letter Agreement provided, among other things, that none of (i) the termination of his employment as of the Transition Date (as defined in the Letter Agreement), (ii) the appointment of his successor, (iii) the appointment of Stuart Essig, Ph.D. to the role of Executive Chairman of the Board or (iv) the entering into either the Letter Agreement or the Consulting Agreement (as defined below) will constitute a breach of, or Good Reason (as defined in the De Witte Agreement) for purposes of, the De Witte Agreement or any other agreement between him and the Company.</w:t>
      </w:r>
    </w:p>
    <w:p>
      <w:pPr>
        <w:spacing w:after="0" w:line="135" w:lineRule="exact"/>
        <w:rPr>
          <w:sz w:val="20"/>
          <w:szCs w:val="20"/>
          <w:color w:val="auto"/>
        </w:rPr>
      </w:pPr>
    </w:p>
    <w:p>
      <w:pPr>
        <w:ind w:right="220"/>
        <w:spacing w:after="0" w:line="318" w:lineRule="auto"/>
        <w:rPr>
          <w:sz w:val="20"/>
          <w:szCs w:val="20"/>
          <w:color w:val="auto"/>
        </w:rPr>
      </w:pPr>
      <w:r>
        <w:rPr>
          <w:rFonts w:ascii="Arial" w:cs="Arial" w:eastAsia="Arial" w:hAnsi="Arial"/>
          <w:sz w:val="16"/>
          <w:szCs w:val="16"/>
          <w:color w:val="58595B"/>
        </w:rPr>
        <w:t>In connection with the appointment of Ms. Poul as President and CEO, the Company and Mr. De Witte entered into a consulting agreement (the "De Witte Consulting Agreement") which took effect on January 6, 2025 and which expired on March 15, 2026 (the "Consulting Period"). In connection with the execution of the De Witte Consulting Agreement, Mr. De Witte executed a general release in favor of the Company. The terms of the De Witte Consulting Agreement as in effect prior to its expiration on March 15, 2026, are described below.</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54</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58595B"/>
        </w:rPr>
        <w:t>Pursuant to the terms of the De Witte Consulting Agreement, Mr. De Witte served as Senior Advisor to Ms. Poul and provided transition services to the Company during the Consulting Period. Mr. De Witte received: (i) a consulting payment of $34,615.35 (such amount being equal to his 2024 base salary (pro-rated for any partial service) for the period beginning on January 6, 2025 and ending on January 18, 2025, and (ii) an annual cash bonus of $491,250 awarded under the Company’s annual bonus program for 2024, which amount was subject to the achievement of applicable performance objectives set forth in the Company’s annual bonus program as well as leading the Company through business challenges and contributing to a smooth CEO transition (as determined by the Board in its sole discretion). In addition, Mr. De Witte was entitled to: (x) continued vesting of outstanding equity awards during Mr. De Witte’s continued service to the Company during the Consulting Period; and (y) the ability to exercise vested stock options for the lesser of (a) the stated term of the stock options and (b) six months following his cessation of service to the Company under the De Witte Consulting Agreement. Mr. De Witte also received a relocation payment of $150,000 and tax gross up of $88,679 in certain relocation-related expenses. Mr. De Witte declined to continue his current health, dental, and vision insurance coverage for him and his eligible dependents during the Consulting Period.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Change-in-Control Severance Agreements for Other Named Executive Officers</w:t>
      </w:r>
    </w:p>
    <w:p>
      <w:pPr>
        <w:spacing w:after="0" w:line="81" w:lineRule="exact"/>
        <w:rPr>
          <w:sz w:val="20"/>
          <w:szCs w:val="20"/>
          <w:color w:val="auto"/>
        </w:rPr>
      </w:pPr>
    </w:p>
    <w:p>
      <w:pPr>
        <w:ind w:right="160"/>
        <w:spacing w:after="0" w:line="313" w:lineRule="auto"/>
        <w:rPr>
          <w:sz w:val="20"/>
          <w:szCs w:val="20"/>
          <w:color w:val="auto"/>
        </w:rPr>
      </w:pPr>
      <w:r>
        <w:rPr>
          <w:rFonts w:ascii="Arial" w:cs="Arial" w:eastAsia="Arial" w:hAnsi="Arial"/>
          <w:sz w:val="16"/>
          <w:szCs w:val="16"/>
          <w:color w:val="58595B"/>
        </w:rPr>
        <w:t>Effective January 1 through December 31, 2025, we adopted a change in control severance program (the “Program”) under which Ms. Knight and Messrs. Davis, McBreen, and Singh were participants. The Program provides for the payment of severance and other benefits to the executives in the event of a “qualifying termination,” which means a termination of employment with the Company without “cause” or by the executive for “good reason,” in either case, on or within two years following a “change in control” of the Company (each, as defined in the Program), which was the same under the expired change-in-control severance agreement. The Program does not provide for any excise tax gross-ups and has double-trigger cash payments.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58595B"/>
        </w:rPr>
        <w:t>In the event of a qualifying termination, the Change-in-Control Severance Agreements provide for:</w:t>
      </w:r>
    </w:p>
    <w:p>
      <w:pPr>
        <w:spacing w:after="0" w:line="208" w:lineRule="exact"/>
        <w:rPr>
          <w:sz w:val="20"/>
          <w:szCs w:val="20"/>
          <w:color w:val="auto"/>
        </w:rPr>
      </w:pPr>
    </w:p>
    <w:p>
      <w:pPr>
        <w:ind w:left="620" w:hanging="126"/>
        <w:spacing w:after="0"/>
        <w:tabs>
          <w:tab w:leader="none" w:pos="620" w:val="left"/>
        </w:tabs>
        <w:numPr>
          <w:ilvl w:val="0"/>
          <w:numId w:val="40"/>
        </w:numPr>
        <w:rPr>
          <w:rFonts w:ascii="Arial" w:cs="Arial" w:eastAsia="Arial" w:hAnsi="Arial"/>
          <w:sz w:val="16"/>
          <w:szCs w:val="16"/>
          <w:color w:val="58595B"/>
        </w:rPr>
      </w:pPr>
      <w:r>
        <w:rPr>
          <w:rFonts w:ascii="Arial" w:cs="Arial" w:eastAsia="Arial" w:hAnsi="Arial"/>
          <w:sz w:val="16"/>
          <w:szCs w:val="16"/>
          <w:color w:val="58595B"/>
        </w:rPr>
        <w:t>A lump sum payment equal to 1.5 times (or 2.0 times in the case of Ms. Knight) the sum of the executive’s annual base salary and target bonus;</w:t>
      </w:r>
    </w:p>
    <w:p>
      <w:pPr>
        <w:spacing w:after="0" w:line="221" w:lineRule="exact"/>
        <w:rPr>
          <w:rFonts w:ascii="Arial" w:cs="Arial" w:eastAsia="Arial" w:hAnsi="Arial"/>
          <w:sz w:val="16"/>
          <w:szCs w:val="16"/>
          <w:color w:val="58595B"/>
        </w:rPr>
      </w:pPr>
    </w:p>
    <w:p>
      <w:pPr>
        <w:ind w:left="620" w:hanging="126"/>
        <w:spacing w:after="0"/>
        <w:tabs>
          <w:tab w:leader="none" w:pos="620" w:val="left"/>
        </w:tabs>
        <w:numPr>
          <w:ilvl w:val="0"/>
          <w:numId w:val="40"/>
        </w:numPr>
        <w:rPr>
          <w:rFonts w:ascii="Arial" w:cs="Arial" w:eastAsia="Arial" w:hAnsi="Arial"/>
          <w:sz w:val="16"/>
          <w:szCs w:val="16"/>
          <w:color w:val="58595B"/>
        </w:rPr>
      </w:pPr>
      <w:r>
        <w:rPr>
          <w:rFonts w:ascii="Arial" w:cs="Arial" w:eastAsia="Arial" w:hAnsi="Arial"/>
          <w:sz w:val="16"/>
          <w:szCs w:val="16"/>
          <w:color w:val="58595B"/>
        </w:rPr>
        <w:t>A lump sum payment equal to a pro rata portion of the executive’s target annual bonus for the partial fiscal year in which the termination occurs;</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40"/>
        </w:numPr>
        <w:rPr>
          <w:rFonts w:ascii="Arial" w:cs="Arial" w:eastAsia="Arial" w:hAnsi="Arial"/>
          <w:sz w:val="16"/>
          <w:szCs w:val="16"/>
          <w:color w:val="58595B"/>
        </w:rPr>
      </w:pPr>
      <w:r>
        <w:rPr>
          <w:rFonts w:ascii="Arial" w:cs="Arial" w:eastAsia="Arial" w:hAnsi="Arial"/>
          <w:sz w:val="16"/>
          <w:szCs w:val="16"/>
          <w:color w:val="58595B"/>
        </w:rPr>
        <w:t>Company-subsidized COBRA premium payments for up to eighteen months following the termination date; and</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40"/>
        </w:numPr>
        <w:rPr>
          <w:rFonts w:ascii="Arial" w:cs="Arial" w:eastAsia="Arial" w:hAnsi="Arial"/>
          <w:sz w:val="16"/>
          <w:szCs w:val="16"/>
          <w:color w:val="58595B"/>
        </w:rPr>
      </w:pPr>
      <w:r>
        <w:rPr>
          <w:rFonts w:ascii="Arial" w:cs="Arial" w:eastAsia="Arial" w:hAnsi="Arial"/>
          <w:sz w:val="16"/>
          <w:szCs w:val="16"/>
          <w:color w:val="58595B"/>
        </w:rPr>
        <w:t>Company-paid outplacement services for up to twelve months following the termination date.</w:t>
      </w:r>
    </w:p>
    <w:p>
      <w:pPr>
        <w:spacing w:after="0" w:line="22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58595B"/>
        </w:rPr>
        <w:t>The executive’s right to receive the severance payments and benefits described above is subject to his/her delivery and non-revocation of an effective general release of claims in favor of the Company. The Change-in-Control Severance Agreements clarified that to the extent the executive has not yet received his/her annual bonus for his/her prior year’s performance with the Company, the executive shall still receive such annual bonus for prior year performance at the time non-terminated employees receive such annual bonus if such payment is due. In addition, under the Change-in-Control Severance Agreements, to the extent that any change in control payment or benefit would be subject to an excise tax imposed in connection with Section 4999 of the Internal Revenue Code, such payments and/or benefits may be subject to a “best pay cap” if such reduction would result in a greater net after-tax benefit to the executive than receiving the full amount of such payments.</w:t>
      </w:r>
    </w:p>
    <w:p>
      <w:pPr>
        <w:spacing w:after="0" w:line="140"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58595B"/>
        </w:rPr>
        <w:t>The Program was renewed effective January 1, 2026 and will expire December 31, 2026 unless renewed again by the Compensation Committee. Upon the occurrence of a change in control, however, the term of the Program will automatically be extended until the two-year anniversary of the date on which the change in control occurs. In addition, if an executive participant incurs a qualifying termination during the term of the Program, the term automatically will be further extended until each party’s rights and obligations are fully satisfied.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Changes for 2026</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Executive Severance Plan for Other Named Executive Officers</w:t>
      </w:r>
    </w:p>
    <w:p>
      <w:pPr>
        <w:spacing w:after="0" w:line="81" w:lineRule="exact"/>
        <w:rPr>
          <w:sz w:val="20"/>
          <w:szCs w:val="20"/>
          <w:color w:val="auto"/>
        </w:rPr>
      </w:pPr>
    </w:p>
    <w:p>
      <w:pPr>
        <w:ind w:right="180"/>
        <w:spacing w:after="0" w:line="328" w:lineRule="auto"/>
        <w:rPr>
          <w:sz w:val="20"/>
          <w:szCs w:val="20"/>
          <w:color w:val="auto"/>
        </w:rPr>
      </w:pPr>
      <w:r>
        <w:rPr>
          <w:rFonts w:ascii="Arial" w:cs="Arial" w:eastAsia="Arial" w:hAnsi="Arial"/>
          <w:sz w:val="16"/>
          <w:szCs w:val="16"/>
          <w:color w:val="58595B"/>
        </w:rPr>
        <w:t>Effective February 24, 2026, we adopted the Integra LifeSciences Executive Separation Pay Plan (the “Executive Severance Plan”) which provides certain severance benefits to the Company’s Executive Leadership Team, including Ms. Knight and Messrs. Davis, McBreen, and Singh, upon a Qualifying Termination (as defined in the Executive Severance Plan).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8595B"/>
        </w:rPr>
        <w:t>Severance benefits under the Executive Severance Plan include:</w:t>
      </w:r>
    </w:p>
    <w:p>
      <w:pPr>
        <w:spacing w:after="0" w:line="221" w:lineRule="exact"/>
        <w:rPr>
          <w:sz w:val="20"/>
          <w:szCs w:val="20"/>
          <w:color w:val="auto"/>
        </w:rPr>
      </w:pPr>
    </w:p>
    <w:p>
      <w:pPr>
        <w:ind w:left="620" w:hanging="126"/>
        <w:spacing w:after="0"/>
        <w:tabs>
          <w:tab w:leader="none" w:pos="620" w:val="left"/>
        </w:tabs>
        <w:numPr>
          <w:ilvl w:val="0"/>
          <w:numId w:val="41"/>
        </w:numPr>
        <w:rPr>
          <w:rFonts w:ascii="Arial" w:cs="Arial" w:eastAsia="Arial" w:hAnsi="Arial"/>
          <w:sz w:val="16"/>
          <w:szCs w:val="16"/>
          <w:color w:val="58595B"/>
        </w:rPr>
      </w:pPr>
      <w:r>
        <w:rPr>
          <w:rFonts w:ascii="Arial" w:cs="Arial" w:eastAsia="Arial" w:hAnsi="Arial"/>
          <w:sz w:val="16"/>
          <w:szCs w:val="16"/>
          <w:color w:val="58595B"/>
        </w:rPr>
        <w:t>A cash severance payment equal to twelve (12) Months of Base Pay (the “Severance Payment”) payable over 12 months (the “Separation Period”).</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41"/>
        </w:numPr>
        <w:rPr>
          <w:rFonts w:ascii="Arial" w:cs="Arial" w:eastAsia="Arial" w:hAnsi="Arial"/>
          <w:sz w:val="16"/>
          <w:szCs w:val="16"/>
          <w:color w:val="58595B"/>
        </w:rPr>
      </w:pPr>
      <w:r>
        <w:rPr>
          <w:rFonts w:ascii="Arial" w:cs="Arial" w:eastAsia="Arial" w:hAnsi="Arial"/>
          <w:sz w:val="16"/>
          <w:szCs w:val="16"/>
          <w:color w:val="58595B"/>
        </w:rPr>
        <w:t>A pro-rated bonus payment for the calendar year in which the relevant Qualifying Termination occurred in an amount equal to the actual bonus</w:t>
      </w:r>
    </w:p>
    <w:p>
      <w:pPr>
        <w:spacing w:after="0" w:line="59" w:lineRule="exact"/>
        <w:rPr>
          <w:rFonts w:ascii="Arial" w:cs="Arial" w:eastAsia="Arial" w:hAnsi="Arial"/>
          <w:sz w:val="16"/>
          <w:szCs w:val="16"/>
          <w:color w:val="58595B"/>
        </w:rPr>
      </w:pPr>
    </w:p>
    <w:p>
      <w:pPr>
        <w:ind w:left="660" w:right="100"/>
        <w:spacing w:after="0" w:line="305" w:lineRule="auto"/>
        <w:rPr>
          <w:rFonts w:ascii="Arial" w:cs="Arial" w:eastAsia="Arial" w:hAnsi="Arial"/>
          <w:sz w:val="16"/>
          <w:szCs w:val="16"/>
          <w:color w:val="58595B"/>
        </w:rPr>
      </w:pPr>
      <w:r>
        <w:rPr>
          <w:rFonts w:ascii="Arial" w:cs="Arial" w:eastAsia="Arial" w:hAnsi="Arial"/>
          <w:sz w:val="16"/>
          <w:szCs w:val="16"/>
          <w:color w:val="58595B"/>
        </w:rPr>
        <w:t>payment which would have been paid to the Participant had such Participant remained in continuous employment through the end of the calendar year of the bonus period and pro-rated based on the number of calendar days the Participant was employed by the Company during the calendar year of the Qualifying Termination, subject to (i) the Participant having remained continuously employed by the Company for a minimum of nine (9)</w:t>
      </w:r>
    </w:p>
    <w:p>
      <w:pPr>
        <w:ind w:left="660" w:right="480"/>
        <w:spacing w:after="0" w:line="339" w:lineRule="auto"/>
        <w:rPr>
          <w:rFonts w:ascii="Arial" w:cs="Arial" w:eastAsia="Arial" w:hAnsi="Arial"/>
          <w:sz w:val="16"/>
          <w:szCs w:val="16"/>
          <w:color w:val="58595B"/>
        </w:rPr>
      </w:pPr>
      <w:r>
        <w:rPr>
          <w:rFonts w:ascii="Arial" w:cs="Arial" w:eastAsia="Arial" w:hAnsi="Arial"/>
          <w:sz w:val="16"/>
          <w:szCs w:val="16"/>
          <w:color w:val="58595B"/>
        </w:rPr>
        <w:t>months during the calendar year of the Participant’s Qualifying Termination and (ii) the funding of the Company, individual performance of the Employee and any additional eligibility criteria for such bonus payment.</w:t>
      </w:r>
    </w:p>
    <w:p>
      <w:pPr>
        <w:spacing w:after="0" w:line="101" w:lineRule="exact"/>
        <w:rPr>
          <w:rFonts w:ascii="Arial" w:cs="Arial" w:eastAsia="Arial" w:hAnsi="Arial"/>
          <w:sz w:val="16"/>
          <w:szCs w:val="16"/>
          <w:color w:val="58595B"/>
        </w:rPr>
      </w:pPr>
    </w:p>
    <w:p>
      <w:pPr>
        <w:ind w:left="620" w:hanging="126"/>
        <w:spacing w:after="0"/>
        <w:tabs>
          <w:tab w:leader="none" w:pos="620" w:val="left"/>
        </w:tabs>
        <w:numPr>
          <w:ilvl w:val="0"/>
          <w:numId w:val="41"/>
        </w:numPr>
        <w:rPr>
          <w:rFonts w:ascii="Arial" w:cs="Arial" w:eastAsia="Arial" w:hAnsi="Arial"/>
          <w:sz w:val="16"/>
          <w:szCs w:val="16"/>
          <w:color w:val="58595B"/>
        </w:rPr>
      </w:pPr>
      <w:r>
        <w:rPr>
          <w:rFonts w:ascii="Arial" w:cs="Arial" w:eastAsia="Arial" w:hAnsi="Arial"/>
          <w:sz w:val="16"/>
          <w:szCs w:val="16"/>
          <w:color w:val="58595B"/>
        </w:rPr>
        <w:t>For Participants enrolled in Company-sponsored medical, dental and/or vision coverage, payment in an amount equal to the Company’s contribution</w:t>
      </w:r>
    </w:p>
    <w:p>
      <w:pPr>
        <w:spacing w:after="0" w:line="59" w:lineRule="exact"/>
        <w:rPr>
          <w:rFonts w:ascii="Arial" w:cs="Arial" w:eastAsia="Arial" w:hAnsi="Arial"/>
          <w:sz w:val="16"/>
          <w:szCs w:val="16"/>
          <w:color w:val="58595B"/>
        </w:rPr>
      </w:pPr>
    </w:p>
    <w:p>
      <w:pPr>
        <w:ind w:left="660" w:right="180"/>
        <w:spacing w:after="0" w:line="308" w:lineRule="auto"/>
        <w:rPr>
          <w:rFonts w:ascii="Arial" w:cs="Arial" w:eastAsia="Arial" w:hAnsi="Arial"/>
          <w:sz w:val="16"/>
          <w:szCs w:val="16"/>
          <w:color w:val="58595B"/>
        </w:rPr>
      </w:pPr>
      <w:r>
        <w:rPr>
          <w:rFonts w:ascii="Arial" w:cs="Arial" w:eastAsia="Arial" w:hAnsi="Arial"/>
          <w:sz w:val="16"/>
          <w:szCs w:val="16"/>
          <w:color w:val="58595B"/>
        </w:rPr>
        <w:t>towards such health coverage, as in effect for similarly situated active employees (as applicable, based on the Participant’s enrollment status and covered dependents, if any) covering a period through the earlier of (x) the end of the Separation Period, or (y) the date the Participant becomes</w:t>
      </w:r>
    </w:p>
    <w:p>
      <w:pPr>
        <w:ind w:left="660" w:right="420"/>
        <w:spacing w:after="0" w:line="339" w:lineRule="auto"/>
        <w:rPr>
          <w:rFonts w:ascii="Arial" w:cs="Arial" w:eastAsia="Arial" w:hAnsi="Arial"/>
          <w:sz w:val="16"/>
          <w:szCs w:val="16"/>
          <w:color w:val="58595B"/>
        </w:rPr>
      </w:pPr>
      <w:r>
        <w:rPr>
          <w:rFonts w:ascii="Arial" w:cs="Arial" w:eastAsia="Arial" w:hAnsi="Arial"/>
          <w:sz w:val="16"/>
          <w:szCs w:val="16"/>
          <w:color w:val="58595B"/>
        </w:rPr>
        <w:t>eligible for group medical care coverage through other employment benefits for them and their eligible dependents through the continuation of coverage provisions.</w:t>
      </w:r>
    </w:p>
    <w:p>
      <w:pPr>
        <w:spacing w:after="0" w:line="101" w:lineRule="exact"/>
        <w:rPr>
          <w:rFonts w:ascii="Arial" w:cs="Arial" w:eastAsia="Arial" w:hAnsi="Arial"/>
          <w:sz w:val="16"/>
          <w:szCs w:val="16"/>
          <w:color w:val="58595B"/>
        </w:rPr>
      </w:pPr>
    </w:p>
    <w:p>
      <w:pPr>
        <w:ind w:left="620" w:hanging="126"/>
        <w:spacing w:after="0"/>
        <w:tabs>
          <w:tab w:leader="none" w:pos="620" w:val="left"/>
        </w:tabs>
        <w:numPr>
          <w:ilvl w:val="0"/>
          <w:numId w:val="41"/>
        </w:numPr>
        <w:rPr>
          <w:rFonts w:ascii="Arial" w:cs="Arial" w:eastAsia="Arial" w:hAnsi="Arial"/>
          <w:sz w:val="16"/>
          <w:szCs w:val="16"/>
          <w:color w:val="58595B"/>
        </w:rPr>
      </w:pPr>
      <w:r>
        <w:rPr>
          <w:rFonts w:ascii="Arial" w:cs="Arial" w:eastAsia="Arial" w:hAnsi="Arial"/>
          <w:sz w:val="16"/>
          <w:szCs w:val="16"/>
          <w:color w:val="58595B"/>
        </w:rPr>
        <w:t>Eligibility for outplacement services during the Separation Period.</w:t>
      </w:r>
    </w:p>
    <w:p>
      <w:pPr>
        <w:spacing w:after="0" w:line="221"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The Severance Payment will be paid in substantially equal installments during the Separation Period. The Executive Severance Plan provides that none of a termination of employment for unsatisfactory job performance, voluntary resignation or retirement, termination due to death, or disability, termination in connection with a divestiture where continued employment is offered, or certain other terminations or separations as set forth in the Executive Severance Plan will be considered a Qualifying Termination under the terms of the Executive Severance Plan.</w:t>
      </w:r>
    </w:p>
    <w:p>
      <w:pPr>
        <w:spacing w:after="0" w:line="118" w:lineRule="exact"/>
        <w:rPr>
          <w:sz w:val="20"/>
          <w:szCs w:val="20"/>
          <w:color w:val="auto"/>
        </w:rPr>
      </w:pPr>
    </w:p>
    <w:p>
      <w:pPr>
        <w:ind w:right="100"/>
        <w:spacing w:after="0" w:line="328" w:lineRule="auto"/>
        <w:rPr>
          <w:sz w:val="20"/>
          <w:szCs w:val="20"/>
          <w:color w:val="auto"/>
        </w:rPr>
      </w:pPr>
      <w:r>
        <w:rPr>
          <w:rFonts w:ascii="Arial" w:cs="Arial" w:eastAsia="Arial" w:hAnsi="Arial"/>
          <w:sz w:val="16"/>
          <w:szCs w:val="16"/>
          <w:color w:val="58595B"/>
        </w:rPr>
        <w:t>Payment of benefits under the Executive Severance Plan is subject to: (i) the execution and non-revocation of a general release of claims, (ii) compliance with applicable post-employment restrictive covenants, (iii) applicable tax withholdings, and (iv) clawback in the event of a violation of the general release of claims.</w:t>
      </w: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56</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sz w:val="20"/>
          <w:szCs w:val="20"/>
          <w:color w:val="auto"/>
        </w:rPr>
      </w:pPr>
      <w:r>
        <w:rPr>
          <w:rFonts w:ascii="Arial" w:cs="Arial" w:eastAsia="Arial" w:hAnsi="Arial"/>
          <w:sz w:val="36"/>
          <w:szCs w:val="36"/>
          <w:color w:val="009845"/>
        </w:rPr>
        <w:t>COMPENSATION COMMITTEE REPORT</w:t>
      </w:r>
    </w:p>
    <w:p>
      <w:pPr>
        <w:spacing w:after="0" w:line="200" w:lineRule="exact"/>
        <w:rPr>
          <w:sz w:val="20"/>
          <w:szCs w:val="20"/>
          <w:color w:val="auto"/>
        </w:rPr>
      </w:pPr>
    </w:p>
    <w:p>
      <w:pPr>
        <w:spacing w:after="0" w:line="220" w:lineRule="exact"/>
        <w:rPr>
          <w:sz w:val="20"/>
          <w:szCs w:val="20"/>
          <w:color w:val="auto"/>
        </w:rPr>
      </w:pPr>
    </w:p>
    <w:p>
      <w:pPr>
        <w:ind w:right="160"/>
        <w:spacing w:after="0" w:line="328" w:lineRule="auto"/>
        <w:rPr>
          <w:sz w:val="20"/>
          <w:szCs w:val="20"/>
          <w:color w:val="auto"/>
        </w:rPr>
      </w:pPr>
      <w:r>
        <w:rPr>
          <w:rFonts w:ascii="Arial" w:cs="Arial" w:eastAsia="Arial" w:hAnsi="Arial"/>
          <w:sz w:val="16"/>
          <w:szCs w:val="16"/>
          <w:color w:val="58595B"/>
        </w:rPr>
        <w:t>We have reviewed and discussed with management the Compensation Discussion and Analysis required by Item 402(b) of Regulation S-K, which appears in this proxy statement. Based on this review and discussion, we have recommended to the Board of Directors that the Compensation Discussion and Analysis be included in this proxy statement and incorporated into our 2025 Annual Report on Form 10-K.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8595B"/>
        </w:rPr>
        <w:t>Respectfully submitted,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The Compensation Committee of the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Renee Lo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Jeffrey A. Graves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Barbara B. Hill</w:t>
      </w:r>
    </w:p>
    <w:p>
      <w:pPr>
        <w:spacing w:after="0" w:line="165"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color w:val="58595B"/>
        </w:rPr>
        <w:t>The foregoing report of the Compensation Committee does not constitute soliciting material and will not be deemed filed, incorporated by reference into or a part of any other filing by the Company (including any future filings) under the Exchange Act, except to the extent the Company specifically incorporates such report by reference therein.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57</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63" w:name="page64"/>
    <w:bookmarkEnd w:id="63"/>
    <w:p>
      <w:pPr>
        <w:spacing w:after="0"/>
        <w:rPr>
          <w:sz w:val="20"/>
          <w:szCs w:val="20"/>
          <w:color w:val="auto"/>
        </w:rPr>
      </w:pPr>
      <w:r>
        <w:rPr>
          <w:rFonts w:ascii="Arial" w:cs="Arial" w:eastAsia="Arial" w:hAnsi="Arial"/>
          <w:sz w:val="36"/>
          <w:szCs w:val="36"/>
          <w:color w:val="009845"/>
        </w:rPr>
        <w:t>COMPENSATION OF EXECUTIVE OFFICERS</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color w:val="009845"/>
        </w:rPr>
        <w:t>Summary Compensation Table</w:t>
      </w:r>
    </w:p>
    <w:p>
      <w:pPr>
        <w:spacing w:after="0" w:line="193"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color w:val="58595B"/>
        </w:rPr>
        <w:t>The following table sets forth information regarding compensation paid to the person who was serving as our President and Chief Executive Officer as of December 31, 2025, our principal financial officer in 2025, each of our three other most highly compensated executive officers based on total compensation earned during 2025, and our former President and Chief Executive Officer.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00" w:type="dxa"/>
            <w:vAlign w:val="bottom"/>
            <w:shd w:val="clear" w:color="auto" w:fill="EFEDED"/>
          </w:tcPr>
          <w:p>
            <w:pPr>
              <w:spacing w:after="0"/>
              <w:rPr>
                <w:sz w:val="13"/>
                <w:szCs w:val="13"/>
                <w:color w:val="auto"/>
              </w:rPr>
            </w:pPr>
          </w:p>
        </w:tc>
        <w:tc>
          <w:tcPr>
            <w:tcW w:w="600" w:type="dxa"/>
            <w:vAlign w:val="bottom"/>
            <w:shd w:val="clear" w:color="auto" w:fill="EFEDED"/>
          </w:tcPr>
          <w:p>
            <w:pPr>
              <w:spacing w:after="0"/>
              <w:rPr>
                <w:sz w:val="13"/>
                <w:szCs w:val="13"/>
                <w:color w:val="auto"/>
              </w:rPr>
            </w:pPr>
          </w:p>
        </w:tc>
        <w:tc>
          <w:tcPr>
            <w:tcW w:w="840" w:type="dxa"/>
            <w:vAlign w:val="bottom"/>
            <w:shd w:val="clear" w:color="auto" w:fill="EFEDED"/>
          </w:tcPr>
          <w:p>
            <w:pPr>
              <w:spacing w:after="0"/>
              <w:rPr>
                <w:sz w:val="13"/>
                <w:szCs w:val="13"/>
                <w:color w:val="auto"/>
              </w:rPr>
            </w:pPr>
          </w:p>
        </w:tc>
        <w:tc>
          <w:tcPr>
            <w:tcW w:w="860" w:type="dxa"/>
            <w:vAlign w:val="bottom"/>
            <w:shd w:val="clear" w:color="auto" w:fill="EFEDED"/>
          </w:tcPr>
          <w:p>
            <w:pPr>
              <w:spacing w:after="0"/>
              <w:rPr>
                <w:sz w:val="13"/>
                <w:szCs w:val="13"/>
                <w:color w:val="auto"/>
              </w:rPr>
            </w:pPr>
          </w:p>
        </w:tc>
        <w:tc>
          <w:tcPr>
            <w:tcW w:w="900" w:type="dxa"/>
            <w:vAlign w:val="bottom"/>
            <w:shd w:val="clear" w:color="auto" w:fill="EFEDED"/>
          </w:tcPr>
          <w:p>
            <w:pPr>
              <w:spacing w:after="0"/>
              <w:rPr>
                <w:sz w:val="13"/>
                <w:szCs w:val="13"/>
                <w:color w:val="auto"/>
              </w:rPr>
            </w:pPr>
          </w:p>
        </w:tc>
        <w:tc>
          <w:tcPr>
            <w:tcW w:w="840" w:type="dxa"/>
            <w:vAlign w:val="bottom"/>
            <w:shd w:val="clear" w:color="auto" w:fill="EFEDED"/>
          </w:tcPr>
          <w:p>
            <w:pPr>
              <w:spacing w:after="0"/>
              <w:rPr>
                <w:sz w:val="13"/>
                <w:szCs w:val="13"/>
                <w:color w:val="auto"/>
              </w:rPr>
            </w:pPr>
          </w:p>
        </w:tc>
        <w:tc>
          <w:tcPr>
            <w:tcW w:w="1220" w:type="dxa"/>
            <w:vAlign w:val="bottom"/>
            <w:shd w:val="clear" w:color="auto" w:fill="EFEDED"/>
          </w:tcPr>
          <w:p>
            <w:pPr>
              <w:spacing w:after="0"/>
              <w:rPr>
                <w:sz w:val="13"/>
                <w:szCs w:val="13"/>
                <w:color w:val="auto"/>
              </w:rPr>
            </w:pPr>
          </w:p>
        </w:tc>
        <w:tc>
          <w:tcPr>
            <w:tcW w:w="114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5"/>
              </w:rPr>
              <w:t>Change in</w:t>
            </w:r>
          </w:p>
        </w:tc>
        <w:tc>
          <w:tcPr>
            <w:tcW w:w="1220" w:type="dxa"/>
            <w:vAlign w:val="bottom"/>
            <w:shd w:val="clear" w:color="auto" w:fill="EFEDED"/>
          </w:tcPr>
          <w:p>
            <w:pPr>
              <w:spacing w:after="0"/>
              <w:rPr>
                <w:sz w:val="13"/>
                <w:szCs w:val="13"/>
                <w:color w:val="auto"/>
              </w:rPr>
            </w:pPr>
          </w:p>
        </w:tc>
        <w:tc>
          <w:tcPr>
            <w:tcW w:w="920" w:type="dxa"/>
            <w:vAlign w:val="bottom"/>
            <w:shd w:val="clear" w:color="auto" w:fill="EFEDED"/>
          </w:tcPr>
          <w:p>
            <w:pPr>
              <w:spacing w:after="0"/>
              <w:rPr>
                <w:sz w:val="13"/>
                <w:szCs w:val="13"/>
                <w:color w:val="auto"/>
              </w:rPr>
            </w:pPr>
          </w:p>
        </w:tc>
      </w:tr>
      <w:tr>
        <w:trPr>
          <w:trHeight w:val="148"/>
        </w:trPr>
        <w:tc>
          <w:tcPr>
            <w:tcW w:w="2700" w:type="dxa"/>
            <w:vAlign w:val="bottom"/>
            <w:shd w:val="clear" w:color="auto" w:fill="EFEDED"/>
          </w:tcPr>
          <w:p>
            <w:pPr>
              <w:spacing w:after="0"/>
              <w:rPr>
                <w:sz w:val="12"/>
                <w:szCs w:val="12"/>
                <w:color w:val="auto"/>
              </w:rPr>
            </w:pPr>
          </w:p>
        </w:tc>
        <w:tc>
          <w:tcPr>
            <w:tcW w:w="600" w:type="dxa"/>
            <w:vAlign w:val="bottom"/>
            <w:shd w:val="clear" w:color="auto" w:fill="EFEDED"/>
          </w:tcPr>
          <w:p>
            <w:pPr>
              <w:spacing w:after="0"/>
              <w:rPr>
                <w:sz w:val="12"/>
                <w:szCs w:val="12"/>
                <w:color w:val="auto"/>
              </w:rPr>
            </w:pPr>
          </w:p>
        </w:tc>
        <w:tc>
          <w:tcPr>
            <w:tcW w:w="840" w:type="dxa"/>
            <w:vAlign w:val="bottom"/>
            <w:shd w:val="clear" w:color="auto" w:fill="EFEDED"/>
          </w:tcPr>
          <w:p>
            <w:pPr>
              <w:spacing w:after="0"/>
              <w:rPr>
                <w:sz w:val="12"/>
                <w:szCs w:val="12"/>
                <w:color w:val="auto"/>
              </w:rPr>
            </w:pPr>
          </w:p>
        </w:tc>
        <w:tc>
          <w:tcPr>
            <w:tcW w:w="86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840" w:type="dxa"/>
            <w:vAlign w:val="bottom"/>
            <w:shd w:val="clear" w:color="auto" w:fill="EFEDED"/>
          </w:tcPr>
          <w:p>
            <w:pPr>
              <w:spacing w:after="0"/>
              <w:rPr>
                <w:sz w:val="12"/>
                <w:szCs w:val="12"/>
                <w:color w:val="auto"/>
              </w:rPr>
            </w:pPr>
          </w:p>
        </w:tc>
        <w:tc>
          <w:tcPr>
            <w:tcW w:w="1220" w:type="dxa"/>
            <w:vAlign w:val="bottom"/>
            <w:shd w:val="clear" w:color="auto" w:fill="EFEDED"/>
          </w:tcPr>
          <w:p>
            <w:pPr>
              <w:spacing w:after="0"/>
              <w:rPr>
                <w:sz w:val="12"/>
                <w:szCs w:val="12"/>
                <w:color w:val="auto"/>
              </w:rPr>
            </w:pPr>
          </w:p>
        </w:tc>
        <w:tc>
          <w:tcPr>
            <w:tcW w:w="114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4"/>
              </w:rPr>
              <w:t>Pension</w:t>
            </w:r>
          </w:p>
        </w:tc>
        <w:tc>
          <w:tcPr>
            <w:tcW w:w="1220" w:type="dxa"/>
            <w:vAlign w:val="bottom"/>
            <w:shd w:val="clear" w:color="auto" w:fill="EFEDED"/>
          </w:tcPr>
          <w:p>
            <w:pPr>
              <w:spacing w:after="0"/>
              <w:rPr>
                <w:sz w:val="12"/>
                <w:szCs w:val="12"/>
                <w:color w:val="auto"/>
              </w:rPr>
            </w:pPr>
          </w:p>
        </w:tc>
        <w:tc>
          <w:tcPr>
            <w:tcW w:w="920" w:type="dxa"/>
            <w:vAlign w:val="bottom"/>
            <w:shd w:val="clear" w:color="auto" w:fill="EFEDED"/>
          </w:tcPr>
          <w:p>
            <w:pPr>
              <w:spacing w:after="0"/>
              <w:rPr>
                <w:sz w:val="12"/>
                <w:szCs w:val="12"/>
                <w:color w:val="auto"/>
              </w:rPr>
            </w:pPr>
          </w:p>
        </w:tc>
      </w:tr>
      <w:tr>
        <w:trPr>
          <w:trHeight w:val="148"/>
        </w:trPr>
        <w:tc>
          <w:tcPr>
            <w:tcW w:w="2700" w:type="dxa"/>
            <w:vAlign w:val="bottom"/>
            <w:shd w:val="clear" w:color="auto" w:fill="EFEDED"/>
          </w:tcPr>
          <w:p>
            <w:pPr>
              <w:spacing w:after="0"/>
              <w:rPr>
                <w:sz w:val="12"/>
                <w:szCs w:val="12"/>
                <w:color w:val="auto"/>
              </w:rPr>
            </w:pPr>
          </w:p>
        </w:tc>
        <w:tc>
          <w:tcPr>
            <w:tcW w:w="600" w:type="dxa"/>
            <w:vAlign w:val="bottom"/>
            <w:shd w:val="clear" w:color="auto" w:fill="EFEDED"/>
          </w:tcPr>
          <w:p>
            <w:pPr>
              <w:spacing w:after="0"/>
              <w:rPr>
                <w:sz w:val="12"/>
                <w:szCs w:val="12"/>
                <w:color w:val="auto"/>
              </w:rPr>
            </w:pPr>
          </w:p>
        </w:tc>
        <w:tc>
          <w:tcPr>
            <w:tcW w:w="840" w:type="dxa"/>
            <w:vAlign w:val="bottom"/>
            <w:shd w:val="clear" w:color="auto" w:fill="EFEDED"/>
          </w:tcPr>
          <w:p>
            <w:pPr>
              <w:spacing w:after="0"/>
              <w:rPr>
                <w:sz w:val="12"/>
                <w:szCs w:val="12"/>
                <w:color w:val="auto"/>
              </w:rPr>
            </w:pPr>
          </w:p>
        </w:tc>
        <w:tc>
          <w:tcPr>
            <w:tcW w:w="86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840" w:type="dxa"/>
            <w:vAlign w:val="bottom"/>
            <w:shd w:val="clear" w:color="auto" w:fill="EFEDED"/>
          </w:tcPr>
          <w:p>
            <w:pPr>
              <w:spacing w:after="0"/>
              <w:rPr>
                <w:sz w:val="12"/>
                <w:szCs w:val="12"/>
                <w:color w:val="auto"/>
              </w:rPr>
            </w:pPr>
          </w:p>
        </w:tc>
        <w:tc>
          <w:tcPr>
            <w:tcW w:w="1220" w:type="dxa"/>
            <w:vAlign w:val="bottom"/>
            <w:shd w:val="clear" w:color="auto" w:fill="EFEDED"/>
          </w:tcPr>
          <w:p>
            <w:pPr>
              <w:spacing w:after="0"/>
              <w:rPr>
                <w:sz w:val="12"/>
                <w:szCs w:val="12"/>
                <w:color w:val="auto"/>
              </w:rPr>
            </w:pPr>
          </w:p>
        </w:tc>
        <w:tc>
          <w:tcPr>
            <w:tcW w:w="114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7"/>
              </w:rPr>
              <w:t>Value and</w:t>
            </w:r>
          </w:p>
        </w:tc>
        <w:tc>
          <w:tcPr>
            <w:tcW w:w="1220" w:type="dxa"/>
            <w:vAlign w:val="bottom"/>
            <w:shd w:val="clear" w:color="auto" w:fill="EFEDED"/>
          </w:tcPr>
          <w:p>
            <w:pPr>
              <w:spacing w:after="0"/>
              <w:rPr>
                <w:sz w:val="12"/>
                <w:szCs w:val="12"/>
                <w:color w:val="auto"/>
              </w:rPr>
            </w:pPr>
          </w:p>
        </w:tc>
        <w:tc>
          <w:tcPr>
            <w:tcW w:w="920" w:type="dxa"/>
            <w:vAlign w:val="bottom"/>
            <w:shd w:val="clear" w:color="auto" w:fill="EFEDED"/>
          </w:tcPr>
          <w:p>
            <w:pPr>
              <w:spacing w:after="0"/>
              <w:rPr>
                <w:sz w:val="12"/>
                <w:szCs w:val="12"/>
                <w:color w:val="auto"/>
              </w:rPr>
            </w:pPr>
          </w:p>
        </w:tc>
      </w:tr>
      <w:tr>
        <w:trPr>
          <w:trHeight w:val="148"/>
        </w:trPr>
        <w:tc>
          <w:tcPr>
            <w:tcW w:w="2700" w:type="dxa"/>
            <w:vAlign w:val="bottom"/>
            <w:shd w:val="clear" w:color="auto" w:fill="EFEDED"/>
          </w:tcPr>
          <w:p>
            <w:pPr>
              <w:spacing w:after="0"/>
              <w:rPr>
                <w:sz w:val="12"/>
                <w:szCs w:val="12"/>
                <w:color w:val="auto"/>
              </w:rPr>
            </w:pPr>
          </w:p>
        </w:tc>
        <w:tc>
          <w:tcPr>
            <w:tcW w:w="600" w:type="dxa"/>
            <w:vAlign w:val="bottom"/>
            <w:shd w:val="clear" w:color="auto" w:fill="EFEDED"/>
          </w:tcPr>
          <w:p>
            <w:pPr>
              <w:spacing w:after="0"/>
              <w:rPr>
                <w:sz w:val="12"/>
                <w:szCs w:val="12"/>
                <w:color w:val="auto"/>
              </w:rPr>
            </w:pPr>
          </w:p>
        </w:tc>
        <w:tc>
          <w:tcPr>
            <w:tcW w:w="840" w:type="dxa"/>
            <w:vAlign w:val="bottom"/>
            <w:shd w:val="clear" w:color="auto" w:fill="EFEDED"/>
          </w:tcPr>
          <w:p>
            <w:pPr>
              <w:spacing w:after="0"/>
              <w:rPr>
                <w:sz w:val="12"/>
                <w:szCs w:val="12"/>
                <w:color w:val="auto"/>
              </w:rPr>
            </w:pPr>
          </w:p>
        </w:tc>
        <w:tc>
          <w:tcPr>
            <w:tcW w:w="86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840" w:type="dxa"/>
            <w:vAlign w:val="bottom"/>
            <w:shd w:val="clear" w:color="auto" w:fill="EFEDED"/>
          </w:tcPr>
          <w:p>
            <w:pPr>
              <w:spacing w:after="0"/>
              <w:rPr>
                <w:sz w:val="12"/>
                <w:szCs w:val="12"/>
                <w:color w:val="auto"/>
              </w:rPr>
            </w:pPr>
          </w:p>
        </w:tc>
        <w:tc>
          <w:tcPr>
            <w:tcW w:w="1220" w:type="dxa"/>
            <w:vAlign w:val="bottom"/>
            <w:shd w:val="clear" w:color="auto" w:fill="EFEDED"/>
          </w:tcPr>
          <w:p>
            <w:pPr>
              <w:spacing w:after="0"/>
              <w:rPr>
                <w:sz w:val="12"/>
                <w:szCs w:val="12"/>
                <w:color w:val="auto"/>
              </w:rPr>
            </w:pPr>
          </w:p>
        </w:tc>
        <w:tc>
          <w:tcPr>
            <w:tcW w:w="114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6"/>
              </w:rPr>
              <w:t>Nonqualified</w:t>
            </w:r>
          </w:p>
        </w:tc>
        <w:tc>
          <w:tcPr>
            <w:tcW w:w="1220" w:type="dxa"/>
            <w:vAlign w:val="bottom"/>
            <w:shd w:val="clear" w:color="auto" w:fill="EFEDED"/>
          </w:tcPr>
          <w:p>
            <w:pPr>
              <w:spacing w:after="0"/>
              <w:rPr>
                <w:sz w:val="12"/>
                <w:szCs w:val="12"/>
                <w:color w:val="auto"/>
              </w:rPr>
            </w:pPr>
          </w:p>
        </w:tc>
        <w:tc>
          <w:tcPr>
            <w:tcW w:w="920" w:type="dxa"/>
            <w:vAlign w:val="bottom"/>
            <w:shd w:val="clear" w:color="auto" w:fill="EFEDED"/>
          </w:tcPr>
          <w:p>
            <w:pPr>
              <w:spacing w:after="0"/>
              <w:rPr>
                <w:sz w:val="12"/>
                <w:szCs w:val="12"/>
                <w:color w:val="auto"/>
              </w:rPr>
            </w:pPr>
          </w:p>
        </w:tc>
      </w:tr>
      <w:tr>
        <w:trPr>
          <w:trHeight w:val="162"/>
        </w:trPr>
        <w:tc>
          <w:tcPr>
            <w:tcW w:w="2700" w:type="dxa"/>
            <w:vAlign w:val="bottom"/>
            <w:shd w:val="clear" w:color="auto" w:fill="EFEDED"/>
          </w:tcPr>
          <w:p>
            <w:pPr>
              <w:spacing w:after="0"/>
              <w:rPr>
                <w:sz w:val="14"/>
                <w:szCs w:val="14"/>
                <w:color w:val="auto"/>
              </w:rPr>
            </w:pPr>
          </w:p>
        </w:tc>
        <w:tc>
          <w:tcPr>
            <w:tcW w:w="60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86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Non-Equity</w:t>
            </w:r>
          </w:p>
        </w:tc>
        <w:tc>
          <w:tcPr>
            <w:tcW w:w="114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7"/>
              </w:rPr>
              <w:t>Deferred</w:t>
            </w:r>
          </w:p>
        </w:tc>
        <w:tc>
          <w:tcPr>
            <w:tcW w:w="1220" w:type="dxa"/>
            <w:vAlign w:val="bottom"/>
            <w:shd w:val="clear" w:color="auto" w:fill="EFEDED"/>
          </w:tcPr>
          <w:p>
            <w:pPr>
              <w:jc w:val="right"/>
              <w:ind w:right="357"/>
              <w:spacing w:after="0"/>
              <w:rPr>
                <w:sz w:val="20"/>
                <w:szCs w:val="20"/>
                <w:color w:val="auto"/>
              </w:rPr>
            </w:pPr>
            <w:r>
              <w:rPr>
                <w:rFonts w:ascii="Arial" w:cs="Arial" w:eastAsia="Arial" w:hAnsi="Arial"/>
                <w:sz w:val="13"/>
                <w:szCs w:val="13"/>
                <w:b w:val="1"/>
                <w:bCs w:val="1"/>
                <w:color w:val="58595B"/>
              </w:rPr>
              <w:t>All Other</w:t>
            </w:r>
          </w:p>
        </w:tc>
        <w:tc>
          <w:tcPr>
            <w:tcW w:w="920" w:type="dxa"/>
            <w:vAlign w:val="bottom"/>
            <w:shd w:val="clear" w:color="auto" w:fill="EFEDED"/>
          </w:tcPr>
          <w:p>
            <w:pPr>
              <w:spacing w:after="0"/>
              <w:rPr>
                <w:sz w:val="14"/>
                <w:szCs w:val="14"/>
                <w:color w:val="auto"/>
              </w:rPr>
            </w:pPr>
          </w:p>
        </w:tc>
      </w:tr>
      <w:tr>
        <w:trPr>
          <w:trHeight w:val="148"/>
        </w:trPr>
        <w:tc>
          <w:tcPr>
            <w:tcW w:w="2700" w:type="dxa"/>
            <w:vAlign w:val="bottom"/>
            <w:shd w:val="clear" w:color="auto" w:fill="EFEDED"/>
          </w:tcPr>
          <w:p>
            <w:pPr>
              <w:spacing w:after="0"/>
              <w:rPr>
                <w:sz w:val="12"/>
                <w:szCs w:val="12"/>
                <w:color w:val="auto"/>
              </w:rPr>
            </w:pPr>
          </w:p>
        </w:tc>
        <w:tc>
          <w:tcPr>
            <w:tcW w:w="600" w:type="dxa"/>
            <w:vAlign w:val="bottom"/>
            <w:shd w:val="clear" w:color="auto" w:fill="EFEDED"/>
          </w:tcPr>
          <w:p>
            <w:pPr>
              <w:spacing w:after="0"/>
              <w:rPr>
                <w:sz w:val="12"/>
                <w:szCs w:val="12"/>
                <w:color w:val="auto"/>
              </w:rPr>
            </w:pPr>
          </w:p>
        </w:tc>
        <w:tc>
          <w:tcPr>
            <w:tcW w:w="840" w:type="dxa"/>
            <w:vAlign w:val="bottom"/>
            <w:shd w:val="clear" w:color="auto" w:fill="EFEDED"/>
          </w:tcPr>
          <w:p>
            <w:pPr>
              <w:spacing w:after="0"/>
              <w:rPr>
                <w:sz w:val="12"/>
                <w:szCs w:val="12"/>
                <w:color w:val="auto"/>
              </w:rPr>
            </w:pPr>
          </w:p>
        </w:tc>
        <w:tc>
          <w:tcPr>
            <w:tcW w:w="860" w:type="dxa"/>
            <w:vAlign w:val="bottom"/>
            <w:shd w:val="clear" w:color="auto" w:fill="EFEDED"/>
          </w:tcPr>
          <w:p>
            <w:pPr>
              <w:spacing w:after="0"/>
              <w:rPr>
                <w:sz w:val="12"/>
                <w:szCs w:val="12"/>
                <w:color w:val="auto"/>
              </w:rPr>
            </w:pPr>
          </w:p>
        </w:tc>
        <w:tc>
          <w:tcPr>
            <w:tcW w:w="900" w:type="dxa"/>
            <w:vAlign w:val="bottom"/>
            <w:shd w:val="clear" w:color="auto" w:fill="EFEDED"/>
          </w:tcPr>
          <w:p>
            <w:pPr>
              <w:jc w:val="right"/>
              <w:ind w:right="257"/>
              <w:spacing w:after="0"/>
              <w:rPr>
                <w:sz w:val="20"/>
                <w:szCs w:val="20"/>
                <w:color w:val="auto"/>
              </w:rPr>
            </w:pPr>
            <w:r>
              <w:rPr>
                <w:rFonts w:ascii="Arial" w:cs="Arial" w:eastAsia="Arial" w:hAnsi="Arial"/>
                <w:sz w:val="13"/>
                <w:szCs w:val="13"/>
                <w:b w:val="1"/>
                <w:bCs w:val="1"/>
                <w:color w:val="58595B"/>
              </w:rPr>
              <w:t>Stock</w:t>
            </w:r>
          </w:p>
        </w:tc>
        <w:tc>
          <w:tcPr>
            <w:tcW w:w="840" w:type="dxa"/>
            <w:vAlign w:val="bottom"/>
            <w:shd w:val="clear" w:color="auto" w:fill="EFEDED"/>
          </w:tcPr>
          <w:p>
            <w:pPr>
              <w:jc w:val="right"/>
              <w:ind w:right="177"/>
              <w:spacing w:after="0"/>
              <w:rPr>
                <w:sz w:val="20"/>
                <w:szCs w:val="20"/>
                <w:color w:val="auto"/>
              </w:rPr>
            </w:pPr>
            <w:r>
              <w:rPr>
                <w:rFonts w:ascii="Arial" w:cs="Arial" w:eastAsia="Arial" w:hAnsi="Arial"/>
                <w:sz w:val="13"/>
                <w:szCs w:val="13"/>
                <w:b w:val="1"/>
                <w:bCs w:val="1"/>
                <w:color w:val="58595B"/>
              </w:rPr>
              <w:t>Option</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Incentive Plan</w:t>
            </w:r>
          </w:p>
        </w:tc>
        <w:tc>
          <w:tcPr>
            <w:tcW w:w="114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7"/>
              </w:rPr>
              <w:t>Compensation</w:t>
            </w:r>
          </w:p>
        </w:tc>
        <w:tc>
          <w:tcPr>
            <w:tcW w:w="1220" w:type="dxa"/>
            <w:vAlign w:val="bottom"/>
            <w:shd w:val="clear" w:color="auto" w:fill="EFEDED"/>
          </w:tcPr>
          <w:p>
            <w:pPr>
              <w:jc w:val="center"/>
              <w:ind w:right="117"/>
              <w:spacing w:after="0"/>
              <w:rPr>
                <w:sz w:val="20"/>
                <w:szCs w:val="20"/>
                <w:color w:val="auto"/>
              </w:rPr>
            </w:pPr>
            <w:r>
              <w:rPr>
                <w:rFonts w:ascii="Arial" w:cs="Arial" w:eastAsia="Arial" w:hAnsi="Arial"/>
                <w:sz w:val="13"/>
                <w:szCs w:val="13"/>
                <w:b w:val="1"/>
                <w:bCs w:val="1"/>
                <w:color w:val="58595B"/>
                <w:w w:val="97"/>
              </w:rPr>
              <w:t>Compensation</w:t>
            </w:r>
          </w:p>
        </w:tc>
        <w:tc>
          <w:tcPr>
            <w:tcW w:w="920" w:type="dxa"/>
            <w:vAlign w:val="bottom"/>
            <w:shd w:val="clear" w:color="auto" w:fill="EFEDED"/>
          </w:tcPr>
          <w:p>
            <w:pPr>
              <w:spacing w:after="0"/>
              <w:rPr>
                <w:sz w:val="12"/>
                <w:szCs w:val="12"/>
                <w:color w:val="auto"/>
              </w:rPr>
            </w:pPr>
          </w:p>
        </w:tc>
      </w:tr>
      <w:tr>
        <w:trPr>
          <w:trHeight w:val="148"/>
        </w:trPr>
        <w:tc>
          <w:tcPr>
            <w:tcW w:w="2700" w:type="dxa"/>
            <w:vAlign w:val="bottom"/>
            <w:shd w:val="clear" w:color="auto" w:fill="EFEDED"/>
          </w:tcPr>
          <w:p>
            <w:pPr>
              <w:spacing w:after="0"/>
              <w:rPr>
                <w:sz w:val="12"/>
                <w:szCs w:val="12"/>
                <w:color w:val="auto"/>
              </w:rPr>
            </w:pPr>
          </w:p>
        </w:tc>
        <w:tc>
          <w:tcPr>
            <w:tcW w:w="600" w:type="dxa"/>
            <w:vAlign w:val="bottom"/>
            <w:shd w:val="clear" w:color="auto" w:fill="EFEDED"/>
          </w:tcPr>
          <w:p>
            <w:pPr>
              <w:spacing w:after="0"/>
              <w:rPr>
                <w:sz w:val="12"/>
                <w:szCs w:val="12"/>
                <w:color w:val="auto"/>
              </w:rPr>
            </w:pPr>
          </w:p>
        </w:tc>
        <w:tc>
          <w:tcPr>
            <w:tcW w:w="840" w:type="dxa"/>
            <w:vAlign w:val="bottom"/>
            <w:shd w:val="clear" w:color="auto" w:fill="EFEDED"/>
          </w:tcPr>
          <w:p>
            <w:pPr>
              <w:jc w:val="right"/>
              <w:ind w:right="257"/>
              <w:spacing w:after="0"/>
              <w:rPr>
                <w:sz w:val="20"/>
                <w:szCs w:val="20"/>
                <w:color w:val="auto"/>
              </w:rPr>
            </w:pPr>
            <w:r>
              <w:rPr>
                <w:rFonts w:ascii="Arial" w:cs="Arial" w:eastAsia="Arial" w:hAnsi="Arial"/>
                <w:sz w:val="13"/>
                <w:szCs w:val="13"/>
                <w:b w:val="1"/>
                <w:bCs w:val="1"/>
                <w:color w:val="58595B"/>
              </w:rPr>
              <w:t>Salary</w:t>
            </w:r>
          </w:p>
        </w:tc>
        <w:tc>
          <w:tcPr>
            <w:tcW w:w="86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9"/>
              </w:rPr>
              <w:t>Bonus(1)</w:t>
            </w:r>
          </w:p>
        </w:tc>
        <w:tc>
          <w:tcPr>
            <w:tcW w:w="90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5"/>
              </w:rPr>
              <w:t>Awards(2)</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Awards(2)</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Compensation (3)</w:t>
            </w:r>
          </w:p>
        </w:tc>
        <w:tc>
          <w:tcPr>
            <w:tcW w:w="1140" w:type="dxa"/>
            <w:vAlign w:val="bottom"/>
            <w:shd w:val="clear" w:color="auto" w:fill="EFEDED"/>
          </w:tcPr>
          <w:p>
            <w:pPr>
              <w:jc w:val="center"/>
              <w:ind w:right="57"/>
              <w:spacing w:after="0"/>
              <w:rPr>
                <w:sz w:val="20"/>
                <w:szCs w:val="20"/>
                <w:color w:val="auto"/>
              </w:rPr>
            </w:pPr>
            <w:r>
              <w:rPr>
                <w:rFonts w:ascii="Arial" w:cs="Arial" w:eastAsia="Arial" w:hAnsi="Arial"/>
                <w:sz w:val="13"/>
                <w:szCs w:val="13"/>
                <w:b w:val="1"/>
                <w:bCs w:val="1"/>
                <w:color w:val="58595B"/>
                <w:w w:val="96"/>
              </w:rPr>
              <w:t>Earnings</w:t>
            </w:r>
          </w:p>
        </w:tc>
        <w:tc>
          <w:tcPr>
            <w:tcW w:w="1220" w:type="dxa"/>
            <w:vAlign w:val="bottom"/>
            <w:shd w:val="clear" w:color="auto" w:fill="EFEDED"/>
          </w:tcPr>
          <w:p>
            <w:pPr>
              <w:jc w:val="center"/>
              <w:ind w:right="137"/>
              <w:spacing w:after="0"/>
              <w:rPr>
                <w:sz w:val="20"/>
                <w:szCs w:val="20"/>
                <w:color w:val="auto"/>
              </w:rPr>
            </w:pPr>
            <w:r>
              <w:rPr>
                <w:rFonts w:ascii="Arial" w:cs="Arial" w:eastAsia="Arial" w:hAnsi="Arial"/>
                <w:sz w:val="13"/>
                <w:szCs w:val="13"/>
                <w:b w:val="1"/>
                <w:bCs w:val="1"/>
                <w:color w:val="58595B"/>
                <w:w w:val="87"/>
              </w:rPr>
              <w:t>(4)</w:t>
            </w:r>
          </w:p>
        </w:tc>
        <w:tc>
          <w:tcPr>
            <w:tcW w:w="920" w:type="dxa"/>
            <w:vAlign w:val="bottom"/>
            <w:shd w:val="clear" w:color="auto" w:fill="EFEDED"/>
          </w:tcPr>
          <w:p>
            <w:pPr>
              <w:jc w:val="center"/>
              <w:ind w:right="197"/>
              <w:spacing w:after="0"/>
              <w:rPr>
                <w:sz w:val="20"/>
                <w:szCs w:val="20"/>
                <w:color w:val="auto"/>
              </w:rPr>
            </w:pPr>
            <w:r>
              <w:rPr>
                <w:rFonts w:ascii="Arial" w:cs="Arial" w:eastAsia="Arial" w:hAnsi="Arial"/>
                <w:sz w:val="13"/>
                <w:szCs w:val="13"/>
                <w:b w:val="1"/>
                <w:bCs w:val="1"/>
                <w:color w:val="58595B"/>
                <w:w w:val="96"/>
              </w:rPr>
              <w:t>Total</w:t>
            </w:r>
          </w:p>
        </w:tc>
      </w:tr>
      <w:tr>
        <w:trPr>
          <w:trHeight w:val="148"/>
        </w:trPr>
        <w:tc>
          <w:tcPr>
            <w:tcW w:w="2700" w:type="dxa"/>
            <w:vAlign w:val="bottom"/>
            <w:shd w:val="clear" w:color="auto" w:fill="EFEDED"/>
          </w:tcPr>
          <w:p>
            <w:pPr>
              <w:ind w:left="140"/>
              <w:spacing w:after="0"/>
              <w:rPr>
                <w:sz w:val="20"/>
                <w:szCs w:val="20"/>
                <w:color w:val="auto"/>
              </w:rPr>
            </w:pPr>
            <w:r>
              <w:rPr>
                <w:rFonts w:ascii="Arial" w:cs="Arial" w:eastAsia="Arial" w:hAnsi="Arial"/>
                <w:sz w:val="13"/>
                <w:szCs w:val="13"/>
                <w:b w:val="1"/>
                <w:bCs w:val="1"/>
                <w:color w:val="58595B"/>
              </w:rPr>
              <w:t>Name and Principal Position</w:t>
            </w:r>
          </w:p>
        </w:tc>
        <w:tc>
          <w:tcPr>
            <w:tcW w:w="600" w:type="dxa"/>
            <w:vAlign w:val="bottom"/>
            <w:shd w:val="clear" w:color="auto" w:fill="EFEDED"/>
          </w:tcPr>
          <w:p>
            <w:pPr>
              <w:jc w:val="right"/>
              <w:ind w:right="157"/>
              <w:spacing w:after="0"/>
              <w:rPr>
                <w:sz w:val="20"/>
                <w:szCs w:val="20"/>
                <w:color w:val="auto"/>
              </w:rPr>
            </w:pPr>
            <w:r>
              <w:rPr>
                <w:rFonts w:ascii="Arial" w:cs="Arial" w:eastAsia="Arial" w:hAnsi="Arial"/>
                <w:sz w:val="13"/>
                <w:szCs w:val="13"/>
                <w:b w:val="1"/>
                <w:bCs w:val="1"/>
                <w:color w:val="58595B"/>
              </w:rPr>
              <w:t>Year</w:t>
            </w:r>
          </w:p>
        </w:tc>
        <w:tc>
          <w:tcPr>
            <w:tcW w:w="840" w:type="dxa"/>
            <w:vAlign w:val="bottom"/>
            <w:shd w:val="clear" w:color="auto" w:fill="EFEDED"/>
          </w:tcPr>
          <w:p>
            <w:pPr>
              <w:jc w:val="right"/>
              <w:ind w:right="377"/>
              <w:spacing w:after="0"/>
              <w:rPr>
                <w:sz w:val="20"/>
                <w:szCs w:val="20"/>
                <w:color w:val="auto"/>
              </w:rPr>
            </w:pPr>
            <w:r>
              <w:rPr>
                <w:rFonts w:ascii="Arial" w:cs="Arial" w:eastAsia="Arial" w:hAnsi="Arial"/>
                <w:sz w:val="13"/>
                <w:szCs w:val="13"/>
                <w:b w:val="1"/>
                <w:bCs w:val="1"/>
                <w:color w:val="58595B"/>
              </w:rPr>
              <w:t>($)</w:t>
            </w:r>
          </w:p>
        </w:tc>
        <w:tc>
          <w:tcPr>
            <w:tcW w:w="860" w:type="dxa"/>
            <w:vAlign w:val="bottom"/>
            <w:shd w:val="clear" w:color="auto" w:fill="EFEDED"/>
          </w:tcPr>
          <w:p>
            <w:pPr>
              <w:jc w:val="right"/>
              <w:ind w:right="337"/>
              <w:spacing w:after="0"/>
              <w:rPr>
                <w:sz w:val="20"/>
                <w:szCs w:val="20"/>
                <w:color w:val="auto"/>
              </w:rPr>
            </w:pPr>
            <w:r>
              <w:rPr>
                <w:rFonts w:ascii="Arial" w:cs="Arial" w:eastAsia="Arial" w:hAnsi="Arial"/>
                <w:sz w:val="13"/>
                <w:szCs w:val="13"/>
                <w:b w:val="1"/>
                <w:bCs w:val="1"/>
                <w:color w:val="58595B"/>
              </w:rPr>
              <w:t>($)</w:t>
            </w:r>
          </w:p>
        </w:tc>
        <w:tc>
          <w:tcPr>
            <w:tcW w:w="900" w:type="dxa"/>
            <w:vAlign w:val="bottom"/>
            <w:shd w:val="clear" w:color="auto" w:fill="EFEDED"/>
          </w:tcPr>
          <w:p>
            <w:pPr>
              <w:jc w:val="right"/>
              <w:ind w:right="357"/>
              <w:spacing w:after="0"/>
              <w:rPr>
                <w:sz w:val="20"/>
                <w:szCs w:val="20"/>
                <w:color w:val="auto"/>
              </w:rPr>
            </w:pPr>
            <w:r>
              <w:rPr>
                <w:rFonts w:ascii="Arial" w:cs="Arial" w:eastAsia="Arial" w:hAnsi="Arial"/>
                <w:sz w:val="13"/>
                <w:szCs w:val="13"/>
                <w:b w:val="1"/>
                <w:bCs w:val="1"/>
                <w:color w:val="58595B"/>
              </w:rPr>
              <w:t>($)</w:t>
            </w:r>
          </w:p>
        </w:tc>
        <w:tc>
          <w:tcPr>
            <w:tcW w:w="840" w:type="dxa"/>
            <w:vAlign w:val="bottom"/>
            <w:shd w:val="clear" w:color="auto" w:fill="EFEDED"/>
          </w:tcPr>
          <w:p>
            <w:pPr>
              <w:jc w:val="right"/>
              <w:ind w:right="297"/>
              <w:spacing w:after="0"/>
              <w:rPr>
                <w:sz w:val="20"/>
                <w:szCs w:val="20"/>
                <w:color w:val="auto"/>
              </w:rPr>
            </w:pPr>
            <w:r>
              <w:rPr>
                <w:rFonts w:ascii="Arial" w:cs="Arial" w:eastAsia="Arial" w:hAnsi="Arial"/>
                <w:sz w:val="13"/>
                <w:szCs w:val="13"/>
                <w:b w:val="1"/>
                <w:bCs w:val="1"/>
                <w:color w:val="58595B"/>
              </w:rPr>
              <w: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114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rPr>
              <w:t>($)</w:t>
            </w:r>
          </w:p>
        </w:tc>
        <w:tc>
          <w:tcPr>
            <w:tcW w:w="1220" w:type="dxa"/>
            <w:vAlign w:val="bottom"/>
            <w:shd w:val="clear" w:color="auto" w:fill="EFEDED"/>
          </w:tcPr>
          <w:p>
            <w:pPr>
              <w:jc w:val="center"/>
              <w:ind w:right="137"/>
              <w:spacing w:after="0"/>
              <w:rPr>
                <w:sz w:val="20"/>
                <w:szCs w:val="20"/>
                <w:color w:val="auto"/>
              </w:rPr>
            </w:pPr>
            <w:r>
              <w:rPr>
                <w:rFonts w:ascii="Arial" w:cs="Arial" w:eastAsia="Arial" w:hAnsi="Arial"/>
                <w:sz w:val="13"/>
                <w:szCs w:val="13"/>
                <w:b w:val="1"/>
                <w:bCs w:val="1"/>
                <w:color w:val="58595B"/>
                <w:w w:val="87"/>
              </w:rPr>
              <w:t>($)</w:t>
            </w:r>
          </w:p>
        </w:tc>
        <w:tc>
          <w:tcPr>
            <w:tcW w:w="920" w:type="dxa"/>
            <w:vAlign w:val="bottom"/>
            <w:shd w:val="clear" w:color="auto" w:fill="EFEDED"/>
          </w:tcPr>
          <w:p>
            <w:pPr>
              <w:jc w:val="center"/>
              <w:ind w:right="217"/>
              <w:spacing w:after="0"/>
              <w:rPr>
                <w:sz w:val="20"/>
                <w:szCs w:val="20"/>
                <w:color w:val="auto"/>
              </w:rPr>
            </w:pPr>
            <w:r>
              <w:rPr>
                <w:rFonts w:ascii="Arial" w:cs="Arial" w:eastAsia="Arial" w:hAnsi="Arial"/>
                <w:sz w:val="13"/>
                <w:szCs w:val="13"/>
                <w:b w:val="1"/>
                <w:bCs w:val="1"/>
                <w:color w:val="58595B"/>
              </w:rPr>
              <w:t>($)</w:t>
            </w:r>
          </w:p>
        </w:tc>
      </w:tr>
      <w:tr>
        <w:trPr>
          <w:trHeight w:val="187"/>
        </w:trPr>
        <w:tc>
          <w:tcPr>
            <w:tcW w:w="270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b w:val="1"/>
                <w:bCs w:val="1"/>
                <w:color w:val="58595B"/>
              </w:rPr>
              <w:t>(a)</w:t>
            </w:r>
          </w:p>
        </w:tc>
        <w:tc>
          <w:tcPr>
            <w:tcW w:w="600" w:type="dxa"/>
            <w:vAlign w:val="bottom"/>
            <w:tcBorders>
              <w:bottom w:val="single" w:sz="8" w:color="EFEDED"/>
            </w:tcBorders>
            <w:shd w:val="clear" w:color="auto" w:fill="EFEDED"/>
          </w:tcPr>
          <w:p>
            <w:pPr>
              <w:jc w:val="right"/>
              <w:ind w:right="217"/>
              <w:spacing w:after="0"/>
              <w:rPr>
                <w:sz w:val="20"/>
                <w:szCs w:val="20"/>
                <w:color w:val="auto"/>
              </w:rPr>
            </w:pPr>
            <w:r>
              <w:rPr>
                <w:rFonts w:ascii="Arial" w:cs="Arial" w:eastAsia="Arial" w:hAnsi="Arial"/>
                <w:sz w:val="13"/>
                <w:szCs w:val="13"/>
                <w:b w:val="1"/>
                <w:bCs w:val="1"/>
                <w:color w:val="58595B"/>
              </w:rPr>
              <w:t>(b)</w:t>
            </w:r>
          </w:p>
        </w:tc>
        <w:tc>
          <w:tcPr>
            <w:tcW w:w="840" w:type="dxa"/>
            <w:vAlign w:val="bottom"/>
            <w:tcBorders>
              <w:bottom w:val="single" w:sz="8" w:color="EFEDED"/>
            </w:tcBorders>
            <w:shd w:val="clear" w:color="auto" w:fill="EFEDED"/>
          </w:tcPr>
          <w:p>
            <w:pPr>
              <w:jc w:val="right"/>
              <w:ind w:right="377"/>
              <w:spacing w:after="0"/>
              <w:rPr>
                <w:sz w:val="20"/>
                <w:szCs w:val="20"/>
                <w:color w:val="auto"/>
              </w:rPr>
            </w:pPr>
            <w:r>
              <w:rPr>
                <w:rFonts w:ascii="Arial" w:cs="Arial" w:eastAsia="Arial" w:hAnsi="Arial"/>
                <w:sz w:val="13"/>
                <w:szCs w:val="13"/>
                <w:b w:val="1"/>
                <w:bCs w:val="1"/>
                <w:color w:val="58595B"/>
              </w:rPr>
              <w:t>(c)</w:t>
            </w:r>
          </w:p>
        </w:tc>
        <w:tc>
          <w:tcPr>
            <w:tcW w:w="860" w:type="dxa"/>
            <w:vAlign w:val="bottom"/>
            <w:tcBorders>
              <w:bottom w:val="single" w:sz="8" w:color="EFEDED"/>
            </w:tcBorders>
            <w:shd w:val="clear" w:color="auto" w:fill="EFEDED"/>
          </w:tcPr>
          <w:p>
            <w:pPr>
              <w:jc w:val="right"/>
              <w:ind w:right="337"/>
              <w:spacing w:after="0"/>
              <w:rPr>
                <w:sz w:val="20"/>
                <w:szCs w:val="20"/>
                <w:color w:val="auto"/>
              </w:rPr>
            </w:pPr>
            <w:r>
              <w:rPr>
                <w:rFonts w:ascii="Arial" w:cs="Arial" w:eastAsia="Arial" w:hAnsi="Arial"/>
                <w:sz w:val="13"/>
                <w:szCs w:val="13"/>
                <w:b w:val="1"/>
                <w:bCs w:val="1"/>
                <w:color w:val="58595B"/>
              </w:rPr>
              <w:t>(d)</w:t>
            </w:r>
          </w:p>
        </w:tc>
        <w:tc>
          <w:tcPr>
            <w:tcW w:w="900" w:type="dxa"/>
            <w:vAlign w:val="bottom"/>
            <w:tcBorders>
              <w:bottom w:val="single" w:sz="8" w:color="EFEDED"/>
            </w:tcBorders>
            <w:shd w:val="clear" w:color="auto" w:fill="EFEDED"/>
          </w:tcPr>
          <w:p>
            <w:pPr>
              <w:jc w:val="right"/>
              <w:ind w:right="357"/>
              <w:spacing w:after="0"/>
              <w:rPr>
                <w:sz w:val="20"/>
                <w:szCs w:val="20"/>
                <w:color w:val="auto"/>
              </w:rPr>
            </w:pPr>
            <w:r>
              <w:rPr>
                <w:rFonts w:ascii="Arial" w:cs="Arial" w:eastAsia="Arial" w:hAnsi="Arial"/>
                <w:sz w:val="13"/>
                <w:szCs w:val="13"/>
                <w:b w:val="1"/>
                <w:bCs w:val="1"/>
                <w:color w:val="58595B"/>
              </w:rPr>
              <w:t>(e)</w:t>
            </w:r>
          </w:p>
        </w:tc>
        <w:tc>
          <w:tcPr>
            <w:tcW w:w="840" w:type="dxa"/>
            <w:vAlign w:val="bottom"/>
            <w:tcBorders>
              <w:bottom w:val="single" w:sz="8" w:color="EFEDED"/>
            </w:tcBorders>
            <w:shd w:val="clear" w:color="auto" w:fill="EFEDED"/>
          </w:tcPr>
          <w:p>
            <w:pPr>
              <w:jc w:val="right"/>
              <w:ind w:right="317"/>
              <w:spacing w:after="0"/>
              <w:rPr>
                <w:sz w:val="20"/>
                <w:szCs w:val="20"/>
                <w:color w:val="auto"/>
              </w:rPr>
            </w:pPr>
            <w:r>
              <w:rPr>
                <w:rFonts w:ascii="Arial" w:cs="Arial" w:eastAsia="Arial" w:hAnsi="Arial"/>
                <w:sz w:val="13"/>
                <w:szCs w:val="13"/>
                <w:b w:val="1"/>
                <w:bCs w:val="1"/>
                <w:color w:val="58595B"/>
              </w:rPr>
              <w:t>(f)</w:t>
            </w:r>
          </w:p>
        </w:tc>
        <w:tc>
          <w:tcPr>
            <w:tcW w:w="12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(g)</w:t>
            </w:r>
          </w:p>
        </w:tc>
        <w:tc>
          <w:tcPr>
            <w:tcW w:w="1140" w:type="dxa"/>
            <w:vAlign w:val="bottom"/>
            <w:tcBorders>
              <w:bottom w:val="single" w:sz="8" w:color="EFEDED"/>
            </w:tcBorders>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6"/>
              </w:rPr>
              <w:t>(h)</w:t>
            </w:r>
          </w:p>
        </w:tc>
        <w:tc>
          <w:tcPr>
            <w:tcW w:w="1220" w:type="dxa"/>
            <w:vAlign w:val="bottom"/>
            <w:tcBorders>
              <w:bottom w:val="single" w:sz="8" w:color="EFEDED"/>
            </w:tcBorders>
            <w:shd w:val="clear" w:color="auto" w:fill="EFEDED"/>
          </w:tcPr>
          <w:p>
            <w:pPr>
              <w:jc w:val="center"/>
              <w:ind w:right="117"/>
              <w:spacing w:after="0"/>
              <w:rPr>
                <w:sz w:val="20"/>
                <w:szCs w:val="20"/>
                <w:color w:val="auto"/>
              </w:rPr>
            </w:pPr>
            <w:r>
              <w:rPr>
                <w:rFonts w:ascii="Arial" w:cs="Arial" w:eastAsia="Arial" w:hAnsi="Arial"/>
                <w:sz w:val="13"/>
                <w:szCs w:val="13"/>
                <w:b w:val="1"/>
                <w:bCs w:val="1"/>
                <w:color w:val="58595B"/>
                <w:w w:val="97"/>
              </w:rPr>
              <w:t>(i)</w:t>
            </w:r>
          </w:p>
        </w:tc>
        <w:tc>
          <w:tcPr>
            <w:tcW w:w="920" w:type="dxa"/>
            <w:vAlign w:val="bottom"/>
            <w:tcBorders>
              <w:bottom w:val="single" w:sz="8" w:color="EFEDED"/>
            </w:tcBorders>
            <w:shd w:val="clear" w:color="auto" w:fill="EFEDED"/>
          </w:tcPr>
          <w:p>
            <w:pPr>
              <w:jc w:val="center"/>
              <w:ind w:right="177"/>
              <w:spacing w:after="0"/>
              <w:rPr>
                <w:sz w:val="20"/>
                <w:szCs w:val="20"/>
                <w:color w:val="auto"/>
              </w:rPr>
            </w:pPr>
            <w:r>
              <w:rPr>
                <w:rFonts w:ascii="Arial" w:cs="Arial" w:eastAsia="Arial" w:hAnsi="Arial"/>
                <w:sz w:val="13"/>
                <w:szCs w:val="13"/>
                <w:b w:val="1"/>
                <w:bCs w:val="1"/>
                <w:color w:val="58595B"/>
                <w:w w:val="97"/>
              </w:rPr>
              <w:t>(j)</w:t>
            </w:r>
          </w:p>
        </w:tc>
      </w:tr>
      <w:tr>
        <w:trPr>
          <w:trHeight w:val="181"/>
        </w:trPr>
        <w:tc>
          <w:tcPr>
            <w:tcW w:w="2700" w:type="dxa"/>
            <w:vAlign w:val="bottom"/>
          </w:tcPr>
          <w:p>
            <w:pPr>
              <w:ind w:left="140"/>
              <w:spacing w:after="0"/>
              <w:rPr>
                <w:sz w:val="20"/>
                <w:szCs w:val="20"/>
                <w:color w:val="auto"/>
              </w:rPr>
            </w:pPr>
            <w:r>
              <w:rPr>
                <w:rFonts w:ascii="Arial" w:cs="Arial" w:eastAsia="Arial" w:hAnsi="Arial"/>
                <w:sz w:val="13"/>
                <w:szCs w:val="13"/>
                <w:b w:val="1"/>
                <w:bCs w:val="1"/>
                <w:color w:val="58595B"/>
              </w:rPr>
              <w:t>Mojdeh Poul</w:t>
            </w:r>
          </w:p>
        </w:tc>
        <w:tc>
          <w:tcPr>
            <w:tcW w:w="600" w:type="dxa"/>
            <w:vAlign w:val="bottom"/>
          </w:tcPr>
          <w:p>
            <w:pPr>
              <w:jc w:val="right"/>
              <w:ind w:right="77"/>
              <w:spacing w:after="0"/>
              <w:rPr>
                <w:sz w:val="20"/>
                <w:szCs w:val="20"/>
                <w:color w:val="auto"/>
              </w:rPr>
            </w:pPr>
            <w:r>
              <w:rPr>
                <w:rFonts w:ascii="Arial" w:cs="Arial" w:eastAsia="Arial" w:hAnsi="Arial"/>
                <w:sz w:val="13"/>
                <w:szCs w:val="13"/>
                <w:color w:val="58595B"/>
              </w:rPr>
              <w:t>2025</w:t>
            </w:r>
          </w:p>
        </w:tc>
        <w:tc>
          <w:tcPr>
            <w:tcW w:w="840" w:type="dxa"/>
            <w:vAlign w:val="bottom"/>
          </w:tcPr>
          <w:p>
            <w:pPr>
              <w:jc w:val="right"/>
              <w:ind w:right="57"/>
              <w:spacing w:after="0"/>
              <w:rPr>
                <w:sz w:val="20"/>
                <w:szCs w:val="20"/>
                <w:color w:val="auto"/>
              </w:rPr>
            </w:pPr>
            <w:r>
              <w:rPr>
                <w:rFonts w:ascii="Arial" w:cs="Arial" w:eastAsia="Arial" w:hAnsi="Arial"/>
                <w:sz w:val="13"/>
                <w:szCs w:val="13"/>
                <w:color w:val="58595B"/>
              </w:rPr>
              <w:t>1,009,616</w:t>
            </w:r>
          </w:p>
        </w:tc>
        <w:tc>
          <w:tcPr>
            <w:tcW w:w="860" w:type="dxa"/>
            <w:vAlign w:val="bottom"/>
          </w:tcPr>
          <w:p>
            <w:pPr>
              <w:jc w:val="right"/>
              <w:ind w:right="57"/>
              <w:spacing w:after="0"/>
              <w:rPr>
                <w:sz w:val="20"/>
                <w:szCs w:val="20"/>
                <w:color w:val="auto"/>
              </w:rPr>
            </w:pPr>
            <w:r>
              <w:rPr>
                <w:rFonts w:ascii="Arial" w:cs="Arial" w:eastAsia="Arial" w:hAnsi="Arial"/>
                <w:sz w:val="13"/>
                <w:szCs w:val="13"/>
                <w:color w:val="58595B"/>
              </w:rPr>
              <w:t>350,438</w:t>
            </w:r>
          </w:p>
        </w:tc>
        <w:tc>
          <w:tcPr>
            <w:tcW w:w="900" w:type="dxa"/>
            <w:vAlign w:val="bottom"/>
          </w:tcPr>
          <w:p>
            <w:pPr>
              <w:jc w:val="right"/>
              <w:ind w:right="37"/>
              <w:spacing w:after="0"/>
              <w:rPr>
                <w:sz w:val="20"/>
                <w:szCs w:val="20"/>
                <w:color w:val="auto"/>
              </w:rPr>
            </w:pPr>
            <w:r>
              <w:rPr>
                <w:rFonts w:ascii="Arial" w:cs="Arial" w:eastAsia="Arial" w:hAnsi="Arial"/>
                <w:sz w:val="13"/>
                <w:szCs w:val="13"/>
                <w:color w:val="58595B"/>
              </w:rPr>
              <w:t>5,219,868</w:t>
            </w:r>
          </w:p>
        </w:tc>
        <w:tc>
          <w:tcPr>
            <w:tcW w:w="840" w:type="dxa"/>
            <w:vAlign w:val="bottom"/>
          </w:tcPr>
          <w:p>
            <w:pPr>
              <w:jc w:val="right"/>
              <w:spacing w:after="0"/>
              <w:rPr>
                <w:sz w:val="20"/>
                <w:szCs w:val="20"/>
                <w:color w:val="auto"/>
              </w:rPr>
            </w:pPr>
            <w:r>
              <w:rPr>
                <w:rFonts w:ascii="Arial" w:cs="Arial" w:eastAsia="Arial" w:hAnsi="Arial"/>
                <w:sz w:val="13"/>
                <w:szCs w:val="13"/>
                <w:color w:val="58595B"/>
              </w:rPr>
              <w:t>2,250,011</w:t>
            </w:r>
          </w:p>
        </w:tc>
        <w:tc>
          <w:tcPr>
            <w:tcW w:w="1220" w:type="dxa"/>
            <w:vAlign w:val="bottom"/>
          </w:tcPr>
          <w:p>
            <w:pPr>
              <w:jc w:val="right"/>
              <w:ind w:right="57"/>
              <w:spacing w:after="0"/>
              <w:rPr>
                <w:sz w:val="20"/>
                <w:szCs w:val="20"/>
                <w:color w:val="auto"/>
              </w:rPr>
            </w:pPr>
            <w:r>
              <w:rPr>
                <w:rFonts w:ascii="Arial" w:cs="Arial" w:eastAsia="Arial" w:hAnsi="Arial"/>
                <w:sz w:val="13"/>
                <w:szCs w:val="13"/>
                <w:color w:val="58595B"/>
              </w:rPr>
              <w:t>174,563</w:t>
            </w:r>
          </w:p>
        </w:tc>
        <w:tc>
          <w:tcPr>
            <w:tcW w:w="1140" w:type="dxa"/>
            <w:vAlign w:val="bottom"/>
          </w:tcPr>
          <w:p>
            <w:pPr>
              <w:ind w:left="900"/>
              <w:spacing w:after="0"/>
              <w:rPr>
                <w:sz w:val="20"/>
                <w:szCs w:val="20"/>
                <w:color w:val="auto"/>
              </w:rPr>
            </w:pPr>
            <w:r>
              <w:rPr>
                <w:rFonts w:ascii="Arial" w:cs="Arial" w:eastAsia="Arial" w:hAnsi="Arial"/>
                <w:sz w:val="13"/>
                <w:szCs w:val="13"/>
                <w:color w:val="58595B"/>
              </w:rPr>
              <w:t>—</w:t>
            </w:r>
          </w:p>
        </w:tc>
        <w:tc>
          <w:tcPr>
            <w:tcW w:w="1220" w:type="dxa"/>
            <w:vAlign w:val="bottom"/>
          </w:tcPr>
          <w:p>
            <w:pPr>
              <w:jc w:val="right"/>
              <w:ind w:right="117"/>
              <w:spacing w:after="0"/>
              <w:rPr>
                <w:sz w:val="20"/>
                <w:szCs w:val="20"/>
                <w:color w:val="auto"/>
              </w:rPr>
            </w:pPr>
            <w:r>
              <w:rPr>
                <w:rFonts w:ascii="Arial" w:cs="Arial" w:eastAsia="Arial" w:hAnsi="Arial"/>
                <w:sz w:val="13"/>
                <w:szCs w:val="13"/>
                <w:color w:val="58595B"/>
              </w:rPr>
              <w:t>371,056</w:t>
            </w:r>
          </w:p>
        </w:tc>
        <w:tc>
          <w:tcPr>
            <w:tcW w:w="920" w:type="dxa"/>
            <w:vAlign w:val="bottom"/>
          </w:tcPr>
          <w:p>
            <w:pPr>
              <w:jc w:val="right"/>
              <w:ind w:right="137"/>
              <w:spacing w:after="0"/>
              <w:rPr>
                <w:sz w:val="20"/>
                <w:szCs w:val="20"/>
                <w:color w:val="auto"/>
              </w:rPr>
            </w:pPr>
            <w:r>
              <w:rPr>
                <w:rFonts w:ascii="Arial" w:cs="Arial" w:eastAsia="Arial" w:hAnsi="Arial"/>
                <w:sz w:val="13"/>
                <w:szCs w:val="13"/>
                <w:color w:val="58595B"/>
              </w:rPr>
              <w:t>9,375,551</w:t>
            </w:r>
          </w:p>
        </w:tc>
      </w:tr>
      <w:tr>
        <w:trPr>
          <w:trHeight w:val="196"/>
        </w:trPr>
        <w:tc>
          <w:tcPr>
            <w:tcW w:w="2700" w:type="dxa"/>
            <w:vAlign w:val="bottom"/>
          </w:tcPr>
          <w:p>
            <w:pPr>
              <w:ind w:left="140"/>
              <w:spacing w:after="0"/>
              <w:rPr>
                <w:sz w:val="20"/>
                <w:szCs w:val="20"/>
                <w:color w:val="auto"/>
              </w:rPr>
            </w:pPr>
            <w:r>
              <w:rPr>
                <w:rFonts w:ascii="Arial" w:cs="Arial" w:eastAsia="Arial" w:hAnsi="Arial"/>
                <w:sz w:val="13"/>
                <w:szCs w:val="13"/>
                <w:color w:val="58595B"/>
              </w:rPr>
              <w:t>President and Chief</w:t>
            </w: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700" w:type="dxa"/>
            <w:vAlign w:val="bottom"/>
          </w:tcPr>
          <w:p>
            <w:pPr>
              <w:ind w:left="140"/>
              <w:spacing w:after="0"/>
              <w:rPr>
                <w:sz w:val="20"/>
                <w:szCs w:val="20"/>
                <w:color w:val="auto"/>
              </w:rPr>
            </w:pPr>
            <w:r>
              <w:rPr>
                <w:rFonts w:ascii="Arial" w:cs="Arial" w:eastAsia="Arial" w:hAnsi="Arial"/>
                <w:sz w:val="13"/>
                <w:szCs w:val="13"/>
                <w:color w:val="58595B"/>
              </w:rPr>
              <w:t>Executive Officer and Director</w:t>
            </w: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8"/>
        </w:trPr>
        <w:tc>
          <w:tcPr>
            <w:tcW w:w="2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1"/>
        </w:trPr>
        <w:tc>
          <w:tcPr>
            <w:tcW w:w="2700" w:type="dxa"/>
            <w:vAlign w:val="bottom"/>
            <w:shd w:val="clear" w:color="auto" w:fill="EFEDED"/>
          </w:tcPr>
          <w:p>
            <w:pPr>
              <w:ind w:left="140"/>
              <w:spacing w:after="0"/>
              <w:rPr>
                <w:sz w:val="20"/>
                <w:szCs w:val="20"/>
                <w:color w:val="auto"/>
              </w:rPr>
            </w:pPr>
            <w:r>
              <w:rPr>
                <w:rFonts w:ascii="Arial" w:cs="Arial" w:eastAsia="Arial" w:hAnsi="Arial"/>
                <w:sz w:val="13"/>
                <w:szCs w:val="13"/>
                <w:b w:val="1"/>
                <w:bCs w:val="1"/>
                <w:color w:val="58595B"/>
              </w:rPr>
              <w:t>Lea Knight</w:t>
            </w:r>
          </w:p>
        </w:tc>
        <w:tc>
          <w:tcPr>
            <w:tcW w:w="600" w:type="dxa"/>
            <w:vAlign w:val="bottom"/>
            <w:shd w:val="clear" w:color="auto" w:fill="EFEDED"/>
          </w:tcPr>
          <w:p>
            <w:pPr>
              <w:jc w:val="right"/>
              <w:ind w:right="77"/>
              <w:spacing w:after="0"/>
              <w:rPr>
                <w:sz w:val="20"/>
                <w:szCs w:val="20"/>
                <w:color w:val="auto"/>
              </w:rPr>
            </w:pPr>
            <w:r>
              <w:rPr>
                <w:rFonts w:ascii="Arial" w:cs="Arial" w:eastAsia="Arial" w:hAnsi="Arial"/>
                <w:sz w:val="13"/>
                <w:szCs w:val="13"/>
                <w:color w:val="58595B"/>
              </w:rPr>
              <w:t>2025</w:t>
            </w:r>
          </w:p>
        </w:tc>
        <w:tc>
          <w:tcPr>
            <w:tcW w:w="84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638,646</w:t>
            </w:r>
          </w:p>
        </w:tc>
        <w:tc>
          <w:tcPr>
            <w:tcW w:w="86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154,897</w:t>
            </w:r>
          </w:p>
        </w:tc>
        <w:tc>
          <w:tcPr>
            <w:tcW w:w="900" w:type="dxa"/>
            <w:vAlign w:val="bottom"/>
            <w:shd w:val="clear" w:color="auto" w:fill="EFEDED"/>
          </w:tcPr>
          <w:p>
            <w:pPr>
              <w:jc w:val="right"/>
              <w:ind w:right="37"/>
              <w:spacing w:after="0"/>
              <w:rPr>
                <w:sz w:val="20"/>
                <w:szCs w:val="20"/>
                <w:color w:val="auto"/>
              </w:rPr>
            </w:pPr>
            <w:r>
              <w:rPr>
                <w:rFonts w:ascii="Arial" w:cs="Arial" w:eastAsia="Arial" w:hAnsi="Arial"/>
                <w:sz w:val="13"/>
                <w:szCs w:val="13"/>
                <w:color w:val="58595B"/>
              </w:rPr>
              <w:t>1,498,719</w:t>
            </w:r>
          </w:p>
        </w:tc>
        <w:tc>
          <w:tcPr>
            <w:tcW w:w="8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499,574</w:t>
            </w:r>
          </w:p>
        </w:tc>
        <w:tc>
          <w:tcPr>
            <w:tcW w:w="122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77,158</w:t>
            </w:r>
          </w:p>
        </w:tc>
        <w:tc>
          <w:tcPr>
            <w:tcW w:w="1140" w:type="dxa"/>
            <w:vAlign w:val="bottom"/>
            <w:shd w:val="clear" w:color="auto" w:fill="EFEDED"/>
          </w:tcPr>
          <w:p>
            <w:pPr>
              <w:ind w:left="900"/>
              <w:spacing w:after="0"/>
              <w:rPr>
                <w:sz w:val="20"/>
                <w:szCs w:val="20"/>
                <w:color w:val="auto"/>
              </w:rPr>
            </w:pPr>
            <w:r>
              <w:rPr>
                <w:rFonts w:ascii="Arial" w:cs="Arial" w:eastAsia="Arial" w:hAnsi="Arial"/>
                <w:sz w:val="13"/>
                <w:szCs w:val="13"/>
                <w:color w:val="58595B"/>
              </w:rPr>
              <w:t>—</w:t>
            </w:r>
          </w:p>
        </w:tc>
        <w:tc>
          <w:tcPr>
            <w:tcW w:w="12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14,000</w:t>
            </w:r>
          </w:p>
        </w:tc>
        <w:tc>
          <w:tcPr>
            <w:tcW w:w="920" w:type="dxa"/>
            <w:vAlign w:val="bottom"/>
            <w:shd w:val="clear" w:color="auto" w:fill="EFEDED"/>
          </w:tcPr>
          <w:p>
            <w:pPr>
              <w:jc w:val="right"/>
              <w:ind w:right="137"/>
              <w:spacing w:after="0"/>
              <w:rPr>
                <w:sz w:val="20"/>
                <w:szCs w:val="20"/>
                <w:color w:val="auto"/>
              </w:rPr>
            </w:pPr>
            <w:r>
              <w:rPr>
                <w:rFonts w:ascii="Arial" w:cs="Arial" w:eastAsia="Arial" w:hAnsi="Arial"/>
                <w:sz w:val="13"/>
                <w:szCs w:val="13"/>
                <w:color w:val="58595B"/>
              </w:rPr>
              <w:t>2,882,994</w:t>
            </w:r>
          </w:p>
        </w:tc>
      </w:tr>
      <w:tr>
        <w:trPr>
          <w:trHeight w:val="197"/>
        </w:trPr>
        <w:tc>
          <w:tcPr>
            <w:tcW w:w="2700" w:type="dxa"/>
            <w:vAlign w:val="bottom"/>
            <w:shd w:val="clear" w:color="auto" w:fill="EFEDED"/>
          </w:tcPr>
          <w:p>
            <w:pPr>
              <w:ind w:left="140"/>
              <w:spacing w:after="0"/>
              <w:rPr>
                <w:sz w:val="20"/>
                <w:szCs w:val="20"/>
                <w:color w:val="auto"/>
              </w:rPr>
            </w:pPr>
            <w:r>
              <w:rPr>
                <w:rFonts w:ascii="Arial" w:cs="Arial" w:eastAsia="Arial" w:hAnsi="Arial"/>
                <w:sz w:val="13"/>
                <w:szCs w:val="13"/>
                <w:color w:val="58595B"/>
              </w:rPr>
              <w:t>Executive Vice President and</w:t>
            </w:r>
          </w:p>
        </w:tc>
        <w:tc>
          <w:tcPr>
            <w:tcW w:w="600" w:type="dxa"/>
            <w:vAlign w:val="bottom"/>
            <w:shd w:val="clear" w:color="auto" w:fill="EFEDED"/>
          </w:tcPr>
          <w:p>
            <w:pPr>
              <w:jc w:val="right"/>
              <w:ind w:right="77"/>
              <w:spacing w:after="0"/>
              <w:rPr>
                <w:sz w:val="20"/>
                <w:szCs w:val="20"/>
                <w:color w:val="auto"/>
              </w:rPr>
            </w:pPr>
            <w:r>
              <w:rPr>
                <w:rFonts w:ascii="Arial" w:cs="Arial" w:eastAsia="Arial" w:hAnsi="Arial"/>
                <w:sz w:val="13"/>
                <w:szCs w:val="13"/>
                <w:color w:val="58595B"/>
              </w:rPr>
              <w:t>2024</w:t>
            </w:r>
          </w:p>
        </w:tc>
        <w:tc>
          <w:tcPr>
            <w:tcW w:w="84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616,662</w:t>
            </w:r>
          </w:p>
        </w:tc>
        <w:tc>
          <w:tcPr>
            <w:tcW w:w="86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281,942</w:t>
            </w:r>
          </w:p>
        </w:tc>
        <w:tc>
          <w:tcPr>
            <w:tcW w:w="900" w:type="dxa"/>
            <w:vAlign w:val="bottom"/>
            <w:shd w:val="clear" w:color="auto" w:fill="EFEDED"/>
          </w:tcPr>
          <w:p>
            <w:pPr>
              <w:jc w:val="right"/>
              <w:ind w:right="37"/>
              <w:spacing w:after="0"/>
              <w:rPr>
                <w:sz w:val="20"/>
                <w:szCs w:val="20"/>
                <w:color w:val="auto"/>
              </w:rPr>
            </w:pPr>
            <w:r>
              <w:rPr>
                <w:rFonts w:ascii="Arial" w:cs="Arial" w:eastAsia="Arial" w:hAnsi="Arial"/>
                <w:sz w:val="13"/>
                <w:szCs w:val="13"/>
                <w:color w:val="58595B"/>
              </w:rPr>
              <w:t>1,584,589</w:t>
            </w:r>
          </w:p>
        </w:tc>
        <w:tc>
          <w:tcPr>
            <w:tcW w:w="8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428,189</w:t>
            </w:r>
          </w:p>
        </w:tc>
        <w:tc>
          <w:tcPr>
            <w:tcW w:w="122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220,284</w:t>
            </w:r>
          </w:p>
        </w:tc>
        <w:tc>
          <w:tcPr>
            <w:tcW w:w="1140" w:type="dxa"/>
            <w:vAlign w:val="bottom"/>
            <w:shd w:val="clear" w:color="auto" w:fill="EFEDED"/>
          </w:tcPr>
          <w:p>
            <w:pPr>
              <w:ind w:left="900"/>
              <w:spacing w:after="0"/>
              <w:rPr>
                <w:sz w:val="20"/>
                <w:szCs w:val="20"/>
                <w:color w:val="auto"/>
              </w:rPr>
            </w:pPr>
            <w:r>
              <w:rPr>
                <w:rFonts w:ascii="Arial" w:cs="Arial" w:eastAsia="Arial" w:hAnsi="Arial"/>
                <w:sz w:val="13"/>
                <w:szCs w:val="13"/>
                <w:color w:val="58595B"/>
              </w:rPr>
              <w:t>—</w:t>
            </w:r>
          </w:p>
        </w:tc>
        <w:tc>
          <w:tcPr>
            <w:tcW w:w="12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13,800</w:t>
            </w:r>
          </w:p>
        </w:tc>
        <w:tc>
          <w:tcPr>
            <w:tcW w:w="920" w:type="dxa"/>
            <w:vAlign w:val="bottom"/>
            <w:shd w:val="clear" w:color="auto" w:fill="EFEDED"/>
          </w:tcPr>
          <w:p>
            <w:pPr>
              <w:jc w:val="right"/>
              <w:ind w:right="137"/>
              <w:spacing w:after="0"/>
              <w:rPr>
                <w:sz w:val="20"/>
                <w:szCs w:val="20"/>
                <w:color w:val="auto"/>
              </w:rPr>
            </w:pPr>
            <w:r>
              <w:rPr>
                <w:rFonts w:ascii="Arial" w:cs="Arial" w:eastAsia="Arial" w:hAnsi="Arial"/>
                <w:sz w:val="13"/>
                <w:szCs w:val="13"/>
                <w:color w:val="58595B"/>
              </w:rPr>
              <w:t>3,145,466</w:t>
            </w:r>
          </w:p>
        </w:tc>
      </w:tr>
      <w:tr>
        <w:trPr>
          <w:trHeight w:val="210"/>
        </w:trPr>
        <w:tc>
          <w:tcPr>
            <w:tcW w:w="270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Chief Financial Officer</w:t>
            </w:r>
          </w:p>
        </w:tc>
        <w:tc>
          <w:tcPr>
            <w:tcW w:w="60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2023</w:t>
            </w:r>
          </w:p>
        </w:tc>
        <w:tc>
          <w:tcPr>
            <w:tcW w:w="840" w:type="dxa"/>
            <w:vAlign w:val="bottom"/>
            <w:tcBorders>
              <w:bottom w:val="single" w:sz="8" w:color="EFEDED"/>
            </w:tcBorders>
            <w:shd w:val="clear" w:color="auto" w:fill="EFEDED"/>
          </w:tcPr>
          <w:p>
            <w:pPr>
              <w:jc w:val="right"/>
              <w:ind w:right="57"/>
              <w:spacing w:after="0"/>
              <w:rPr>
                <w:sz w:val="20"/>
                <w:szCs w:val="20"/>
                <w:color w:val="auto"/>
              </w:rPr>
            </w:pPr>
            <w:r>
              <w:rPr>
                <w:rFonts w:ascii="Arial" w:cs="Arial" w:eastAsia="Arial" w:hAnsi="Arial"/>
                <w:sz w:val="13"/>
                <w:szCs w:val="13"/>
                <w:color w:val="58595B"/>
              </w:rPr>
              <w:t>295,385</w:t>
            </w:r>
          </w:p>
        </w:tc>
        <w:tc>
          <w:tcPr>
            <w:tcW w:w="860" w:type="dxa"/>
            <w:vAlign w:val="bottom"/>
            <w:tcBorders>
              <w:bottom w:val="single" w:sz="8" w:color="EFEDED"/>
            </w:tcBorders>
            <w:shd w:val="clear" w:color="auto" w:fill="EFEDED"/>
          </w:tcPr>
          <w:p>
            <w:pPr>
              <w:jc w:val="right"/>
              <w:ind w:right="57"/>
              <w:spacing w:after="0"/>
              <w:rPr>
                <w:sz w:val="20"/>
                <w:szCs w:val="20"/>
                <w:color w:val="auto"/>
              </w:rPr>
            </w:pPr>
            <w:r>
              <w:rPr>
                <w:rFonts w:ascii="Arial" w:cs="Arial" w:eastAsia="Arial" w:hAnsi="Arial"/>
                <w:sz w:val="13"/>
                <w:szCs w:val="13"/>
                <w:color w:val="58595B"/>
              </w:rPr>
              <w:t>350,000</w:t>
            </w:r>
          </w:p>
        </w:tc>
        <w:tc>
          <w:tcPr>
            <w:tcW w:w="900" w:type="dxa"/>
            <w:vAlign w:val="bottom"/>
            <w:tcBorders>
              <w:bottom w:val="single" w:sz="8" w:color="EFEDED"/>
            </w:tcBorders>
            <w:shd w:val="clear" w:color="auto" w:fill="EFEDED"/>
          </w:tcPr>
          <w:p>
            <w:pPr>
              <w:jc w:val="right"/>
              <w:ind w:right="37"/>
              <w:spacing w:after="0"/>
              <w:rPr>
                <w:sz w:val="20"/>
                <w:szCs w:val="20"/>
                <w:color w:val="auto"/>
              </w:rPr>
            </w:pPr>
            <w:r>
              <w:rPr>
                <w:rFonts w:ascii="Arial" w:cs="Arial" w:eastAsia="Arial" w:hAnsi="Arial"/>
                <w:sz w:val="13"/>
                <w:szCs w:val="13"/>
                <w:color w:val="58595B"/>
              </w:rPr>
              <w:t>1,000,000</w:t>
            </w:r>
          </w:p>
        </w:tc>
        <w:tc>
          <w:tcPr>
            <w:tcW w:w="8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220" w:type="dxa"/>
            <w:vAlign w:val="bottom"/>
            <w:tcBorders>
              <w:bottom w:val="single" w:sz="8" w:color="EFEDED"/>
            </w:tcBorders>
            <w:shd w:val="clear" w:color="auto" w:fill="EFEDED"/>
          </w:tcPr>
          <w:p>
            <w:pPr>
              <w:jc w:val="right"/>
              <w:ind w:right="57"/>
              <w:spacing w:after="0"/>
              <w:rPr>
                <w:sz w:val="20"/>
                <w:szCs w:val="20"/>
                <w:color w:val="auto"/>
              </w:rPr>
            </w:pPr>
            <w:r>
              <w:rPr>
                <w:rFonts w:ascii="Arial" w:cs="Arial" w:eastAsia="Arial" w:hAnsi="Arial"/>
                <w:sz w:val="13"/>
                <w:szCs w:val="13"/>
                <w:color w:val="58595B"/>
              </w:rPr>
              <w:t>—</w:t>
            </w:r>
          </w:p>
        </w:tc>
        <w:tc>
          <w:tcPr>
            <w:tcW w:w="1140" w:type="dxa"/>
            <w:vAlign w:val="bottom"/>
            <w:tcBorders>
              <w:bottom w:val="single" w:sz="8" w:color="EFEDED"/>
            </w:tcBorders>
            <w:shd w:val="clear" w:color="auto" w:fill="EFEDED"/>
          </w:tcPr>
          <w:p>
            <w:pPr>
              <w:ind w:left="900"/>
              <w:spacing w:after="0"/>
              <w:rPr>
                <w:sz w:val="20"/>
                <w:szCs w:val="20"/>
                <w:color w:val="auto"/>
              </w:rPr>
            </w:pPr>
            <w:r>
              <w:rPr>
                <w:rFonts w:ascii="Arial" w:cs="Arial" w:eastAsia="Arial" w:hAnsi="Arial"/>
                <w:sz w:val="13"/>
                <w:szCs w:val="13"/>
                <w:color w:val="58595B"/>
              </w:rPr>
              <w:t>—</w:t>
            </w:r>
          </w:p>
        </w:tc>
        <w:tc>
          <w:tcPr>
            <w:tcW w:w="1220" w:type="dxa"/>
            <w:vAlign w:val="bottom"/>
            <w:tcBorders>
              <w:bottom w:val="single" w:sz="8" w:color="EFEDED"/>
            </w:tcBorders>
            <w:shd w:val="clear" w:color="auto" w:fill="EFEDED"/>
          </w:tcPr>
          <w:p>
            <w:pPr>
              <w:jc w:val="right"/>
              <w:ind w:right="117"/>
              <w:spacing w:after="0"/>
              <w:rPr>
                <w:sz w:val="20"/>
                <w:szCs w:val="20"/>
                <w:color w:val="auto"/>
              </w:rPr>
            </w:pPr>
            <w:r>
              <w:rPr>
                <w:rFonts w:ascii="Arial" w:cs="Arial" w:eastAsia="Arial" w:hAnsi="Arial"/>
                <w:sz w:val="13"/>
                <w:szCs w:val="13"/>
                <w:color w:val="58595B"/>
              </w:rPr>
              <w:t>27,762</w:t>
            </w:r>
          </w:p>
        </w:tc>
        <w:tc>
          <w:tcPr>
            <w:tcW w:w="920" w:type="dxa"/>
            <w:vAlign w:val="bottom"/>
            <w:tcBorders>
              <w:bottom w:val="single" w:sz="8" w:color="EFEDED"/>
            </w:tcBorders>
            <w:shd w:val="clear" w:color="auto" w:fill="EFEDED"/>
          </w:tcPr>
          <w:p>
            <w:pPr>
              <w:jc w:val="right"/>
              <w:ind w:right="137"/>
              <w:spacing w:after="0"/>
              <w:rPr>
                <w:sz w:val="20"/>
                <w:szCs w:val="20"/>
                <w:color w:val="auto"/>
              </w:rPr>
            </w:pPr>
            <w:r>
              <w:rPr>
                <w:rFonts w:ascii="Arial" w:cs="Arial" w:eastAsia="Arial" w:hAnsi="Arial"/>
                <w:sz w:val="13"/>
                <w:szCs w:val="13"/>
                <w:color w:val="58595B"/>
              </w:rPr>
              <w:t>1,673,147</w:t>
            </w:r>
          </w:p>
        </w:tc>
      </w:tr>
      <w:tr>
        <w:trPr>
          <w:trHeight w:val="181"/>
        </w:trPr>
        <w:tc>
          <w:tcPr>
            <w:tcW w:w="2700" w:type="dxa"/>
            <w:vAlign w:val="bottom"/>
          </w:tcPr>
          <w:p>
            <w:pPr>
              <w:ind w:left="140"/>
              <w:spacing w:after="0"/>
              <w:rPr>
                <w:sz w:val="20"/>
                <w:szCs w:val="20"/>
                <w:color w:val="auto"/>
              </w:rPr>
            </w:pPr>
            <w:r>
              <w:rPr>
                <w:rFonts w:ascii="Arial" w:cs="Arial" w:eastAsia="Arial" w:hAnsi="Arial"/>
                <w:sz w:val="13"/>
                <w:szCs w:val="13"/>
                <w:b w:val="1"/>
                <w:bCs w:val="1"/>
                <w:color w:val="58595B"/>
              </w:rPr>
              <w:t>Robert T. Davis, Jr</w:t>
            </w:r>
          </w:p>
        </w:tc>
        <w:tc>
          <w:tcPr>
            <w:tcW w:w="600" w:type="dxa"/>
            <w:vAlign w:val="bottom"/>
          </w:tcPr>
          <w:p>
            <w:pPr>
              <w:jc w:val="right"/>
              <w:ind w:right="77"/>
              <w:spacing w:after="0"/>
              <w:rPr>
                <w:sz w:val="20"/>
                <w:szCs w:val="20"/>
                <w:color w:val="auto"/>
              </w:rPr>
            </w:pPr>
            <w:r>
              <w:rPr>
                <w:rFonts w:ascii="Arial" w:cs="Arial" w:eastAsia="Arial" w:hAnsi="Arial"/>
                <w:sz w:val="13"/>
                <w:szCs w:val="13"/>
                <w:color w:val="58595B"/>
              </w:rPr>
              <w:t>2025</w:t>
            </w:r>
          </w:p>
        </w:tc>
        <w:tc>
          <w:tcPr>
            <w:tcW w:w="840" w:type="dxa"/>
            <w:vAlign w:val="bottom"/>
          </w:tcPr>
          <w:p>
            <w:pPr>
              <w:jc w:val="right"/>
              <w:ind w:right="57"/>
              <w:spacing w:after="0"/>
              <w:rPr>
                <w:sz w:val="20"/>
                <w:szCs w:val="20"/>
                <w:color w:val="auto"/>
              </w:rPr>
            </w:pPr>
            <w:r>
              <w:rPr>
                <w:rFonts w:ascii="Arial" w:cs="Arial" w:eastAsia="Arial" w:hAnsi="Arial"/>
                <w:sz w:val="13"/>
                <w:szCs w:val="13"/>
                <w:color w:val="58595B"/>
              </w:rPr>
              <w:t>583,354</w:t>
            </w:r>
          </w:p>
        </w:tc>
        <w:tc>
          <w:tcPr>
            <w:tcW w:w="860" w:type="dxa"/>
            <w:vAlign w:val="bottom"/>
          </w:tcPr>
          <w:p>
            <w:pPr>
              <w:jc w:val="right"/>
              <w:ind w:right="57"/>
              <w:spacing w:after="0"/>
              <w:rPr>
                <w:sz w:val="20"/>
                <w:szCs w:val="20"/>
                <w:color w:val="auto"/>
              </w:rPr>
            </w:pPr>
            <w:r>
              <w:rPr>
                <w:rFonts w:ascii="Arial" w:cs="Arial" w:eastAsia="Arial" w:hAnsi="Arial"/>
                <w:sz w:val="13"/>
                <w:szCs w:val="13"/>
                <w:color w:val="58595B"/>
              </w:rPr>
              <w:t>69,594</w:t>
            </w:r>
          </w:p>
        </w:tc>
        <w:tc>
          <w:tcPr>
            <w:tcW w:w="900" w:type="dxa"/>
            <w:vAlign w:val="bottom"/>
          </w:tcPr>
          <w:p>
            <w:pPr>
              <w:jc w:val="right"/>
              <w:ind w:right="37"/>
              <w:spacing w:after="0"/>
              <w:rPr>
                <w:sz w:val="20"/>
                <w:szCs w:val="20"/>
                <w:color w:val="auto"/>
              </w:rPr>
            </w:pPr>
            <w:r>
              <w:rPr>
                <w:rFonts w:ascii="Arial" w:cs="Arial" w:eastAsia="Arial" w:hAnsi="Arial"/>
                <w:sz w:val="13"/>
                <w:szCs w:val="13"/>
                <w:color w:val="58595B"/>
              </w:rPr>
              <w:t>892,712</w:t>
            </w:r>
          </w:p>
        </w:tc>
        <w:tc>
          <w:tcPr>
            <w:tcW w:w="840" w:type="dxa"/>
            <w:vAlign w:val="bottom"/>
          </w:tcPr>
          <w:p>
            <w:pPr>
              <w:jc w:val="right"/>
              <w:spacing w:after="0"/>
              <w:rPr>
                <w:sz w:val="20"/>
                <w:szCs w:val="20"/>
                <w:color w:val="auto"/>
              </w:rPr>
            </w:pPr>
            <w:r>
              <w:rPr>
                <w:rFonts w:ascii="Arial" w:cs="Arial" w:eastAsia="Arial" w:hAnsi="Arial"/>
                <w:sz w:val="13"/>
                <w:szCs w:val="13"/>
                <w:color w:val="58595B"/>
              </w:rPr>
              <w:t>297,566</w:t>
            </w:r>
          </w:p>
        </w:tc>
        <w:tc>
          <w:tcPr>
            <w:tcW w:w="1220" w:type="dxa"/>
            <w:vAlign w:val="bottom"/>
          </w:tcPr>
          <w:p>
            <w:pPr>
              <w:jc w:val="right"/>
              <w:ind w:right="57"/>
              <w:spacing w:after="0"/>
              <w:rPr>
                <w:sz w:val="20"/>
                <w:szCs w:val="20"/>
                <w:color w:val="auto"/>
              </w:rPr>
            </w:pPr>
            <w:r>
              <w:rPr>
                <w:rFonts w:ascii="Arial" w:cs="Arial" w:eastAsia="Arial" w:hAnsi="Arial"/>
                <w:sz w:val="13"/>
                <w:szCs w:val="13"/>
                <w:color w:val="58595B"/>
              </w:rPr>
              <w:t>55,406</w:t>
            </w:r>
          </w:p>
        </w:tc>
        <w:tc>
          <w:tcPr>
            <w:tcW w:w="1140" w:type="dxa"/>
            <w:vAlign w:val="bottom"/>
          </w:tcPr>
          <w:p>
            <w:pPr>
              <w:spacing w:after="0"/>
              <w:rPr>
                <w:sz w:val="15"/>
                <w:szCs w:val="15"/>
                <w:color w:val="auto"/>
              </w:rPr>
            </w:pPr>
          </w:p>
        </w:tc>
        <w:tc>
          <w:tcPr>
            <w:tcW w:w="1220" w:type="dxa"/>
            <w:vAlign w:val="bottom"/>
          </w:tcPr>
          <w:p>
            <w:pPr>
              <w:jc w:val="right"/>
              <w:ind w:right="117"/>
              <w:spacing w:after="0"/>
              <w:rPr>
                <w:sz w:val="20"/>
                <w:szCs w:val="20"/>
                <w:color w:val="auto"/>
              </w:rPr>
            </w:pPr>
            <w:r>
              <w:rPr>
                <w:rFonts w:ascii="Arial" w:cs="Arial" w:eastAsia="Arial" w:hAnsi="Arial"/>
                <w:sz w:val="13"/>
                <w:szCs w:val="13"/>
                <w:color w:val="58595B"/>
              </w:rPr>
              <w:t>14,000</w:t>
            </w:r>
          </w:p>
        </w:tc>
        <w:tc>
          <w:tcPr>
            <w:tcW w:w="920" w:type="dxa"/>
            <w:vAlign w:val="bottom"/>
          </w:tcPr>
          <w:p>
            <w:pPr>
              <w:jc w:val="right"/>
              <w:ind w:right="137"/>
              <w:spacing w:after="0"/>
              <w:rPr>
                <w:sz w:val="20"/>
                <w:szCs w:val="20"/>
                <w:color w:val="auto"/>
              </w:rPr>
            </w:pPr>
            <w:r>
              <w:rPr>
                <w:rFonts w:ascii="Arial" w:cs="Arial" w:eastAsia="Arial" w:hAnsi="Arial"/>
                <w:sz w:val="13"/>
                <w:szCs w:val="13"/>
                <w:color w:val="58595B"/>
              </w:rPr>
              <w:t>1,912,633</w:t>
            </w:r>
          </w:p>
        </w:tc>
      </w:tr>
      <w:tr>
        <w:trPr>
          <w:trHeight w:val="197"/>
        </w:trPr>
        <w:tc>
          <w:tcPr>
            <w:tcW w:w="2700" w:type="dxa"/>
            <w:vAlign w:val="bottom"/>
          </w:tcPr>
          <w:p>
            <w:pPr>
              <w:ind w:left="140"/>
              <w:spacing w:after="0"/>
              <w:rPr>
                <w:sz w:val="20"/>
                <w:szCs w:val="20"/>
                <w:color w:val="auto"/>
              </w:rPr>
            </w:pPr>
            <w:r>
              <w:rPr>
                <w:rFonts w:ascii="Arial" w:cs="Arial" w:eastAsia="Arial" w:hAnsi="Arial"/>
                <w:sz w:val="13"/>
                <w:szCs w:val="13"/>
                <w:color w:val="58595B"/>
              </w:rPr>
              <w:t>Executive Vice President,</w:t>
            </w:r>
          </w:p>
        </w:tc>
        <w:tc>
          <w:tcPr>
            <w:tcW w:w="600" w:type="dxa"/>
            <w:vAlign w:val="bottom"/>
          </w:tcPr>
          <w:p>
            <w:pPr>
              <w:jc w:val="right"/>
              <w:ind w:right="77"/>
              <w:spacing w:after="0"/>
              <w:rPr>
                <w:sz w:val="20"/>
                <w:szCs w:val="20"/>
                <w:color w:val="auto"/>
              </w:rPr>
            </w:pPr>
            <w:r>
              <w:rPr>
                <w:rFonts w:ascii="Arial" w:cs="Arial" w:eastAsia="Arial" w:hAnsi="Arial"/>
                <w:sz w:val="13"/>
                <w:szCs w:val="13"/>
                <w:color w:val="58595B"/>
              </w:rPr>
              <w:t>2024</w:t>
            </w:r>
          </w:p>
        </w:tc>
        <w:tc>
          <w:tcPr>
            <w:tcW w:w="840" w:type="dxa"/>
            <w:vAlign w:val="bottom"/>
          </w:tcPr>
          <w:p>
            <w:pPr>
              <w:jc w:val="right"/>
              <w:ind w:right="57"/>
              <w:spacing w:after="0"/>
              <w:rPr>
                <w:sz w:val="20"/>
                <w:szCs w:val="20"/>
                <w:color w:val="auto"/>
              </w:rPr>
            </w:pPr>
            <w:r>
              <w:rPr>
                <w:rFonts w:ascii="Arial" w:cs="Arial" w:eastAsia="Arial" w:hAnsi="Arial"/>
                <w:sz w:val="13"/>
                <w:szCs w:val="13"/>
                <w:color w:val="58595B"/>
              </w:rPr>
              <w:t>544,944</w:t>
            </w:r>
          </w:p>
        </w:tc>
        <w:tc>
          <w:tcPr>
            <w:tcW w:w="860" w:type="dxa"/>
            <w:vAlign w:val="bottom"/>
          </w:tcPr>
          <w:p>
            <w:pPr>
              <w:jc w:val="right"/>
              <w:ind w:right="57"/>
              <w:spacing w:after="0"/>
              <w:rPr>
                <w:sz w:val="20"/>
                <w:szCs w:val="20"/>
                <w:color w:val="auto"/>
              </w:rPr>
            </w:pPr>
            <w:r>
              <w:rPr>
                <w:rFonts w:ascii="Arial" w:cs="Arial" w:eastAsia="Arial" w:hAnsi="Arial"/>
                <w:sz w:val="13"/>
                <w:szCs w:val="13"/>
                <w:color w:val="58595B"/>
              </w:rPr>
              <w:t>134,803</w:t>
            </w:r>
          </w:p>
        </w:tc>
        <w:tc>
          <w:tcPr>
            <w:tcW w:w="900" w:type="dxa"/>
            <w:vAlign w:val="bottom"/>
          </w:tcPr>
          <w:p>
            <w:pPr>
              <w:jc w:val="right"/>
              <w:ind w:right="37"/>
              <w:spacing w:after="0"/>
              <w:rPr>
                <w:sz w:val="20"/>
                <w:szCs w:val="20"/>
                <w:color w:val="auto"/>
              </w:rPr>
            </w:pPr>
            <w:r>
              <w:rPr>
                <w:rFonts w:ascii="Arial" w:cs="Arial" w:eastAsia="Arial" w:hAnsi="Arial"/>
                <w:sz w:val="13"/>
                <w:szCs w:val="13"/>
                <w:color w:val="58595B"/>
              </w:rPr>
              <w:t>1,203,880</w:t>
            </w:r>
          </w:p>
        </w:tc>
        <w:tc>
          <w:tcPr>
            <w:tcW w:w="840" w:type="dxa"/>
            <w:vAlign w:val="bottom"/>
          </w:tcPr>
          <w:p>
            <w:pPr>
              <w:jc w:val="right"/>
              <w:spacing w:after="0"/>
              <w:rPr>
                <w:sz w:val="20"/>
                <w:szCs w:val="20"/>
                <w:color w:val="auto"/>
              </w:rPr>
            </w:pPr>
            <w:r>
              <w:rPr>
                <w:rFonts w:ascii="Arial" w:cs="Arial" w:eastAsia="Arial" w:hAnsi="Arial"/>
                <w:sz w:val="13"/>
                <w:szCs w:val="13"/>
                <w:color w:val="58595B"/>
              </w:rPr>
              <w:t>234,620</w:t>
            </w:r>
          </w:p>
        </w:tc>
        <w:tc>
          <w:tcPr>
            <w:tcW w:w="1220" w:type="dxa"/>
            <w:vAlign w:val="bottom"/>
          </w:tcPr>
          <w:p>
            <w:pPr>
              <w:jc w:val="right"/>
              <w:ind w:right="57"/>
              <w:spacing w:after="0"/>
              <w:rPr>
                <w:sz w:val="20"/>
                <w:szCs w:val="20"/>
                <w:color w:val="auto"/>
              </w:rPr>
            </w:pPr>
            <w:r>
              <w:rPr>
                <w:rFonts w:ascii="Arial" w:cs="Arial" w:eastAsia="Arial" w:hAnsi="Arial"/>
                <w:sz w:val="13"/>
                <w:szCs w:val="13"/>
                <w:color w:val="58595B"/>
              </w:rPr>
              <w:t>130,167</w:t>
            </w:r>
          </w:p>
        </w:tc>
        <w:tc>
          <w:tcPr>
            <w:tcW w:w="1140" w:type="dxa"/>
            <w:vAlign w:val="bottom"/>
          </w:tcPr>
          <w:p>
            <w:pPr>
              <w:ind w:left="900"/>
              <w:spacing w:after="0"/>
              <w:rPr>
                <w:sz w:val="20"/>
                <w:szCs w:val="20"/>
                <w:color w:val="auto"/>
              </w:rPr>
            </w:pPr>
            <w:r>
              <w:rPr>
                <w:rFonts w:ascii="Arial" w:cs="Arial" w:eastAsia="Arial" w:hAnsi="Arial"/>
                <w:sz w:val="13"/>
                <w:szCs w:val="13"/>
                <w:color w:val="58595B"/>
              </w:rPr>
              <w:t>—</w:t>
            </w:r>
          </w:p>
        </w:tc>
        <w:tc>
          <w:tcPr>
            <w:tcW w:w="1220" w:type="dxa"/>
            <w:vAlign w:val="bottom"/>
          </w:tcPr>
          <w:p>
            <w:pPr>
              <w:jc w:val="right"/>
              <w:ind w:right="117"/>
              <w:spacing w:after="0"/>
              <w:rPr>
                <w:sz w:val="20"/>
                <w:szCs w:val="20"/>
                <w:color w:val="auto"/>
              </w:rPr>
            </w:pPr>
            <w:r>
              <w:rPr>
                <w:rFonts w:ascii="Arial" w:cs="Arial" w:eastAsia="Arial" w:hAnsi="Arial"/>
                <w:sz w:val="13"/>
                <w:szCs w:val="13"/>
                <w:color w:val="58595B"/>
              </w:rPr>
              <w:t>13,800</w:t>
            </w:r>
          </w:p>
        </w:tc>
        <w:tc>
          <w:tcPr>
            <w:tcW w:w="920" w:type="dxa"/>
            <w:vAlign w:val="bottom"/>
          </w:tcPr>
          <w:p>
            <w:pPr>
              <w:jc w:val="right"/>
              <w:ind w:right="137"/>
              <w:spacing w:after="0"/>
              <w:rPr>
                <w:sz w:val="20"/>
                <w:szCs w:val="20"/>
                <w:color w:val="auto"/>
              </w:rPr>
            </w:pPr>
            <w:r>
              <w:rPr>
                <w:rFonts w:ascii="Arial" w:cs="Arial" w:eastAsia="Arial" w:hAnsi="Arial"/>
                <w:sz w:val="13"/>
                <w:szCs w:val="13"/>
                <w:color w:val="58595B"/>
              </w:rPr>
              <w:t>2,262,214</w:t>
            </w:r>
          </w:p>
        </w:tc>
      </w:tr>
      <w:tr>
        <w:trPr>
          <w:trHeight w:val="203"/>
        </w:trPr>
        <w:tc>
          <w:tcPr>
            <w:tcW w:w="2700" w:type="dxa"/>
            <w:vAlign w:val="bottom"/>
          </w:tcPr>
          <w:p>
            <w:pPr>
              <w:ind w:left="140"/>
              <w:spacing w:after="0"/>
              <w:rPr>
                <w:sz w:val="20"/>
                <w:szCs w:val="20"/>
                <w:color w:val="auto"/>
              </w:rPr>
            </w:pPr>
            <w:r>
              <w:rPr>
                <w:rFonts w:ascii="Arial" w:cs="Arial" w:eastAsia="Arial" w:hAnsi="Arial"/>
                <w:sz w:val="13"/>
                <w:szCs w:val="13"/>
                <w:color w:val="58595B"/>
              </w:rPr>
              <w:t>President, Tissue Technologies</w:t>
            </w:r>
          </w:p>
        </w:tc>
        <w:tc>
          <w:tcPr>
            <w:tcW w:w="600" w:type="dxa"/>
            <w:vAlign w:val="bottom"/>
          </w:tcPr>
          <w:p>
            <w:pPr>
              <w:jc w:val="right"/>
              <w:ind w:right="77"/>
              <w:spacing w:after="0"/>
              <w:rPr>
                <w:sz w:val="20"/>
                <w:szCs w:val="20"/>
                <w:color w:val="auto"/>
              </w:rPr>
            </w:pPr>
            <w:r>
              <w:rPr>
                <w:rFonts w:ascii="Arial" w:cs="Arial" w:eastAsia="Arial" w:hAnsi="Arial"/>
                <w:sz w:val="13"/>
                <w:szCs w:val="13"/>
                <w:color w:val="58595B"/>
              </w:rPr>
              <w:t>2023</w:t>
            </w:r>
          </w:p>
        </w:tc>
        <w:tc>
          <w:tcPr>
            <w:tcW w:w="840" w:type="dxa"/>
            <w:vAlign w:val="bottom"/>
          </w:tcPr>
          <w:p>
            <w:pPr>
              <w:jc w:val="right"/>
              <w:ind w:right="57"/>
              <w:spacing w:after="0"/>
              <w:rPr>
                <w:sz w:val="20"/>
                <w:szCs w:val="20"/>
                <w:color w:val="auto"/>
              </w:rPr>
            </w:pPr>
            <w:r>
              <w:rPr>
                <w:rFonts w:ascii="Arial" w:cs="Arial" w:eastAsia="Arial" w:hAnsi="Arial"/>
                <w:sz w:val="13"/>
                <w:szCs w:val="13"/>
                <w:color w:val="58595B"/>
              </w:rPr>
              <w:t>515,990</w:t>
            </w:r>
          </w:p>
        </w:tc>
        <w:tc>
          <w:tcPr>
            <w:tcW w:w="86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58595B"/>
              </w:rPr>
              <w:t>670,392</w:t>
            </w:r>
          </w:p>
        </w:tc>
        <w:tc>
          <w:tcPr>
            <w:tcW w:w="840" w:type="dxa"/>
            <w:vAlign w:val="bottom"/>
          </w:tcPr>
          <w:p>
            <w:pPr>
              <w:jc w:val="right"/>
              <w:spacing w:after="0"/>
              <w:rPr>
                <w:sz w:val="20"/>
                <w:szCs w:val="20"/>
                <w:color w:val="auto"/>
              </w:rPr>
            </w:pPr>
            <w:r>
              <w:rPr>
                <w:rFonts w:ascii="Arial" w:cs="Arial" w:eastAsia="Arial" w:hAnsi="Arial"/>
                <w:sz w:val="13"/>
                <w:szCs w:val="13"/>
                <w:color w:val="58595B"/>
              </w:rPr>
              <w:t>223,439</w:t>
            </w:r>
          </w:p>
        </w:tc>
        <w:tc>
          <w:tcPr>
            <w:tcW w:w="1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1140" w:type="dxa"/>
            <w:vAlign w:val="bottom"/>
          </w:tcPr>
          <w:p>
            <w:pPr>
              <w:ind w:left="900"/>
              <w:spacing w:after="0"/>
              <w:rPr>
                <w:sz w:val="20"/>
                <w:szCs w:val="20"/>
                <w:color w:val="auto"/>
              </w:rPr>
            </w:pPr>
            <w:r>
              <w:rPr>
                <w:rFonts w:ascii="Arial" w:cs="Arial" w:eastAsia="Arial" w:hAnsi="Arial"/>
                <w:sz w:val="13"/>
                <w:szCs w:val="13"/>
                <w:color w:val="58595B"/>
              </w:rPr>
              <w:t>—</w:t>
            </w:r>
          </w:p>
        </w:tc>
        <w:tc>
          <w:tcPr>
            <w:tcW w:w="1220" w:type="dxa"/>
            <w:vAlign w:val="bottom"/>
          </w:tcPr>
          <w:p>
            <w:pPr>
              <w:jc w:val="right"/>
              <w:ind w:right="117"/>
              <w:spacing w:after="0"/>
              <w:rPr>
                <w:sz w:val="20"/>
                <w:szCs w:val="20"/>
                <w:color w:val="auto"/>
              </w:rPr>
            </w:pPr>
            <w:r>
              <w:rPr>
                <w:rFonts w:ascii="Arial" w:cs="Arial" w:eastAsia="Arial" w:hAnsi="Arial"/>
                <w:sz w:val="13"/>
                <w:szCs w:val="13"/>
                <w:color w:val="58595B"/>
              </w:rPr>
              <w:t>13,062</w:t>
            </w:r>
          </w:p>
        </w:tc>
        <w:tc>
          <w:tcPr>
            <w:tcW w:w="920" w:type="dxa"/>
            <w:vAlign w:val="bottom"/>
          </w:tcPr>
          <w:p>
            <w:pPr>
              <w:jc w:val="right"/>
              <w:ind w:right="137"/>
              <w:spacing w:after="0"/>
              <w:rPr>
                <w:sz w:val="20"/>
                <w:szCs w:val="20"/>
                <w:color w:val="auto"/>
              </w:rPr>
            </w:pPr>
            <w:r>
              <w:rPr>
                <w:rFonts w:ascii="Arial" w:cs="Arial" w:eastAsia="Arial" w:hAnsi="Arial"/>
                <w:sz w:val="13"/>
                <w:szCs w:val="13"/>
                <w:color w:val="58595B"/>
              </w:rPr>
              <w:t>1,422,883</w:t>
            </w:r>
          </w:p>
        </w:tc>
      </w:tr>
      <w:tr>
        <w:trPr>
          <w:trHeight w:val="28"/>
        </w:trPr>
        <w:tc>
          <w:tcPr>
            <w:tcW w:w="2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1"/>
        </w:trPr>
        <w:tc>
          <w:tcPr>
            <w:tcW w:w="2700" w:type="dxa"/>
            <w:vAlign w:val="bottom"/>
            <w:shd w:val="clear" w:color="auto" w:fill="EFEDED"/>
          </w:tcPr>
          <w:p>
            <w:pPr>
              <w:ind w:left="140"/>
              <w:spacing w:after="0"/>
              <w:rPr>
                <w:sz w:val="20"/>
                <w:szCs w:val="20"/>
                <w:color w:val="auto"/>
              </w:rPr>
            </w:pPr>
            <w:r>
              <w:rPr>
                <w:rFonts w:ascii="Arial" w:cs="Arial" w:eastAsia="Arial" w:hAnsi="Arial"/>
                <w:sz w:val="13"/>
                <w:szCs w:val="13"/>
                <w:b w:val="1"/>
                <w:bCs w:val="1"/>
                <w:color w:val="58595B"/>
              </w:rPr>
              <w:t>Michael J. McBreen</w:t>
            </w:r>
          </w:p>
        </w:tc>
        <w:tc>
          <w:tcPr>
            <w:tcW w:w="600" w:type="dxa"/>
            <w:vAlign w:val="bottom"/>
            <w:shd w:val="clear" w:color="auto" w:fill="EFEDED"/>
          </w:tcPr>
          <w:p>
            <w:pPr>
              <w:jc w:val="right"/>
              <w:ind w:right="77"/>
              <w:spacing w:after="0"/>
              <w:rPr>
                <w:sz w:val="20"/>
                <w:szCs w:val="20"/>
                <w:color w:val="auto"/>
              </w:rPr>
            </w:pPr>
            <w:r>
              <w:rPr>
                <w:rFonts w:ascii="Arial" w:cs="Arial" w:eastAsia="Arial" w:hAnsi="Arial"/>
                <w:sz w:val="13"/>
                <w:szCs w:val="13"/>
                <w:color w:val="58595B"/>
              </w:rPr>
              <w:t>2025</w:t>
            </w:r>
          </w:p>
        </w:tc>
        <w:tc>
          <w:tcPr>
            <w:tcW w:w="84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643,750</w:t>
            </w:r>
          </w:p>
        </w:tc>
        <w:tc>
          <w:tcPr>
            <w:tcW w:w="86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212,405</w:t>
            </w:r>
          </w:p>
        </w:tc>
        <w:tc>
          <w:tcPr>
            <w:tcW w:w="900" w:type="dxa"/>
            <w:vAlign w:val="bottom"/>
            <w:shd w:val="clear" w:color="auto" w:fill="EFEDED"/>
          </w:tcPr>
          <w:p>
            <w:pPr>
              <w:jc w:val="right"/>
              <w:ind w:right="37"/>
              <w:spacing w:after="0"/>
              <w:rPr>
                <w:sz w:val="20"/>
                <w:szCs w:val="20"/>
                <w:color w:val="auto"/>
              </w:rPr>
            </w:pPr>
            <w:r>
              <w:rPr>
                <w:rFonts w:ascii="Arial" w:cs="Arial" w:eastAsia="Arial" w:hAnsi="Arial"/>
                <w:sz w:val="13"/>
                <w:szCs w:val="13"/>
                <w:color w:val="58595B"/>
              </w:rPr>
              <w:t>1,327,764</w:t>
            </w:r>
          </w:p>
        </w:tc>
        <w:tc>
          <w:tcPr>
            <w:tcW w:w="8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442,583</w:t>
            </w:r>
          </w:p>
        </w:tc>
        <w:tc>
          <w:tcPr>
            <w:tcW w:w="122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72,776</w:t>
            </w:r>
          </w:p>
        </w:tc>
        <w:tc>
          <w:tcPr>
            <w:tcW w:w="1140" w:type="dxa"/>
            <w:vAlign w:val="bottom"/>
            <w:shd w:val="clear" w:color="auto" w:fill="EFEDED"/>
          </w:tcPr>
          <w:p>
            <w:pPr>
              <w:spacing w:after="0"/>
              <w:rPr>
                <w:sz w:val="15"/>
                <w:szCs w:val="15"/>
                <w:color w:val="auto"/>
              </w:rPr>
            </w:pPr>
          </w:p>
        </w:tc>
        <w:tc>
          <w:tcPr>
            <w:tcW w:w="12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14,000</w:t>
            </w:r>
          </w:p>
        </w:tc>
        <w:tc>
          <w:tcPr>
            <w:tcW w:w="920" w:type="dxa"/>
            <w:vAlign w:val="bottom"/>
            <w:shd w:val="clear" w:color="auto" w:fill="EFEDED"/>
          </w:tcPr>
          <w:p>
            <w:pPr>
              <w:jc w:val="right"/>
              <w:ind w:right="137"/>
              <w:spacing w:after="0"/>
              <w:rPr>
                <w:sz w:val="20"/>
                <w:szCs w:val="20"/>
                <w:color w:val="auto"/>
              </w:rPr>
            </w:pPr>
            <w:r>
              <w:rPr>
                <w:rFonts w:ascii="Arial" w:cs="Arial" w:eastAsia="Arial" w:hAnsi="Arial"/>
                <w:sz w:val="13"/>
                <w:szCs w:val="13"/>
                <w:color w:val="58595B"/>
              </w:rPr>
              <w:t>2,713,278</w:t>
            </w:r>
          </w:p>
        </w:tc>
      </w:tr>
      <w:tr>
        <w:trPr>
          <w:trHeight w:val="197"/>
        </w:trPr>
        <w:tc>
          <w:tcPr>
            <w:tcW w:w="2700" w:type="dxa"/>
            <w:vAlign w:val="bottom"/>
            <w:shd w:val="clear" w:color="auto" w:fill="EFEDED"/>
          </w:tcPr>
          <w:p>
            <w:pPr>
              <w:ind w:left="140"/>
              <w:spacing w:after="0"/>
              <w:rPr>
                <w:sz w:val="20"/>
                <w:szCs w:val="20"/>
                <w:color w:val="auto"/>
              </w:rPr>
            </w:pPr>
            <w:r>
              <w:rPr>
                <w:rFonts w:ascii="Arial" w:cs="Arial" w:eastAsia="Arial" w:hAnsi="Arial"/>
                <w:sz w:val="13"/>
                <w:szCs w:val="13"/>
                <w:color w:val="58595B"/>
              </w:rPr>
              <w:t>Executive Vice President,</w:t>
            </w:r>
          </w:p>
        </w:tc>
        <w:tc>
          <w:tcPr>
            <w:tcW w:w="600" w:type="dxa"/>
            <w:vAlign w:val="bottom"/>
            <w:shd w:val="clear" w:color="auto" w:fill="EFEDED"/>
          </w:tcPr>
          <w:p>
            <w:pPr>
              <w:jc w:val="right"/>
              <w:ind w:right="77"/>
              <w:spacing w:after="0"/>
              <w:rPr>
                <w:sz w:val="20"/>
                <w:szCs w:val="20"/>
                <w:color w:val="auto"/>
              </w:rPr>
            </w:pPr>
            <w:r>
              <w:rPr>
                <w:rFonts w:ascii="Arial" w:cs="Arial" w:eastAsia="Arial" w:hAnsi="Arial"/>
                <w:sz w:val="13"/>
                <w:szCs w:val="13"/>
                <w:color w:val="58595B"/>
              </w:rPr>
              <w:t>2024</w:t>
            </w:r>
          </w:p>
        </w:tc>
        <w:tc>
          <w:tcPr>
            <w:tcW w:w="84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638,702</w:t>
            </w:r>
          </w:p>
        </w:tc>
        <w:tc>
          <w:tcPr>
            <w:tcW w:w="86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222,705</w:t>
            </w:r>
          </w:p>
        </w:tc>
        <w:tc>
          <w:tcPr>
            <w:tcW w:w="900" w:type="dxa"/>
            <w:vAlign w:val="bottom"/>
            <w:shd w:val="clear" w:color="auto" w:fill="EFEDED"/>
          </w:tcPr>
          <w:p>
            <w:pPr>
              <w:jc w:val="right"/>
              <w:ind w:right="37"/>
              <w:spacing w:after="0"/>
              <w:rPr>
                <w:sz w:val="20"/>
                <w:szCs w:val="20"/>
                <w:color w:val="auto"/>
              </w:rPr>
            </w:pPr>
            <w:r>
              <w:rPr>
                <w:rFonts w:ascii="Arial" w:cs="Arial" w:eastAsia="Arial" w:hAnsi="Arial"/>
                <w:sz w:val="13"/>
                <w:szCs w:val="13"/>
                <w:color w:val="58595B"/>
              </w:rPr>
              <w:t>1,627,799</w:t>
            </w:r>
          </w:p>
        </w:tc>
        <w:tc>
          <w:tcPr>
            <w:tcW w:w="8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442,584</w:t>
            </w:r>
          </w:p>
        </w:tc>
        <w:tc>
          <w:tcPr>
            <w:tcW w:w="122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215,045</w:t>
            </w:r>
          </w:p>
        </w:tc>
        <w:tc>
          <w:tcPr>
            <w:tcW w:w="1140" w:type="dxa"/>
            <w:vAlign w:val="bottom"/>
            <w:shd w:val="clear" w:color="auto" w:fill="EFEDED"/>
          </w:tcPr>
          <w:p>
            <w:pPr>
              <w:ind w:left="900"/>
              <w:spacing w:after="0"/>
              <w:rPr>
                <w:sz w:val="20"/>
                <w:szCs w:val="20"/>
                <w:color w:val="auto"/>
              </w:rPr>
            </w:pPr>
            <w:r>
              <w:rPr>
                <w:rFonts w:ascii="Arial" w:cs="Arial" w:eastAsia="Arial" w:hAnsi="Arial"/>
                <w:sz w:val="13"/>
                <w:szCs w:val="13"/>
                <w:color w:val="58595B"/>
              </w:rPr>
              <w:t>—</w:t>
            </w:r>
          </w:p>
        </w:tc>
        <w:tc>
          <w:tcPr>
            <w:tcW w:w="12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13,455</w:t>
            </w:r>
          </w:p>
        </w:tc>
        <w:tc>
          <w:tcPr>
            <w:tcW w:w="920" w:type="dxa"/>
            <w:vAlign w:val="bottom"/>
            <w:shd w:val="clear" w:color="auto" w:fill="EFEDED"/>
          </w:tcPr>
          <w:p>
            <w:pPr>
              <w:jc w:val="right"/>
              <w:ind w:right="137"/>
              <w:spacing w:after="0"/>
              <w:rPr>
                <w:sz w:val="20"/>
                <w:szCs w:val="20"/>
                <w:color w:val="auto"/>
              </w:rPr>
            </w:pPr>
            <w:r>
              <w:rPr>
                <w:rFonts w:ascii="Arial" w:cs="Arial" w:eastAsia="Arial" w:hAnsi="Arial"/>
                <w:sz w:val="13"/>
                <w:szCs w:val="13"/>
                <w:color w:val="58595B"/>
              </w:rPr>
              <w:t>3,160,291</w:t>
            </w:r>
          </w:p>
        </w:tc>
      </w:tr>
      <w:tr>
        <w:trPr>
          <w:trHeight w:val="210"/>
        </w:trPr>
        <w:tc>
          <w:tcPr>
            <w:tcW w:w="270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President, Codman Specialty Surgical</w:t>
            </w:r>
          </w:p>
        </w:tc>
        <w:tc>
          <w:tcPr>
            <w:tcW w:w="60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2023</w:t>
            </w:r>
          </w:p>
        </w:tc>
        <w:tc>
          <w:tcPr>
            <w:tcW w:w="840" w:type="dxa"/>
            <w:vAlign w:val="bottom"/>
            <w:tcBorders>
              <w:bottom w:val="single" w:sz="8" w:color="EFEDED"/>
            </w:tcBorders>
            <w:shd w:val="clear" w:color="auto" w:fill="EFEDED"/>
          </w:tcPr>
          <w:p>
            <w:pPr>
              <w:jc w:val="right"/>
              <w:ind w:right="57"/>
              <w:spacing w:after="0"/>
              <w:rPr>
                <w:sz w:val="20"/>
                <w:szCs w:val="20"/>
                <w:color w:val="auto"/>
              </w:rPr>
            </w:pPr>
            <w:r>
              <w:rPr>
                <w:rFonts w:ascii="Arial" w:cs="Arial" w:eastAsia="Arial" w:hAnsi="Arial"/>
                <w:sz w:val="13"/>
                <w:szCs w:val="13"/>
                <w:color w:val="58595B"/>
              </w:rPr>
              <w:t>598,077</w:t>
            </w:r>
          </w:p>
        </w:tc>
        <w:tc>
          <w:tcPr>
            <w:tcW w:w="860" w:type="dxa"/>
            <w:vAlign w:val="bottom"/>
            <w:tcBorders>
              <w:bottom w:val="single" w:sz="8" w:color="EFEDED"/>
            </w:tcBorders>
            <w:shd w:val="clear" w:color="auto" w:fill="EFEDED"/>
          </w:tcPr>
          <w:p>
            <w:pPr>
              <w:jc w:val="right"/>
              <w:ind w:right="57"/>
              <w:spacing w:after="0"/>
              <w:rPr>
                <w:sz w:val="20"/>
                <w:szCs w:val="20"/>
                <w:color w:val="auto"/>
              </w:rPr>
            </w:pPr>
            <w:r>
              <w:rPr>
                <w:rFonts w:ascii="Arial" w:cs="Arial" w:eastAsia="Arial" w:hAnsi="Arial"/>
                <w:sz w:val="13"/>
                <w:szCs w:val="13"/>
                <w:color w:val="58595B"/>
              </w:rPr>
              <w:t>—</w:t>
            </w:r>
          </w:p>
        </w:tc>
        <w:tc>
          <w:tcPr>
            <w:tcW w:w="900" w:type="dxa"/>
            <w:vAlign w:val="bottom"/>
            <w:tcBorders>
              <w:bottom w:val="single" w:sz="8" w:color="EFEDED"/>
            </w:tcBorders>
            <w:shd w:val="clear" w:color="auto" w:fill="EFEDED"/>
          </w:tcPr>
          <w:p>
            <w:pPr>
              <w:jc w:val="right"/>
              <w:ind w:right="37"/>
              <w:spacing w:after="0"/>
              <w:rPr>
                <w:sz w:val="20"/>
                <w:szCs w:val="20"/>
                <w:color w:val="auto"/>
              </w:rPr>
            </w:pPr>
            <w:r>
              <w:rPr>
                <w:rFonts w:ascii="Arial" w:cs="Arial" w:eastAsia="Arial" w:hAnsi="Arial"/>
                <w:sz w:val="13"/>
                <w:szCs w:val="13"/>
                <w:color w:val="58595B"/>
              </w:rPr>
              <w:t>1,789,174</w:t>
            </w:r>
          </w:p>
        </w:tc>
        <w:tc>
          <w:tcPr>
            <w:tcW w:w="8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429,701</w:t>
            </w:r>
          </w:p>
        </w:tc>
        <w:tc>
          <w:tcPr>
            <w:tcW w:w="1220" w:type="dxa"/>
            <w:vAlign w:val="bottom"/>
            <w:tcBorders>
              <w:bottom w:val="single" w:sz="8" w:color="EFEDED"/>
            </w:tcBorders>
            <w:shd w:val="clear" w:color="auto" w:fill="EFEDED"/>
          </w:tcPr>
          <w:p>
            <w:pPr>
              <w:jc w:val="right"/>
              <w:ind w:right="57"/>
              <w:spacing w:after="0"/>
              <w:rPr>
                <w:sz w:val="20"/>
                <w:szCs w:val="20"/>
                <w:color w:val="auto"/>
              </w:rPr>
            </w:pPr>
            <w:r>
              <w:rPr>
                <w:rFonts w:ascii="Arial" w:cs="Arial" w:eastAsia="Arial" w:hAnsi="Arial"/>
                <w:sz w:val="13"/>
                <w:szCs w:val="13"/>
                <w:color w:val="58595B"/>
              </w:rPr>
              <w:t>—</w:t>
            </w:r>
          </w:p>
        </w:tc>
        <w:tc>
          <w:tcPr>
            <w:tcW w:w="1140" w:type="dxa"/>
            <w:vAlign w:val="bottom"/>
            <w:tcBorders>
              <w:bottom w:val="single" w:sz="8" w:color="EFEDED"/>
            </w:tcBorders>
            <w:shd w:val="clear" w:color="auto" w:fill="EFEDED"/>
          </w:tcPr>
          <w:p>
            <w:pPr>
              <w:ind w:left="900"/>
              <w:spacing w:after="0"/>
              <w:rPr>
                <w:sz w:val="20"/>
                <w:szCs w:val="20"/>
                <w:color w:val="auto"/>
              </w:rPr>
            </w:pPr>
            <w:r>
              <w:rPr>
                <w:rFonts w:ascii="Arial" w:cs="Arial" w:eastAsia="Arial" w:hAnsi="Arial"/>
                <w:sz w:val="13"/>
                <w:szCs w:val="13"/>
                <w:color w:val="58595B"/>
              </w:rPr>
              <w:t>—</w:t>
            </w:r>
          </w:p>
        </w:tc>
        <w:tc>
          <w:tcPr>
            <w:tcW w:w="1220" w:type="dxa"/>
            <w:vAlign w:val="bottom"/>
            <w:tcBorders>
              <w:bottom w:val="single" w:sz="8" w:color="EFEDED"/>
            </w:tcBorders>
            <w:shd w:val="clear" w:color="auto" w:fill="EFEDED"/>
          </w:tcPr>
          <w:p>
            <w:pPr>
              <w:jc w:val="right"/>
              <w:ind w:right="117"/>
              <w:spacing w:after="0"/>
              <w:rPr>
                <w:sz w:val="20"/>
                <w:szCs w:val="20"/>
                <w:color w:val="auto"/>
              </w:rPr>
            </w:pPr>
            <w:r>
              <w:rPr>
                <w:rFonts w:ascii="Arial" w:cs="Arial" w:eastAsia="Arial" w:hAnsi="Arial"/>
                <w:sz w:val="13"/>
                <w:szCs w:val="13"/>
                <w:color w:val="58595B"/>
              </w:rPr>
              <w:t>13,200</w:t>
            </w:r>
          </w:p>
        </w:tc>
        <w:tc>
          <w:tcPr>
            <w:tcW w:w="920" w:type="dxa"/>
            <w:vAlign w:val="bottom"/>
            <w:tcBorders>
              <w:bottom w:val="single" w:sz="8" w:color="EFEDED"/>
            </w:tcBorders>
            <w:shd w:val="clear" w:color="auto" w:fill="EFEDED"/>
          </w:tcPr>
          <w:p>
            <w:pPr>
              <w:jc w:val="right"/>
              <w:ind w:right="137"/>
              <w:spacing w:after="0"/>
              <w:rPr>
                <w:sz w:val="20"/>
                <w:szCs w:val="20"/>
                <w:color w:val="auto"/>
              </w:rPr>
            </w:pPr>
            <w:r>
              <w:rPr>
                <w:rFonts w:ascii="Arial" w:cs="Arial" w:eastAsia="Arial" w:hAnsi="Arial"/>
                <w:sz w:val="13"/>
                <w:szCs w:val="13"/>
                <w:color w:val="58595B"/>
              </w:rPr>
              <w:t>2,830,152</w:t>
            </w:r>
          </w:p>
        </w:tc>
      </w:tr>
      <w:tr>
        <w:trPr>
          <w:trHeight w:val="181"/>
        </w:trPr>
        <w:tc>
          <w:tcPr>
            <w:tcW w:w="2700" w:type="dxa"/>
            <w:vAlign w:val="bottom"/>
          </w:tcPr>
          <w:p>
            <w:pPr>
              <w:ind w:left="140"/>
              <w:spacing w:after="0"/>
              <w:rPr>
                <w:sz w:val="20"/>
                <w:szCs w:val="20"/>
                <w:color w:val="auto"/>
              </w:rPr>
            </w:pPr>
            <w:r>
              <w:rPr>
                <w:rFonts w:ascii="Arial" w:cs="Arial" w:eastAsia="Arial" w:hAnsi="Arial"/>
                <w:sz w:val="13"/>
                <w:szCs w:val="13"/>
                <w:b w:val="1"/>
                <w:bCs w:val="1"/>
                <w:color w:val="58595B"/>
              </w:rPr>
              <w:t>Harvinder Singh</w:t>
            </w:r>
          </w:p>
        </w:tc>
        <w:tc>
          <w:tcPr>
            <w:tcW w:w="600" w:type="dxa"/>
            <w:vAlign w:val="bottom"/>
          </w:tcPr>
          <w:p>
            <w:pPr>
              <w:jc w:val="right"/>
              <w:ind w:right="77"/>
              <w:spacing w:after="0"/>
              <w:rPr>
                <w:sz w:val="20"/>
                <w:szCs w:val="20"/>
                <w:color w:val="auto"/>
              </w:rPr>
            </w:pPr>
            <w:r>
              <w:rPr>
                <w:rFonts w:ascii="Arial" w:cs="Arial" w:eastAsia="Arial" w:hAnsi="Arial"/>
                <w:sz w:val="13"/>
                <w:szCs w:val="13"/>
                <w:color w:val="58595B"/>
              </w:rPr>
              <w:t>2025</w:t>
            </w:r>
          </w:p>
        </w:tc>
        <w:tc>
          <w:tcPr>
            <w:tcW w:w="840" w:type="dxa"/>
            <w:vAlign w:val="bottom"/>
          </w:tcPr>
          <w:p>
            <w:pPr>
              <w:jc w:val="right"/>
              <w:ind w:right="57"/>
              <w:spacing w:after="0"/>
              <w:rPr>
                <w:sz w:val="20"/>
                <w:szCs w:val="20"/>
                <w:color w:val="auto"/>
              </w:rPr>
            </w:pPr>
            <w:r>
              <w:rPr>
                <w:rFonts w:ascii="Arial" w:cs="Arial" w:eastAsia="Arial" w:hAnsi="Arial"/>
                <w:sz w:val="13"/>
                <w:szCs w:val="13"/>
                <w:color w:val="58595B"/>
              </w:rPr>
              <w:t>563,993</w:t>
            </w:r>
          </w:p>
        </w:tc>
        <w:tc>
          <w:tcPr>
            <w:tcW w:w="860" w:type="dxa"/>
            <w:vAlign w:val="bottom"/>
          </w:tcPr>
          <w:p>
            <w:pPr>
              <w:jc w:val="right"/>
              <w:ind w:right="57"/>
              <w:spacing w:after="0"/>
              <w:rPr>
                <w:sz w:val="20"/>
                <w:szCs w:val="20"/>
                <w:color w:val="auto"/>
              </w:rPr>
            </w:pPr>
            <w:r>
              <w:rPr>
                <w:rFonts w:ascii="Arial" w:cs="Arial" w:eastAsia="Arial" w:hAnsi="Arial"/>
                <w:sz w:val="13"/>
                <w:szCs w:val="13"/>
                <w:color w:val="58595B"/>
              </w:rPr>
              <w:t>91,194</w:t>
            </w:r>
          </w:p>
        </w:tc>
        <w:tc>
          <w:tcPr>
            <w:tcW w:w="900" w:type="dxa"/>
            <w:vAlign w:val="bottom"/>
          </w:tcPr>
          <w:p>
            <w:pPr>
              <w:jc w:val="right"/>
              <w:ind w:right="37"/>
              <w:spacing w:after="0"/>
              <w:rPr>
                <w:sz w:val="20"/>
                <w:szCs w:val="20"/>
                <w:color w:val="auto"/>
              </w:rPr>
            </w:pPr>
            <w:r>
              <w:rPr>
                <w:rFonts w:ascii="Arial" w:cs="Arial" w:eastAsia="Arial" w:hAnsi="Arial"/>
                <w:sz w:val="13"/>
                <w:szCs w:val="13"/>
                <w:color w:val="58595B"/>
              </w:rPr>
              <w:t>683,126</w:t>
            </w:r>
          </w:p>
        </w:tc>
        <w:tc>
          <w:tcPr>
            <w:tcW w:w="840" w:type="dxa"/>
            <w:vAlign w:val="bottom"/>
          </w:tcPr>
          <w:p>
            <w:pPr>
              <w:jc w:val="right"/>
              <w:spacing w:after="0"/>
              <w:rPr>
                <w:sz w:val="20"/>
                <w:szCs w:val="20"/>
                <w:color w:val="auto"/>
              </w:rPr>
            </w:pPr>
            <w:r>
              <w:rPr>
                <w:rFonts w:ascii="Arial" w:cs="Arial" w:eastAsia="Arial" w:hAnsi="Arial"/>
                <w:sz w:val="13"/>
                <w:szCs w:val="13"/>
                <w:color w:val="58595B"/>
              </w:rPr>
              <w:t>227,704</w:t>
            </w:r>
          </w:p>
        </w:tc>
        <w:tc>
          <w:tcPr>
            <w:tcW w:w="1220" w:type="dxa"/>
            <w:vAlign w:val="bottom"/>
          </w:tcPr>
          <w:p>
            <w:pPr>
              <w:jc w:val="right"/>
              <w:ind w:right="57"/>
              <w:spacing w:after="0"/>
              <w:rPr>
                <w:sz w:val="20"/>
                <w:szCs w:val="20"/>
                <w:color w:val="auto"/>
              </w:rPr>
            </w:pPr>
            <w:r>
              <w:rPr>
                <w:rFonts w:ascii="Arial" w:cs="Arial" w:eastAsia="Arial" w:hAnsi="Arial"/>
                <w:sz w:val="13"/>
                <w:szCs w:val="13"/>
                <w:color w:val="58595B"/>
              </w:rPr>
              <w:t>45,426</w:t>
            </w:r>
          </w:p>
        </w:tc>
        <w:tc>
          <w:tcPr>
            <w:tcW w:w="1140" w:type="dxa"/>
            <w:vAlign w:val="bottom"/>
          </w:tcPr>
          <w:p>
            <w:pPr>
              <w:ind w:left="900"/>
              <w:spacing w:after="0"/>
              <w:rPr>
                <w:sz w:val="20"/>
                <w:szCs w:val="20"/>
                <w:color w:val="auto"/>
              </w:rPr>
            </w:pPr>
            <w:r>
              <w:rPr>
                <w:rFonts w:ascii="Arial" w:cs="Arial" w:eastAsia="Arial" w:hAnsi="Arial"/>
                <w:sz w:val="13"/>
                <w:szCs w:val="13"/>
                <w:color w:val="58595B"/>
              </w:rPr>
              <w:t>—</w:t>
            </w:r>
          </w:p>
        </w:tc>
        <w:tc>
          <w:tcPr>
            <w:tcW w:w="1220" w:type="dxa"/>
            <w:vAlign w:val="bottom"/>
          </w:tcPr>
          <w:p>
            <w:pPr>
              <w:jc w:val="right"/>
              <w:ind w:right="117"/>
              <w:spacing w:after="0"/>
              <w:rPr>
                <w:sz w:val="20"/>
                <w:szCs w:val="20"/>
                <w:color w:val="auto"/>
              </w:rPr>
            </w:pPr>
            <w:r>
              <w:rPr>
                <w:rFonts w:ascii="Arial" w:cs="Arial" w:eastAsia="Arial" w:hAnsi="Arial"/>
                <w:sz w:val="13"/>
                <w:szCs w:val="13"/>
                <w:color w:val="58595B"/>
              </w:rPr>
              <w:t>14,000</w:t>
            </w:r>
          </w:p>
        </w:tc>
        <w:tc>
          <w:tcPr>
            <w:tcW w:w="920" w:type="dxa"/>
            <w:vAlign w:val="bottom"/>
          </w:tcPr>
          <w:p>
            <w:pPr>
              <w:jc w:val="right"/>
              <w:ind w:right="137"/>
              <w:spacing w:after="0"/>
              <w:rPr>
                <w:sz w:val="20"/>
                <w:szCs w:val="20"/>
                <w:color w:val="auto"/>
              </w:rPr>
            </w:pPr>
            <w:r>
              <w:rPr>
                <w:rFonts w:ascii="Arial" w:cs="Arial" w:eastAsia="Arial" w:hAnsi="Arial"/>
                <w:sz w:val="13"/>
                <w:szCs w:val="13"/>
                <w:color w:val="58595B"/>
              </w:rPr>
              <w:t>1,625,444</w:t>
            </w:r>
          </w:p>
        </w:tc>
      </w:tr>
      <w:tr>
        <w:trPr>
          <w:trHeight w:val="197"/>
        </w:trPr>
        <w:tc>
          <w:tcPr>
            <w:tcW w:w="2700" w:type="dxa"/>
            <w:vAlign w:val="bottom"/>
          </w:tcPr>
          <w:p>
            <w:pPr>
              <w:ind w:left="140"/>
              <w:spacing w:after="0"/>
              <w:rPr>
                <w:sz w:val="20"/>
                <w:szCs w:val="20"/>
                <w:color w:val="auto"/>
              </w:rPr>
            </w:pPr>
            <w:r>
              <w:rPr>
                <w:rFonts w:ascii="Arial" w:cs="Arial" w:eastAsia="Arial" w:hAnsi="Arial"/>
                <w:sz w:val="13"/>
                <w:szCs w:val="13"/>
                <w:color w:val="58595B"/>
              </w:rPr>
              <w:t>Executive Vice President,</w:t>
            </w:r>
          </w:p>
        </w:tc>
        <w:tc>
          <w:tcPr>
            <w:tcW w:w="600" w:type="dxa"/>
            <w:vAlign w:val="bottom"/>
          </w:tcPr>
          <w:p>
            <w:pPr>
              <w:jc w:val="right"/>
              <w:ind w:right="77"/>
              <w:spacing w:after="0"/>
              <w:rPr>
                <w:sz w:val="20"/>
                <w:szCs w:val="20"/>
                <w:color w:val="auto"/>
              </w:rPr>
            </w:pPr>
            <w:r>
              <w:rPr>
                <w:rFonts w:ascii="Arial" w:cs="Arial" w:eastAsia="Arial" w:hAnsi="Arial"/>
                <w:sz w:val="13"/>
                <w:szCs w:val="13"/>
                <w:color w:val="58595B"/>
              </w:rPr>
              <w:t>2024</w:t>
            </w:r>
          </w:p>
        </w:tc>
        <w:tc>
          <w:tcPr>
            <w:tcW w:w="840" w:type="dxa"/>
            <w:vAlign w:val="bottom"/>
          </w:tcPr>
          <w:p>
            <w:pPr>
              <w:jc w:val="right"/>
              <w:ind w:right="57"/>
              <w:spacing w:after="0"/>
              <w:rPr>
                <w:sz w:val="20"/>
                <w:szCs w:val="20"/>
                <w:color w:val="auto"/>
              </w:rPr>
            </w:pPr>
            <w:r>
              <w:rPr>
                <w:rFonts w:ascii="Arial" w:cs="Arial" w:eastAsia="Arial" w:hAnsi="Arial"/>
                <w:sz w:val="13"/>
                <w:szCs w:val="13"/>
                <w:color w:val="58595B"/>
              </w:rPr>
              <w:t>511,088</w:t>
            </w:r>
          </w:p>
        </w:tc>
        <w:tc>
          <w:tcPr>
            <w:tcW w:w="860" w:type="dxa"/>
            <w:vAlign w:val="bottom"/>
          </w:tcPr>
          <w:p>
            <w:pPr>
              <w:jc w:val="right"/>
              <w:ind w:right="57"/>
              <w:spacing w:after="0"/>
              <w:rPr>
                <w:sz w:val="20"/>
                <w:szCs w:val="20"/>
                <w:color w:val="auto"/>
              </w:rPr>
            </w:pPr>
            <w:r>
              <w:rPr>
                <w:rFonts w:ascii="Arial" w:cs="Arial" w:eastAsia="Arial" w:hAnsi="Arial"/>
                <w:sz w:val="13"/>
                <w:szCs w:val="13"/>
                <w:color w:val="58595B"/>
              </w:rPr>
              <w:t>134,310</w:t>
            </w:r>
          </w:p>
        </w:tc>
        <w:tc>
          <w:tcPr>
            <w:tcW w:w="900" w:type="dxa"/>
            <w:vAlign w:val="bottom"/>
          </w:tcPr>
          <w:p>
            <w:pPr>
              <w:jc w:val="right"/>
              <w:ind w:right="37"/>
              <w:spacing w:after="0"/>
              <w:rPr>
                <w:sz w:val="20"/>
                <w:szCs w:val="20"/>
                <w:color w:val="auto"/>
              </w:rPr>
            </w:pPr>
            <w:r>
              <w:rPr>
                <w:rFonts w:ascii="Arial" w:cs="Arial" w:eastAsia="Arial" w:hAnsi="Arial"/>
                <w:sz w:val="13"/>
                <w:szCs w:val="13"/>
                <w:color w:val="58595B"/>
              </w:rPr>
              <w:t>1,375,853</w:t>
            </w:r>
          </w:p>
        </w:tc>
        <w:tc>
          <w:tcPr>
            <w:tcW w:w="840" w:type="dxa"/>
            <w:vAlign w:val="bottom"/>
          </w:tcPr>
          <w:p>
            <w:pPr>
              <w:jc w:val="right"/>
              <w:spacing w:after="0"/>
              <w:rPr>
                <w:sz w:val="20"/>
                <w:szCs w:val="20"/>
                <w:color w:val="auto"/>
              </w:rPr>
            </w:pPr>
            <w:r>
              <w:rPr>
                <w:rFonts w:ascii="Arial" w:cs="Arial" w:eastAsia="Arial" w:hAnsi="Arial"/>
                <w:sz w:val="13"/>
                <w:szCs w:val="13"/>
                <w:color w:val="58595B"/>
              </w:rPr>
              <w:t>258,610</w:t>
            </w:r>
          </w:p>
        </w:tc>
        <w:tc>
          <w:tcPr>
            <w:tcW w:w="1220" w:type="dxa"/>
            <w:vAlign w:val="bottom"/>
          </w:tcPr>
          <w:p>
            <w:pPr>
              <w:jc w:val="right"/>
              <w:ind w:right="57"/>
              <w:spacing w:after="0"/>
              <w:rPr>
                <w:sz w:val="20"/>
                <w:szCs w:val="20"/>
                <w:color w:val="auto"/>
              </w:rPr>
            </w:pPr>
            <w:r>
              <w:rPr>
                <w:rFonts w:ascii="Arial" w:cs="Arial" w:eastAsia="Arial" w:hAnsi="Arial"/>
                <w:sz w:val="13"/>
                <w:szCs w:val="13"/>
                <w:color w:val="58595B"/>
              </w:rPr>
              <w:t>129,690</w:t>
            </w:r>
          </w:p>
        </w:tc>
        <w:tc>
          <w:tcPr>
            <w:tcW w:w="1140" w:type="dxa"/>
            <w:vAlign w:val="bottom"/>
          </w:tcPr>
          <w:p>
            <w:pPr>
              <w:ind w:left="900"/>
              <w:spacing w:after="0"/>
              <w:rPr>
                <w:sz w:val="20"/>
                <w:szCs w:val="20"/>
                <w:color w:val="auto"/>
              </w:rPr>
            </w:pPr>
            <w:r>
              <w:rPr>
                <w:rFonts w:ascii="Arial" w:cs="Arial" w:eastAsia="Arial" w:hAnsi="Arial"/>
                <w:sz w:val="13"/>
                <w:szCs w:val="13"/>
                <w:color w:val="58595B"/>
              </w:rPr>
              <w:t>—</w:t>
            </w:r>
          </w:p>
        </w:tc>
        <w:tc>
          <w:tcPr>
            <w:tcW w:w="1220" w:type="dxa"/>
            <w:vAlign w:val="bottom"/>
          </w:tcPr>
          <w:p>
            <w:pPr>
              <w:jc w:val="right"/>
              <w:ind w:right="117"/>
              <w:spacing w:after="0"/>
              <w:rPr>
                <w:sz w:val="20"/>
                <w:szCs w:val="20"/>
                <w:color w:val="auto"/>
              </w:rPr>
            </w:pPr>
            <w:r>
              <w:rPr>
                <w:rFonts w:ascii="Arial" w:cs="Arial" w:eastAsia="Arial" w:hAnsi="Arial"/>
                <w:sz w:val="13"/>
                <w:szCs w:val="13"/>
                <w:color w:val="58595B"/>
              </w:rPr>
              <w:t>214,631</w:t>
            </w:r>
          </w:p>
        </w:tc>
        <w:tc>
          <w:tcPr>
            <w:tcW w:w="920" w:type="dxa"/>
            <w:vAlign w:val="bottom"/>
          </w:tcPr>
          <w:p>
            <w:pPr>
              <w:jc w:val="right"/>
              <w:ind w:right="137"/>
              <w:spacing w:after="0"/>
              <w:rPr>
                <w:sz w:val="20"/>
                <w:szCs w:val="20"/>
                <w:color w:val="auto"/>
              </w:rPr>
            </w:pPr>
            <w:r>
              <w:rPr>
                <w:rFonts w:ascii="Arial" w:cs="Arial" w:eastAsia="Arial" w:hAnsi="Arial"/>
                <w:sz w:val="13"/>
                <w:szCs w:val="13"/>
                <w:color w:val="58595B"/>
              </w:rPr>
              <w:t>2,624,181</w:t>
            </w:r>
          </w:p>
        </w:tc>
      </w:tr>
      <w:tr>
        <w:trPr>
          <w:trHeight w:val="202"/>
        </w:trPr>
        <w:tc>
          <w:tcPr>
            <w:tcW w:w="2700" w:type="dxa"/>
            <w:vAlign w:val="bottom"/>
          </w:tcPr>
          <w:p>
            <w:pPr>
              <w:ind w:left="140"/>
              <w:spacing w:after="0"/>
              <w:rPr>
                <w:sz w:val="20"/>
                <w:szCs w:val="20"/>
                <w:color w:val="auto"/>
              </w:rPr>
            </w:pPr>
            <w:r>
              <w:rPr>
                <w:rFonts w:ascii="Arial" w:cs="Arial" w:eastAsia="Arial" w:hAnsi="Arial"/>
                <w:sz w:val="13"/>
                <w:szCs w:val="13"/>
                <w:color w:val="58595B"/>
              </w:rPr>
              <w:t>President, International</w:t>
            </w: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8"/>
        </w:trPr>
        <w:tc>
          <w:tcPr>
            <w:tcW w:w="2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1"/>
        </w:trPr>
        <w:tc>
          <w:tcPr>
            <w:tcW w:w="2700" w:type="dxa"/>
            <w:vAlign w:val="bottom"/>
            <w:shd w:val="clear" w:color="auto" w:fill="EFEDED"/>
          </w:tcPr>
          <w:p>
            <w:pPr>
              <w:ind w:left="140"/>
              <w:spacing w:after="0"/>
              <w:rPr>
                <w:sz w:val="20"/>
                <w:szCs w:val="20"/>
                <w:color w:val="auto"/>
              </w:rPr>
            </w:pPr>
            <w:r>
              <w:rPr>
                <w:rFonts w:ascii="Arial" w:cs="Arial" w:eastAsia="Arial" w:hAnsi="Arial"/>
                <w:sz w:val="13"/>
                <w:szCs w:val="13"/>
                <w:b w:val="1"/>
                <w:bCs w:val="1"/>
                <w:color w:val="58595B"/>
              </w:rPr>
              <w:t>Jan De Witte</w:t>
            </w:r>
          </w:p>
        </w:tc>
        <w:tc>
          <w:tcPr>
            <w:tcW w:w="600" w:type="dxa"/>
            <w:vAlign w:val="bottom"/>
            <w:shd w:val="clear" w:color="auto" w:fill="EFEDED"/>
          </w:tcPr>
          <w:p>
            <w:pPr>
              <w:jc w:val="right"/>
              <w:ind w:right="77"/>
              <w:spacing w:after="0"/>
              <w:rPr>
                <w:sz w:val="20"/>
                <w:szCs w:val="20"/>
                <w:color w:val="auto"/>
              </w:rPr>
            </w:pPr>
            <w:r>
              <w:rPr>
                <w:rFonts w:ascii="Arial" w:cs="Arial" w:eastAsia="Arial" w:hAnsi="Arial"/>
                <w:sz w:val="13"/>
                <w:szCs w:val="13"/>
                <w:color w:val="58595B"/>
              </w:rPr>
              <w:t>2025</w:t>
            </w:r>
          </w:p>
        </w:tc>
        <w:tc>
          <w:tcPr>
            <w:tcW w:w="84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42,308</w:t>
            </w:r>
          </w:p>
        </w:tc>
        <w:tc>
          <w:tcPr>
            <w:tcW w:w="86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w:t>
            </w:r>
          </w:p>
        </w:tc>
        <w:tc>
          <w:tcPr>
            <w:tcW w:w="900" w:type="dxa"/>
            <w:vAlign w:val="bottom"/>
            <w:shd w:val="clear" w:color="auto" w:fill="EFEDED"/>
          </w:tcPr>
          <w:p>
            <w:pPr>
              <w:jc w:val="right"/>
              <w:ind w:right="37"/>
              <w:spacing w:after="0"/>
              <w:rPr>
                <w:sz w:val="20"/>
                <w:szCs w:val="20"/>
                <w:color w:val="auto"/>
              </w:rPr>
            </w:pPr>
            <w:r>
              <w:rPr>
                <w:rFonts w:ascii="Arial" w:cs="Arial" w:eastAsia="Arial" w:hAnsi="Arial"/>
                <w:sz w:val="13"/>
                <w:szCs w:val="13"/>
                <w:color w:val="58595B"/>
              </w:rPr>
              <w:t>—</w:t>
            </w:r>
          </w:p>
        </w:tc>
        <w:tc>
          <w:tcPr>
            <w:tcW w:w="8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22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w:t>
            </w:r>
          </w:p>
        </w:tc>
        <w:tc>
          <w:tcPr>
            <w:tcW w:w="1140" w:type="dxa"/>
            <w:vAlign w:val="bottom"/>
            <w:shd w:val="clear" w:color="auto" w:fill="EFEDED"/>
          </w:tcPr>
          <w:p>
            <w:pPr>
              <w:ind w:left="900"/>
              <w:spacing w:after="0"/>
              <w:rPr>
                <w:sz w:val="20"/>
                <w:szCs w:val="20"/>
                <w:color w:val="auto"/>
              </w:rPr>
            </w:pPr>
            <w:r>
              <w:rPr>
                <w:rFonts w:ascii="Arial" w:cs="Arial" w:eastAsia="Arial" w:hAnsi="Arial"/>
                <w:sz w:val="13"/>
                <w:szCs w:val="13"/>
                <w:color w:val="58595B"/>
              </w:rPr>
              <w:t>—</w:t>
            </w:r>
          </w:p>
        </w:tc>
        <w:tc>
          <w:tcPr>
            <w:tcW w:w="12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240,372</w:t>
            </w:r>
          </w:p>
        </w:tc>
        <w:tc>
          <w:tcPr>
            <w:tcW w:w="920" w:type="dxa"/>
            <w:vAlign w:val="bottom"/>
            <w:shd w:val="clear" w:color="auto" w:fill="EFEDED"/>
          </w:tcPr>
          <w:p>
            <w:pPr>
              <w:jc w:val="right"/>
              <w:ind w:right="137"/>
              <w:spacing w:after="0"/>
              <w:rPr>
                <w:sz w:val="20"/>
                <w:szCs w:val="20"/>
                <w:color w:val="auto"/>
              </w:rPr>
            </w:pPr>
            <w:r>
              <w:rPr>
                <w:rFonts w:ascii="Arial" w:cs="Arial" w:eastAsia="Arial" w:hAnsi="Arial"/>
                <w:sz w:val="13"/>
                <w:szCs w:val="13"/>
                <w:color w:val="58595B"/>
              </w:rPr>
              <w:t>282,679</w:t>
            </w:r>
          </w:p>
        </w:tc>
      </w:tr>
      <w:tr>
        <w:trPr>
          <w:trHeight w:val="197"/>
        </w:trPr>
        <w:tc>
          <w:tcPr>
            <w:tcW w:w="2700" w:type="dxa"/>
            <w:vAlign w:val="bottom"/>
            <w:shd w:val="clear" w:color="auto" w:fill="EFEDED"/>
          </w:tcPr>
          <w:p>
            <w:pPr>
              <w:ind w:left="140"/>
              <w:spacing w:after="0"/>
              <w:rPr>
                <w:sz w:val="20"/>
                <w:szCs w:val="20"/>
                <w:color w:val="auto"/>
              </w:rPr>
            </w:pPr>
            <w:r>
              <w:rPr>
                <w:rFonts w:ascii="Arial" w:cs="Arial" w:eastAsia="Arial" w:hAnsi="Arial"/>
                <w:sz w:val="13"/>
                <w:szCs w:val="13"/>
                <w:color w:val="58595B"/>
              </w:rPr>
              <w:t>Former President and Chief</w:t>
            </w:r>
          </w:p>
        </w:tc>
        <w:tc>
          <w:tcPr>
            <w:tcW w:w="600" w:type="dxa"/>
            <w:vAlign w:val="bottom"/>
            <w:shd w:val="clear" w:color="auto" w:fill="EFEDED"/>
          </w:tcPr>
          <w:p>
            <w:pPr>
              <w:jc w:val="right"/>
              <w:ind w:right="77"/>
              <w:spacing w:after="0"/>
              <w:rPr>
                <w:sz w:val="20"/>
                <w:szCs w:val="20"/>
                <w:color w:val="auto"/>
              </w:rPr>
            </w:pPr>
            <w:r>
              <w:rPr>
                <w:rFonts w:ascii="Arial" w:cs="Arial" w:eastAsia="Arial" w:hAnsi="Arial"/>
                <w:sz w:val="13"/>
                <w:szCs w:val="13"/>
                <w:color w:val="58595B"/>
              </w:rPr>
              <w:t>2024</w:t>
            </w:r>
          </w:p>
        </w:tc>
        <w:tc>
          <w:tcPr>
            <w:tcW w:w="84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968,998</w:t>
            </w:r>
          </w:p>
        </w:tc>
        <w:tc>
          <w:tcPr>
            <w:tcW w:w="86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w:t>
            </w:r>
          </w:p>
        </w:tc>
        <w:tc>
          <w:tcPr>
            <w:tcW w:w="900" w:type="dxa"/>
            <w:vAlign w:val="bottom"/>
            <w:shd w:val="clear" w:color="auto" w:fill="EFEDED"/>
          </w:tcPr>
          <w:p>
            <w:pPr>
              <w:jc w:val="right"/>
              <w:ind w:right="37"/>
              <w:spacing w:after="0"/>
              <w:rPr>
                <w:sz w:val="20"/>
                <w:szCs w:val="20"/>
                <w:color w:val="auto"/>
              </w:rPr>
            </w:pPr>
            <w:r>
              <w:rPr>
                <w:rFonts w:ascii="Arial" w:cs="Arial" w:eastAsia="Arial" w:hAnsi="Arial"/>
                <w:sz w:val="13"/>
                <w:szCs w:val="13"/>
                <w:color w:val="58595B"/>
              </w:rPr>
              <w:t>4,500,045</w:t>
            </w:r>
          </w:p>
        </w:tc>
        <w:tc>
          <w:tcPr>
            <w:tcW w:w="8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1,500,012</w:t>
            </w:r>
          </w:p>
        </w:tc>
        <w:tc>
          <w:tcPr>
            <w:tcW w:w="122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491,250</w:t>
            </w:r>
          </w:p>
        </w:tc>
        <w:tc>
          <w:tcPr>
            <w:tcW w:w="1140" w:type="dxa"/>
            <w:vAlign w:val="bottom"/>
            <w:shd w:val="clear" w:color="auto" w:fill="EFEDED"/>
          </w:tcPr>
          <w:p>
            <w:pPr>
              <w:ind w:left="900"/>
              <w:spacing w:after="0"/>
              <w:rPr>
                <w:sz w:val="20"/>
                <w:szCs w:val="20"/>
                <w:color w:val="auto"/>
              </w:rPr>
            </w:pPr>
            <w:r>
              <w:rPr>
                <w:rFonts w:ascii="Arial" w:cs="Arial" w:eastAsia="Arial" w:hAnsi="Arial"/>
                <w:sz w:val="13"/>
                <w:szCs w:val="13"/>
                <w:color w:val="58595B"/>
              </w:rPr>
              <w:t>—</w:t>
            </w:r>
          </w:p>
        </w:tc>
        <w:tc>
          <w:tcPr>
            <w:tcW w:w="12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34,363</w:t>
            </w:r>
          </w:p>
        </w:tc>
        <w:tc>
          <w:tcPr>
            <w:tcW w:w="920" w:type="dxa"/>
            <w:vAlign w:val="bottom"/>
            <w:shd w:val="clear" w:color="auto" w:fill="EFEDED"/>
          </w:tcPr>
          <w:p>
            <w:pPr>
              <w:jc w:val="right"/>
              <w:ind w:right="137"/>
              <w:spacing w:after="0"/>
              <w:rPr>
                <w:sz w:val="20"/>
                <w:szCs w:val="20"/>
                <w:color w:val="auto"/>
              </w:rPr>
            </w:pPr>
            <w:r>
              <w:rPr>
                <w:rFonts w:ascii="Arial" w:cs="Arial" w:eastAsia="Arial" w:hAnsi="Arial"/>
                <w:sz w:val="13"/>
                <w:szCs w:val="13"/>
                <w:color w:val="58595B"/>
              </w:rPr>
              <w:t>7,494,668</w:t>
            </w:r>
          </w:p>
        </w:tc>
      </w:tr>
      <w:tr>
        <w:trPr>
          <w:trHeight w:val="210"/>
        </w:trPr>
        <w:tc>
          <w:tcPr>
            <w:tcW w:w="270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Executive Officer and Director</w:t>
            </w:r>
          </w:p>
        </w:tc>
        <w:tc>
          <w:tcPr>
            <w:tcW w:w="60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2023</w:t>
            </w:r>
          </w:p>
        </w:tc>
        <w:tc>
          <w:tcPr>
            <w:tcW w:w="840" w:type="dxa"/>
            <w:vAlign w:val="bottom"/>
            <w:tcBorders>
              <w:bottom w:val="single" w:sz="8" w:color="EFEDED"/>
            </w:tcBorders>
            <w:shd w:val="clear" w:color="auto" w:fill="EFEDED"/>
          </w:tcPr>
          <w:p>
            <w:pPr>
              <w:jc w:val="right"/>
              <w:ind w:right="57"/>
              <w:spacing w:after="0"/>
              <w:rPr>
                <w:sz w:val="20"/>
                <w:szCs w:val="20"/>
                <w:color w:val="auto"/>
              </w:rPr>
            </w:pPr>
            <w:r>
              <w:rPr>
                <w:rFonts w:ascii="Arial" w:cs="Arial" w:eastAsia="Arial" w:hAnsi="Arial"/>
                <w:sz w:val="13"/>
                <w:szCs w:val="13"/>
                <w:color w:val="58595B"/>
              </w:rPr>
              <w:t>875,467</w:t>
            </w:r>
          </w:p>
        </w:tc>
        <w:tc>
          <w:tcPr>
            <w:tcW w:w="860" w:type="dxa"/>
            <w:vAlign w:val="bottom"/>
            <w:tcBorders>
              <w:bottom w:val="single" w:sz="8" w:color="EFEDED"/>
            </w:tcBorders>
            <w:shd w:val="clear" w:color="auto" w:fill="EFEDED"/>
          </w:tcPr>
          <w:p>
            <w:pPr>
              <w:jc w:val="right"/>
              <w:ind w:right="57"/>
              <w:spacing w:after="0"/>
              <w:rPr>
                <w:sz w:val="20"/>
                <w:szCs w:val="20"/>
                <w:color w:val="auto"/>
              </w:rPr>
            </w:pPr>
            <w:r>
              <w:rPr>
                <w:rFonts w:ascii="Arial" w:cs="Arial" w:eastAsia="Arial" w:hAnsi="Arial"/>
                <w:sz w:val="13"/>
                <w:szCs w:val="13"/>
                <w:color w:val="58595B"/>
              </w:rPr>
              <w:t>—</w:t>
            </w:r>
          </w:p>
        </w:tc>
        <w:tc>
          <w:tcPr>
            <w:tcW w:w="900" w:type="dxa"/>
            <w:vAlign w:val="bottom"/>
            <w:tcBorders>
              <w:bottom w:val="single" w:sz="8" w:color="EFEDED"/>
            </w:tcBorders>
            <w:shd w:val="clear" w:color="auto" w:fill="EFEDED"/>
          </w:tcPr>
          <w:p>
            <w:pPr>
              <w:jc w:val="right"/>
              <w:ind w:right="37"/>
              <w:spacing w:after="0"/>
              <w:rPr>
                <w:sz w:val="20"/>
                <w:szCs w:val="20"/>
                <w:color w:val="auto"/>
              </w:rPr>
            </w:pPr>
            <w:r>
              <w:rPr>
                <w:rFonts w:ascii="Arial" w:cs="Arial" w:eastAsia="Arial" w:hAnsi="Arial"/>
                <w:sz w:val="13"/>
                <w:szCs w:val="13"/>
                <w:color w:val="58595B"/>
              </w:rPr>
              <w:t>4,125,076</w:t>
            </w:r>
          </w:p>
        </w:tc>
        <w:tc>
          <w:tcPr>
            <w:tcW w:w="8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1,375,013</w:t>
            </w:r>
          </w:p>
        </w:tc>
        <w:tc>
          <w:tcPr>
            <w:tcW w:w="1220" w:type="dxa"/>
            <w:vAlign w:val="bottom"/>
            <w:tcBorders>
              <w:bottom w:val="single" w:sz="8" w:color="EFEDED"/>
            </w:tcBorders>
            <w:shd w:val="clear" w:color="auto" w:fill="EFEDED"/>
          </w:tcPr>
          <w:p>
            <w:pPr>
              <w:jc w:val="right"/>
              <w:ind w:right="57"/>
              <w:spacing w:after="0"/>
              <w:rPr>
                <w:sz w:val="20"/>
                <w:szCs w:val="20"/>
                <w:color w:val="auto"/>
              </w:rPr>
            </w:pPr>
            <w:r>
              <w:rPr>
                <w:rFonts w:ascii="Arial" w:cs="Arial" w:eastAsia="Arial" w:hAnsi="Arial"/>
                <w:sz w:val="13"/>
                <w:szCs w:val="13"/>
                <w:color w:val="58595B"/>
              </w:rPr>
              <w:t>—</w:t>
            </w:r>
          </w:p>
        </w:tc>
        <w:tc>
          <w:tcPr>
            <w:tcW w:w="1140" w:type="dxa"/>
            <w:vAlign w:val="bottom"/>
            <w:tcBorders>
              <w:bottom w:val="single" w:sz="8" w:color="EFEDED"/>
            </w:tcBorders>
            <w:shd w:val="clear" w:color="auto" w:fill="EFEDED"/>
          </w:tcPr>
          <w:p>
            <w:pPr>
              <w:ind w:left="900"/>
              <w:spacing w:after="0"/>
              <w:rPr>
                <w:sz w:val="20"/>
                <w:szCs w:val="20"/>
                <w:color w:val="auto"/>
              </w:rPr>
            </w:pPr>
            <w:r>
              <w:rPr>
                <w:rFonts w:ascii="Arial" w:cs="Arial" w:eastAsia="Arial" w:hAnsi="Arial"/>
                <w:sz w:val="13"/>
                <w:szCs w:val="13"/>
                <w:color w:val="58595B"/>
              </w:rPr>
              <w:t>—</w:t>
            </w:r>
          </w:p>
        </w:tc>
        <w:tc>
          <w:tcPr>
            <w:tcW w:w="1220" w:type="dxa"/>
            <w:vAlign w:val="bottom"/>
            <w:tcBorders>
              <w:bottom w:val="single" w:sz="8" w:color="EFEDED"/>
            </w:tcBorders>
            <w:shd w:val="clear" w:color="auto" w:fill="EFEDED"/>
          </w:tcPr>
          <w:p>
            <w:pPr>
              <w:jc w:val="right"/>
              <w:ind w:right="117"/>
              <w:spacing w:after="0"/>
              <w:rPr>
                <w:sz w:val="20"/>
                <w:szCs w:val="20"/>
                <w:color w:val="auto"/>
              </w:rPr>
            </w:pPr>
            <w:r>
              <w:rPr>
                <w:rFonts w:ascii="Arial" w:cs="Arial" w:eastAsia="Arial" w:hAnsi="Arial"/>
                <w:sz w:val="13"/>
                <w:szCs w:val="13"/>
                <w:color w:val="58595B"/>
              </w:rPr>
              <w:t>13,200</w:t>
            </w:r>
          </w:p>
        </w:tc>
        <w:tc>
          <w:tcPr>
            <w:tcW w:w="920" w:type="dxa"/>
            <w:vAlign w:val="bottom"/>
            <w:tcBorders>
              <w:bottom w:val="single" w:sz="8" w:color="EFEDED"/>
            </w:tcBorders>
            <w:shd w:val="clear" w:color="auto" w:fill="EFEDED"/>
          </w:tcPr>
          <w:p>
            <w:pPr>
              <w:jc w:val="right"/>
              <w:ind w:right="137"/>
              <w:spacing w:after="0"/>
              <w:rPr>
                <w:sz w:val="20"/>
                <w:szCs w:val="20"/>
                <w:color w:val="auto"/>
              </w:rPr>
            </w:pPr>
            <w:r>
              <w:rPr>
                <w:rFonts w:ascii="Arial" w:cs="Arial" w:eastAsia="Arial" w:hAnsi="Arial"/>
                <w:sz w:val="13"/>
                <w:szCs w:val="13"/>
                <w:color w:val="58595B"/>
              </w:rPr>
              <w:t>6,388,756</w:t>
            </w:r>
          </w:p>
        </w:tc>
      </w:tr>
      <w:tr>
        <w:trPr>
          <w:trHeight w:val="20"/>
        </w:trPr>
        <w:tc>
          <w:tcPr>
            <w:tcW w:w="2700" w:type="dxa"/>
            <w:vAlign w:val="bottom"/>
            <w:shd w:val="clear" w:color="auto" w:fill="58595B"/>
          </w:tcPr>
          <w:p>
            <w:pPr>
              <w:spacing w:after="0" w:line="20" w:lineRule="exact"/>
              <w:rPr>
                <w:sz w:val="1"/>
                <w:szCs w:val="1"/>
                <w:color w:val="auto"/>
              </w:rPr>
            </w:pPr>
          </w:p>
        </w:tc>
        <w:tc>
          <w:tcPr>
            <w:tcW w:w="600" w:type="dxa"/>
            <w:vAlign w:val="bottom"/>
            <w:shd w:val="clear" w:color="auto" w:fill="58595B"/>
          </w:tcPr>
          <w:p>
            <w:pPr>
              <w:spacing w:after="0" w:line="20" w:lineRule="exact"/>
              <w:rPr>
                <w:sz w:val="1"/>
                <w:szCs w:val="1"/>
                <w:color w:val="auto"/>
              </w:rPr>
            </w:pPr>
          </w:p>
        </w:tc>
        <w:tc>
          <w:tcPr>
            <w:tcW w:w="840" w:type="dxa"/>
            <w:vAlign w:val="bottom"/>
            <w:shd w:val="clear" w:color="auto" w:fill="58595B"/>
          </w:tcPr>
          <w:p>
            <w:pPr>
              <w:spacing w:after="0" w:line="20" w:lineRule="exact"/>
              <w:rPr>
                <w:sz w:val="1"/>
                <w:szCs w:val="1"/>
                <w:color w:val="auto"/>
              </w:rPr>
            </w:pPr>
          </w:p>
        </w:tc>
        <w:tc>
          <w:tcPr>
            <w:tcW w:w="860" w:type="dxa"/>
            <w:vAlign w:val="bottom"/>
            <w:shd w:val="clear" w:color="auto" w:fill="58595B"/>
          </w:tcPr>
          <w:p>
            <w:pPr>
              <w:spacing w:after="0" w:line="20" w:lineRule="exact"/>
              <w:rPr>
                <w:sz w:val="1"/>
                <w:szCs w:val="1"/>
                <w:color w:val="auto"/>
              </w:rPr>
            </w:pPr>
          </w:p>
        </w:tc>
        <w:tc>
          <w:tcPr>
            <w:tcW w:w="900" w:type="dxa"/>
            <w:vAlign w:val="bottom"/>
            <w:shd w:val="clear" w:color="auto" w:fill="58595B"/>
          </w:tcPr>
          <w:p>
            <w:pPr>
              <w:spacing w:after="0" w:line="20" w:lineRule="exact"/>
              <w:rPr>
                <w:sz w:val="1"/>
                <w:szCs w:val="1"/>
                <w:color w:val="auto"/>
              </w:rPr>
            </w:pPr>
          </w:p>
        </w:tc>
        <w:tc>
          <w:tcPr>
            <w:tcW w:w="840" w:type="dxa"/>
            <w:vAlign w:val="bottom"/>
            <w:shd w:val="clear" w:color="auto" w:fill="58595B"/>
          </w:tcPr>
          <w:p>
            <w:pPr>
              <w:spacing w:after="0" w:line="20" w:lineRule="exact"/>
              <w:rPr>
                <w:sz w:val="1"/>
                <w:szCs w:val="1"/>
                <w:color w:val="auto"/>
              </w:rPr>
            </w:pPr>
          </w:p>
        </w:tc>
        <w:tc>
          <w:tcPr>
            <w:tcW w:w="1220" w:type="dxa"/>
            <w:vAlign w:val="bottom"/>
            <w:shd w:val="clear" w:color="auto" w:fill="58595B"/>
          </w:tcPr>
          <w:p>
            <w:pPr>
              <w:spacing w:after="0" w:line="20" w:lineRule="exact"/>
              <w:rPr>
                <w:sz w:val="1"/>
                <w:szCs w:val="1"/>
                <w:color w:val="auto"/>
              </w:rPr>
            </w:pPr>
          </w:p>
        </w:tc>
        <w:tc>
          <w:tcPr>
            <w:tcW w:w="1140" w:type="dxa"/>
            <w:vAlign w:val="bottom"/>
            <w:shd w:val="clear" w:color="auto" w:fill="58595B"/>
          </w:tcPr>
          <w:p>
            <w:pPr>
              <w:spacing w:after="0" w:line="20" w:lineRule="exact"/>
              <w:rPr>
                <w:sz w:val="1"/>
                <w:szCs w:val="1"/>
                <w:color w:val="auto"/>
              </w:rPr>
            </w:pPr>
          </w:p>
        </w:tc>
        <w:tc>
          <w:tcPr>
            <w:tcW w:w="1220" w:type="dxa"/>
            <w:vAlign w:val="bottom"/>
            <w:shd w:val="clear" w:color="auto" w:fill="58595B"/>
          </w:tcPr>
          <w:p>
            <w:pPr>
              <w:spacing w:after="0" w:line="20" w:lineRule="exact"/>
              <w:rPr>
                <w:sz w:val="1"/>
                <w:szCs w:val="1"/>
                <w:color w:val="auto"/>
              </w:rPr>
            </w:pPr>
          </w:p>
        </w:tc>
        <w:tc>
          <w:tcPr>
            <w:tcW w:w="920" w:type="dxa"/>
            <w:vAlign w:val="bottom"/>
            <w:shd w:val="clear" w:color="auto" w:fill="58595B"/>
          </w:tcPr>
          <w:p>
            <w:pPr>
              <w:spacing w:after="0" w:line="20" w:lineRule="exact"/>
              <w:rPr>
                <w:sz w:val="1"/>
                <w:szCs w:val="1"/>
                <w:color w:val="auto"/>
              </w:rPr>
            </w:pPr>
          </w:p>
        </w:tc>
      </w:tr>
    </w:tbl>
    <w:p>
      <w:pPr>
        <w:spacing w:after="0" w:line="126" w:lineRule="exact"/>
        <w:rPr>
          <w:sz w:val="20"/>
          <w:szCs w:val="20"/>
          <w:color w:val="auto"/>
        </w:rPr>
      </w:pPr>
    </w:p>
    <w:p>
      <w:pPr>
        <w:ind w:left="340" w:right="100" w:hanging="332"/>
        <w:spacing w:after="0" w:line="265" w:lineRule="auto"/>
        <w:tabs>
          <w:tab w:leader="none" w:pos="338"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Compensation Committee approved bonus awards above the 13.3% funding level to: recognize the contributions of the NEOs to: (i) advance the CMP, strengthen our quality systems and improve operations; and (ii) retain leadership as the Company continues to deliver on its transformation journey. The cash bonus award above the 13.3% funding level is shown in column (d) - Bonus. The discretionary funding resulted in a total annual bonus pool funding at 40% of target, which was less than the general employee population, and which the Committee believed was appropriate to recognize and reward resilience and continued focus on delivering to our customers and patients. Mr. McBreen received additional funding in recognition of his individual assessed performance at an exceeds rating and his exceptional leadership in delivering differentiated commercial execution despite supply challenges as well as advancing product portfolio innovation.This column also includes a lump sum payment of $22,531 for Mr. McBreen which was given in lieu of a merit increase due to his position relative to market peers.</w:t>
      </w:r>
    </w:p>
    <w:p>
      <w:pPr>
        <w:spacing w:after="0" w:line="24" w:lineRule="exact"/>
        <w:rPr>
          <w:rFonts w:ascii="Arial" w:cs="Arial" w:eastAsia="Arial" w:hAnsi="Arial"/>
          <w:sz w:val="14"/>
          <w:szCs w:val="14"/>
          <w:color w:val="auto"/>
        </w:rPr>
      </w:pPr>
    </w:p>
    <w:p>
      <w:pPr>
        <w:ind w:left="340" w:right="20" w:hanging="332"/>
        <w:spacing w:after="0" w:line="266" w:lineRule="auto"/>
        <w:tabs>
          <w:tab w:leader="none" w:pos="338"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computed in accordance with FASB ASC Topic 718, based on the closing price of the Company’s common stock on the grant dates in 2025, 2024, and 2023. For a discussion on the assumptions used to estimate the fair value of the stock options, please see Note 9, “Stock-Based Compensation,” to our consolidated financial statements included in our Annual Report on Form 10-K for the year ended December 31, 2025. The grant date fair value of performance stock unit awards is shown in this column at Target, which represents the probable outcome of the performance conditions. The value if the maximum goals are achieved and calculated as of the grant date is $4,500,001 for Ms. Poul, $892,700 for Mr. Davis, $1,327,752 for Mr. McBreen, $1,498,719 for Ms. Knight and $683,114 for Mr. Singh.</w:t>
      </w:r>
    </w:p>
    <w:p>
      <w:pPr>
        <w:spacing w:after="0" w:line="22" w:lineRule="exact"/>
        <w:rPr>
          <w:rFonts w:ascii="Arial" w:cs="Arial" w:eastAsia="Arial" w:hAnsi="Arial"/>
          <w:sz w:val="14"/>
          <w:szCs w:val="14"/>
          <w:color w:val="auto"/>
        </w:rPr>
      </w:pPr>
    </w:p>
    <w:p>
      <w:pPr>
        <w:ind w:left="340" w:right="240" w:hanging="332"/>
        <w:spacing w:after="0" w:line="285" w:lineRule="auto"/>
        <w:tabs>
          <w:tab w:leader="none" w:pos="338"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in column (g) reflect cash awards for 2025, 2024 and 2023, as applicable, earned pursuant to the terms of the Performance Incentive Compensation Plan. See “— Compensation Discussion and Analysis — Analysis of 2025 Compensation Decisions, Annual Bonus” for more information.</w:t>
      </w:r>
    </w:p>
    <w:p>
      <w:pPr>
        <w:spacing w:after="0" w:line="9" w:lineRule="exact"/>
        <w:rPr>
          <w:rFonts w:ascii="Arial" w:cs="Arial" w:eastAsia="Arial" w:hAnsi="Arial"/>
          <w:sz w:val="14"/>
          <w:szCs w:val="14"/>
          <w:color w:val="auto"/>
        </w:rPr>
      </w:pPr>
    </w:p>
    <w:p>
      <w:pPr>
        <w:ind w:left="340" w:right="240" w:hanging="332"/>
        <w:spacing w:after="0" w:line="305" w:lineRule="auto"/>
        <w:tabs>
          <w:tab w:leader="none" w:pos="338"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reported in the All Other Compensation column consists of relocation expenses for Ms. Poul and Mr. De Witte and 401(k) employer matching contributions (for all NEOs). Refer to "Breakdown of All Other Compensation — 2025" table below for detail.</w:t>
      </w:r>
    </w:p>
    <w:p>
      <w:pPr>
        <w:spacing w:after="0" w:line="31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58</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Breakdown Of All Other Compensation — 2025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60" w:type="dxa"/>
            <w:vAlign w:val="bottom"/>
            <w:shd w:val="clear" w:color="auto" w:fill="EFEDED"/>
          </w:tcPr>
          <w:p>
            <w:pPr>
              <w:spacing w:after="0"/>
              <w:rPr>
                <w:sz w:val="16"/>
                <w:szCs w:val="16"/>
                <w:color w:val="auto"/>
              </w:rPr>
            </w:pPr>
          </w:p>
        </w:tc>
        <w:tc>
          <w:tcPr>
            <w:tcW w:w="4100" w:type="dxa"/>
            <w:vAlign w:val="bottom"/>
            <w:shd w:val="clear" w:color="auto" w:fill="EFEDED"/>
          </w:tcPr>
          <w:p>
            <w:pPr>
              <w:spacing w:after="0"/>
              <w:rPr>
                <w:sz w:val="16"/>
                <w:szCs w:val="16"/>
                <w:color w:val="auto"/>
              </w:rPr>
            </w:pPr>
          </w:p>
        </w:tc>
        <w:tc>
          <w:tcPr>
            <w:tcW w:w="1460" w:type="dxa"/>
            <w:vAlign w:val="bottom"/>
            <w:shd w:val="clear" w:color="auto" w:fill="EFEDED"/>
          </w:tcPr>
          <w:p>
            <w:pPr>
              <w:jc w:val="center"/>
              <w:ind w:right="268"/>
              <w:spacing w:after="0"/>
              <w:rPr>
                <w:sz w:val="20"/>
                <w:szCs w:val="20"/>
                <w:color w:val="auto"/>
              </w:rPr>
            </w:pPr>
            <w:r>
              <w:rPr>
                <w:rFonts w:ascii="Arial" w:cs="Arial" w:eastAsia="Arial" w:hAnsi="Arial"/>
                <w:sz w:val="14"/>
                <w:szCs w:val="14"/>
                <w:b w:val="1"/>
                <w:bCs w:val="1"/>
                <w:color w:val="58595B"/>
                <w:w w:val="98"/>
              </w:rPr>
              <w:t>401(k)</w:t>
            </w:r>
          </w:p>
        </w:tc>
        <w:tc>
          <w:tcPr>
            <w:tcW w:w="1220" w:type="dxa"/>
            <w:vAlign w:val="bottom"/>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60" w:type="dxa"/>
            <w:vAlign w:val="bottom"/>
            <w:shd w:val="clear" w:color="auto" w:fill="EFEDED"/>
          </w:tcPr>
          <w:p>
            <w:pPr>
              <w:spacing w:after="0"/>
              <w:rPr>
                <w:sz w:val="15"/>
                <w:szCs w:val="15"/>
                <w:color w:val="auto"/>
              </w:rPr>
            </w:pPr>
          </w:p>
        </w:tc>
        <w:tc>
          <w:tcPr>
            <w:tcW w:w="4100" w:type="dxa"/>
            <w:vAlign w:val="bottom"/>
            <w:shd w:val="clear" w:color="auto" w:fill="EFEDED"/>
          </w:tcPr>
          <w:p>
            <w:pPr>
              <w:spacing w:after="0"/>
              <w:rPr>
                <w:sz w:val="15"/>
                <w:szCs w:val="15"/>
                <w:color w:val="auto"/>
              </w:rPr>
            </w:pPr>
          </w:p>
        </w:tc>
        <w:tc>
          <w:tcPr>
            <w:tcW w:w="1460" w:type="dxa"/>
            <w:vAlign w:val="bottom"/>
            <w:shd w:val="clear" w:color="auto" w:fill="EFEDED"/>
          </w:tcPr>
          <w:p>
            <w:pPr>
              <w:jc w:val="center"/>
              <w:ind w:right="268"/>
              <w:spacing w:after="0"/>
              <w:rPr>
                <w:sz w:val="20"/>
                <w:szCs w:val="20"/>
                <w:color w:val="auto"/>
              </w:rPr>
            </w:pPr>
            <w:r>
              <w:rPr>
                <w:rFonts w:ascii="Arial" w:cs="Arial" w:eastAsia="Arial" w:hAnsi="Arial"/>
                <w:sz w:val="14"/>
                <w:szCs w:val="14"/>
                <w:b w:val="1"/>
                <w:bCs w:val="1"/>
                <w:color w:val="58595B"/>
              </w:rPr>
              <w:t>Employer</w:t>
            </w:r>
          </w:p>
        </w:tc>
        <w:tc>
          <w:tcPr>
            <w:tcW w:w="1220" w:type="dxa"/>
            <w:vAlign w:val="bottom"/>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EFEDED"/>
          </w:tcPr>
          <w:p>
            <w:pPr>
              <w:spacing w:after="0"/>
              <w:rPr>
                <w:sz w:val="15"/>
                <w:szCs w:val="15"/>
                <w:color w:val="auto"/>
              </w:rPr>
            </w:pPr>
          </w:p>
        </w:tc>
        <w:tc>
          <w:tcPr>
            <w:tcW w:w="4100" w:type="dxa"/>
            <w:vAlign w:val="bottom"/>
            <w:shd w:val="clear" w:color="auto" w:fill="EFEDED"/>
          </w:tcPr>
          <w:p>
            <w:pPr>
              <w:jc w:val="center"/>
              <w:ind w:left="2488"/>
              <w:spacing w:after="0"/>
              <w:rPr>
                <w:sz w:val="20"/>
                <w:szCs w:val="20"/>
                <w:color w:val="auto"/>
              </w:rPr>
            </w:pPr>
            <w:r>
              <w:rPr>
                <w:rFonts w:ascii="Arial" w:cs="Arial" w:eastAsia="Arial" w:hAnsi="Arial"/>
                <w:sz w:val="14"/>
                <w:szCs w:val="14"/>
                <w:b w:val="1"/>
                <w:bCs w:val="1"/>
                <w:color w:val="58595B"/>
              </w:rPr>
              <w:t>Relocation</w:t>
            </w:r>
          </w:p>
        </w:tc>
        <w:tc>
          <w:tcPr>
            <w:tcW w:w="1460" w:type="dxa"/>
            <w:vAlign w:val="bottom"/>
            <w:shd w:val="clear" w:color="auto" w:fill="EFEDED"/>
          </w:tcPr>
          <w:p>
            <w:pPr>
              <w:jc w:val="center"/>
              <w:ind w:right="268"/>
              <w:spacing w:after="0"/>
              <w:rPr>
                <w:sz w:val="20"/>
                <w:szCs w:val="20"/>
                <w:color w:val="auto"/>
              </w:rPr>
            </w:pPr>
            <w:r>
              <w:rPr>
                <w:rFonts w:ascii="Arial" w:cs="Arial" w:eastAsia="Arial" w:hAnsi="Arial"/>
                <w:sz w:val="14"/>
                <w:szCs w:val="14"/>
                <w:b w:val="1"/>
                <w:bCs w:val="1"/>
                <w:color w:val="58595B"/>
              </w:rPr>
              <w:t>Matching</w:t>
            </w:r>
          </w:p>
        </w:tc>
        <w:tc>
          <w:tcPr>
            <w:tcW w:w="1220" w:type="dxa"/>
            <w:vAlign w:val="bottom"/>
            <w:vMerge w:val="restart"/>
            <w:shd w:val="clear" w:color="auto" w:fill="EFEDED"/>
          </w:tcPr>
          <w:p>
            <w:pPr>
              <w:jc w:val="right"/>
              <w:ind w:right="548"/>
              <w:spacing w:after="0"/>
              <w:rPr>
                <w:sz w:val="20"/>
                <w:szCs w:val="20"/>
                <w:color w:val="auto"/>
              </w:rPr>
            </w:pPr>
            <w:r>
              <w:rPr>
                <w:rFonts w:ascii="Arial" w:cs="Arial" w:eastAsia="Arial" w:hAnsi="Arial"/>
                <w:sz w:val="14"/>
                <w:szCs w:val="14"/>
                <w:b w:val="1"/>
                <w:bCs w:val="1"/>
                <w:color w:val="58595B"/>
              </w:rPr>
              <w:t>Total</w:t>
            </w:r>
          </w:p>
        </w:tc>
        <w:tc>
          <w:tcPr>
            <w:tcW w:w="0" w:type="dxa"/>
            <w:vAlign w:val="bottom"/>
          </w:tcPr>
          <w:p>
            <w:pPr>
              <w:spacing w:after="0"/>
              <w:rPr>
                <w:sz w:val="1"/>
                <w:szCs w:val="1"/>
                <w:color w:val="auto"/>
              </w:rPr>
            </w:pPr>
          </w:p>
        </w:tc>
      </w:tr>
      <w:tr>
        <w:trPr>
          <w:trHeight w:val="162"/>
        </w:trPr>
        <w:tc>
          <w:tcPr>
            <w:tcW w:w="4460" w:type="dxa"/>
            <w:vAlign w:val="bottom"/>
            <w:shd w:val="clear" w:color="auto" w:fill="EFEDED"/>
          </w:tcPr>
          <w:p>
            <w:pPr>
              <w:spacing w:after="0"/>
              <w:rPr>
                <w:sz w:val="14"/>
                <w:szCs w:val="14"/>
                <w:color w:val="auto"/>
              </w:rPr>
            </w:pPr>
          </w:p>
        </w:tc>
        <w:tc>
          <w:tcPr>
            <w:tcW w:w="4100" w:type="dxa"/>
            <w:vAlign w:val="bottom"/>
            <w:shd w:val="clear" w:color="auto" w:fill="EFEDED"/>
          </w:tcPr>
          <w:p>
            <w:pPr>
              <w:jc w:val="center"/>
              <w:ind w:left="2508"/>
              <w:spacing w:after="0"/>
              <w:rPr>
                <w:sz w:val="20"/>
                <w:szCs w:val="20"/>
                <w:color w:val="auto"/>
              </w:rPr>
            </w:pPr>
            <w:r>
              <w:rPr>
                <w:rFonts w:ascii="Arial" w:cs="Arial" w:eastAsia="Arial" w:hAnsi="Arial"/>
                <w:sz w:val="14"/>
                <w:szCs w:val="14"/>
                <w:b w:val="1"/>
                <w:bCs w:val="1"/>
                <w:color w:val="58595B"/>
              </w:rPr>
              <w:t>Expenses</w:t>
            </w:r>
          </w:p>
        </w:tc>
        <w:tc>
          <w:tcPr>
            <w:tcW w:w="1460" w:type="dxa"/>
            <w:vAlign w:val="bottom"/>
            <w:shd w:val="clear" w:color="auto" w:fill="EFEDED"/>
          </w:tcPr>
          <w:p>
            <w:pPr>
              <w:jc w:val="center"/>
              <w:ind w:right="268"/>
              <w:spacing w:after="0"/>
              <w:rPr>
                <w:sz w:val="20"/>
                <w:szCs w:val="20"/>
                <w:color w:val="auto"/>
              </w:rPr>
            </w:pPr>
            <w:r>
              <w:rPr>
                <w:rFonts w:ascii="Arial" w:cs="Arial" w:eastAsia="Arial" w:hAnsi="Arial"/>
                <w:sz w:val="14"/>
                <w:szCs w:val="14"/>
                <w:b w:val="1"/>
                <w:bCs w:val="1"/>
                <w:color w:val="58595B"/>
              </w:rPr>
              <w:t>Contribution</w:t>
            </w:r>
          </w:p>
        </w:tc>
        <w:tc>
          <w:tcPr>
            <w:tcW w:w="1220" w:type="dxa"/>
            <w:vAlign w:val="bottom"/>
            <w:vMerge w:val="continue"/>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EFEDED"/>
          </w:tcPr>
          <w:p>
            <w:pPr>
              <w:spacing w:after="0"/>
              <w:rPr>
                <w:sz w:val="18"/>
                <w:szCs w:val="18"/>
                <w:color w:val="auto"/>
              </w:rPr>
            </w:pPr>
          </w:p>
        </w:tc>
        <w:tc>
          <w:tcPr>
            <w:tcW w:w="4100" w:type="dxa"/>
            <w:vAlign w:val="bottom"/>
            <w:shd w:val="clear" w:color="auto" w:fill="EFEDED"/>
          </w:tcPr>
          <w:p>
            <w:pPr>
              <w:jc w:val="center"/>
              <w:ind w:left="2488"/>
              <w:spacing w:after="0"/>
              <w:rPr>
                <w:sz w:val="20"/>
                <w:szCs w:val="20"/>
                <w:color w:val="auto"/>
              </w:rPr>
            </w:pPr>
            <w:r>
              <w:rPr>
                <w:rFonts w:ascii="Arial" w:cs="Arial" w:eastAsia="Arial" w:hAnsi="Arial"/>
                <w:sz w:val="14"/>
                <w:szCs w:val="14"/>
                <w:b w:val="1"/>
                <w:bCs w:val="1"/>
                <w:color w:val="58595B"/>
              </w:rPr>
              <w:t>($)</w:t>
            </w:r>
          </w:p>
        </w:tc>
        <w:tc>
          <w:tcPr>
            <w:tcW w:w="1460" w:type="dxa"/>
            <w:vAlign w:val="bottom"/>
            <w:shd w:val="clear" w:color="auto" w:fill="EFEDED"/>
          </w:tcPr>
          <w:p>
            <w:pPr>
              <w:jc w:val="right"/>
              <w:ind w:right="748"/>
              <w:spacing w:after="0"/>
              <w:rPr>
                <w:sz w:val="20"/>
                <w:szCs w:val="20"/>
                <w:color w:val="auto"/>
              </w:rPr>
            </w:pPr>
            <w:r>
              <w:rPr>
                <w:rFonts w:ascii="Arial" w:cs="Arial" w:eastAsia="Arial" w:hAnsi="Arial"/>
                <w:sz w:val="14"/>
                <w:szCs w:val="14"/>
                <w:b w:val="1"/>
                <w:bCs w:val="1"/>
                <w:color w:val="58595B"/>
              </w:rPr>
              <w:t>($)</w:t>
            </w:r>
          </w:p>
        </w:tc>
        <w:tc>
          <w:tcPr>
            <w:tcW w:w="1220" w:type="dxa"/>
            <w:vAlign w:val="bottom"/>
            <w:shd w:val="clear" w:color="auto" w:fill="EFEDED"/>
          </w:tcPr>
          <w:p>
            <w:pPr>
              <w:jc w:val="right"/>
              <w:ind w:right="628"/>
              <w:spacing w:after="0"/>
              <w:rPr>
                <w:sz w:val="20"/>
                <w:szCs w:val="20"/>
                <w:color w:val="auto"/>
              </w:rPr>
            </w:pPr>
            <w:r>
              <w:rPr>
                <w:rFonts w:ascii="Arial" w:cs="Arial" w:eastAsia="Arial" w:hAnsi="Arial"/>
                <w:sz w:val="14"/>
                <w:szCs w:val="14"/>
                <w:b w:val="1"/>
                <w:bCs w:val="1"/>
                <w:color w:val="58595B"/>
              </w:rPr>
              <w:t>($)</w:t>
            </w:r>
          </w:p>
        </w:tc>
        <w:tc>
          <w:tcPr>
            <w:tcW w:w="0" w:type="dxa"/>
            <w:vAlign w:val="bottom"/>
          </w:tcPr>
          <w:p>
            <w:pPr>
              <w:spacing w:after="0"/>
              <w:rPr>
                <w:sz w:val="1"/>
                <w:szCs w:val="1"/>
                <w:color w:val="auto"/>
              </w:rPr>
            </w:pPr>
          </w:p>
        </w:tc>
      </w:tr>
      <w:tr>
        <w:trPr>
          <w:trHeight w:val="222"/>
        </w:trPr>
        <w:tc>
          <w:tcPr>
            <w:tcW w:w="4460" w:type="dxa"/>
            <w:vAlign w:val="bottom"/>
          </w:tcPr>
          <w:p>
            <w:pPr>
              <w:ind w:left="140"/>
              <w:spacing w:after="0"/>
              <w:rPr>
                <w:sz w:val="20"/>
                <w:szCs w:val="20"/>
                <w:color w:val="auto"/>
              </w:rPr>
            </w:pPr>
            <w:r>
              <w:rPr>
                <w:rFonts w:ascii="Arial" w:cs="Arial" w:eastAsia="Arial" w:hAnsi="Arial"/>
                <w:sz w:val="14"/>
                <w:szCs w:val="14"/>
                <w:b w:val="1"/>
                <w:bCs w:val="1"/>
                <w:color w:val="58595B"/>
              </w:rPr>
              <w:t>Mojdeh Poul (1)</w:t>
            </w:r>
          </w:p>
        </w:tc>
        <w:tc>
          <w:tcPr>
            <w:tcW w:w="4100" w:type="dxa"/>
            <w:vAlign w:val="bottom"/>
          </w:tcPr>
          <w:p>
            <w:pPr>
              <w:jc w:val="right"/>
              <w:ind w:right="48"/>
              <w:spacing w:after="0"/>
              <w:rPr>
                <w:sz w:val="20"/>
                <w:szCs w:val="20"/>
                <w:color w:val="auto"/>
              </w:rPr>
            </w:pPr>
            <w:r>
              <w:rPr>
                <w:rFonts w:ascii="Arial" w:cs="Arial" w:eastAsia="Arial" w:hAnsi="Arial"/>
                <w:sz w:val="14"/>
                <w:szCs w:val="14"/>
                <w:color w:val="58595B"/>
              </w:rPr>
              <w:t>357,056</w:t>
            </w:r>
          </w:p>
        </w:tc>
        <w:tc>
          <w:tcPr>
            <w:tcW w:w="1460" w:type="dxa"/>
            <w:vAlign w:val="bottom"/>
          </w:tcPr>
          <w:p>
            <w:pPr>
              <w:jc w:val="right"/>
              <w:ind w:right="188"/>
              <w:spacing w:after="0"/>
              <w:rPr>
                <w:sz w:val="20"/>
                <w:szCs w:val="20"/>
                <w:color w:val="auto"/>
              </w:rPr>
            </w:pPr>
            <w:r>
              <w:rPr>
                <w:rFonts w:ascii="Arial" w:cs="Arial" w:eastAsia="Arial" w:hAnsi="Arial"/>
                <w:sz w:val="14"/>
                <w:szCs w:val="14"/>
                <w:color w:val="58595B"/>
              </w:rPr>
              <w:t>14,000</w:t>
            </w:r>
          </w:p>
        </w:tc>
        <w:tc>
          <w:tcPr>
            <w:tcW w:w="1220" w:type="dxa"/>
            <w:vAlign w:val="bottom"/>
          </w:tcPr>
          <w:p>
            <w:pPr>
              <w:jc w:val="right"/>
              <w:ind w:right="88"/>
              <w:spacing w:after="0"/>
              <w:rPr>
                <w:sz w:val="20"/>
                <w:szCs w:val="20"/>
                <w:color w:val="auto"/>
              </w:rPr>
            </w:pPr>
            <w:r>
              <w:rPr>
                <w:rFonts w:ascii="Arial" w:cs="Arial" w:eastAsia="Arial" w:hAnsi="Arial"/>
                <w:sz w:val="14"/>
                <w:szCs w:val="14"/>
                <w:color w:val="58595B"/>
              </w:rPr>
              <w:t>371,056</w:t>
            </w:r>
          </w:p>
        </w:tc>
        <w:tc>
          <w:tcPr>
            <w:tcW w:w="0" w:type="dxa"/>
            <w:vAlign w:val="bottom"/>
          </w:tcPr>
          <w:p>
            <w:pPr>
              <w:spacing w:after="0"/>
              <w:rPr>
                <w:sz w:val="1"/>
                <w:szCs w:val="1"/>
                <w:color w:val="auto"/>
              </w:rPr>
            </w:pPr>
          </w:p>
        </w:tc>
      </w:tr>
      <w:tr>
        <w:trPr>
          <w:trHeight w:val="237"/>
        </w:trPr>
        <w:tc>
          <w:tcPr>
            <w:tcW w:w="4460" w:type="dxa"/>
            <w:vAlign w:val="bottom"/>
            <w:shd w:val="clear" w:color="auto" w:fill="EFEDED"/>
          </w:tcPr>
          <w:p>
            <w:pPr>
              <w:ind w:left="140"/>
              <w:spacing w:after="0"/>
              <w:rPr>
                <w:sz w:val="20"/>
                <w:szCs w:val="20"/>
                <w:color w:val="auto"/>
              </w:rPr>
            </w:pPr>
            <w:r>
              <w:rPr>
                <w:rFonts w:ascii="Arial" w:cs="Arial" w:eastAsia="Arial" w:hAnsi="Arial"/>
                <w:sz w:val="14"/>
                <w:szCs w:val="14"/>
                <w:b w:val="1"/>
                <w:bCs w:val="1"/>
                <w:color w:val="58595B"/>
              </w:rPr>
              <w:t>Lea Knight</w:t>
            </w:r>
          </w:p>
        </w:tc>
        <w:tc>
          <w:tcPr>
            <w:tcW w:w="4100" w:type="dxa"/>
            <w:vAlign w:val="bottom"/>
            <w:shd w:val="clear" w:color="auto" w:fill="EFEDED"/>
          </w:tcPr>
          <w:p>
            <w:pPr>
              <w:spacing w:after="0"/>
              <w:rPr>
                <w:sz w:val="20"/>
                <w:szCs w:val="20"/>
                <w:color w:val="auto"/>
              </w:rPr>
            </w:pPr>
          </w:p>
        </w:tc>
        <w:tc>
          <w:tcPr>
            <w:tcW w:w="1460" w:type="dxa"/>
            <w:vAlign w:val="bottom"/>
            <w:shd w:val="clear" w:color="auto" w:fill="EFEDED"/>
          </w:tcPr>
          <w:p>
            <w:pPr>
              <w:jc w:val="right"/>
              <w:ind w:right="188"/>
              <w:spacing w:after="0"/>
              <w:rPr>
                <w:sz w:val="20"/>
                <w:szCs w:val="20"/>
                <w:color w:val="auto"/>
              </w:rPr>
            </w:pPr>
            <w:r>
              <w:rPr>
                <w:rFonts w:ascii="Arial" w:cs="Arial" w:eastAsia="Arial" w:hAnsi="Arial"/>
                <w:sz w:val="14"/>
                <w:szCs w:val="14"/>
                <w:color w:val="58595B"/>
              </w:rPr>
              <w:t>14,000</w:t>
            </w:r>
          </w:p>
        </w:tc>
        <w:tc>
          <w:tcPr>
            <w:tcW w:w="1220" w:type="dxa"/>
            <w:vAlign w:val="bottom"/>
            <w:shd w:val="clear" w:color="auto" w:fill="EFEDED"/>
          </w:tcPr>
          <w:p>
            <w:pPr>
              <w:jc w:val="right"/>
              <w:ind w:right="88"/>
              <w:spacing w:after="0"/>
              <w:rPr>
                <w:sz w:val="20"/>
                <w:szCs w:val="20"/>
                <w:color w:val="auto"/>
              </w:rPr>
            </w:pPr>
            <w:r>
              <w:rPr>
                <w:rFonts w:ascii="Arial" w:cs="Arial" w:eastAsia="Arial" w:hAnsi="Arial"/>
                <w:sz w:val="14"/>
                <w:szCs w:val="14"/>
                <w:color w:val="58595B"/>
              </w:rPr>
              <w:t>14,000</w:t>
            </w:r>
          </w:p>
        </w:tc>
        <w:tc>
          <w:tcPr>
            <w:tcW w:w="0" w:type="dxa"/>
            <w:vAlign w:val="bottom"/>
          </w:tcPr>
          <w:p>
            <w:pPr>
              <w:spacing w:after="0"/>
              <w:rPr>
                <w:sz w:val="1"/>
                <w:szCs w:val="1"/>
                <w:color w:val="auto"/>
              </w:rPr>
            </w:pPr>
          </w:p>
        </w:tc>
      </w:tr>
      <w:tr>
        <w:trPr>
          <w:trHeight w:val="222"/>
        </w:trPr>
        <w:tc>
          <w:tcPr>
            <w:tcW w:w="4460" w:type="dxa"/>
            <w:vAlign w:val="bottom"/>
          </w:tcPr>
          <w:p>
            <w:pPr>
              <w:ind w:left="140"/>
              <w:spacing w:after="0"/>
              <w:rPr>
                <w:sz w:val="20"/>
                <w:szCs w:val="20"/>
                <w:color w:val="auto"/>
              </w:rPr>
            </w:pPr>
            <w:r>
              <w:rPr>
                <w:rFonts w:ascii="Arial" w:cs="Arial" w:eastAsia="Arial" w:hAnsi="Arial"/>
                <w:sz w:val="14"/>
                <w:szCs w:val="14"/>
                <w:b w:val="1"/>
                <w:bCs w:val="1"/>
                <w:color w:val="58595B"/>
              </w:rPr>
              <w:t>Michael J. McBreen</w:t>
            </w:r>
          </w:p>
        </w:tc>
        <w:tc>
          <w:tcPr>
            <w:tcW w:w="4100" w:type="dxa"/>
            <w:vAlign w:val="bottom"/>
          </w:tcPr>
          <w:p>
            <w:pPr>
              <w:spacing w:after="0"/>
              <w:rPr>
                <w:sz w:val="19"/>
                <w:szCs w:val="19"/>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color w:val="58595B"/>
              </w:rPr>
              <w:t>14,000</w:t>
            </w:r>
          </w:p>
        </w:tc>
        <w:tc>
          <w:tcPr>
            <w:tcW w:w="1220" w:type="dxa"/>
            <w:vAlign w:val="bottom"/>
          </w:tcPr>
          <w:p>
            <w:pPr>
              <w:jc w:val="right"/>
              <w:ind w:right="88"/>
              <w:spacing w:after="0"/>
              <w:rPr>
                <w:sz w:val="20"/>
                <w:szCs w:val="20"/>
                <w:color w:val="auto"/>
              </w:rPr>
            </w:pPr>
            <w:r>
              <w:rPr>
                <w:rFonts w:ascii="Arial" w:cs="Arial" w:eastAsia="Arial" w:hAnsi="Arial"/>
                <w:sz w:val="14"/>
                <w:szCs w:val="14"/>
                <w:color w:val="58595B"/>
              </w:rPr>
              <w:t>14,000</w:t>
            </w:r>
          </w:p>
        </w:tc>
        <w:tc>
          <w:tcPr>
            <w:tcW w:w="0" w:type="dxa"/>
            <w:vAlign w:val="bottom"/>
          </w:tcPr>
          <w:p>
            <w:pPr>
              <w:spacing w:after="0"/>
              <w:rPr>
                <w:sz w:val="1"/>
                <w:szCs w:val="1"/>
                <w:color w:val="auto"/>
              </w:rPr>
            </w:pPr>
          </w:p>
        </w:tc>
      </w:tr>
      <w:tr>
        <w:trPr>
          <w:trHeight w:val="237"/>
        </w:trPr>
        <w:tc>
          <w:tcPr>
            <w:tcW w:w="4460" w:type="dxa"/>
            <w:vAlign w:val="bottom"/>
            <w:shd w:val="clear" w:color="auto" w:fill="EFEDED"/>
          </w:tcPr>
          <w:p>
            <w:pPr>
              <w:ind w:left="140"/>
              <w:spacing w:after="0"/>
              <w:rPr>
                <w:sz w:val="20"/>
                <w:szCs w:val="20"/>
                <w:color w:val="auto"/>
              </w:rPr>
            </w:pPr>
            <w:r>
              <w:rPr>
                <w:rFonts w:ascii="Arial" w:cs="Arial" w:eastAsia="Arial" w:hAnsi="Arial"/>
                <w:sz w:val="14"/>
                <w:szCs w:val="14"/>
                <w:b w:val="1"/>
                <w:bCs w:val="1"/>
                <w:color w:val="58595B"/>
              </w:rPr>
              <w:t>Harvinder Singh</w:t>
            </w:r>
          </w:p>
        </w:tc>
        <w:tc>
          <w:tcPr>
            <w:tcW w:w="4100" w:type="dxa"/>
            <w:vAlign w:val="bottom"/>
            <w:shd w:val="clear" w:color="auto" w:fill="EFEDED"/>
          </w:tcPr>
          <w:p>
            <w:pPr>
              <w:spacing w:after="0"/>
              <w:rPr>
                <w:sz w:val="20"/>
                <w:szCs w:val="20"/>
                <w:color w:val="auto"/>
              </w:rPr>
            </w:pPr>
          </w:p>
        </w:tc>
        <w:tc>
          <w:tcPr>
            <w:tcW w:w="1460" w:type="dxa"/>
            <w:vAlign w:val="bottom"/>
            <w:shd w:val="clear" w:color="auto" w:fill="EFEDED"/>
          </w:tcPr>
          <w:p>
            <w:pPr>
              <w:jc w:val="right"/>
              <w:ind w:right="188"/>
              <w:spacing w:after="0"/>
              <w:rPr>
                <w:sz w:val="20"/>
                <w:szCs w:val="20"/>
                <w:color w:val="auto"/>
              </w:rPr>
            </w:pPr>
            <w:r>
              <w:rPr>
                <w:rFonts w:ascii="Arial" w:cs="Arial" w:eastAsia="Arial" w:hAnsi="Arial"/>
                <w:sz w:val="14"/>
                <w:szCs w:val="14"/>
                <w:color w:val="58595B"/>
              </w:rPr>
              <w:t>14,000</w:t>
            </w:r>
          </w:p>
        </w:tc>
        <w:tc>
          <w:tcPr>
            <w:tcW w:w="1220" w:type="dxa"/>
            <w:vAlign w:val="bottom"/>
            <w:shd w:val="clear" w:color="auto" w:fill="EFEDED"/>
          </w:tcPr>
          <w:p>
            <w:pPr>
              <w:jc w:val="right"/>
              <w:ind w:right="88"/>
              <w:spacing w:after="0"/>
              <w:rPr>
                <w:sz w:val="20"/>
                <w:szCs w:val="20"/>
                <w:color w:val="auto"/>
              </w:rPr>
            </w:pPr>
            <w:r>
              <w:rPr>
                <w:rFonts w:ascii="Arial" w:cs="Arial" w:eastAsia="Arial" w:hAnsi="Arial"/>
                <w:sz w:val="14"/>
                <w:szCs w:val="14"/>
                <w:color w:val="58595B"/>
              </w:rPr>
              <w:t>14,000</w:t>
            </w:r>
          </w:p>
        </w:tc>
        <w:tc>
          <w:tcPr>
            <w:tcW w:w="0" w:type="dxa"/>
            <w:vAlign w:val="bottom"/>
          </w:tcPr>
          <w:p>
            <w:pPr>
              <w:spacing w:after="0"/>
              <w:rPr>
                <w:sz w:val="1"/>
                <w:szCs w:val="1"/>
                <w:color w:val="auto"/>
              </w:rPr>
            </w:pPr>
          </w:p>
        </w:tc>
      </w:tr>
      <w:tr>
        <w:trPr>
          <w:trHeight w:val="222"/>
        </w:trPr>
        <w:tc>
          <w:tcPr>
            <w:tcW w:w="4460" w:type="dxa"/>
            <w:vAlign w:val="bottom"/>
          </w:tcPr>
          <w:p>
            <w:pPr>
              <w:ind w:left="140"/>
              <w:spacing w:after="0"/>
              <w:rPr>
                <w:sz w:val="20"/>
                <w:szCs w:val="20"/>
                <w:color w:val="auto"/>
              </w:rPr>
            </w:pPr>
            <w:r>
              <w:rPr>
                <w:rFonts w:ascii="Arial" w:cs="Arial" w:eastAsia="Arial" w:hAnsi="Arial"/>
                <w:sz w:val="14"/>
                <w:szCs w:val="14"/>
                <w:b w:val="1"/>
                <w:bCs w:val="1"/>
                <w:color w:val="58595B"/>
              </w:rPr>
              <w:t>Robert T. Davis, Jr</w:t>
            </w:r>
          </w:p>
        </w:tc>
        <w:tc>
          <w:tcPr>
            <w:tcW w:w="4100" w:type="dxa"/>
            <w:vAlign w:val="bottom"/>
          </w:tcPr>
          <w:p>
            <w:pPr>
              <w:spacing w:after="0"/>
              <w:rPr>
                <w:sz w:val="19"/>
                <w:szCs w:val="19"/>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color w:val="58595B"/>
              </w:rPr>
              <w:t>14,000</w:t>
            </w:r>
          </w:p>
        </w:tc>
        <w:tc>
          <w:tcPr>
            <w:tcW w:w="1220" w:type="dxa"/>
            <w:vAlign w:val="bottom"/>
          </w:tcPr>
          <w:p>
            <w:pPr>
              <w:jc w:val="right"/>
              <w:ind w:right="88"/>
              <w:spacing w:after="0"/>
              <w:rPr>
                <w:sz w:val="20"/>
                <w:szCs w:val="20"/>
                <w:color w:val="auto"/>
              </w:rPr>
            </w:pPr>
            <w:r>
              <w:rPr>
                <w:rFonts w:ascii="Arial" w:cs="Arial" w:eastAsia="Arial" w:hAnsi="Arial"/>
                <w:sz w:val="14"/>
                <w:szCs w:val="14"/>
                <w:color w:val="58595B"/>
              </w:rPr>
              <w:t>14,000</w:t>
            </w:r>
          </w:p>
        </w:tc>
        <w:tc>
          <w:tcPr>
            <w:tcW w:w="0" w:type="dxa"/>
            <w:vAlign w:val="bottom"/>
          </w:tcPr>
          <w:p>
            <w:pPr>
              <w:spacing w:after="0"/>
              <w:rPr>
                <w:sz w:val="1"/>
                <w:szCs w:val="1"/>
                <w:color w:val="auto"/>
              </w:rPr>
            </w:pPr>
          </w:p>
        </w:tc>
      </w:tr>
      <w:tr>
        <w:trPr>
          <w:trHeight w:val="231"/>
        </w:trPr>
        <w:tc>
          <w:tcPr>
            <w:tcW w:w="4460" w:type="dxa"/>
            <w:vAlign w:val="bottom"/>
            <w:tcBorders>
              <w:bottom w:val="single" w:sz="8" w:color="58595B"/>
            </w:tcBorders>
            <w:shd w:val="clear" w:color="auto" w:fill="EFEDED"/>
          </w:tcPr>
          <w:p>
            <w:pPr>
              <w:ind w:left="140"/>
              <w:spacing w:after="0"/>
              <w:rPr>
                <w:sz w:val="20"/>
                <w:szCs w:val="20"/>
                <w:color w:val="auto"/>
              </w:rPr>
            </w:pPr>
            <w:r>
              <w:rPr>
                <w:rFonts w:ascii="Arial" w:cs="Arial" w:eastAsia="Arial" w:hAnsi="Arial"/>
                <w:sz w:val="14"/>
                <w:szCs w:val="14"/>
                <w:b w:val="1"/>
                <w:bCs w:val="1"/>
                <w:color w:val="58595B"/>
              </w:rPr>
              <w:t>Jan De Witte (1)</w:t>
            </w:r>
          </w:p>
        </w:tc>
        <w:tc>
          <w:tcPr>
            <w:tcW w:w="4100" w:type="dxa"/>
            <w:vAlign w:val="bottom"/>
            <w:tcBorders>
              <w:bottom w:val="single" w:sz="8" w:color="58595B"/>
            </w:tcBorders>
            <w:shd w:val="clear" w:color="auto" w:fill="EFEDED"/>
          </w:tcPr>
          <w:p>
            <w:pPr>
              <w:jc w:val="right"/>
              <w:ind w:right="48"/>
              <w:spacing w:after="0"/>
              <w:rPr>
                <w:sz w:val="20"/>
                <w:szCs w:val="20"/>
                <w:color w:val="auto"/>
              </w:rPr>
            </w:pPr>
            <w:r>
              <w:rPr>
                <w:rFonts w:ascii="Arial" w:cs="Arial" w:eastAsia="Arial" w:hAnsi="Arial"/>
                <w:sz w:val="14"/>
                <w:szCs w:val="14"/>
                <w:color w:val="58595B"/>
              </w:rPr>
              <w:t>238,679</w:t>
            </w:r>
          </w:p>
        </w:tc>
        <w:tc>
          <w:tcPr>
            <w:tcW w:w="1460" w:type="dxa"/>
            <w:vAlign w:val="bottom"/>
            <w:tcBorders>
              <w:bottom w:val="single" w:sz="8" w:color="58595B"/>
            </w:tcBorders>
            <w:shd w:val="clear" w:color="auto" w:fill="EFEDED"/>
          </w:tcPr>
          <w:p>
            <w:pPr>
              <w:jc w:val="right"/>
              <w:ind w:right="188"/>
              <w:spacing w:after="0"/>
              <w:rPr>
                <w:sz w:val="20"/>
                <w:szCs w:val="20"/>
                <w:color w:val="auto"/>
              </w:rPr>
            </w:pPr>
            <w:r>
              <w:rPr>
                <w:rFonts w:ascii="Arial" w:cs="Arial" w:eastAsia="Arial" w:hAnsi="Arial"/>
                <w:sz w:val="14"/>
                <w:szCs w:val="14"/>
                <w:color w:val="58595B"/>
              </w:rPr>
              <w:t>1,692</w:t>
            </w:r>
          </w:p>
        </w:tc>
        <w:tc>
          <w:tcPr>
            <w:tcW w:w="1220" w:type="dxa"/>
            <w:vAlign w:val="bottom"/>
            <w:tcBorders>
              <w:bottom w:val="single" w:sz="8" w:color="58595B"/>
            </w:tcBorders>
            <w:shd w:val="clear" w:color="auto" w:fill="EFEDED"/>
          </w:tcPr>
          <w:p>
            <w:pPr>
              <w:jc w:val="right"/>
              <w:ind w:right="88"/>
              <w:spacing w:after="0"/>
              <w:rPr>
                <w:sz w:val="20"/>
                <w:szCs w:val="20"/>
                <w:color w:val="auto"/>
              </w:rPr>
            </w:pPr>
            <w:r>
              <w:rPr>
                <w:rFonts w:ascii="Arial" w:cs="Arial" w:eastAsia="Arial" w:hAnsi="Arial"/>
                <w:sz w:val="14"/>
                <w:szCs w:val="14"/>
                <w:color w:val="58595B"/>
              </w:rPr>
              <w:t>240,371</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440" w:hanging="332"/>
        <w:spacing w:after="0" w:line="283" w:lineRule="auto"/>
        <w:tabs>
          <w:tab w:leader="none" w:pos="338" w:val="left"/>
        </w:tabs>
        <w:numPr>
          <w:ilvl w:val="0"/>
          <w:numId w:val="43"/>
        </w:numPr>
        <w:rPr>
          <w:rFonts w:ascii="Arial" w:cs="Arial" w:eastAsia="Arial" w:hAnsi="Arial"/>
          <w:sz w:val="14"/>
          <w:szCs w:val="14"/>
          <w:color w:val="auto"/>
        </w:rPr>
      </w:pPr>
      <w:r>
        <w:rPr>
          <w:rFonts w:ascii="Arial" w:cs="Arial" w:eastAsia="Arial" w:hAnsi="Arial"/>
          <w:sz w:val="14"/>
          <w:szCs w:val="14"/>
          <w:color w:val="auto"/>
        </w:rPr>
        <w:t>Ms. Poul received a relocation payment of $250,000 and a tax gross up of $107,056 for certain relocation-related expenses consistent with the Company's relocation policy. Mr. De Witte received a relocation payment of $150,000 and a tax gross up of $88,679 for certain relocation-related expenses consistent with the Company’s relocation policy.</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59</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Grants of Plan-Based Awards</w:t>
      </w:r>
    </w:p>
    <w:p>
      <w:pPr>
        <w:spacing w:after="0" w:line="193" w:lineRule="exact"/>
        <w:rPr>
          <w:sz w:val="20"/>
          <w:szCs w:val="20"/>
          <w:color w:val="auto"/>
        </w:rPr>
      </w:pPr>
    </w:p>
    <w:p>
      <w:pPr>
        <w:spacing w:after="0" w:line="356" w:lineRule="auto"/>
        <w:rPr>
          <w:sz w:val="20"/>
          <w:szCs w:val="20"/>
          <w:color w:val="auto"/>
        </w:rPr>
      </w:pPr>
      <w:r>
        <w:rPr>
          <w:rFonts w:ascii="Arial" w:cs="Arial" w:eastAsia="Arial" w:hAnsi="Arial"/>
          <w:sz w:val="16"/>
          <w:szCs w:val="16"/>
          <w:color w:val="58595B"/>
        </w:rPr>
        <w:t>The following table presents information on equity awards granted under the Company’s Fifth Amended and Restated 2003 Equity Incentive Plan and annual incentive opportunities.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shd w:val="clear" w:color="auto" w:fill="EFEDED"/>
          </w:tcPr>
          <w:p>
            <w:pPr>
              <w:spacing w:after="0"/>
              <w:rPr>
                <w:sz w:val="12"/>
                <w:szCs w:val="12"/>
                <w:color w:val="auto"/>
              </w:rPr>
            </w:pPr>
          </w:p>
        </w:tc>
        <w:tc>
          <w:tcPr>
            <w:tcW w:w="820" w:type="dxa"/>
            <w:vAlign w:val="bottom"/>
            <w:shd w:val="clear" w:color="auto" w:fill="EFEDED"/>
          </w:tcPr>
          <w:p>
            <w:pPr>
              <w:spacing w:after="0"/>
              <w:rPr>
                <w:sz w:val="12"/>
                <w:szCs w:val="12"/>
                <w:color w:val="auto"/>
              </w:rPr>
            </w:pPr>
          </w:p>
        </w:tc>
        <w:tc>
          <w:tcPr>
            <w:tcW w:w="820" w:type="dxa"/>
            <w:vAlign w:val="bottom"/>
            <w:shd w:val="clear" w:color="auto" w:fill="EFEDED"/>
          </w:tcPr>
          <w:p>
            <w:pPr>
              <w:spacing w:after="0"/>
              <w:rPr>
                <w:sz w:val="12"/>
                <w:szCs w:val="12"/>
                <w:color w:val="auto"/>
              </w:rPr>
            </w:pPr>
          </w:p>
        </w:tc>
        <w:tc>
          <w:tcPr>
            <w:tcW w:w="720" w:type="dxa"/>
            <w:vAlign w:val="bottom"/>
            <w:shd w:val="clear" w:color="auto" w:fill="EFEDED"/>
          </w:tcPr>
          <w:p>
            <w:pPr>
              <w:spacing w:after="0"/>
              <w:rPr>
                <w:sz w:val="12"/>
                <w:szCs w:val="12"/>
                <w:color w:val="auto"/>
              </w:rPr>
            </w:pPr>
          </w:p>
        </w:tc>
        <w:tc>
          <w:tcPr>
            <w:tcW w:w="760" w:type="dxa"/>
            <w:vAlign w:val="bottom"/>
            <w:shd w:val="clear" w:color="auto" w:fill="EFEDED"/>
          </w:tcPr>
          <w:p>
            <w:pPr>
              <w:spacing w:after="0"/>
              <w:rPr>
                <w:sz w:val="12"/>
                <w:szCs w:val="12"/>
                <w:color w:val="auto"/>
              </w:rPr>
            </w:pPr>
          </w:p>
        </w:tc>
        <w:tc>
          <w:tcPr>
            <w:tcW w:w="720" w:type="dxa"/>
            <w:vAlign w:val="bottom"/>
            <w:shd w:val="clear" w:color="auto" w:fill="EFEDED"/>
          </w:tcPr>
          <w:p>
            <w:pPr>
              <w:spacing w:after="0"/>
              <w:rPr>
                <w:sz w:val="12"/>
                <w:szCs w:val="12"/>
                <w:color w:val="auto"/>
              </w:rPr>
            </w:pPr>
          </w:p>
        </w:tc>
        <w:tc>
          <w:tcPr>
            <w:tcW w:w="740" w:type="dxa"/>
            <w:vAlign w:val="bottom"/>
            <w:tcBorders>
              <w:right w:val="single" w:sz="8" w:color="58595B"/>
            </w:tcBorders>
            <w:shd w:val="clear" w:color="auto" w:fill="EFEDED"/>
          </w:tcPr>
          <w:p>
            <w:pPr>
              <w:spacing w:after="0"/>
              <w:rPr>
                <w:sz w:val="12"/>
                <w:szCs w:val="12"/>
                <w:color w:val="auto"/>
              </w:rPr>
            </w:pPr>
          </w:p>
        </w:tc>
        <w:tc>
          <w:tcPr>
            <w:tcW w:w="680" w:type="dxa"/>
            <w:vAlign w:val="bottom"/>
            <w:shd w:val="clear" w:color="auto" w:fill="EFEDED"/>
          </w:tcPr>
          <w:p>
            <w:pPr>
              <w:spacing w:after="0"/>
              <w:rPr>
                <w:sz w:val="12"/>
                <w:szCs w:val="12"/>
                <w:color w:val="auto"/>
              </w:rPr>
            </w:pPr>
          </w:p>
        </w:tc>
        <w:tc>
          <w:tcPr>
            <w:tcW w:w="74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820" w:type="dxa"/>
            <w:vAlign w:val="bottom"/>
            <w:shd w:val="clear" w:color="auto" w:fill="EFEDED"/>
          </w:tcPr>
          <w:p>
            <w:pPr>
              <w:jc w:val="center"/>
              <w:spacing w:after="0"/>
              <w:rPr>
                <w:sz w:val="20"/>
                <w:szCs w:val="20"/>
                <w:color w:val="auto"/>
              </w:rPr>
            </w:pPr>
            <w:r>
              <w:rPr>
                <w:rFonts w:ascii="Arial" w:cs="Arial" w:eastAsia="Arial" w:hAnsi="Arial"/>
                <w:sz w:val="11"/>
                <w:szCs w:val="11"/>
                <w:b w:val="1"/>
                <w:bCs w:val="1"/>
                <w:color w:val="58595B"/>
                <w:w w:val="94"/>
              </w:rPr>
              <w:t>All Other</w:t>
            </w:r>
          </w:p>
        </w:tc>
        <w:tc>
          <w:tcPr>
            <w:tcW w:w="800" w:type="dxa"/>
            <w:vAlign w:val="bottom"/>
            <w:shd w:val="clear" w:color="auto" w:fill="EFEDED"/>
          </w:tcPr>
          <w:p>
            <w:pPr>
              <w:jc w:val="center"/>
              <w:ind w:right="6"/>
              <w:spacing w:after="0"/>
              <w:rPr>
                <w:sz w:val="20"/>
                <w:szCs w:val="20"/>
                <w:color w:val="auto"/>
              </w:rPr>
            </w:pPr>
            <w:r>
              <w:rPr>
                <w:rFonts w:ascii="Arial" w:cs="Arial" w:eastAsia="Arial" w:hAnsi="Arial"/>
                <w:sz w:val="11"/>
                <w:szCs w:val="11"/>
                <w:b w:val="1"/>
                <w:bCs w:val="1"/>
                <w:color w:val="58595B"/>
                <w:w w:val="98"/>
              </w:rPr>
              <w:t>All Other</w:t>
            </w:r>
          </w:p>
        </w:tc>
        <w:tc>
          <w:tcPr>
            <w:tcW w:w="680" w:type="dxa"/>
            <w:vAlign w:val="bottom"/>
            <w:shd w:val="clear" w:color="auto" w:fill="EFEDED"/>
          </w:tcPr>
          <w:p>
            <w:pPr>
              <w:spacing w:after="0"/>
              <w:rPr>
                <w:sz w:val="12"/>
                <w:szCs w:val="12"/>
                <w:color w:val="auto"/>
              </w:rPr>
            </w:pPr>
          </w:p>
        </w:tc>
        <w:tc>
          <w:tcPr>
            <w:tcW w:w="900" w:type="dxa"/>
            <w:vAlign w:val="bottom"/>
            <w:shd w:val="clear" w:color="auto" w:fill="EFEDED"/>
          </w:tcPr>
          <w:p>
            <w:pPr>
              <w:jc w:val="center"/>
              <w:ind w:right="106"/>
              <w:spacing w:after="0"/>
              <w:rPr>
                <w:sz w:val="20"/>
                <w:szCs w:val="20"/>
                <w:color w:val="auto"/>
              </w:rPr>
            </w:pPr>
            <w:r>
              <w:rPr>
                <w:rFonts w:ascii="Arial" w:cs="Arial" w:eastAsia="Arial" w:hAnsi="Arial"/>
                <w:sz w:val="11"/>
                <w:szCs w:val="11"/>
                <w:b w:val="1"/>
                <w:bCs w:val="1"/>
                <w:color w:val="58595B"/>
              </w:rPr>
              <w:t>Grant</w:t>
            </w:r>
          </w:p>
        </w:tc>
      </w:tr>
      <w:tr>
        <w:trPr>
          <w:trHeight w:val="122"/>
        </w:trPr>
        <w:tc>
          <w:tcPr>
            <w:tcW w:w="1380" w:type="dxa"/>
            <w:vAlign w:val="bottom"/>
            <w:shd w:val="clear" w:color="auto" w:fill="EFEDED"/>
          </w:tcPr>
          <w:p>
            <w:pPr>
              <w:spacing w:after="0"/>
              <w:rPr>
                <w:sz w:val="10"/>
                <w:szCs w:val="10"/>
                <w:color w:val="auto"/>
              </w:rPr>
            </w:pPr>
          </w:p>
        </w:tc>
        <w:tc>
          <w:tcPr>
            <w:tcW w:w="820" w:type="dxa"/>
            <w:vAlign w:val="bottom"/>
            <w:shd w:val="clear" w:color="auto" w:fill="EFEDED"/>
          </w:tcPr>
          <w:p>
            <w:pPr>
              <w:spacing w:after="0"/>
              <w:rPr>
                <w:sz w:val="10"/>
                <w:szCs w:val="10"/>
                <w:color w:val="auto"/>
              </w:rPr>
            </w:pPr>
          </w:p>
        </w:tc>
        <w:tc>
          <w:tcPr>
            <w:tcW w:w="820" w:type="dxa"/>
            <w:vAlign w:val="bottom"/>
            <w:shd w:val="clear" w:color="auto" w:fill="EFEDED"/>
          </w:tcPr>
          <w:p>
            <w:pPr>
              <w:spacing w:after="0"/>
              <w:rPr>
                <w:sz w:val="10"/>
                <w:szCs w:val="10"/>
                <w:color w:val="auto"/>
              </w:rPr>
            </w:pPr>
          </w:p>
        </w:tc>
        <w:tc>
          <w:tcPr>
            <w:tcW w:w="720" w:type="dxa"/>
            <w:vAlign w:val="bottom"/>
            <w:shd w:val="clear" w:color="auto" w:fill="EFEDED"/>
          </w:tcPr>
          <w:p>
            <w:pPr>
              <w:spacing w:after="0"/>
              <w:rPr>
                <w:sz w:val="10"/>
                <w:szCs w:val="10"/>
                <w:color w:val="auto"/>
              </w:rPr>
            </w:pPr>
          </w:p>
        </w:tc>
        <w:tc>
          <w:tcPr>
            <w:tcW w:w="760" w:type="dxa"/>
            <w:vAlign w:val="bottom"/>
            <w:shd w:val="clear" w:color="auto" w:fill="EFEDED"/>
          </w:tcPr>
          <w:p>
            <w:pPr>
              <w:spacing w:after="0"/>
              <w:rPr>
                <w:sz w:val="10"/>
                <w:szCs w:val="10"/>
                <w:color w:val="auto"/>
              </w:rPr>
            </w:pPr>
          </w:p>
        </w:tc>
        <w:tc>
          <w:tcPr>
            <w:tcW w:w="720" w:type="dxa"/>
            <w:vAlign w:val="bottom"/>
            <w:shd w:val="clear" w:color="auto" w:fill="EFEDED"/>
          </w:tcPr>
          <w:p>
            <w:pPr>
              <w:spacing w:after="0"/>
              <w:rPr>
                <w:sz w:val="10"/>
                <w:szCs w:val="10"/>
                <w:color w:val="auto"/>
              </w:rPr>
            </w:pPr>
          </w:p>
        </w:tc>
        <w:tc>
          <w:tcPr>
            <w:tcW w:w="740" w:type="dxa"/>
            <w:vAlign w:val="bottom"/>
            <w:tcBorders>
              <w:right w:val="single" w:sz="8" w:color="58595B"/>
            </w:tcBorders>
            <w:shd w:val="clear" w:color="auto" w:fill="EFEDED"/>
          </w:tcPr>
          <w:p>
            <w:pPr>
              <w:spacing w:after="0"/>
              <w:rPr>
                <w:sz w:val="10"/>
                <w:szCs w:val="10"/>
                <w:color w:val="auto"/>
              </w:rPr>
            </w:pPr>
          </w:p>
        </w:tc>
        <w:tc>
          <w:tcPr>
            <w:tcW w:w="680" w:type="dxa"/>
            <w:vAlign w:val="bottom"/>
            <w:shd w:val="clear" w:color="auto" w:fill="EFEDED"/>
          </w:tcPr>
          <w:p>
            <w:pPr>
              <w:spacing w:after="0"/>
              <w:rPr>
                <w:sz w:val="10"/>
                <w:szCs w:val="10"/>
                <w:color w:val="auto"/>
              </w:rPr>
            </w:pPr>
          </w:p>
        </w:tc>
        <w:tc>
          <w:tcPr>
            <w:tcW w:w="740" w:type="dxa"/>
            <w:vAlign w:val="bottom"/>
            <w:shd w:val="clear" w:color="auto" w:fill="EFEDED"/>
          </w:tcPr>
          <w:p>
            <w:pPr>
              <w:spacing w:after="0"/>
              <w:rPr>
                <w:sz w:val="10"/>
                <w:szCs w:val="10"/>
                <w:color w:val="auto"/>
              </w:rPr>
            </w:pPr>
          </w:p>
        </w:tc>
        <w:tc>
          <w:tcPr>
            <w:tcW w:w="660" w:type="dxa"/>
            <w:vAlign w:val="bottom"/>
            <w:shd w:val="clear" w:color="auto" w:fill="EFEDED"/>
          </w:tcPr>
          <w:p>
            <w:pPr>
              <w:spacing w:after="0"/>
              <w:rPr>
                <w:sz w:val="10"/>
                <w:szCs w:val="10"/>
                <w:color w:val="auto"/>
              </w:rPr>
            </w:pPr>
          </w:p>
        </w:tc>
        <w:tc>
          <w:tcPr>
            <w:tcW w:w="820" w:type="dxa"/>
            <w:vAlign w:val="bottom"/>
            <w:shd w:val="clear" w:color="auto" w:fill="EFEDED"/>
          </w:tcPr>
          <w:p>
            <w:pPr>
              <w:jc w:val="center"/>
              <w:spacing w:after="0" w:line="122" w:lineRule="exact"/>
              <w:rPr>
                <w:sz w:val="20"/>
                <w:szCs w:val="20"/>
                <w:color w:val="auto"/>
              </w:rPr>
            </w:pPr>
            <w:r>
              <w:rPr>
                <w:rFonts w:ascii="Arial" w:cs="Arial" w:eastAsia="Arial" w:hAnsi="Arial"/>
                <w:sz w:val="11"/>
                <w:szCs w:val="11"/>
                <w:b w:val="1"/>
                <w:bCs w:val="1"/>
                <w:color w:val="58595B"/>
                <w:w w:val="93"/>
              </w:rPr>
              <w:t>Stock</w:t>
            </w:r>
          </w:p>
        </w:tc>
        <w:tc>
          <w:tcPr>
            <w:tcW w:w="800" w:type="dxa"/>
            <w:vAlign w:val="bottom"/>
            <w:shd w:val="clear" w:color="auto" w:fill="EFEDED"/>
          </w:tcPr>
          <w:p>
            <w:pPr>
              <w:jc w:val="center"/>
              <w:ind w:right="6"/>
              <w:spacing w:after="0" w:line="122" w:lineRule="exact"/>
              <w:rPr>
                <w:sz w:val="20"/>
                <w:szCs w:val="20"/>
                <w:color w:val="auto"/>
              </w:rPr>
            </w:pPr>
            <w:r>
              <w:rPr>
                <w:rFonts w:ascii="Arial" w:cs="Arial" w:eastAsia="Arial" w:hAnsi="Arial"/>
                <w:sz w:val="11"/>
                <w:szCs w:val="11"/>
                <w:b w:val="1"/>
                <w:bCs w:val="1"/>
                <w:color w:val="58595B"/>
                <w:w w:val="95"/>
              </w:rPr>
              <w:t>Option</w:t>
            </w:r>
          </w:p>
        </w:tc>
        <w:tc>
          <w:tcPr>
            <w:tcW w:w="680" w:type="dxa"/>
            <w:vAlign w:val="bottom"/>
            <w:shd w:val="clear" w:color="auto" w:fill="EFEDED"/>
          </w:tcPr>
          <w:p>
            <w:pPr>
              <w:spacing w:after="0"/>
              <w:rPr>
                <w:sz w:val="10"/>
                <w:szCs w:val="10"/>
                <w:color w:val="auto"/>
              </w:rPr>
            </w:pPr>
          </w:p>
        </w:tc>
        <w:tc>
          <w:tcPr>
            <w:tcW w:w="900" w:type="dxa"/>
            <w:vAlign w:val="bottom"/>
            <w:shd w:val="clear" w:color="auto" w:fill="EFEDED"/>
          </w:tcPr>
          <w:p>
            <w:pPr>
              <w:jc w:val="center"/>
              <w:ind w:right="126"/>
              <w:spacing w:after="0" w:line="122" w:lineRule="exact"/>
              <w:rPr>
                <w:sz w:val="20"/>
                <w:szCs w:val="20"/>
                <w:color w:val="auto"/>
              </w:rPr>
            </w:pPr>
            <w:r>
              <w:rPr>
                <w:rFonts w:ascii="Arial" w:cs="Arial" w:eastAsia="Arial" w:hAnsi="Arial"/>
                <w:sz w:val="11"/>
                <w:szCs w:val="11"/>
                <w:b w:val="1"/>
                <w:bCs w:val="1"/>
                <w:color w:val="58595B"/>
              </w:rPr>
              <w:t>Date</w:t>
            </w:r>
          </w:p>
        </w:tc>
      </w:tr>
      <w:tr>
        <w:trPr>
          <w:trHeight w:val="135"/>
        </w:trPr>
        <w:tc>
          <w:tcPr>
            <w:tcW w:w="1380" w:type="dxa"/>
            <w:vAlign w:val="bottom"/>
            <w:shd w:val="clear" w:color="auto" w:fill="EFEDED"/>
          </w:tcPr>
          <w:p>
            <w:pPr>
              <w:spacing w:after="0"/>
              <w:rPr>
                <w:sz w:val="11"/>
                <w:szCs w:val="11"/>
                <w:color w:val="auto"/>
              </w:rPr>
            </w:pPr>
          </w:p>
        </w:tc>
        <w:tc>
          <w:tcPr>
            <w:tcW w:w="820" w:type="dxa"/>
            <w:vAlign w:val="bottom"/>
            <w:shd w:val="clear" w:color="auto" w:fill="EFEDED"/>
          </w:tcPr>
          <w:p>
            <w:pPr>
              <w:spacing w:after="0"/>
              <w:rPr>
                <w:sz w:val="11"/>
                <w:szCs w:val="11"/>
                <w:color w:val="auto"/>
              </w:rPr>
            </w:pPr>
          </w:p>
        </w:tc>
        <w:tc>
          <w:tcPr>
            <w:tcW w:w="820" w:type="dxa"/>
            <w:vAlign w:val="bottom"/>
            <w:shd w:val="clear" w:color="auto" w:fill="EFEDED"/>
          </w:tcPr>
          <w:p>
            <w:pPr>
              <w:spacing w:after="0"/>
              <w:rPr>
                <w:sz w:val="11"/>
                <w:szCs w:val="11"/>
                <w:color w:val="auto"/>
              </w:rPr>
            </w:pPr>
          </w:p>
        </w:tc>
        <w:tc>
          <w:tcPr>
            <w:tcW w:w="720" w:type="dxa"/>
            <w:vAlign w:val="bottom"/>
            <w:shd w:val="clear" w:color="auto" w:fill="EFEDED"/>
          </w:tcPr>
          <w:p>
            <w:pPr>
              <w:spacing w:after="0"/>
              <w:rPr>
                <w:sz w:val="11"/>
                <w:szCs w:val="11"/>
                <w:color w:val="auto"/>
              </w:rPr>
            </w:pPr>
          </w:p>
        </w:tc>
        <w:tc>
          <w:tcPr>
            <w:tcW w:w="760" w:type="dxa"/>
            <w:vAlign w:val="bottom"/>
            <w:shd w:val="clear" w:color="auto" w:fill="EFEDED"/>
          </w:tcPr>
          <w:p>
            <w:pPr>
              <w:spacing w:after="0"/>
              <w:rPr>
                <w:sz w:val="11"/>
                <w:szCs w:val="11"/>
                <w:color w:val="auto"/>
              </w:rPr>
            </w:pPr>
          </w:p>
        </w:tc>
        <w:tc>
          <w:tcPr>
            <w:tcW w:w="720" w:type="dxa"/>
            <w:vAlign w:val="bottom"/>
            <w:shd w:val="clear" w:color="auto" w:fill="EFEDED"/>
          </w:tcPr>
          <w:p>
            <w:pPr>
              <w:spacing w:after="0"/>
              <w:rPr>
                <w:sz w:val="11"/>
                <w:szCs w:val="11"/>
                <w:color w:val="auto"/>
              </w:rPr>
            </w:pPr>
          </w:p>
        </w:tc>
        <w:tc>
          <w:tcPr>
            <w:tcW w:w="740" w:type="dxa"/>
            <w:vAlign w:val="bottom"/>
            <w:tcBorders>
              <w:right w:val="single" w:sz="8" w:color="58595B"/>
            </w:tcBorders>
            <w:shd w:val="clear" w:color="auto" w:fill="EFEDED"/>
          </w:tcPr>
          <w:p>
            <w:pPr>
              <w:spacing w:after="0"/>
              <w:rPr>
                <w:sz w:val="11"/>
                <w:szCs w:val="11"/>
                <w:color w:val="auto"/>
              </w:rPr>
            </w:pPr>
          </w:p>
        </w:tc>
        <w:tc>
          <w:tcPr>
            <w:tcW w:w="680" w:type="dxa"/>
            <w:vAlign w:val="bottom"/>
            <w:shd w:val="clear" w:color="auto" w:fill="EFEDED"/>
          </w:tcPr>
          <w:p>
            <w:pPr>
              <w:spacing w:after="0"/>
              <w:rPr>
                <w:sz w:val="11"/>
                <w:szCs w:val="11"/>
                <w:color w:val="auto"/>
              </w:rPr>
            </w:pPr>
          </w:p>
        </w:tc>
        <w:tc>
          <w:tcPr>
            <w:tcW w:w="740" w:type="dxa"/>
            <w:vAlign w:val="bottom"/>
            <w:shd w:val="clear" w:color="auto" w:fill="EFEDED"/>
          </w:tcPr>
          <w:p>
            <w:pPr>
              <w:spacing w:after="0"/>
              <w:rPr>
                <w:sz w:val="11"/>
                <w:szCs w:val="11"/>
                <w:color w:val="auto"/>
              </w:rPr>
            </w:pPr>
          </w:p>
        </w:tc>
        <w:tc>
          <w:tcPr>
            <w:tcW w:w="660" w:type="dxa"/>
            <w:vAlign w:val="bottom"/>
            <w:shd w:val="clear" w:color="auto" w:fill="EFEDED"/>
          </w:tcPr>
          <w:p>
            <w:pPr>
              <w:spacing w:after="0"/>
              <w:rPr>
                <w:sz w:val="11"/>
                <w:szCs w:val="11"/>
                <w:color w:val="auto"/>
              </w:rPr>
            </w:pPr>
          </w:p>
        </w:tc>
        <w:tc>
          <w:tcPr>
            <w:tcW w:w="820" w:type="dxa"/>
            <w:vAlign w:val="bottom"/>
            <w:shd w:val="clear" w:color="auto" w:fill="EFEDED"/>
          </w:tcPr>
          <w:p>
            <w:pPr>
              <w:jc w:val="center"/>
              <w:spacing w:after="0"/>
              <w:rPr>
                <w:sz w:val="20"/>
                <w:szCs w:val="20"/>
                <w:color w:val="auto"/>
              </w:rPr>
            </w:pPr>
            <w:r>
              <w:rPr>
                <w:rFonts w:ascii="Arial" w:cs="Arial" w:eastAsia="Arial" w:hAnsi="Arial"/>
                <w:sz w:val="11"/>
                <w:szCs w:val="11"/>
                <w:b w:val="1"/>
                <w:bCs w:val="1"/>
                <w:color w:val="58595B"/>
              </w:rPr>
              <w:t>Awards:</w:t>
            </w:r>
          </w:p>
        </w:tc>
        <w:tc>
          <w:tcPr>
            <w:tcW w:w="800" w:type="dxa"/>
            <w:vAlign w:val="bottom"/>
            <w:shd w:val="clear" w:color="auto" w:fill="EFEDED"/>
          </w:tcPr>
          <w:p>
            <w:pPr>
              <w:jc w:val="center"/>
              <w:ind w:right="6"/>
              <w:spacing w:after="0"/>
              <w:rPr>
                <w:sz w:val="20"/>
                <w:szCs w:val="20"/>
                <w:color w:val="auto"/>
              </w:rPr>
            </w:pPr>
            <w:r>
              <w:rPr>
                <w:rFonts w:ascii="Arial" w:cs="Arial" w:eastAsia="Arial" w:hAnsi="Arial"/>
                <w:sz w:val="11"/>
                <w:szCs w:val="11"/>
                <w:b w:val="1"/>
                <w:bCs w:val="1"/>
                <w:color w:val="58595B"/>
                <w:w w:val="96"/>
              </w:rPr>
              <w:t>Awards:</w:t>
            </w:r>
          </w:p>
        </w:tc>
        <w:tc>
          <w:tcPr>
            <w:tcW w:w="680" w:type="dxa"/>
            <w:vAlign w:val="bottom"/>
            <w:shd w:val="clear" w:color="auto" w:fill="EFEDED"/>
          </w:tcPr>
          <w:p>
            <w:pPr>
              <w:jc w:val="center"/>
              <w:ind w:right="26"/>
              <w:spacing w:after="0"/>
              <w:rPr>
                <w:sz w:val="20"/>
                <w:szCs w:val="20"/>
                <w:color w:val="auto"/>
              </w:rPr>
            </w:pPr>
            <w:r>
              <w:rPr>
                <w:rFonts w:ascii="Arial" w:cs="Arial" w:eastAsia="Arial" w:hAnsi="Arial"/>
                <w:sz w:val="11"/>
                <w:szCs w:val="11"/>
                <w:b w:val="1"/>
                <w:bCs w:val="1"/>
                <w:color w:val="58595B"/>
                <w:w w:val="97"/>
              </w:rPr>
              <w:t>Exercise</w:t>
            </w:r>
          </w:p>
        </w:tc>
        <w:tc>
          <w:tcPr>
            <w:tcW w:w="900" w:type="dxa"/>
            <w:vAlign w:val="bottom"/>
            <w:shd w:val="clear" w:color="auto" w:fill="EFEDED"/>
          </w:tcPr>
          <w:p>
            <w:pPr>
              <w:jc w:val="center"/>
              <w:ind w:right="106"/>
              <w:spacing w:after="0"/>
              <w:rPr>
                <w:sz w:val="20"/>
                <w:szCs w:val="20"/>
                <w:color w:val="auto"/>
              </w:rPr>
            </w:pPr>
            <w:r>
              <w:rPr>
                <w:rFonts w:ascii="Arial" w:cs="Arial" w:eastAsia="Arial" w:hAnsi="Arial"/>
                <w:sz w:val="11"/>
                <w:szCs w:val="11"/>
                <w:b w:val="1"/>
                <w:bCs w:val="1"/>
                <w:color w:val="58595B"/>
                <w:w w:val="94"/>
              </w:rPr>
              <w:t>Fair Value</w:t>
            </w:r>
          </w:p>
        </w:tc>
      </w:tr>
      <w:tr>
        <w:trPr>
          <w:trHeight w:val="135"/>
        </w:trPr>
        <w:tc>
          <w:tcPr>
            <w:tcW w:w="1380" w:type="dxa"/>
            <w:vAlign w:val="bottom"/>
            <w:shd w:val="clear" w:color="auto" w:fill="EFEDED"/>
          </w:tcPr>
          <w:p>
            <w:pPr>
              <w:spacing w:after="0"/>
              <w:rPr>
                <w:sz w:val="11"/>
                <w:szCs w:val="11"/>
                <w:color w:val="auto"/>
              </w:rPr>
            </w:pPr>
          </w:p>
        </w:tc>
        <w:tc>
          <w:tcPr>
            <w:tcW w:w="820" w:type="dxa"/>
            <w:vAlign w:val="bottom"/>
            <w:shd w:val="clear" w:color="auto" w:fill="EFEDED"/>
          </w:tcPr>
          <w:p>
            <w:pPr>
              <w:spacing w:after="0"/>
              <w:rPr>
                <w:sz w:val="11"/>
                <w:szCs w:val="11"/>
                <w:color w:val="auto"/>
              </w:rPr>
            </w:pPr>
          </w:p>
        </w:tc>
        <w:tc>
          <w:tcPr>
            <w:tcW w:w="820" w:type="dxa"/>
            <w:vAlign w:val="bottom"/>
            <w:shd w:val="clear" w:color="auto" w:fill="EFEDED"/>
          </w:tcPr>
          <w:p>
            <w:pPr>
              <w:spacing w:after="0"/>
              <w:rPr>
                <w:sz w:val="11"/>
                <w:szCs w:val="11"/>
                <w:color w:val="auto"/>
              </w:rPr>
            </w:pPr>
          </w:p>
        </w:tc>
        <w:tc>
          <w:tcPr>
            <w:tcW w:w="720" w:type="dxa"/>
            <w:vAlign w:val="bottom"/>
            <w:shd w:val="clear" w:color="auto" w:fill="EFEDED"/>
          </w:tcPr>
          <w:p>
            <w:pPr>
              <w:spacing w:after="0"/>
              <w:rPr>
                <w:sz w:val="11"/>
                <w:szCs w:val="11"/>
                <w:color w:val="auto"/>
              </w:rPr>
            </w:pPr>
          </w:p>
        </w:tc>
        <w:tc>
          <w:tcPr>
            <w:tcW w:w="2220" w:type="dxa"/>
            <w:vAlign w:val="bottom"/>
            <w:tcBorders>
              <w:right w:val="single" w:sz="8" w:color="58595B"/>
            </w:tcBorders>
            <w:gridSpan w:val="3"/>
            <w:shd w:val="clear" w:color="auto" w:fill="EFEDED"/>
          </w:tcPr>
          <w:p>
            <w:pPr>
              <w:jc w:val="center"/>
              <w:spacing w:after="0"/>
              <w:rPr>
                <w:sz w:val="20"/>
                <w:szCs w:val="20"/>
                <w:color w:val="auto"/>
              </w:rPr>
            </w:pPr>
            <w:r>
              <w:rPr>
                <w:rFonts w:ascii="Arial" w:cs="Arial" w:eastAsia="Arial" w:hAnsi="Arial"/>
                <w:sz w:val="11"/>
                <w:szCs w:val="11"/>
                <w:b w:val="1"/>
                <w:bCs w:val="1"/>
                <w:color w:val="58595B"/>
                <w:w w:val="97"/>
              </w:rPr>
              <w:t>Estimated Future Payouts Under</w:t>
            </w:r>
          </w:p>
        </w:tc>
        <w:tc>
          <w:tcPr>
            <w:tcW w:w="2080" w:type="dxa"/>
            <w:vAlign w:val="bottom"/>
            <w:gridSpan w:val="3"/>
            <w:shd w:val="clear" w:color="auto" w:fill="EFEDED"/>
          </w:tcPr>
          <w:p>
            <w:pPr>
              <w:jc w:val="center"/>
              <w:spacing w:after="0"/>
              <w:rPr>
                <w:sz w:val="20"/>
                <w:szCs w:val="20"/>
                <w:color w:val="auto"/>
              </w:rPr>
            </w:pPr>
            <w:r>
              <w:rPr>
                <w:rFonts w:ascii="Arial" w:cs="Arial" w:eastAsia="Arial" w:hAnsi="Arial"/>
                <w:sz w:val="11"/>
                <w:szCs w:val="11"/>
                <w:b w:val="1"/>
                <w:bCs w:val="1"/>
                <w:color w:val="58595B"/>
                <w:w w:val="97"/>
              </w:rPr>
              <w:t>Estimated Future Payouts</w:t>
            </w:r>
          </w:p>
        </w:tc>
        <w:tc>
          <w:tcPr>
            <w:tcW w:w="820" w:type="dxa"/>
            <w:vAlign w:val="bottom"/>
            <w:shd w:val="clear" w:color="auto" w:fill="EFEDED"/>
          </w:tcPr>
          <w:p>
            <w:pPr>
              <w:jc w:val="center"/>
              <w:spacing w:after="0"/>
              <w:rPr>
                <w:sz w:val="20"/>
                <w:szCs w:val="20"/>
                <w:color w:val="auto"/>
              </w:rPr>
            </w:pPr>
            <w:r>
              <w:rPr>
                <w:rFonts w:ascii="Arial" w:cs="Arial" w:eastAsia="Arial" w:hAnsi="Arial"/>
                <w:sz w:val="11"/>
                <w:szCs w:val="11"/>
                <w:b w:val="1"/>
                <w:bCs w:val="1"/>
                <w:color w:val="58595B"/>
                <w:w w:val="98"/>
              </w:rPr>
              <w:t>Number of</w:t>
            </w:r>
          </w:p>
        </w:tc>
        <w:tc>
          <w:tcPr>
            <w:tcW w:w="800" w:type="dxa"/>
            <w:vAlign w:val="bottom"/>
            <w:shd w:val="clear" w:color="auto" w:fill="EFEDED"/>
          </w:tcPr>
          <w:p>
            <w:pPr>
              <w:jc w:val="center"/>
              <w:spacing w:after="0"/>
              <w:rPr>
                <w:sz w:val="20"/>
                <w:szCs w:val="20"/>
                <w:color w:val="auto"/>
              </w:rPr>
            </w:pPr>
            <w:r>
              <w:rPr>
                <w:rFonts w:ascii="Arial" w:cs="Arial" w:eastAsia="Arial" w:hAnsi="Arial"/>
                <w:sz w:val="11"/>
                <w:szCs w:val="11"/>
                <w:b w:val="1"/>
                <w:bCs w:val="1"/>
                <w:color w:val="58595B"/>
              </w:rPr>
              <w:t>Number of</w:t>
            </w:r>
          </w:p>
        </w:tc>
        <w:tc>
          <w:tcPr>
            <w:tcW w:w="680" w:type="dxa"/>
            <w:vAlign w:val="bottom"/>
            <w:shd w:val="clear" w:color="auto" w:fill="EFEDED"/>
          </w:tcPr>
          <w:p>
            <w:pPr>
              <w:jc w:val="center"/>
              <w:ind w:right="26"/>
              <w:spacing w:after="0"/>
              <w:rPr>
                <w:sz w:val="20"/>
                <w:szCs w:val="20"/>
                <w:color w:val="auto"/>
              </w:rPr>
            </w:pPr>
            <w:r>
              <w:rPr>
                <w:rFonts w:ascii="Arial" w:cs="Arial" w:eastAsia="Arial" w:hAnsi="Arial"/>
                <w:sz w:val="11"/>
                <w:szCs w:val="11"/>
                <w:b w:val="1"/>
                <w:bCs w:val="1"/>
                <w:color w:val="58595B"/>
                <w:w w:val="99"/>
              </w:rPr>
              <w:t>or Base</w:t>
            </w:r>
          </w:p>
        </w:tc>
        <w:tc>
          <w:tcPr>
            <w:tcW w:w="900" w:type="dxa"/>
            <w:vAlign w:val="bottom"/>
            <w:shd w:val="clear" w:color="auto" w:fill="EFEDED"/>
          </w:tcPr>
          <w:p>
            <w:pPr>
              <w:jc w:val="center"/>
              <w:ind w:right="106"/>
              <w:spacing w:after="0"/>
              <w:rPr>
                <w:sz w:val="20"/>
                <w:szCs w:val="20"/>
                <w:color w:val="auto"/>
              </w:rPr>
            </w:pPr>
            <w:r>
              <w:rPr>
                <w:rFonts w:ascii="Arial" w:cs="Arial" w:eastAsia="Arial" w:hAnsi="Arial"/>
                <w:sz w:val="11"/>
                <w:szCs w:val="11"/>
                <w:b w:val="1"/>
                <w:bCs w:val="1"/>
                <w:color w:val="58595B"/>
                <w:w w:val="96"/>
              </w:rPr>
              <w:t>of Stock</w:t>
            </w:r>
          </w:p>
        </w:tc>
      </w:tr>
      <w:tr>
        <w:trPr>
          <w:trHeight w:val="122"/>
        </w:trPr>
        <w:tc>
          <w:tcPr>
            <w:tcW w:w="1380" w:type="dxa"/>
            <w:vAlign w:val="bottom"/>
            <w:shd w:val="clear" w:color="auto" w:fill="EFEDED"/>
          </w:tcPr>
          <w:p>
            <w:pPr>
              <w:spacing w:after="0"/>
              <w:rPr>
                <w:sz w:val="10"/>
                <w:szCs w:val="10"/>
                <w:color w:val="auto"/>
              </w:rPr>
            </w:pPr>
          </w:p>
        </w:tc>
        <w:tc>
          <w:tcPr>
            <w:tcW w:w="820" w:type="dxa"/>
            <w:vAlign w:val="bottom"/>
            <w:shd w:val="clear" w:color="auto" w:fill="EFEDED"/>
          </w:tcPr>
          <w:p>
            <w:pPr>
              <w:spacing w:after="0"/>
              <w:rPr>
                <w:sz w:val="10"/>
                <w:szCs w:val="10"/>
                <w:color w:val="auto"/>
              </w:rPr>
            </w:pPr>
          </w:p>
        </w:tc>
        <w:tc>
          <w:tcPr>
            <w:tcW w:w="820" w:type="dxa"/>
            <w:vAlign w:val="bottom"/>
            <w:shd w:val="clear" w:color="auto" w:fill="EFEDED"/>
          </w:tcPr>
          <w:p>
            <w:pPr>
              <w:spacing w:after="0"/>
              <w:rPr>
                <w:sz w:val="10"/>
                <w:szCs w:val="10"/>
                <w:color w:val="auto"/>
              </w:rPr>
            </w:pPr>
          </w:p>
        </w:tc>
        <w:tc>
          <w:tcPr>
            <w:tcW w:w="720" w:type="dxa"/>
            <w:vAlign w:val="bottom"/>
            <w:shd w:val="clear" w:color="auto" w:fill="EFEDED"/>
          </w:tcPr>
          <w:p>
            <w:pPr>
              <w:jc w:val="center"/>
              <w:spacing w:after="0" w:line="122" w:lineRule="exact"/>
              <w:rPr>
                <w:sz w:val="20"/>
                <w:szCs w:val="20"/>
                <w:color w:val="auto"/>
              </w:rPr>
            </w:pPr>
            <w:r>
              <w:rPr>
                <w:rFonts w:ascii="Arial" w:cs="Arial" w:eastAsia="Arial" w:hAnsi="Arial"/>
                <w:sz w:val="11"/>
                <w:szCs w:val="11"/>
                <w:b w:val="1"/>
                <w:bCs w:val="1"/>
                <w:color w:val="58595B"/>
                <w:w w:val="96"/>
              </w:rPr>
              <w:t>Date of</w:t>
            </w:r>
          </w:p>
        </w:tc>
        <w:tc>
          <w:tcPr>
            <w:tcW w:w="2220" w:type="dxa"/>
            <w:vAlign w:val="bottom"/>
            <w:tcBorders>
              <w:right w:val="single" w:sz="8" w:color="58595B"/>
            </w:tcBorders>
            <w:gridSpan w:val="3"/>
            <w:shd w:val="clear" w:color="auto" w:fill="EFEDED"/>
          </w:tcPr>
          <w:p>
            <w:pPr>
              <w:jc w:val="center"/>
              <w:spacing w:after="0" w:line="122" w:lineRule="exact"/>
              <w:rPr>
                <w:sz w:val="20"/>
                <w:szCs w:val="20"/>
                <w:color w:val="auto"/>
              </w:rPr>
            </w:pPr>
            <w:r>
              <w:rPr>
                <w:rFonts w:ascii="Arial" w:cs="Arial" w:eastAsia="Arial" w:hAnsi="Arial"/>
                <w:sz w:val="11"/>
                <w:szCs w:val="11"/>
                <w:b w:val="1"/>
                <w:bCs w:val="1"/>
                <w:color w:val="58595B"/>
                <w:w w:val="98"/>
              </w:rPr>
              <w:t>Non-Equity Incentive Plan</w:t>
            </w:r>
          </w:p>
        </w:tc>
        <w:tc>
          <w:tcPr>
            <w:tcW w:w="680" w:type="dxa"/>
            <w:vAlign w:val="bottom"/>
            <w:shd w:val="clear" w:color="auto" w:fill="EFEDED"/>
          </w:tcPr>
          <w:p>
            <w:pPr>
              <w:spacing w:after="0"/>
              <w:rPr>
                <w:sz w:val="10"/>
                <w:szCs w:val="10"/>
                <w:color w:val="auto"/>
              </w:rPr>
            </w:pPr>
          </w:p>
        </w:tc>
        <w:tc>
          <w:tcPr>
            <w:tcW w:w="740" w:type="dxa"/>
            <w:vAlign w:val="bottom"/>
            <w:shd w:val="clear" w:color="auto" w:fill="EFEDED"/>
          </w:tcPr>
          <w:p>
            <w:pPr>
              <w:jc w:val="center"/>
              <w:spacing w:after="0" w:line="122" w:lineRule="exact"/>
              <w:rPr>
                <w:sz w:val="20"/>
                <w:szCs w:val="20"/>
                <w:color w:val="auto"/>
              </w:rPr>
            </w:pPr>
            <w:r>
              <w:rPr>
                <w:rFonts w:ascii="Arial" w:cs="Arial" w:eastAsia="Arial" w:hAnsi="Arial"/>
                <w:sz w:val="11"/>
                <w:szCs w:val="11"/>
                <w:b w:val="1"/>
                <w:bCs w:val="1"/>
                <w:color w:val="58595B"/>
                <w:w w:val="99"/>
              </w:rPr>
              <w:t>Under Equity</w:t>
            </w:r>
          </w:p>
        </w:tc>
        <w:tc>
          <w:tcPr>
            <w:tcW w:w="660" w:type="dxa"/>
            <w:vAlign w:val="bottom"/>
            <w:shd w:val="clear" w:color="auto" w:fill="EFEDED"/>
          </w:tcPr>
          <w:p>
            <w:pPr>
              <w:spacing w:after="0"/>
              <w:rPr>
                <w:sz w:val="10"/>
                <w:szCs w:val="10"/>
                <w:color w:val="auto"/>
              </w:rPr>
            </w:pPr>
          </w:p>
        </w:tc>
        <w:tc>
          <w:tcPr>
            <w:tcW w:w="820" w:type="dxa"/>
            <w:vAlign w:val="bottom"/>
            <w:shd w:val="clear" w:color="auto" w:fill="EFEDED"/>
          </w:tcPr>
          <w:p>
            <w:pPr>
              <w:jc w:val="center"/>
              <w:spacing w:after="0" w:line="122" w:lineRule="exact"/>
              <w:rPr>
                <w:sz w:val="20"/>
                <w:szCs w:val="20"/>
                <w:color w:val="auto"/>
              </w:rPr>
            </w:pPr>
            <w:r>
              <w:rPr>
                <w:rFonts w:ascii="Arial" w:cs="Arial" w:eastAsia="Arial" w:hAnsi="Arial"/>
                <w:sz w:val="11"/>
                <w:szCs w:val="11"/>
                <w:b w:val="1"/>
                <w:bCs w:val="1"/>
                <w:color w:val="58595B"/>
                <w:w w:val="95"/>
              </w:rPr>
              <w:t>Shares of</w:t>
            </w:r>
          </w:p>
        </w:tc>
        <w:tc>
          <w:tcPr>
            <w:tcW w:w="800" w:type="dxa"/>
            <w:vAlign w:val="bottom"/>
            <w:shd w:val="clear" w:color="auto" w:fill="EFEDED"/>
          </w:tcPr>
          <w:p>
            <w:pPr>
              <w:jc w:val="center"/>
              <w:spacing w:after="0" w:line="122" w:lineRule="exact"/>
              <w:rPr>
                <w:sz w:val="20"/>
                <w:szCs w:val="20"/>
                <w:color w:val="auto"/>
              </w:rPr>
            </w:pPr>
            <w:r>
              <w:rPr>
                <w:rFonts w:ascii="Arial" w:cs="Arial" w:eastAsia="Arial" w:hAnsi="Arial"/>
                <w:sz w:val="11"/>
                <w:szCs w:val="11"/>
                <w:b w:val="1"/>
                <w:bCs w:val="1"/>
                <w:color w:val="58595B"/>
                <w:w w:val="98"/>
              </w:rPr>
              <w:t>Securities</w:t>
            </w:r>
          </w:p>
        </w:tc>
        <w:tc>
          <w:tcPr>
            <w:tcW w:w="680" w:type="dxa"/>
            <w:vAlign w:val="bottom"/>
            <w:shd w:val="clear" w:color="auto" w:fill="EFEDED"/>
          </w:tcPr>
          <w:p>
            <w:pPr>
              <w:jc w:val="center"/>
              <w:ind w:right="26"/>
              <w:spacing w:after="0" w:line="122" w:lineRule="exact"/>
              <w:rPr>
                <w:sz w:val="20"/>
                <w:szCs w:val="20"/>
                <w:color w:val="auto"/>
              </w:rPr>
            </w:pPr>
            <w:r>
              <w:rPr>
                <w:rFonts w:ascii="Arial" w:cs="Arial" w:eastAsia="Arial" w:hAnsi="Arial"/>
                <w:sz w:val="11"/>
                <w:szCs w:val="11"/>
                <w:b w:val="1"/>
                <w:bCs w:val="1"/>
                <w:color w:val="58595B"/>
                <w:w w:val="99"/>
              </w:rPr>
              <w:t>Price of</w:t>
            </w:r>
          </w:p>
        </w:tc>
        <w:tc>
          <w:tcPr>
            <w:tcW w:w="900" w:type="dxa"/>
            <w:vAlign w:val="bottom"/>
            <w:shd w:val="clear" w:color="auto" w:fill="EFEDED"/>
          </w:tcPr>
          <w:p>
            <w:pPr>
              <w:jc w:val="center"/>
              <w:ind w:right="106"/>
              <w:spacing w:after="0" w:line="122" w:lineRule="exact"/>
              <w:rPr>
                <w:sz w:val="20"/>
                <w:szCs w:val="20"/>
                <w:color w:val="auto"/>
              </w:rPr>
            </w:pPr>
            <w:r>
              <w:rPr>
                <w:rFonts w:ascii="Arial" w:cs="Arial" w:eastAsia="Arial" w:hAnsi="Arial"/>
                <w:sz w:val="11"/>
                <w:szCs w:val="11"/>
                <w:b w:val="1"/>
                <w:bCs w:val="1"/>
                <w:color w:val="58595B"/>
                <w:w w:val="91"/>
              </w:rPr>
              <w:t>and</w:t>
            </w:r>
          </w:p>
        </w:tc>
      </w:tr>
      <w:tr>
        <w:trPr>
          <w:trHeight w:val="169"/>
        </w:trPr>
        <w:tc>
          <w:tcPr>
            <w:tcW w:w="1380" w:type="dxa"/>
            <w:vAlign w:val="bottom"/>
            <w:tcBorders>
              <w:bottom w:val="single" w:sz="8" w:color="EFEDED"/>
            </w:tcBorders>
            <w:shd w:val="clear" w:color="auto" w:fill="EFEDED"/>
          </w:tcPr>
          <w:p>
            <w:pPr>
              <w:spacing w:after="0"/>
              <w:rPr>
                <w:sz w:val="14"/>
                <w:szCs w:val="14"/>
                <w:color w:val="auto"/>
              </w:rPr>
            </w:pPr>
          </w:p>
        </w:tc>
        <w:tc>
          <w:tcPr>
            <w:tcW w:w="820" w:type="dxa"/>
            <w:vAlign w:val="bottom"/>
            <w:tcBorders>
              <w:bottom w:val="single" w:sz="8" w:color="EFEDED"/>
            </w:tcBorders>
            <w:shd w:val="clear" w:color="auto" w:fill="EFEDED"/>
          </w:tcPr>
          <w:p>
            <w:pPr>
              <w:spacing w:after="0"/>
              <w:rPr>
                <w:sz w:val="14"/>
                <w:szCs w:val="14"/>
                <w:color w:val="auto"/>
              </w:rPr>
            </w:pPr>
          </w:p>
        </w:tc>
        <w:tc>
          <w:tcPr>
            <w:tcW w:w="820" w:type="dxa"/>
            <w:vAlign w:val="bottom"/>
            <w:tcBorders>
              <w:bottom w:val="single" w:sz="8" w:color="EFEDED"/>
            </w:tcBorders>
            <w:shd w:val="clear" w:color="auto" w:fill="EFEDED"/>
          </w:tcPr>
          <w:p>
            <w:pPr>
              <w:spacing w:after="0"/>
              <w:rPr>
                <w:sz w:val="14"/>
                <w:szCs w:val="14"/>
                <w:color w:val="auto"/>
              </w:rPr>
            </w:pPr>
          </w:p>
        </w:tc>
        <w:tc>
          <w:tcPr>
            <w:tcW w:w="7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1"/>
                <w:szCs w:val="11"/>
                <w:b w:val="1"/>
                <w:bCs w:val="1"/>
                <w:color w:val="58595B"/>
                <w:w w:val="95"/>
              </w:rPr>
              <w:t>Board or</w:t>
            </w:r>
          </w:p>
        </w:tc>
        <w:tc>
          <w:tcPr>
            <w:tcW w:w="760" w:type="dxa"/>
            <w:vAlign w:val="bottom"/>
            <w:tcBorders>
              <w:bottom w:val="single" w:sz="8" w:color="58595B"/>
            </w:tcBorders>
            <w:shd w:val="clear" w:color="auto" w:fill="EFEDED"/>
          </w:tcPr>
          <w:p>
            <w:pPr>
              <w:spacing w:after="0"/>
              <w:rPr>
                <w:sz w:val="14"/>
                <w:szCs w:val="14"/>
                <w:color w:val="auto"/>
              </w:rPr>
            </w:pPr>
          </w:p>
        </w:tc>
        <w:tc>
          <w:tcPr>
            <w:tcW w:w="72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1"/>
                <w:szCs w:val="11"/>
                <w:b w:val="1"/>
                <w:bCs w:val="1"/>
                <w:color w:val="58595B"/>
                <w:w w:val="97"/>
              </w:rPr>
              <w:t>Awards(1)</w:t>
            </w:r>
          </w:p>
        </w:tc>
        <w:tc>
          <w:tcPr>
            <w:tcW w:w="740" w:type="dxa"/>
            <w:vAlign w:val="bottom"/>
            <w:tcBorders>
              <w:bottom w:val="single" w:sz="8" w:color="58595B"/>
              <w:right w:val="single" w:sz="8" w:color="58595B"/>
            </w:tcBorders>
            <w:shd w:val="clear" w:color="auto" w:fill="EFEDED"/>
          </w:tcPr>
          <w:p>
            <w:pPr>
              <w:spacing w:after="0"/>
              <w:rPr>
                <w:sz w:val="14"/>
                <w:szCs w:val="14"/>
                <w:color w:val="auto"/>
              </w:rPr>
            </w:pPr>
          </w:p>
        </w:tc>
        <w:tc>
          <w:tcPr>
            <w:tcW w:w="2080" w:type="dxa"/>
            <w:vAlign w:val="bottom"/>
            <w:tcBorders>
              <w:bottom w:val="single" w:sz="8" w:color="58595B"/>
            </w:tcBorders>
            <w:gridSpan w:val="3"/>
            <w:shd w:val="clear" w:color="auto" w:fill="EFEDED"/>
          </w:tcPr>
          <w:p>
            <w:pPr>
              <w:jc w:val="center"/>
              <w:spacing w:after="0"/>
              <w:rPr>
                <w:sz w:val="20"/>
                <w:szCs w:val="20"/>
                <w:color w:val="auto"/>
              </w:rPr>
            </w:pPr>
            <w:r>
              <w:rPr>
                <w:rFonts w:ascii="Arial" w:cs="Arial" w:eastAsia="Arial" w:hAnsi="Arial"/>
                <w:sz w:val="11"/>
                <w:szCs w:val="11"/>
                <w:b w:val="1"/>
                <w:bCs w:val="1"/>
                <w:color w:val="58595B"/>
                <w:w w:val="97"/>
              </w:rPr>
              <w:t>Incentive Plan Awards(2)(4)</w:t>
            </w:r>
          </w:p>
        </w:tc>
        <w:tc>
          <w:tcPr>
            <w:tcW w:w="8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1"/>
                <w:szCs w:val="11"/>
                <w:b w:val="1"/>
                <w:bCs w:val="1"/>
                <w:color w:val="58595B"/>
                <w:w w:val="99"/>
              </w:rPr>
              <w:t>Stock or</w:t>
            </w:r>
          </w:p>
        </w:tc>
        <w:tc>
          <w:tcPr>
            <w:tcW w:w="8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1"/>
                <w:szCs w:val="11"/>
                <w:b w:val="1"/>
                <w:bCs w:val="1"/>
                <w:color w:val="58595B"/>
                <w:w w:val="97"/>
              </w:rPr>
              <w:t>Underlying</w:t>
            </w:r>
          </w:p>
        </w:tc>
        <w:tc>
          <w:tcPr>
            <w:tcW w:w="680" w:type="dxa"/>
            <w:vAlign w:val="bottom"/>
            <w:tcBorders>
              <w:bottom w:val="single" w:sz="8" w:color="EFEDED"/>
            </w:tcBorders>
            <w:shd w:val="clear" w:color="auto" w:fill="EFEDED"/>
          </w:tcPr>
          <w:p>
            <w:pPr>
              <w:jc w:val="center"/>
              <w:ind w:right="26"/>
              <w:spacing w:after="0"/>
              <w:rPr>
                <w:sz w:val="20"/>
                <w:szCs w:val="20"/>
                <w:color w:val="auto"/>
              </w:rPr>
            </w:pPr>
            <w:r>
              <w:rPr>
                <w:rFonts w:ascii="Arial" w:cs="Arial" w:eastAsia="Arial" w:hAnsi="Arial"/>
                <w:sz w:val="11"/>
                <w:szCs w:val="11"/>
                <w:b w:val="1"/>
                <w:bCs w:val="1"/>
                <w:color w:val="58595B"/>
              </w:rPr>
              <w:t>Option</w:t>
            </w:r>
          </w:p>
        </w:tc>
        <w:tc>
          <w:tcPr>
            <w:tcW w:w="900" w:type="dxa"/>
            <w:vAlign w:val="bottom"/>
            <w:tcBorders>
              <w:bottom w:val="single" w:sz="8" w:color="EFEDED"/>
            </w:tcBorders>
            <w:shd w:val="clear" w:color="auto" w:fill="EFEDED"/>
          </w:tcPr>
          <w:p>
            <w:pPr>
              <w:jc w:val="center"/>
              <w:ind w:right="106"/>
              <w:spacing w:after="0"/>
              <w:rPr>
                <w:sz w:val="20"/>
                <w:szCs w:val="20"/>
                <w:color w:val="auto"/>
              </w:rPr>
            </w:pPr>
            <w:r>
              <w:rPr>
                <w:rFonts w:ascii="Arial" w:cs="Arial" w:eastAsia="Arial" w:hAnsi="Arial"/>
                <w:sz w:val="11"/>
                <w:szCs w:val="11"/>
                <w:b w:val="1"/>
                <w:bCs w:val="1"/>
                <w:color w:val="58595B"/>
                <w:w w:val="95"/>
              </w:rPr>
              <w:t>Option</w:t>
            </w:r>
          </w:p>
        </w:tc>
      </w:tr>
      <w:tr>
        <w:trPr>
          <w:trHeight w:val="149"/>
        </w:trPr>
        <w:tc>
          <w:tcPr>
            <w:tcW w:w="1380" w:type="dxa"/>
            <w:vAlign w:val="bottom"/>
            <w:shd w:val="clear" w:color="auto" w:fill="EFEDED"/>
          </w:tcPr>
          <w:p>
            <w:pPr>
              <w:spacing w:after="0"/>
              <w:rPr>
                <w:sz w:val="12"/>
                <w:szCs w:val="12"/>
                <w:color w:val="auto"/>
              </w:rPr>
            </w:pPr>
          </w:p>
        </w:tc>
        <w:tc>
          <w:tcPr>
            <w:tcW w:w="820" w:type="dxa"/>
            <w:vAlign w:val="bottom"/>
            <w:shd w:val="clear" w:color="auto" w:fill="EFEDED"/>
          </w:tcPr>
          <w:p>
            <w:pPr>
              <w:spacing w:after="0"/>
              <w:rPr>
                <w:sz w:val="12"/>
                <w:szCs w:val="12"/>
                <w:color w:val="auto"/>
              </w:rPr>
            </w:pPr>
          </w:p>
        </w:tc>
        <w:tc>
          <w:tcPr>
            <w:tcW w:w="820" w:type="dxa"/>
            <w:vAlign w:val="bottom"/>
            <w:shd w:val="clear" w:color="auto" w:fill="EFEDED"/>
          </w:tcPr>
          <w:p>
            <w:pPr>
              <w:jc w:val="center"/>
              <w:spacing w:after="0"/>
              <w:rPr>
                <w:sz w:val="20"/>
                <w:szCs w:val="20"/>
                <w:color w:val="auto"/>
              </w:rPr>
            </w:pPr>
            <w:r>
              <w:rPr>
                <w:rFonts w:ascii="Arial" w:cs="Arial" w:eastAsia="Arial" w:hAnsi="Arial"/>
                <w:sz w:val="11"/>
                <w:szCs w:val="11"/>
                <w:b w:val="1"/>
                <w:bCs w:val="1"/>
                <w:color w:val="58595B"/>
              </w:rPr>
              <w:t>Grant</w:t>
            </w:r>
          </w:p>
        </w:tc>
        <w:tc>
          <w:tcPr>
            <w:tcW w:w="720" w:type="dxa"/>
            <w:vAlign w:val="bottom"/>
            <w:shd w:val="clear" w:color="auto" w:fill="EFEDED"/>
          </w:tcPr>
          <w:p>
            <w:pPr>
              <w:jc w:val="center"/>
              <w:ind w:right="6"/>
              <w:spacing w:after="0"/>
              <w:rPr>
                <w:sz w:val="20"/>
                <w:szCs w:val="20"/>
                <w:color w:val="auto"/>
              </w:rPr>
            </w:pPr>
            <w:r>
              <w:rPr>
                <w:rFonts w:ascii="Arial" w:cs="Arial" w:eastAsia="Arial" w:hAnsi="Arial"/>
                <w:sz w:val="11"/>
                <w:szCs w:val="11"/>
                <w:b w:val="1"/>
                <w:bCs w:val="1"/>
                <w:color w:val="58595B"/>
                <w:w w:val="99"/>
              </w:rPr>
              <w:t>Comp.</w:t>
            </w:r>
          </w:p>
        </w:tc>
        <w:tc>
          <w:tcPr>
            <w:tcW w:w="760" w:type="dxa"/>
            <w:vAlign w:val="bottom"/>
            <w:shd w:val="clear" w:color="auto" w:fill="EFEDED"/>
          </w:tcPr>
          <w:p>
            <w:pPr>
              <w:jc w:val="right"/>
              <w:ind w:right="86"/>
              <w:spacing w:after="0"/>
              <w:rPr>
                <w:sz w:val="20"/>
                <w:szCs w:val="20"/>
                <w:color w:val="auto"/>
              </w:rPr>
            </w:pPr>
            <w:r>
              <w:rPr>
                <w:rFonts w:ascii="Arial" w:cs="Arial" w:eastAsia="Arial" w:hAnsi="Arial"/>
                <w:sz w:val="11"/>
                <w:szCs w:val="11"/>
                <w:b w:val="1"/>
                <w:bCs w:val="1"/>
                <w:color w:val="58595B"/>
              </w:rPr>
              <w:t>Threshold</w:t>
            </w:r>
          </w:p>
        </w:tc>
        <w:tc>
          <w:tcPr>
            <w:tcW w:w="720" w:type="dxa"/>
            <w:vAlign w:val="bottom"/>
            <w:shd w:val="clear" w:color="auto" w:fill="EFEDED"/>
          </w:tcPr>
          <w:p>
            <w:pPr>
              <w:jc w:val="right"/>
              <w:ind w:right="186"/>
              <w:spacing w:after="0"/>
              <w:rPr>
                <w:sz w:val="20"/>
                <w:szCs w:val="20"/>
                <w:color w:val="auto"/>
              </w:rPr>
            </w:pPr>
            <w:r>
              <w:rPr>
                <w:rFonts w:ascii="Arial" w:cs="Arial" w:eastAsia="Arial" w:hAnsi="Arial"/>
                <w:sz w:val="11"/>
                <w:szCs w:val="11"/>
                <w:b w:val="1"/>
                <w:bCs w:val="1"/>
                <w:color w:val="58595B"/>
              </w:rPr>
              <w:t>Target</w:t>
            </w:r>
          </w:p>
        </w:tc>
        <w:tc>
          <w:tcPr>
            <w:tcW w:w="740" w:type="dxa"/>
            <w:vAlign w:val="bottom"/>
            <w:tcBorders>
              <w:right w:val="single" w:sz="8" w:color="EFEDED"/>
            </w:tcBorders>
            <w:shd w:val="clear" w:color="auto" w:fill="EFEDED"/>
          </w:tcPr>
          <w:p>
            <w:pPr>
              <w:jc w:val="right"/>
              <w:ind w:right="86"/>
              <w:spacing w:after="0"/>
              <w:rPr>
                <w:sz w:val="20"/>
                <w:szCs w:val="20"/>
                <w:color w:val="auto"/>
              </w:rPr>
            </w:pPr>
            <w:r>
              <w:rPr>
                <w:rFonts w:ascii="Arial" w:cs="Arial" w:eastAsia="Arial" w:hAnsi="Arial"/>
                <w:sz w:val="11"/>
                <w:szCs w:val="11"/>
                <w:b w:val="1"/>
                <w:bCs w:val="1"/>
                <w:color w:val="58595B"/>
              </w:rPr>
              <w:t>Maximum</w:t>
            </w:r>
          </w:p>
        </w:tc>
        <w:tc>
          <w:tcPr>
            <w:tcW w:w="680" w:type="dxa"/>
            <w:vAlign w:val="bottom"/>
            <w:shd w:val="clear" w:color="auto" w:fill="EFEDED"/>
          </w:tcPr>
          <w:p>
            <w:pPr>
              <w:jc w:val="center"/>
              <w:spacing w:after="0"/>
              <w:rPr>
                <w:sz w:val="20"/>
                <w:szCs w:val="20"/>
                <w:color w:val="auto"/>
              </w:rPr>
            </w:pPr>
            <w:r>
              <w:rPr>
                <w:rFonts w:ascii="Arial" w:cs="Arial" w:eastAsia="Arial" w:hAnsi="Arial"/>
                <w:sz w:val="11"/>
                <w:szCs w:val="11"/>
                <w:b w:val="1"/>
                <w:bCs w:val="1"/>
                <w:color w:val="58595B"/>
                <w:w w:val="97"/>
              </w:rPr>
              <w:t>Threshold</w:t>
            </w:r>
          </w:p>
        </w:tc>
        <w:tc>
          <w:tcPr>
            <w:tcW w:w="740" w:type="dxa"/>
            <w:vAlign w:val="bottom"/>
            <w:shd w:val="clear" w:color="auto" w:fill="EFEDED"/>
          </w:tcPr>
          <w:p>
            <w:pPr>
              <w:jc w:val="right"/>
              <w:ind w:right="206"/>
              <w:spacing w:after="0"/>
              <w:rPr>
                <w:sz w:val="20"/>
                <w:szCs w:val="20"/>
                <w:color w:val="auto"/>
              </w:rPr>
            </w:pPr>
            <w:r>
              <w:rPr>
                <w:rFonts w:ascii="Arial" w:cs="Arial" w:eastAsia="Arial" w:hAnsi="Arial"/>
                <w:sz w:val="11"/>
                <w:szCs w:val="11"/>
                <w:b w:val="1"/>
                <w:bCs w:val="1"/>
                <w:color w:val="58595B"/>
              </w:rPr>
              <w:t>Target</w:t>
            </w:r>
          </w:p>
        </w:tc>
        <w:tc>
          <w:tcPr>
            <w:tcW w:w="660" w:type="dxa"/>
            <w:vAlign w:val="bottom"/>
            <w:shd w:val="clear" w:color="auto" w:fill="EFEDED"/>
          </w:tcPr>
          <w:p>
            <w:pPr>
              <w:jc w:val="center"/>
              <w:ind w:right="66"/>
              <w:spacing w:after="0"/>
              <w:rPr>
                <w:sz w:val="20"/>
                <w:szCs w:val="20"/>
                <w:color w:val="auto"/>
              </w:rPr>
            </w:pPr>
            <w:r>
              <w:rPr>
                <w:rFonts w:ascii="Arial" w:cs="Arial" w:eastAsia="Arial" w:hAnsi="Arial"/>
                <w:sz w:val="11"/>
                <w:szCs w:val="11"/>
                <w:b w:val="1"/>
                <w:bCs w:val="1"/>
                <w:color w:val="58595B"/>
                <w:w w:val="98"/>
              </w:rPr>
              <w:t>Maximum</w:t>
            </w:r>
          </w:p>
        </w:tc>
        <w:tc>
          <w:tcPr>
            <w:tcW w:w="820" w:type="dxa"/>
            <w:vAlign w:val="bottom"/>
            <w:shd w:val="clear" w:color="auto" w:fill="EFEDED"/>
          </w:tcPr>
          <w:p>
            <w:pPr>
              <w:jc w:val="center"/>
              <w:spacing w:after="0"/>
              <w:rPr>
                <w:sz w:val="20"/>
                <w:szCs w:val="20"/>
                <w:color w:val="auto"/>
              </w:rPr>
            </w:pPr>
            <w:r>
              <w:rPr>
                <w:rFonts w:ascii="Arial" w:cs="Arial" w:eastAsia="Arial" w:hAnsi="Arial"/>
                <w:sz w:val="11"/>
                <w:szCs w:val="11"/>
                <w:b w:val="1"/>
                <w:bCs w:val="1"/>
                <w:color w:val="58595B"/>
                <w:w w:val="97"/>
              </w:rPr>
              <w:t>Units(3)</w:t>
            </w:r>
          </w:p>
        </w:tc>
        <w:tc>
          <w:tcPr>
            <w:tcW w:w="800" w:type="dxa"/>
            <w:vAlign w:val="bottom"/>
            <w:shd w:val="clear" w:color="auto" w:fill="EFEDED"/>
          </w:tcPr>
          <w:p>
            <w:pPr>
              <w:jc w:val="center"/>
              <w:spacing w:after="0"/>
              <w:rPr>
                <w:sz w:val="20"/>
                <w:szCs w:val="20"/>
                <w:color w:val="auto"/>
              </w:rPr>
            </w:pPr>
            <w:r>
              <w:rPr>
                <w:rFonts w:ascii="Arial" w:cs="Arial" w:eastAsia="Arial" w:hAnsi="Arial"/>
                <w:sz w:val="11"/>
                <w:szCs w:val="11"/>
                <w:b w:val="1"/>
                <w:bCs w:val="1"/>
                <w:color w:val="58595B"/>
                <w:w w:val="96"/>
              </w:rPr>
              <w:t>Options</w:t>
            </w:r>
          </w:p>
        </w:tc>
        <w:tc>
          <w:tcPr>
            <w:tcW w:w="680" w:type="dxa"/>
            <w:vAlign w:val="bottom"/>
            <w:shd w:val="clear" w:color="auto" w:fill="EFEDED"/>
          </w:tcPr>
          <w:p>
            <w:pPr>
              <w:jc w:val="center"/>
              <w:ind w:right="26"/>
              <w:spacing w:after="0"/>
              <w:rPr>
                <w:sz w:val="20"/>
                <w:szCs w:val="20"/>
                <w:color w:val="auto"/>
              </w:rPr>
            </w:pPr>
            <w:r>
              <w:rPr>
                <w:rFonts w:ascii="Arial" w:cs="Arial" w:eastAsia="Arial" w:hAnsi="Arial"/>
                <w:sz w:val="11"/>
                <w:szCs w:val="11"/>
                <w:b w:val="1"/>
                <w:bCs w:val="1"/>
                <w:color w:val="58595B"/>
              </w:rPr>
              <w:t>Awards</w:t>
            </w:r>
          </w:p>
        </w:tc>
        <w:tc>
          <w:tcPr>
            <w:tcW w:w="900" w:type="dxa"/>
            <w:vAlign w:val="bottom"/>
            <w:shd w:val="clear" w:color="auto" w:fill="EFEDED"/>
          </w:tcPr>
          <w:p>
            <w:pPr>
              <w:jc w:val="center"/>
              <w:ind w:right="126"/>
              <w:spacing w:after="0"/>
              <w:rPr>
                <w:sz w:val="20"/>
                <w:szCs w:val="20"/>
                <w:color w:val="auto"/>
              </w:rPr>
            </w:pPr>
            <w:r>
              <w:rPr>
                <w:rFonts w:ascii="Arial" w:cs="Arial" w:eastAsia="Arial" w:hAnsi="Arial"/>
                <w:sz w:val="11"/>
                <w:szCs w:val="11"/>
                <w:b w:val="1"/>
                <w:bCs w:val="1"/>
                <w:color w:val="58595B"/>
                <w:w w:val="97"/>
              </w:rPr>
              <w:t>Awards(5)</w:t>
            </w:r>
          </w:p>
        </w:tc>
      </w:tr>
      <w:tr>
        <w:trPr>
          <w:trHeight w:val="122"/>
        </w:trPr>
        <w:tc>
          <w:tcPr>
            <w:tcW w:w="1380" w:type="dxa"/>
            <w:vAlign w:val="bottom"/>
            <w:shd w:val="clear" w:color="auto" w:fill="EFEDED"/>
          </w:tcPr>
          <w:p>
            <w:pPr>
              <w:ind w:left="100"/>
              <w:spacing w:after="0" w:line="122" w:lineRule="exact"/>
              <w:rPr>
                <w:sz w:val="20"/>
                <w:szCs w:val="20"/>
                <w:color w:val="auto"/>
              </w:rPr>
            </w:pPr>
            <w:r>
              <w:rPr>
                <w:rFonts w:ascii="Arial" w:cs="Arial" w:eastAsia="Arial" w:hAnsi="Arial"/>
                <w:sz w:val="11"/>
                <w:szCs w:val="11"/>
                <w:b w:val="1"/>
                <w:bCs w:val="1"/>
                <w:color w:val="58595B"/>
              </w:rPr>
              <w:t>Name</w:t>
            </w:r>
          </w:p>
        </w:tc>
        <w:tc>
          <w:tcPr>
            <w:tcW w:w="820" w:type="dxa"/>
            <w:vAlign w:val="bottom"/>
            <w:shd w:val="clear" w:color="auto" w:fill="EFEDED"/>
          </w:tcPr>
          <w:p>
            <w:pPr>
              <w:ind w:left="260"/>
              <w:spacing w:after="0" w:line="122" w:lineRule="exact"/>
              <w:rPr>
                <w:sz w:val="20"/>
                <w:szCs w:val="20"/>
                <w:color w:val="auto"/>
              </w:rPr>
            </w:pPr>
            <w:r>
              <w:rPr>
                <w:rFonts w:ascii="Arial" w:cs="Arial" w:eastAsia="Arial" w:hAnsi="Arial"/>
                <w:sz w:val="11"/>
                <w:szCs w:val="11"/>
                <w:b w:val="1"/>
                <w:bCs w:val="1"/>
                <w:color w:val="58595B"/>
              </w:rPr>
              <w:t>Award</w:t>
            </w:r>
          </w:p>
        </w:tc>
        <w:tc>
          <w:tcPr>
            <w:tcW w:w="820" w:type="dxa"/>
            <w:vAlign w:val="bottom"/>
            <w:shd w:val="clear" w:color="auto" w:fill="EFEDED"/>
          </w:tcPr>
          <w:p>
            <w:pPr>
              <w:jc w:val="center"/>
              <w:ind w:right="6"/>
              <w:spacing w:after="0" w:line="122" w:lineRule="exact"/>
              <w:rPr>
                <w:sz w:val="20"/>
                <w:szCs w:val="20"/>
                <w:color w:val="auto"/>
              </w:rPr>
            </w:pPr>
            <w:r>
              <w:rPr>
                <w:rFonts w:ascii="Arial" w:cs="Arial" w:eastAsia="Arial" w:hAnsi="Arial"/>
                <w:sz w:val="11"/>
                <w:szCs w:val="11"/>
                <w:b w:val="1"/>
                <w:bCs w:val="1"/>
                <w:color w:val="58595B"/>
              </w:rPr>
              <w:t>Date</w:t>
            </w:r>
          </w:p>
        </w:tc>
        <w:tc>
          <w:tcPr>
            <w:tcW w:w="720" w:type="dxa"/>
            <w:vAlign w:val="bottom"/>
            <w:shd w:val="clear" w:color="auto" w:fill="EFEDED"/>
          </w:tcPr>
          <w:p>
            <w:pPr>
              <w:jc w:val="center"/>
              <w:spacing w:after="0" w:line="122" w:lineRule="exact"/>
              <w:rPr>
                <w:sz w:val="20"/>
                <w:szCs w:val="20"/>
                <w:color w:val="auto"/>
              </w:rPr>
            </w:pPr>
            <w:r>
              <w:rPr>
                <w:rFonts w:ascii="Arial" w:cs="Arial" w:eastAsia="Arial" w:hAnsi="Arial"/>
                <w:sz w:val="11"/>
                <w:szCs w:val="11"/>
                <w:b w:val="1"/>
                <w:bCs w:val="1"/>
                <w:color w:val="58595B"/>
                <w:w w:val="98"/>
              </w:rPr>
              <w:t>Committee</w:t>
            </w:r>
          </w:p>
        </w:tc>
        <w:tc>
          <w:tcPr>
            <w:tcW w:w="760" w:type="dxa"/>
            <w:vAlign w:val="bottom"/>
            <w:shd w:val="clear" w:color="auto" w:fill="EFEDED"/>
          </w:tcPr>
          <w:p>
            <w:pPr>
              <w:jc w:val="right"/>
              <w:ind w:right="266"/>
              <w:spacing w:after="0" w:line="122" w:lineRule="exact"/>
              <w:rPr>
                <w:sz w:val="20"/>
                <w:szCs w:val="20"/>
                <w:color w:val="auto"/>
              </w:rPr>
            </w:pPr>
            <w:r>
              <w:rPr>
                <w:rFonts w:ascii="Arial" w:cs="Arial" w:eastAsia="Arial" w:hAnsi="Arial"/>
                <w:sz w:val="11"/>
                <w:szCs w:val="11"/>
                <w:b w:val="1"/>
                <w:bCs w:val="1"/>
                <w:color w:val="58595B"/>
              </w:rPr>
              <w:t>($)</w:t>
            </w:r>
          </w:p>
        </w:tc>
        <w:tc>
          <w:tcPr>
            <w:tcW w:w="720" w:type="dxa"/>
            <w:vAlign w:val="bottom"/>
            <w:shd w:val="clear" w:color="auto" w:fill="EFEDED"/>
          </w:tcPr>
          <w:p>
            <w:pPr>
              <w:jc w:val="right"/>
              <w:ind w:right="286"/>
              <w:spacing w:after="0" w:line="122" w:lineRule="exact"/>
              <w:rPr>
                <w:sz w:val="20"/>
                <w:szCs w:val="20"/>
                <w:color w:val="auto"/>
              </w:rPr>
            </w:pPr>
            <w:r>
              <w:rPr>
                <w:rFonts w:ascii="Arial" w:cs="Arial" w:eastAsia="Arial" w:hAnsi="Arial"/>
                <w:sz w:val="11"/>
                <w:szCs w:val="11"/>
                <w:b w:val="1"/>
                <w:bCs w:val="1"/>
                <w:color w:val="58595B"/>
              </w:rPr>
              <w:t>($)</w:t>
            </w:r>
          </w:p>
        </w:tc>
        <w:tc>
          <w:tcPr>
            <w:tcW w:w="740" w:type="dxa"/>
            <w:vAlign w:val="bottom"/>
            <w:tcBorders>
              <w:right w:val="single" w:sz="8" w:color="EFEDED"/>
            </w:tcBorders>
            <w:shd w:val="clear" w:color="auto" w:fill="EFEDED"/>
          </w:tcPr>
          <w:p>
            <w:pPr>
              <w:jc w:val="right"/>
              <w:ind w:right="286"/>
              <w:spacing w:after="0" w:line="122" w:lineRule="exact"/>
              <w:rPr>
                <w:sz w:val="20"/>
                <w:szCs w:val="20"/>
                <w:color w:val="auto"/>
              </w:rPr>
            </w:pPr>
            <w:r>
              <w:rPr>
                <w:rFonts w:ascii="Arial" w:cs="Arial" w:eastAsia="Arial" w:hAnsi="Arial"/>
                <w:sz w:val="11"/>
                <w:szCs w:val="11"/>
                <w:b w:val="1"/>
                <w:bCs w:val="1"/>
                <w:color w:val="58595B"/>
              </w:rPr>
              <w:t>($)</w:t>
            </w:r>
          </w:p>
        </w:tc>
        <w:tc>
          <w:tcPr>
            <w:tcW w:w="680" w:type="dxa"/>
            <w:vAlign w:val="bottom"/>
            <w:shd w:val="clear" w:color="auto" w:fill="EFEDED"/>
          </w:tcPr>
          <w:p>
            <w:pPr>
              <w:jc w:val="center"/>
              <w:spacing w:after="0" w:line="122" w:lineRule="exact"/>
              <w:rPr>
                <w:sz w:val="20"/>
                <w:szCs w:val="20"/>
                <w:color w:val="auto"/>
              </w:rPr>
            </w:pPr>
            <w:r>
              <w:rPr>
                <w:rFonts w:ascii="Arial" w:cs="Arial" w:eastAsia="Arial" w:hAnsi="Arial"/>
                <w:sz w:val="11"/>
                <w:szCs w:val="11"/>
                <w:b w:val="1"/>
                <w:bCs w:val="1"/>
                <w:color w:val="58595B"/>
              </w:rPr>
              <w:t>(#)</w:t>
            </w:r>
          </w:p>
        </w:tc>
        <w:tc>
          <w:tcPr>
            <w:tcW w:w="740" w:type="dxa"/>
            <w:vAlign w:val="bottom"/>
            <w:shd w:val="clear" w:color="auto" w:fill="EFEDED"/>
          </w:tcPr>
          <w:p>
            <w:pPr>
              <w:jc w:val="right"/>
              <w:ind w:right="286"/>
              <w:spacing w:after="0" w:line="122" w:lineRule="exact"/>
              <w:rPr>
                <w:sz w:val="20"/>
                <w:szCs w:val="20"/>
                <w:color w:val="auto"/>
              </w:rPr>
            </w:pPr>
            <w:r>
              <w:rPr>
                <w:rFonts w:ascii="Arial" w:cs="Arial" w:eastAsia="Arial" w:hAnsi="Arial"/>
                <w:sz w:val="11"/>
                <w:szCs w:val="11"/>
                <w:b w:val="1"/>
                <w:bCs w:val="1"/>
                <w:color w:val="58595B"/>
              </w:rPr>
              <w:t>(#)</w:t>
            </w:r>
          </w:p>
        </w:tc>
        <w:tc>
          <w:tcPr>
            <w:tcW w:w="660" w:type="dxa"/>
            <w:vAlign w:val="bottom"/>
            <w:shd w:val="clear" w:color="auto" w:fill="EFEDED"/>
          </w:tcPr>
          <w:p>
            <w:pPr>
              <w:jc w:val="center"/>
              <w:ind w:right="66"/>
              <w:spacing w:after="0" w:line="122" w:lineRule="exact"/>
              <w:rPr>
                <w:sz w:val="20"/>
                <w:szCs w:val="20"/>
                <w:color w:val="auto"/>
              </w:rPr>
            </w:pPr>
            <w:r>
              <w:rPr>
                <w:rFonts w:ascii="Arial" w:cs="Arial" w:eastAsia="Arial" w:hAnsi="Arial"/>
                <w:sz w:val="11"/>
                <w:szCs w:val="11"/>
                <w:b w:val="1"/>
                <w:bCs w:val="1"/>
                <w:color w:val="58595B"/>
              </w:rPr>
              <w:t>(#)</w:t>
            </w:r>
          </w:p>
        </w:tc>
        <w:tc>
          <w:tcPr>
            <w:tcW w:w="820" w:type="dxa"/>
            <w:vAlign w:val="bottom"/>
            <w:shd w:val="clear" w:color="auto" w:fill="EFEDED"/>
          </w:tcPr>
          <w:p>
            <w:pPr>
              <w:jc w:val="right"/>
              <w:ind w:right="306"/>
              <w:spacing w:after="0" w:line="122" w:lineRule="exact"/>
              <w:rPr>
                <w:sz w:val="20"/>
                <w:szCs w:val="20"/>
                <w:color w:val="auto"/>
              </w:rPr>
            </w:pPr>
            <w:r>
              <w:rPr>
                <w:rFonts w:ascii="Arial" w:cs="Arial" w:eastAsia="Arial" w:hAnsi="Arial"/>
                <w:sz w:val="11"/>
                <w:szCs w:val="11"/>
                <w:b w:val="1"/>
                <w:bCs w:val="1"/>
                <w:color w:val="58595B"/>
              </w:rPr>
              <w:t>(#)</w:t>
            </w:r>
          </w:p>
        </w:tc>
        <w:tc>
          <w:tcPr>
            <w:tcW w:w="800" w:type="dxa"/>
            <w:vAlign w:val="bottom"/>
            <w:shd w:val="clear" w:color="auto" w:fill="EFEDED"/>
          </w:tcPr>
          <w:p>
            <w:pPr>
              <w:jc w:val="center"/>
              <w:ind w:right="6"/>
              <w:spacing w:after="0" w:line="122" w:lineRule="exact"/>
              <w:rPr>
                <w:sz w:val="20"/>
                <w:szCs w:val="20"/>
                <w:color w:val="auto"/>
              </w:rPr>
            </w:pPr>
            <w:r>
              <w:rPr>
                <w:rFonts w:ascii="Arial" w:cs="Arial" w:eastAsia="Arial" w:hAnsi="Arial"/>
                <w:sz w:val="11"/>
                <w:szCs w:val="11"/>
                <w:b w:val="1"/>
                <w:bCs w:val="1"/>
                <w:color w:val="58595B"/>
              </w:rPr>
              <w:t>(#)</w:t>
            </w:r>
          </w:p>
        </w:tc>
        <w:tc>
          <w:tcPr>
            <w:tcW w:w="680" w:type="dxa"/>
            <w:vAlign w:val="bottom"/>
            <w:shd w:val="clear" w:color="auto" w:fill="EFEDED"/>
          </w:tcPr>
          <w:p>
            <w:pPr>
              <w:jc w:val="center"/>
              <w:ind w:right="46"/>
              <w:spacing w:after="0" w:line="122" w:lineRule="exact"/>
              <w:rPr>
                <w:sz w:val="20"/>
                <w:szCs w:val="20"/>
                <w:color w:val="auto"/>
              </w:rPr>
            </w:pPr>
            <w:r>
              <w:rPr>
                <w:rFonts w:ascii="Arial" w:cs="Arial" w:eastAsia="Arial" w:hAnsi="Arial"/>
                <w:sz w:val="11"/>
                <w:szCs w:val="11"/>
                <w:b w:val="1"/>
                <w:bCs w:val="1"/>
                <w:color w:val="58595B"/>
                <w:w w:val="98"/>
              </w:rPr>
              <w:t>($/Sh)</w:t>
            </w:r>
          </w:p>
        </w:tc>
        <w:tc>
          <w:tcPr>
            <w:tcW w:w="900" w:type="dxa"/>
            <w:vAlign w:val="bottom"/>
            <w:shd w:val="clear" w:color="auto" w:fill="EFEDED"/>
          </w:tcPr>
          <w:p>
            <w:pPr>
              <w:jc w:val="right"/>
              <w:ind w:right="406"/>
              <w:spacing w:after="0" w:line="122" w:lineRule="exact"/>
              <w:rPr>
                <w:sz w:val="20"/>
                <w:szCs w:val="20"/>
                <w:color w:val="auto"/>
              </w:rPr>
            </w:pPr>
            <w:r>
              <w:rPr>
                <w:rFonts w:ascii="Arial" w:cs="Arial" w:eastAsia="Arial" w:hAnsi="Arial"/>
                <w:sz w:val="11"/>
                <w:szCs w:val="11"/>
                <w:b w:val="1"/>
                <w:bCs w:val="1"/>
                <w:color w:val="58595B"/>
              </w:rPr>
              <w:t>($)</w:t>
            </w:r>
          </w:p>
        </w:tc>
      </w:tr>
      <w:tr>
        <w:trPr>
          <w:trHeight w:val="175"/>
        </w:trPr>
        <w:tc>
          <w:tcPr>
            <w:tcW w:w="1380" w:type="dxa"/>
            <w:vAlign w:val="bottom"/>
            <w:shd w:val="clear" w:color="auto" w:fill="EFEDED"/>
          </w:tcPr>
          <w:p>
            <w:pPr>
              <w:ind w:left="100"/>
              <w:spacing w:after="0"/>
              <w:rPr>
                <w:sz w:val="20"/>
                <w:szCs w:val="20"/>
                <w:color w:val="auto"/>
              </w:rPr>
            </w:pPr>
            <w:r>
              <w:rPr>
                <w:rFonts w:ascii="Arial" w:cs="Arial" w:eastAsia="Arial" w:hAnsi="Arial"/>
                <w:sz w:val="11"/>
                <w:szCs w:val="11"/>
                <w:b w:val="1"/>
                <w:bCs w:val="1"/>
                <w:color w:val="58595B"/>
              </w:rPr>
              <w:t>(a)</w:t>
            </w:r>
          </w:p>
        </w:tc>
        <w:tc>
          <w:tcPr>
            <w:tcW w:w="820" w:type="dxa"/>
            <w:vAlign w:val="bottom"/>
            <w:shd w:val="clear" w:color="auto" w:fill="EFEDED"/>
          </w:tcPr>
          <w:p>
            <w:pPr>
              <w:ind w:left="300"/>
              <w:spacing w:after="0"/>
              <w:rPr>
                <w:sz w:val="20"/>
                <w:szCs w:val="20"/>
                <w:color w:val="auto"/>
              </w:rPr>
            </w:pPr>
            <w:r>
              <w:rPr>
                <w:rFonts w:ascii="Arial" w:cs="Arial" w:eastAsia="Arial" w:hAnsi="Arial"/>
                <w:sz w:val="11"/>
                <w:szCs w:val="11"/>
                <w:b w:val="1"/>
                <w:bCs w:val="1"/>
                <w:color w:val="58595B"/>
              </w:rPr>
              <w:t>Type</w:t>
            </w:r>
          </w:p>
        </w:tc>
        <w:tc>
          <w:tcPr>
            <w:tcW w:w="820" w:type="dxa"/>
            <w:vAlign w:val="bottom"/>
            <w:shd w:val="clear" w:color="auto" w:fill="EFEDED"/>
          </w:tcPr>
          <w:p>
            <w:pPr>
              <w:jc w:val="center"/>
              <w:spacing w:after="0"/>
              <w:rPr>
                <w:sz w:val="20"/>
                <w:szCs w:val="20"/>
                <w:color w:val="auto"/>
              </w:rPr>
            </w:pPr>
            <w:r>
              <w:rPr>
                <w:rFonts w:ascii="Arial" w:cs="Arial" w:eastAsia="Arial" w:hAnsi="Arial"/>
                <w:sz w:val="11"/>
                <w:szCs w:val="11"/>
                <w:b w:val="1"/>
                <w:bCs w:val="1"/>
                <w:color w:val="58595B"/>
                <w:w w:val="99"/>
              </w:rPr>
              <w:t>(b)</w:t>
            </w:r>
          </w:p>
        </w:tc>
        <w:tc>
          <w:tcPr>
            <w:tcW w:w="720" w:type="dxa"/>
            <w:vAlign w:val="bottom"/>
            <w:shd w:val="clear" w:color="auto" w:fill="EFEDED"/>
          </w:tcPr>
          <w:p>
            <w:pPr>
              <w:jc w:val="center"/>
              <w:ind w:right="6"/>
              <w:spacing w:after="0"/>
              <w:rPr>
                <w:sz w:val="20"/>
                <w:szCs w:val="20"/>
                <w:color w:val="auto"/>
              </w:rPr>
            </w:pPr>
            <w:r>
              <w:rPr>
                <w:rFonts w:ascii="Arial" w:cs="Arial" w:eastAsia="Arial" w:hAnsi="Arial"/>
                <w:sz w:val="11"/>
                <w:szCs w:val="11"/>
                <w:b w:val="1"/>
                <w:bCs w:val="1"/>
                <w:color w:val="58595B"/>
                <w:w w:val="99"/>
              </w:rPr>
              <w:t>Action</w:t>
            </w:r>
          </w:p>
        </w:tc>
        <w:tc>
          <w:tcPr>
            <w:tcW w:w="760" w:type="dxa"/>
            <w:vAlign w:val="bottom"/>
            <w:shd w:val="clear" w:color="auto" w:fill="EFEDED"/>
          </w:tcPr>
          <w:p>
            <w:pPr>
              <w:jc w:val="right"/>
              <w:ind w:right="266"/>
              <w:spacing w:after="0"/>
              <w:rPr>
                <w:sz w:val="20"/>
                <w:szCs w:val="20"/>
                <w:color w:val="auto"/>
              </w:rPr>
            </w:pPr>
            <w:r>
              <w:rPr>
                <w:rFonts w:ascii="Arial" w:cs="Arial" w:eastAsia="Arial" w:hAnsi="Arial"/>
                <w:sz w:val="11"/>
                <w:szCs w:val="11"/>
                <w:b w:val="1"/>
                <w:bCs w:val="1"/>
                <w:color w:val="58595B"/>
              </w:rPr>
              <w:t>(c)</w:t>
            </w:r>
          </w:p>
        </w:tc>
        <w:tc>
          <w:tcPr>
            <w:tcW w:w="720" w:type="dxa"/>
            <w:vAlign w:val="bottom"/>
            <w:shd w:val="clear" w:color="auto" w:fill="EFEDED"/>
          </w:tcPr>
          <w:p>
            <w:pPr>
              <w:jc w:val="right"/>
              <w:ind w:right="286"/>
              <w:spacing w:after="0"/>
              <w:rPr>
                <w:sz w:val="20"/>
                <w:szCs w:val="20"/>
                <w:color w:val="auto"/>
              </w:rPr>
            </w:pPr>
            <w:r>
              <w:rPr>
                <w:rFonts w:ascii="Arial" w:cs="Arial" w:eastAsia="Arial" w:hAnsi="Arial"/>
                <w:sz w:val="11"/>
                <w:szCs w:val="11"/>
                <w:b w:val="1"/>
                <w:bCs w:val="1"/>
                <w:color w:val="58595B"/>
              </w:rPr>
              <w:t>(d)</w:t>
            </w:r>
          </w:p>
        </w:tc>
        <w:tc>
          <w:tcPr>
            <w:tcW w:w="740" w:type="dxa"/>
            <w:vAlign w:val="bottom"/>
            <w:tcBorders>
              <w:right w:val="single" w:sz="8" w:color="EFEDED"/>
            </w:tcBorders>
            <w:shd w:val="clear" w:color="auto" w:fill="EFEDED"/>
          </w:tcPr>
          <w:p>
            <w:pPr>
              <w:jc w:val="right"/>
              <w:ind w:right="286"/>
              <w:spacing w:after="0"/>
              <w:rPr>
                <w:sz w:val="20"/>
                <w:szCs w:val="20"/>
                <w:color w:val="auto"/>
              </w:rPr>
            </w:pPr>
            <w:r>
              <w:rPr>
                <w:rFonts w:ascii="Arial" w:cs="Arial" w:eastAsia="Arial" w:hAnsi="Arial"/>
                <w:sz w:val="11"/>
                <w:szCs w:val="11"/>
                <w:b w:val="1"/>
                <w:bCs w:val="1"/>
                <w:color w:val="58595B"/>
              </w:rPr>
              <w:t>(e)</w:t>
            </w:r>
          </w:p>
        </w:tc>
        <w:tc>
          <w:tcPr>
            <w:tcW w:w="680" w:type="dxa"/>
            <w:vAlign w:val="bottom"/>
            <w:shd w:val="clear" w:color="auto" w:fill="EFEDED"/>
          </w:tcPr>
          <w:p>
            <w:pPr>
              <w:jc w:val="center"/>
              <w:spacing w:after="0"/>
              <w:rPr>
                <w:sz w:val="20"/>
                <w:szCs w:val="20"/>
                <w:color w:val="auto"/>
              </w:rPr>
            </w:pPr>
            <w:r>
              <w:rPr>
                <w:rFonts w:ascii="Arial" w:cs="Arial" w:eastAsia="Arial" w:hAnsi="Arial"/>
                <w:sz w:val="11"/>
                <w:szCs w:val="11"/>
                <w:b w:val="1"/>
                <w:bCs w:val="1"/>
                <w:color w:val="58595B"/>
                <w:w w:val="90"/>
              </w:rPr>
              <w:t>(f)</w:t>
            </w:r>
          </w:p>
        </w:tc>
        <w:tc>
          <w:tcPr>
            <w:tcW w:w="740" w:type="dxa"/>
            <w:vAlign w:val="bottom"/>
            <w:shd w:val="clear" w:color="auto" w:fill="EFEDED"/>
          </w:tcPr>
          <w:p>
            <w:pPr>
              <w:jc w:val="right"/>
              <w:ind w:right="286"/>
              <w:spacing w:after="0"/>
              <w:rPr>
                <w:sz w:val="20"/>
                <w:szCs w:val="20"/>
                <w:color w:val="auto"/>
              </w:rPr>
            </w:pPr>
            <w:r>
              <w:rPr>
                <w:rFonts w:ascii="Arial" w:cs="Arial" w:eastAsia="Arial" w:hAnsi="Arial"/>
                <w:sz w:val="11"/>
                <w:szCs w:val="11"/>
                <w:b w:val="1"/>
                <w:bCs w:val="1"/>
                <w:color w:val="58595B"/>
              </w:rPr>
              <w:t>(g)</w:t>
            </w:r>
          </w:p>
        </w:tc>
        <w:tc>
          <w:tcPr>
            <w:tcW w:w="660" w:type="dxa"/>
            <w:vAlign w:val="bottom"/>
            <w:shd w:val="clear" w:color="auto" w:fill="EFEDED"/>
          </w:tcPr>
          <w:p>
            <w:pPr>
              <w:jc w:val="center"/>
              <w:ind w:right="66"/>
              <w:spacing w:after="0"/>
              <w:rPr>
                <w:sz w:val="20"/>
                <w:szCs w:val="20"/>
                <w:color w:val="auto"/>
              </w:rPr>
            </w:pPr>
            <w:r>
              <w:rPr>
                <w:rFonts w:ascii="Arial" w:cs="Arial" w:eastAsia="Arial" w:hAnsi="Arial"/>
                <w:sz w:val="11"/>
                <w:szCs w:val="11"/>
                <w:b w:val="1"/>
                <w:bCs w:val="1"/>
                <w:color w:val="58595B"/>
                <w:w w:val="99"/>
              </w:rPr>
              <w:t>(h)</w:t>
            </w:r>
          </w:p>
        </w:tc>
        <w:tc>
          <w:tcPr>
            <w:tcW w:w="820" w:type="dxa"/>
            <w:vAlign w:val="bottom"/>
            <w:shd w:val="clear" w:color="auto" w:fill="EFEDED"/>
          </w:tcPr>
          <w:p>
            <w:pPr>
              <w:jc w:val="center"/>
              <w:spacing w:after="0"/>
              <w:rPr>
                <w:sz w:val="20"/>
                <w:szCs w:val="20"/>
                <w:color w:val="auto"/>
              </w:rPr>
            </w:pPr>
            <w:r>
              <w:rPr>
                <w:rFonts w:ascii="Arial" w:cs="Arial" w:eastAsia="Arial" w:hAnsi="Arial"/>
                <w:sz w:val="11"/>
                <w:szCs w:val="11"/>
                <w:b w:val="1"/>
                <w:bCs w:val="1"/>
                <w:color w:val="58595B"/>
                <w:w w:val="95"/>
              </w:rPr>
              <w:t>(i)</w:t>
            </w:r>
          </w:p>
        </w:tc>
        <w:tc>
          <w:tcPr>
            <w:tcW w:w="800" w:type="dxa"/>
            <w:vAlign w:val="bottom"/>
            <w:shd w:val="clear" w:color="auto" w:fill="EFEDED"/>
          </w:tcPr>
          <w:p>
            <w:pPr>
              <w:jc w:val="center"/>
              <w:ind w:right="6"/>
              <w:spacing w:after="0"/>
              <w:rPr>
                <w:sz w:val="20"/>
                <w:szCs w:val="20"/>
                <w:color w:val="auto"/>
              </w:rPr>
            </w:pPr>
            <w:r>
              <w:rPr>
                <w:rFonts w:ascii="Arial" w:cs="Arial" w:eastAsia="Arial" w:hAnsi="Arial"/>
                <w:sz w:val="11"/>
                <w:szCs w:val="11"/>
                <w:b w:val="1"/>
                <w:bCs w:val="1"/>
                <w:color w:val="58595B"/>
                <w:w w:val="95"/>
              </w:rPr>
              <w:t>(j)</w:t>
            </w:r>
          </w:p>
        </w:tc>
        <w:tc>
          <w:tcPr>
            <w:tcW w:w="680" w:type="dxa"/>
            <w:vAlign w:val="bottom"/>
            <w:shd w:val="clear" w:color="auto" w:fill="EFEDED"/>
          </w:tcPr>
          <w:p>
            <w:pPr>
              <w:jc w:val="center"/>
              <w:ind w:right="26"/>
              <w:spacing w:after="0"/>
              <w:rPr>
                <w:sz w:val="20"/>
                <w:szCs w:val="20"/>
                <w:color w:val="auto"/>
              </w:rPr>
            </w:pPr>
            <w:r>
              <w:rPr>
                <w:rFonts w:ascii="Arial" w:cs="Arial" w:eastAsia="Arial" w:hAnsi="Arial"/>
                <w:sz w:val="11"/>
                <w:szCs w:val="11"/>
                <w:b w:val="1"/>
                <w:bCs w:val="1"/>
                <w:color w:val="58595B"/>
                <w:w w:val="88"/>
              </w:rPr>
              <w:t>(k)</w:t>
            </w:r>
          </w:p>
        </w:tc>
        <w:tc>
          <w:tcPr>
            <w:tcW w:w="900" w:type="dxa"/>
            <w:vAlign w:val="bottom"/>
            <w:shd w:val="clear" w:color="auto" w:fill="EFEDED"/>
          </w:tcPr>
          <w:p>
            <w:pPr>
              <w:jc w:val="center"/>
              <w:ind w:right="106"/>
              <w:spacing w:after="0"/>
              <w:rPr>
                <w:sz w:val="20"/>
                <w:szCs w:val="20"/>
                <w:color w:val="auto"/>
              </w:rPr>
            </w:pPr>
            <w:r>
              <w:rPr>
                <w:rFonts w:ascii="Arial" w:cs="Arial" w:eastAsia="Arial" w:hAnsi="Arial"/>
                <w:sz w:val="11"/>
                <w:szCs w:val="11"/>
                <w:b w:val="1"/>
                <w:bCs w:val="1"/>
                <w:color w:val="58595B"/>
                <w:w w:val="95"/>
              </w:rPr>
              <w:t>(l)</w:t>
            </w:r>
          </w:p>
        </w:tc>
      </w:tr>
      <w:tr>
        <w:trPr>
          <w:trHeight w:val="162"/>
        </w:trPr>
        <w:tc>
          <w:tcPr>
            <w:tcW w:w="1380" w:type="dxa"/>
            <w:vAlign w:val="bottom"/>
          </w:tcPr>
          <w:p>
            <w:pPr>
              <w:ind w:left="100"/>
              <w:spacing w:after="0"/>
              <w:rPr>
                <w:sz w:val="20"/>
                <w:szCs w:val="20"/>
                <w:color w:val="auto"/>
              </w:rPr>
            </w:pPr>
            <w:r>
              <w:rPr>
                <w:rFonts w:ascii="Arial" w:cs="Arial" w:eastAsia="Arial" w:hAnsi="Arial"/>
                <w:sz w:val="11"/>
                <w:szCs w:val="11"/>
                <w:b w:val="1"/>
                <w:bCs w:val="1"/>
                <w:color w:val="58595B"/>
              </w:rPr>
              <w:t>Mojdeh Poul</w:t>
            </w:r>
          </w:p>
        </w:tc>
        <w:tc>
          <w:tcPr>
            <w:tcW w:w="820" w:type="dxa"/>
            <w:vAlign w:val="bottom"/>
          </w:tcPr>
          <w:p>
            <w:pPr>
              <w:ind w:left="20"/>
              <w:spacing w:after="0"/>
              <w:rPr>
                <w:sz w:val="20"/>
                <w:szCs w:val="20"/>
                <w:color w:val="auto"/>
              </w:rPr>
            </w:pPr>
            <w:r>
              <w:rPr>
                <w:rFonts w:ascii="Arial" w:cs="Arial" w:eastAsia="Arial" w:hAnsi="Arial"/>
                <w:sz w:val="11"/>
                <w:szCs w:val="11"/>
                <w:color w:val="58595B"/>
              </w:rPr>
              <w:t>PSU</w:t>
            </w:r>
          </w:p>
        </w:tc>
        <w:tc>
          <w:tcPr>
            <w:tcW w:w="820" w:type="dxa"/>
            <w:vAlign w:val="bottom"/>
          </w:tcPr>
          <w:p>
            <w:pPr>
              <w:jc w:val="right"/>
              <w:ind w:right="26"/>
              <w:spacing w:after="0"/>
              <w:rPr>
                <w:sz w:val="20"/>
                <w:szCs w:val="20"/>
                <w:color w:val="auto"/>
              </w:rPr>
            </w:pPr>
            <w:r>
              <w:rPr>
                <w:rFonts w:ascii="Arial" w:cs="Arial" w:eastAsia="Arial" w:hAnsi="Arial"/>
                <w:sz w:val="11"/>
                <w:szCs w:val="11"/>
                <w:color w:val="58595B"/>
              </w:rPr>
              <w:t>3/11/2025</w:t>
            </w:r>
          </w:p>
        </w:tc>
        <w:tc>
          <w:tcPr>
            <w:tcW w:w="720" w:type="dxa"/>
            <w:vAlign w:val="bottom"/>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58595B"/>
              </w:rPr>
              <w:t>62,631</w:t>
            </w:r>
          </w:p>
        </w:tc>
        <w:tc>
          <w:tcPr>
            <w:tcW w:w="740" w:type="dxa"/>
            <w:vAlign w:val="bottom"/>
          </w:tcPr>
          <w:p>
            <w:pPr>
              <w:jc w:val="right"/>
              <w:ind w:right="106"/>
              <w:spacing w:after="0"/>
              <w:rPr>
                <w:sz w:val="20"/>
                <w:szCs w:val="20"/>
                <w:color w:val="auto"/>
              </w:rPr>
            </w:pPr>
            <w:r>
              <w:rPr>
                <w:rFonts w:ascii="Arial" w:cs="Arial" w:eastAsia="Arial" w:hAnsi="Arial"/>
                <w:sz w:val="11"/>
                <w:szCs w:val="11"/>
                <w:color w:val="58595B"/>
              </w:rPr>
              <w:t>125,261</w:t>
            </w:r>
          </w:p>
        </w:tc>
        <w:tc>
          <w:tcPr>
            <w:tcW w:w="660" w:type="dxa"/>
            <w:vAlign w:val="bottom"/>
          </w:tcPr>
          <w:p>
            <w:pPr>
              <w:jc w:val="center"/>
              <w:ind w:right="46"/>
              <w:spacing w:after="0"/>
              <w:rPr>
                <w:sz w:val="20"/>
                <w:szCs w:val="20"/>
                <w:color w:val="auto"/>
              </w:rPr>
            </w:pPr>
            <w:r>
              <w:rPr>
                <w:rFonts w:ascii="Arial" w:cs="Arial" w:eastAsia="Arial" w:hAnsi="Arial"/>
                <w:sz w:val="11"/>
                <w:szCs w:val="11"/>
                <w:color w:val="58595B"/>
              </w:rPr>
              <w:t>187,892</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Arial" w:cs="Arial" w:eastAsia="Arial" w:hAnsi="Arial"/>
                <w:sz w:val="11"/>
                <w:szCs w:val="11"/>
                <w:color w:val="58595B"/>
              </w:rPr>
              <w:t>3,000,001</w:t>
            </w:r>
          </w:p>
        </w:tc>
      </w:tr>
      <w:tr>
        <w:trPr>
          <w:trHeight w:val="183"/>
        </w:trPr>
        <w:tc>
          <w:tcPr>
            <w:tcW w:w="138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1"/>
                <w:szCs w:val="11"/>
                <w:color w:val="58595B"/>
              </w:rPr>
              <w:t>RSU</w:t>
            </w:r>
          </w:p>
        </w:tc>
        <w:tc>
          <w:tcPr>
            <w:tcW w:w="820" w:type="dxa"/>
            <w:vAlign w:val="bottom"/>
          </w:tcPr>
          <w:p>
            <w:pPr>
              <w:jc w:val="right"/>
              <w:ind w:right="26"/>
              <w:spacing w:after="0"/>
              <w:rPr>
                <w:sz w:val="20"/>
                <w:szCs w:val="20"/>
                <w:color w:val="auto"/>
              </w:rPr>
            </w:pPr>
            <w:r>
              <w:rPr>
                <w:rFonts w:ascii="Arial" w:cs="Arial" w:eastAsia="Arial" w:hAnsi="Arial"/>
                <w:sz w:val="11"/>
                <w:szCs w:val="11"/>
                <w:color w:val="58595B"/>
              </w:rPr>
              <w:t>1/6/2025</w:t>
            </w:r>
          </w:p>
        </w:tc>
        <w:tc>
          <w:tcPr>
            <w:tcW w:w="720" w:type="dxa"/>
            <w:vAlign w:val="bottom"/>
          </w:tcPr>
          <w:p>
            <w:pPr>
              <w:jc w:val="right"/>
              <w:spacing w:after="0"/>
              <w:rPr>
                <w:sz w:val="20"/>
                <w:szCs w:val="20"/>
                <w:color w:val="auto"/>
              </w:rPr>
            </w:pPr>
            <w:r>
              <w:rPr>
                <w:rFonts w:ascii="Arial" w:cs="Arial" w:eastAsia="Arial" w:hAnsi="Arial"/>
                <w:sz w:val="11"/>
                <w:szCs w:val="11"/>
                <w:color w:val="58595B"/>
              </w:rPr>
              <w:t>11/4/2024</w:t>
            </w: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color w:val="58595B"/>
              </w:rPr>
              <w:t>102,298</w:t>
            </w: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jc w:val="right"/>
              <w:ind w:right="106"/>
              <w:spacing w:after="0"/>
              <w:rPr>
                <w:sz w:val="20"/>
                <w:szCs w:val="20"/>
                <w:color w:val="auto"/>
              </w:rPr>
            </w:pPr>
            <w:r>
              <w:rPr>
                <w:rFonts w:ascii="Arial" w:cs="Arial" w:eastAsia="Arial" w:hAnsi="Arial"/>
                <w:sz w:val="11"/>
                <w:szCs w:val="11"/>
                <w:color w:val="58595B"/>
              </w:rPr>
              <w:t>2,219,867</w:t>
            </w:r>
          </w:p>
        </w:tc>
      </w:tr>
      <w:tr>
        <w:trPr>
          <w:trHeight w:val="189"/>
        </w:trPr>
        <w:tc>
          <w:tcPr>
            <w:tcW w:w="138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Arial" w:cs="Arial" w:eastAsia="Arial" w:hAnsi="Arial"/>
                <w:sz w:val="11"/>
                <w:szCs w:val="11"/>
                <w:color w:val="58595B"/>
              </w:rPr>
              <w:t>Stock Option</w:t>
            </w:r>
          </w:p>
        </w:tc>
        <w:tc>
          <w:tcPr>
            <w:tcW w:w="820" w:type="dxa"/>
            <w:vAlign w:val="bottom"/>
          </w:tcPr>
          <w:p>
            <w:pPr>
              <w:jc w:val="right"/>
              <w:ind w:right="26"/>
              <w:spacing w:after="0"/>
              <w:rPr>
                <w:sz w:val="20"/>
                <w:szCs w:val="20"/>
                <w:color w:val="auto"/>
              </w:rPr>
            </w:pPr>
            <w:r>
              <w:rPr>
                <w:rFonts w:ascii="Arial" w:cs="Arial" w:eastAsia="Arial" w:hAnsi="Arial"/>
                <w:sz w:val="11"/>
                <w:szCs w:val="11"/>
                <w:color w:val="58595B"/>
              </w:rPr>
              <w:t>1/6/2025</w:t>
            </w:r>
          </w:p>
        </w:tc>
        <w:tc>
          <w:tcPr>
            <w:tcW w:w="720" w:type="dxa"/>
            <w:vAlign w:val="bottom"/>
          </w:tcPr>
          <w:p>
            <w:pPr>
              <w:jc w:val="right"/>
              <w:spacing w:after="0"/>
              <w:rPr>
                <w:sz w:val="20"/>
                <w:szCs w:val="20"/>
                <w:color w:val="auto"/>
              </w:rPr>
            </w:pPr>
            <w:r>
              <w:rPr>
                <w:rFonts w:ascii="Arial" w:cs="Arial" w:eastAsia="Arial" w:hAnsi="Arial"/>
                <w:sz w:val="11"/>
                <w:szCs w:val="11"/>
                <w:color w:val="58595B"/>
              </w:rPr>
              <w:t>11/4/2024</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58595B"/>
              </w:rPr>
              <w:t>217,961</w:t>
            </w:r>
          </w:p>
        </w:tc>
        <w:tc>
          <w:tcPr>
            <w:tcW w:w="680" w:type="dxa"/>
            <w:vAlign w:val="bottom"/>
          </w:tcPr>
          <w:p>
            <w:pPr>
              <w:jc w:val="right"/>
              <w:ind w:right="66"/>
              <w:spacing w:after="0"/>
              <w:rPr>
                <w:sz w:val="20"/>
                <w:szCs w:val="20"/>
                <w:color w:val="auto"/>
              </w:rPr>
            </w:pPr>
            <w:r>
              <w:rPr>
                <w:rFonts w:ascii="Arial" w:cs="Arial" w:eastAsia="Arial" w:hAnsi="Arial"/>
                <w:sz w:val="11"/>
                <w:szCs w:val="11"/>
                <w:color w:val="58595B"/>
              </w:rPr>
              <w:t>21.70</w:t>
            </w:r>
          </w:p>
        </w:tc>
        <w:tc>
          <w:tcPr>
            <w:tcW w:w="900" w:type="dxa"/>
            <w:vAlign w:val="bottom"/>
          </w:tcPr>
          <w:p>
            <w:pPr>
              <w:jc w:val="right"/>
              <w:ind w:right="106"/>
              <w:spacing w:after="0"/>
              <w:rPr>
                <w:sz w:val="20"/>
                <w:szCs w:val="20"/>
                <w:color w:val="auto"/>
              </w:rPr>
            </w:pPr>
            <w:r>
              <w:rPr>
                <w:rFonts w:ascii="Arial" w:cs="Arial" w:eastAsia="Arial" w:hAnsi="Arial"/>
                <w:sz w:val="11"/>
                <w:szCs w:val="11"/>
                <w:color w:val="58595B"/>
              </w:rPr>
              <w:t>2,250,011</w:t>
            </w:r>
          </w:p>
        </w:tc>
      </w:tr>
      <w:tr>
        <w:trPr>
          <w:trHeight w:val="189"/>
        </w:trPr>
        <w:tc>
          <w:tcPr>
            <w:tcW w:w="138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Arial" w:cs="Arial" w:eastAsia="Arial" w:hAnsi="Arial"/>
                <w:sz w:val="11"/>
                <w:szCs w:val="11"/>
                <w:color w:val="58595B"/>
              </w:rPr>
              <w:t>Cash Bonus</w:t>
            </w:r>
          </w:p>
        </w:tc>
        <w:tc>
          <w:tcPr>
            <w:tcW w:w="820" w:type="dxa"/>
            <w:vAlign w:val="bottom"/>
          </w:tcPr>
          <w:p>
            <w:pPr>
              <w:jc w:val="right"/>
              <w:ind w:right="26"/>
              <w:spacing w:after="0"/>
              <w:rPr>
                <w:sz w:val="20"/>
                <w:szCs w:val="20"/>
                <w:color w:val="auto"/>
              </w:rPr>
            </w:pPr>
            <w:r>
              <w:rPr>
                <w:rFonts w:ascii="Arial" w:cs="Arial" w:eastAsia="Arial" w:hAnsi="Arial"/>
                <w:sz w:val="11"/>
                <w:szCs w:val="11"/>
                <w:color w:val="58595B"/>
              </w:rPr>
              <w:t>1/6/2025</w:t>
            </w:r>
          </w:p>
        </w:tc>
        <w:tc>
          <w:tcPr>
            <w:tcW w:w="720" w:type="dxa"/>
            <w:vAlign w:val="bottom"/>
          </w:tcPr>
          <w:p>
            <w:pPr>
              <w:jc w:val="right"/>
              <w:spacing w:after="0"/>
              <w:rPr>
                <w:sz w:val="20"/>
                <w:szCs w:val="20"/>
                <w:color w:val="auto"/>
              </w:rPr>
            </w:pPr>
            <w:r>
              <w:rPr>
                <w:rFonts w:ascii="Arial" w:cs="Arial" w:eastAsia="Arial" w:hAnsi="Arial"/>
                <w:sz w:val="11"/>
                <w:szCs w:val="11"/>
                <w:color w:val="58595B"/>
              </w:rPr>
              <w:t>11/4/2024</w:t>
            </w:r>
          </w:p>
        </w:tc>
        <w:tc>
          <w:tcPr>
            <w:tcW w:w="760" w:type="dxa"/>
            <w:vAlign w:val="bottom"/>
          </w:tcPr>
          <w:p>
            <w:pPr>
              <w:jc w:val="right"/>
              <w:ind w:right="46"/>
              <w:spacing w:after="0"/>
              <w:rPr>
                <w:sz w:val="20"/>
                <w:szCs w:val="20"/>
                <w:color w:val="auto"/>
              </w:rPr>
            </w:pPr>
            <w:r>
              <w:rPr>
                <w:rFonts w:ascii="Arial" w:cs="Arial" w:eastAsia="Arial" w:hAnsi="Arial"/>
                <w:sz w:val="11"/>
                <w:szCs w:val="11"/>
                <w:color w:val="58595B"/>
              </w:rPr>
              <w:t>262,500</w:t>
            </w:r>
          </w:p>
        </w:tc>
        <w:tc>
          <w:tcPr>
            <w:tcW w:w="720" w:type="dxa"/>
            <w:vAlign w:val="bottom"/>
          </w:tcPr>
          <w:p>
            <w:pPr>
              <w:jc w:val="right"/>
              <w:ind w:right="46"/>
              <w:spacing w:after="0"/>
              <w:rPr>
                <w:sz w:val="20"/>
                <w:szCs w:val="20"/>
                <w:color w:val="auto"/>
              </w:rPr>
            </w:pPr>
            <w:r>
              <w:rPr>
                <w:rFonts w:ascii="Arial" w:cs="Arial" w:eastAsia="Arial" w:hAnsi="Arial"/>
                <w:sz w:val="11"/>
                <w:szCs w:val="11"/>
                <w:color w:val="58595B"/>
              </w:rPr>
              <w:t>1,312,500</w:t>
            </w:r>
          </w:p>
        </w:tc>
        <w:tc>
          <w:tcPr>
            <w:tcW w:w="740" w:type="dxa"/>
            <w:vAlign w:val="bottom"/>
          </w:tcPr>
          <w:p>
            <w:pPr>
              <w:jc w:val="right"/>
              <w:ind w:right="6"/>
              <w:spacing w:after="0"/>
              <w:rPr>
                <w:sz w:val="20"/>
                <w:szCs w:val="20"/>
                <w:color w:val="auto"/>
              </w:rPr>
            </w:pPr>
            <w:r>
              <w:rPr>
                <w:rFonts w:ascii="Arial" w:cs="Arial" w:eastAsia="Arial" w:hAnsi="Arial"/>
                <w:sz w:val="11"/>
                <w:szCs w:val="11"/>
                <w:color w:val="58595B"/>
              </w:rPr>
              <w:t>1,968,750</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3"/>
        </w:trPr>
        <w:tc>
          <w:tcPr>
            <w:tcW w:w="1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2"/>
        </w:trPr>
        <w:tc>
          <w:tcPr>
            <w:tcW w:w="1380" w:type="dxa"/>
            <w:vAlign w:val="bottom"/>
            <w:shd w:val="clear" w:color="auto" w:fill="EFEDED"/>
          </w:tcPr>
          <w:p>
            <w:pPr>
              <w:ind w:left="100"/>
              <w:spacing w:after="0"/>
              <w:rPr>
                <w:sz w:val="20"/>
                <w:szCs w:val="20"/>
                <w:color w:val="auto"/>
              </w:rPr>
            </w:pPr>
            <w:r>
              <w:rPr>
                <w:rFonts w:ascii="Arial" w:cs="Arial" w:eastAsia="Arial" w:hAnsi="Arial"/>
                <w:sz w:val="11"/>
                <w:szCs w:val="11"/>
                <w:b w:val="1"/>
                <w:bCs w:val="1"/>
                <w:color w:val="58595B"/>
              </w:rPr>
              <w:t>Lea Knight</w:t>
            </w:r>
          </w:p>
        </w:tc>
        <w:tc>
          <w:tcPr>
            <w:tcW w:w="820" w:type="dxa"/>
            <w:vAlign w:val="bottom"/>
            <w:shd w:val="clear" w:color="auto" w:fill="EFEDED"/>
          </w:tcPr>
          <w:p>
            <w:pPr>
              <w:ind w:left="20"/>
              <w:spacing w:after="0"/>
              <w:rPr>
                <w:sz w:val="20"/>
                <w:szCs w:val="20"/>
                <w:color w:val="auto"/>
              </w:rPr>
            </w:pPr>
            <w:r>
              <w:rPr>
                <w:rFonts w:ascii="Arial" w:cs="Arial" w:eastAsia="Arial" w:hAnsi="Arial"/>
                <w:sz w:val="11"/>
                <w:szCs w:val="11"/>
                <w:color w:val="58595B"/>
              </w:rPr>
              <w:t>PSU</w:t>
            </w:r>
          </w:p>
        </w:tc>
        <w:tc>
          <w:tcPr>
            <w:tcW w:w="820" w:type="dxa"/>
            <w:vAlign w:val="bottom"/>
            <w:shd w:val="clear" w:color="auto" w:fill="EFEDED"/>
          </w:tcPr>
          <w:p>
            <w:pPr>
              <w:jc w:val="right"/>
              <w:ind w:right="26"/>
              <w:spacing w:after="0"/>
              <w:rPr>
                <w:sz w:val="20"/>
                <w:szCs w:val="20"/>
                <w:color w:val="auto"/>
              </w:rPr>
            </w:pPr>
            <w:r>
              <w:rPr>
                <w:rFonts w:ascii="Arial" w:cs="Arial" w:eastAsia="Arial" w:hAnsi="Arial"/>
                <w:sz w:val="11"/>
                <w:szCs w:val="11"/>
                <w:color w:val="58595B"/>
              </w:rPr>
              <w:t>3/11/2025</w:t>
            </w:r>
          </w:p>
        </w:tc>
        <w:tc>
          <w:tcPr>
            <w:tcW w:w="720" w:type="dxa"/>
            <w:vAlign w:val="bottom"/>
            <w:shd w:val="clear" w:color="auto" w:fill="EFEDED"/>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shd w:val="clear" w:color="auto" w:fill="EFEDED"/>
          </w:tcPr>
          <w:p>
            <w:pPr>
              <w:spacing w:after="0"/>
              <w:rPr>
                <w:sz w:val="14"/>
                <w:szCs w:val="14"/>
                <w:color w:val="auto"/>
              </w:rPr>
            </w:pPr>
          </w:p>
        </w:tc>
        <w:tc>
          <w:tcPr>
            <w:tcW w:w="720" w:type="dxa"/>
            <w:vAlign w:val="bottom"/>
            <w:shd w:val="clear" w:color="auto" w:fill="EFEDED"/>
          </w:tcPr>
          <w:p>
            <w:pPr>
              <w:spacing w:after="0"/>
              <w:rPr>
                <w:sz w:val="14"/>
                <w:szCs w:val="14"/>
                <w:color w:val="auto"/>
              </w:rPr>
            </w:pPr>
          </w:p>
        </w:tc>
        <w:tc>
          <w:tcPr>
            <w:tcW w:w="740" w:type="dxa"/>
            <w:vAlign w:val="bottom"/>
            <w:tcBorders>
              <w:right w:val="single" w:sz="8" w:color="EFEDED"/>
            </w:tcBorders>
            <w:shd w:val="clear" w:color="auto" w:fill="EFEDED"/>
          </w:tcPr>
          <w:p>
            <w:pPr>
              <w:spacing w:after="0"/>
              <w:rPr>
                <w:sz w:val="14"/>
                <w:szCs w:val="14"/>
                <w:color w:val="auto"/>
              </w:rPr>
            </w:pPr>
          </w:p>
        </w:tc>
        <w:tc>
          <w:tcPr>
            <w:tcW w:w="680" w:type="dxa"/>
            <w:vAlign w:val="bottom"/>
            <w:shd w:val="clear" w:color="auto" w:fill="EFEDED"/>
          </w:tcPr>
          <w:p>
            <w:pPr>
              <w:jc w:val="right"/>
              <w:spacing w:after="0"/>
              <w:rPr>
                <w:sz w:val="20"/>
                <w:szCs w:val="20"/>
                <w:color w:val="auto"/>
              </w:rPr>
            </w:pPr>
            <w:r>
              <w:rPr>
                <w:rFonts w:ascii="Arial" w:cs="Arial" w:eastAsia="Arial" w:hAnsi="Arial"/>
                <w:sz w:val="11"/>
                <w:szCs w:val="11"/>
                <w:color w:val="58595B"/>
              </w:rPr>
              <w:t>20,859</w:t>
            </w:r>
          </w:p>
        </w:tc>
        <w:tc>
          <w:tcPr>
            <w:tcW w:w="740" w:type="dxa"/>
            <w:vAlign w:val="bottom"/>
            <w:shd w:val="clear" w:color="auto" w:fill="EFEDED"/>
          </w:tcPr>
          <w:p>
            <w:pPr>
              <w:jc w:val="right"/>
              <w:ind w:right="106"/>
              <w:spacing w:after="0"/>
              <w:rPr>
                <w:sz w:val="20"/>
                <w:szCs w:val="20"/>
                <w:color w:val="auto"/>
              </w:rPr>
            </w:pPr>
            <w:r>
              <w:rPr>
                <w:rFonts w:ascii="Arial" w:cs="Arial" w:eastAsia="Arial" w:hAnsi="Arial"/>
                <w:sz w:val="11"/>
                <w:szCs w:val="11"/>
                <w:color w:val="58595B"/>
              </w:rPr>
              <w:t>41,718</w:t>
            </w:r>
          </w:p>
        </w:tc>
        <w:tc>
          <w:tcPr>
            <w:tcW w:w="660" w:type="dxa"/>
            <w:vAlign w:val="bottom"/>
            <w:shd w:val="clear" w:color="auto" w:fill="EFEDED"/>
          </w:tcPr>
          <w:p>
            <w:pPr>
              <w:jc w:val="center"/>
              <w:ind w:right="46"/>
              <w:spacing w:after="0"/>
              <w:rPr>
                <w:sz w:val="20"/>
                <w:szCs w:val="20"/>
                <w:color w:val="auto"/>
              </w:rPr>
            </w:pPr>
            <w:r>
              <w:rPr>
                <w:rFonts w:ascii="Arial" w:cs="Arial" w:eastAsia="Arial" w:hAnsi="Arial"/>
                <w:sz w:val="11"/>
                <w:szCs w:val="11"/>
                <w:color w:val="58595B"/>
                <w:w w:val="94"/>
              </w:rPr>
              <w:t>62,577</w:t>
            </w:r>
          </w:p>
        </w:tc>
        <w:tc>
          <w:tcPr>
            <w:tcW w:w="820" w:type="dxa"/>
            <w:vAlign w:val="bottom"/>
            <w:shd w:val="clear" w:color="auto" w:fill="EFEDED"/>
          </w:tcPr>
          <w:p>
            <w:pPr>
              <w:spacing w:after="0"/>
              <w:rPr>
                <w:sz w:val="14"/>
                <w:szCs w:val="14"/>
                <w:color w:val="auto"/>
              </w:rPr>
            </w:pPr>
          </w:p>
        </w:tc>
        <w:tc>
          <w:tcPr>
            <w:tcW w:w="800" w:type="dxa"/>
            <w:vAlign w:val="bottom"/>
            <w:shd w:val="clear" w:color="auto" w:fill="EFEDED"/>
          </w:tcPr>
          <w:p>
            <w:pPr>
              <w:spacing w:after="0"/>
              <w:rPr>
                <w:sz w:val="14"/>
                <w:szCs w:val="14"/>
                <w:color w:val="auto"/>
              </w:rPr>
            </w:pPr>
          </w:p>
        </w:tc>
        <w:tc>
          <w:tcPr>
            <w:tcW w:w="680" w:type="dxa"/>
            <w:vAlign w:val="bottom"/>
            <w:shd w:val="clear" w:color="auto" w:fill="EFEDED"/>
          </w:tcPr>
          <w:p>
            <w:pPr>
              <w:spacing w:after="0"/>
              <w:rPr>
                <w:sz w:val="14"/>
                <w:szCs w:val="14"/>
                <w:color w:val="auto"/>
              </w:rPr>
            </w:pPr>
          </w:p>
        </w:tc>
        <w:tc>
          <w:tcPr>
            <w:tcW w:w="900" w:type="dxa"/>
            <w:vAlign w:val="bottom"/>
            <w:shd w:val="clear" w:color="auto" w:fill="EFEDED"/>
          </w:tcPr>
          <w:p>
            <w:pPr>
              <w:jc w:val="right"/>
              <w:ind w:right="106"/>
              <w:spacing w:after="0"/>
              <w:rPr>
                <w:sz w:val="20"/>
                <w:szCs w:val="20"/>
                <w:color w:val="auto"/>
              </w:rPr>
            </w:pPr>
            <w:r>
              <w:rPr>
                <w:rFonts w:ascii="Arial" w:cs="Arial" w:eastAsia="Arial" w:hAnsi="Arial"/>
                <w:sz w:val="11"/>
                <w:szCs w:val="11"/>
                <w:color w:val="58595B"/>
              </w:rPr>
              <w:t>999,146</w:t>
            </w:r>
          </w:p>
        </w:tc>
      </w:tr>
      <w:tr>
        <w:trPr>
          <w:trHeight w:val="183"/>
        </w:trPr>
        <w:tc>
          <w:tcPr>
            <w:tcW w:w="1380" w:type="dxa"/>
            <w:vAlign w:val="bottom"/>
            <w:shd w:val="clear" w:color="auto" w:fill="EFEDED"/>
          </w:tcPr>
          <w:p>
            <w:pPr>
              <w:spacing w:after="0"/>
              <w:rPr>
                <w:sz w:val="15"/>
                <w:szCs w:val="15"/>
                <w:color w:val="auto"/>
              </w:rPr>
            </w:pPr>
          </w:p>
        </w:tc>
        <w:tc>
          <w:tcPr>
            <w:tcW w:w="820" w:type="dxa"/>
            <w:vAlign w:val="bottom"/>
            <w:shd w:val="clear" w:color="auto" w:fill="EFEDED"/>
          </w:tcPr>
          <w:p>
            <w:pPr>
              <w:ind w:left="20"/>
              <w:spacing w:after="0"/>
              <w:rPr>
                <w:sz w:val="20"/>
                <w:szCs w:val="20"/>
                <w:color w:val="auto"/>
              </w:rPr>
            </w:pPr>
            <w:r>
              <w:rPr>
                <w:rFonts w:ascii="Arial" w:cs="Arial" w:eastAsia="Arial" w:hAnsi="Arial"/>
                <w:sz w:val="11"/>
                <w:szCs w:val="11"/>
                <w:color w:val="58595B"/>
              </w:rPr>
              <w:t>RSA</w:t>
            </w:r>
          </w:p>
        </w:tc>
        <w:tc>
          <w:tcPr>
            <w:tcW w:w="820" w:type="dxa"/>
            <w:vAlign w:val="bottom"/>
            <w:shd w:val="clear" w:color="auto" w:fill="EFEDED"/>
          </w:tcPr>
          <w:p>
            <w:pPr>
              <w:jc w:val="right"/>
              <w:ind w:right="26"/>
              <w:spacing w:after="0"/>
              <w:rPr>
                <w:sz w:val="20"/>
                <w:szCs w:val="20"/>
                <w:color w:val="auto"/>
              </w:rPr>
            </w:pPr>
            <w:r>
              <w:rPr>
                <w:rFonts w:ascii="Arial" w:cs="Arial" w:eastAsia="Arial" w:hAnsi="Arial"/>
                <w:sz w:val="11"/>
                <w:szCs w:val="11"/>
                <w:color w:val="58595B"/>
              </w:rPr>
              <w:t>3/11/2025</w:t>
            </w:r>
          </w:p>
        </w:tc>
        <w:tc>
          <w:tcPr>
            <w:tcW w:w="720" w:type="dxa"/>
            <w:vAlign w:val="bottom"/>
            <w:shd w:val="clear" w:color="auto" w:fill="EFEDED"/>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shd w:val="clear" w:color="auto" w:fill="EFEDED"/>
          </w:tcPr>
          <w:p>
            <w:pPr>
              <w:spacing w:after="0"/>
              <w:rPr>
                <w:sz w:val="15"/>
                <w:szCs w:val="15"/>
                <w:color w:val="auto"/>
              </w:rPr>
            </w:pPr>
          </w:p>
        </w:tc>
        <w:tc>
          <w:tcPr>
            <w:tcW w:w="720" w:type="dxa"/>
            <w:vAlign w:val="bottom"/>
            <w:shd w:val="clear" w:color="auto" w:fill="EFEDED"/>
          </w:tcPr>
          <w:p>
            <w:pPr>
              <w:spacing w:after="0"/>
              <w:rPr>
                <w:sz w:val="15"/>
                <w:szCs w:val="15"/>
                <w:color w:val="auto"/>
              </w:rPr>
            </w:pPr>
          </w:p>
        </w:tc>
        <w:tc>
          <w:tcPr>
            <w:tcW w:w="740" w:type="dxa"/>
            <w:vAlign w:val="bottom"/>
            <w:tcBorders>
              <w:right w:val="single" w:sz="8" w:color="EFEDED"/>
            </w:tcBorders>
            <w:shd w:val="clear" w:color="auto" w:fill="EFEDED"/>
          </w:tcPr>
          <w:p>
            <w:pPr>
              <w:spacing w:after="0"/>
              <w:rPr>
                <w:sz w:val="15"/>
                <w:szCs w:val="15"/>
                <w:color w:val="auto"/>
              </w:rPr>
            </w:pPr>
          </w:p>
        </w:tc>
        <w:tc>
          <w:tcPr>
            <w:tcW w:w="680" w:type="dxa"/>
            <w:vAlign w:val="bottom"/>
            <w:shd w:val="clear" w:color="auto" w:fill="EFEDED"/>
          </w:tcPr>
          <w:p>
            <w:pPr>
              <w:spacing w:after="0"/>
              <w:rPr>
                <w:sz w:val="15"/>
                <w:szCs w:val="15"/>
                <w:color w:val="auto"/>
              </w:rPr>
            </w:pPr>
          </w:p>
        </w:tc>
        <w:tc>
          <w:tcPr>
            <w:tcW w:w="740" w:type="dxa"/>
            <w:vAlign w:val="bottom"/>
            <w:shd w:val="clear" w:color="auto" w:fill="EFEDED"/>
          </w:tcPr>
          <w:p>
            <w:pPr>
              <w:spacing w:after="0"/>
              <w:rPr>
                <w:sz w:val="15"/>
                <w:szCs w:val="15"/>
                <w:color w:val="auto"/>
              </w:rPr>
            </w:pPr>
          </w:p>
        </w:tc>
        <w:tc>
          <w:tcPr>
            <w:tcW w:w="660" w:type="dxa"/>
            <w:vAlign w:val="bottom"/>
            <w:shd w:val="clear" w:color="auto" w:fill="EFEDED"/>
          </w:tcPr>
          <w:p>
            <w:pPr>
              <w:spacing w:after="0"/>
              <w:rPr>
                <w:sz w:val="15"/>
                <w:szCs w:val="15"/>
                <w:color w:val="auto"/>
              </w:rPr>
            </w:pPr>
          </w:p>
        </w:tc>
        <w:tc>
          <w:tcPr>
            <w:tcW w:w="820" w:type="dxa"/>
            <w:vAlign w:val="bottom"/>
            <w:shd w:val="clear" w:color="auto" w:fill="EFEDED"/>
          </w:tcPr>
          <w:p>
            <w:pPr>
              <w:jc w:val="right"/>
              <w:ind w:right="26"/>
              <w:spacing w:after="0"/>
              <w:rPr>
                <w:sz w:val="20"/>
                <w:szCs w:val="20"/>
                <w:color w:val="auto"/>
              </w:rPr>
            </w:pPr>
            <w:r>
              <w:rPr>
                <w:rFonts w:ascii="Arial" w:cs="Arial" w:eastAsia="Arial" w:hAnsi="Arial"/>
                <w:sz w:val="11"/>
                <w:szCs w:val="11"/>
                <w:color w:val="58595B"/>
              </w:rPr>
              <w:t>20,859</w:t>
            </w:r>
          </w:p>
        </w:tc>
        <w:tc>
          <w:tcPr>
            <w:tcW w:w="800" w:type="dxa"/>
            <w:vAlign w:val="bottom"/>
            <w:shd w:val="clear" w:color="auto" w:fill="EFEDED"/>
          </w:tcPr>
          <w:p>
            <w:pPr>
              <w:spacing w:after="0"/>
              <w:rPr>
                <w:sz w:val="15"/>
                <w:szCs w:val="15"/>
                <w:color w:val="auto"/>
              </w:rPr>
            </w:pPr>
          </w:p>
        </w:tc>
        <w:tc>
          <w:tcPr>
            <w:tcW w:w="680" w:type="dxa"/>
            <w:vAlign w:val="bottom"/>
            <w:shd w:val="clear" w:color="auto" w:fill="EFEDED"/>
          </w:tcPr>
          <w:p>
            <w:pPr>
              <w:spacing w:after="0"/>
              <w:rPr>
                <w:sz w:val="15"/>
                <w:szCs w:val="15"/>
                <w:color w:val="auto"/>
              </w:rPr>
            </w:pPr>
          </w:p>
        </w:tc>
        <w:tc>
          <w:tcPr>
            <w:tcW w:w="900" w:type="dxa"/>
            <w:vAlign w:val="bottom"/>
            <w:shd w:val="clear" w:color="auto" w:fill="EFEDED"/>
          </w:tcPr>
          <w:p>
            <w:pPr>
              <w:jc w:val="right"/>
              <w:ind w:right="106"/>
              <w:spacing w:after="0"/>
              <w:rPr>
                <w:sz w:val="20"/>
                <w:szCs w:val="20"/>
                <w:color w:val="auto"/>
              </w:rPr>
            </w:pPr>
            <w:r>
              <w:rPr>
                <w:rFonts w:ascii="Arial" w:cs="Arial" w:eastAsia="Arial" w:hAnsi="Arial"/>
                <w:sz w:val="11"/>
                <w:szCs w:val="11"/>
                <w:color w:val="58595B"/>
              </w:rPr>
              <w:t>499,573</w:t>
            </w:r>
          </w:p>
        </w:tc>
      </w:tr>
      <w:tr>
        <w:trPr>
          <w:trHeight w:val="189"/>
        </w:trPr>
        <w:tc>
          <w:tcPr>
            <w:tcW w:w="1380" w:type="dxa"/>
            <w:vAlign w:val="bottom"/>
            <w:shd w:val="clear" w:color="auto" w:fill="EFEDED"/>
          </w:tcPr>
          <w:p>
            <w:pPr>
              <w:spacing w:after="0"/>
              <w:rPr>
                <w:sz w:val="16"/>
                <w:szCs w:val="16"/>
                <w:color w:val="auto"/>
              </w:rPr>
            </w:pPr>
          </w:p>
        </w:tc>
        <w:tc>
          <w:tcPr>
            <w:tcW w:w="820" w:type="dxa"/>
            <w:vAlign w:val="bottom"/>
            <w:shd w:val="clear" w:color="auto" w:fill="EFEDED"/>
          </w:tcPr>
          <w:p>
            <w:pPr>
              <w:ind w:left="20"/>
              <w:spacing w:after="0"/>
              <w:rPr>
                <w:sz w:val="20"/>
                <w:szCs w:val="20"/>
                <w:color w:val="auto"/>
              </w:rPr>
            </w:pPr>
            <w:r>
              <w:rPr>
                <w:rFonts w:ascii="Arial" w:cs="Arial" w:eastAsia="Arial" w:hAnsi="Arial"/>
                <w:sz w:val="11"/>
                <w:szCs w:val="11"/>
                <w:color w:val="58595B"/>
              </w:rPr>
              <w:t>Stock Option</w:t>
            </w:r>
          </w:p>
        </w:tc>
        <w:tc>
          <w:tcPr>
            <w:tcW w:w="820" w:type="dxa"/>
            <w:vAlign w:val="bottom"/>
            <w:shd w:val="clear" w:color="auto" w:fill="EFEDED"/>
          </w:tcPr>
          <w:p>
            <w:pPr>
              <w:jc w:val="right"/>
              <w:ind w:right="26"/>
              <w:spacing w:after="0"/>
              <w:rPr>
                <w:sz w:val="20"/>
                <w:szCs w:val="20"/>
                <w:color w:val="auto"/>
              </w:rPr>
            </w:pPr>
            <w:r>
              <w:rPr>
                <w:rFonts w:ascii="Arial" w:cs="Arial" w:eastAsia="Arial" w:hAnsi="Arial"/>
                <w:sz w:val="11"/>
                <w:szCs w:val="11"/>
                <w:color w:val="58595B"/>
              </w:rPr>
              <w:t>3/11/2025</w:t>
            </w:r>
          </w:p>
        </w:tc>
        <w:tc>
          <w:tcPr>
            <w:tcW w:w="720" w:type="dxa"/>
            <w:vAlign w:val="bottom"/>
            <w:shd w:val="clear" w:color="auto" w:fill="EFEDED"/>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shd w:val="clear" w:color="auto" w:fill="EFEDED"/>
          </w:tcPr>
          <w:p>
            <w:pPr>
              <w:spacing w:after="0"/>
              <w:rPr>
                <w:sz w:val="16"/>
                <w:szCs w:val="16"/>
                <w:color w:val="auto"/>
              </w:rPr>
            </w:pPr>
          </w:p>
        </w:tc>
        <w:tc>
          <w:tcPr>
            <w:tcW w:w="720" w:type="dxa"/>
            <w:vAlign w:val="bottom"/>
            <w:shd w:val="clear" w:color="auto" w:fill="EFEDED"/>
          </w:tcPr>
          <w:p>
            <w:pPr>
              <w:spacing w:after="0"/>
              <w:rPr>
                <w:sz w:val="16"/>
                <w:szCs w:val="16"/>
                <w:color w:val="auto"/>
              </w:rPr>
            </w:pPr>
          </w:p>
        </w:tc>
        <w:tc>
          <w:tcPr>
            <w:tcW w:w="740" w:type="dxa"/>
            <w:vAlign w:val="bottom"/>
            <w:tcBorders>
              <w:right w:val="single" w:sz="8" w:color="EFEDED"/>
            </w:tcBorders>
            <w:shd w:val="clear" w:color="auto" w:fill="EFEDED"/>
          </w:tcPr>
          <w:p>
            <w:pPr>
              <w:spacing w:after="0"/>
              <w:rPr>
                <w:sz w:val="16"/>
                <w:szCs w:val="16"/>
                <w:color w:val="auto"/>
              </w:rPr>
            </w:pPr>
          </w:p>
        </w:tc>
        <w:tc>
          <w:tcPr>
            <w:tcW w:w="680" w:type="dxa"/>
            <w:vAlign w:val="bottom"/>
            <w:shd w:val="clear" w:color="auto" w:fill="EFEDED"/>
          </w:tcPr>
          <w:p>
            <w:pPr>
              <w:spacing w:after="0"/>
              <w:rPr>
                <w:sz w:val="16"/>
                <w:szCs w:val="16"/>
                <w:color w:val="auto"/>
              </w:rPr>
            </w:pPr>
          </w:p>
        </w:tc>
        <w:tc>
          <w:tcPr>
            <w:tcW w:w="740" w:type="dxa"/>
            <w:vAlign w:val="bottom"/>
            <w:shd w:val="clear" w:color="auto" w:fill="EFEDED"/>
          </w:tcPr>
          <w:p>
            <w:pPr>
              <w:spacing w:after="0"/>
              <w:rPr>
                <w:sz w:val="16"/>
                <w:szCs w:val="16"/>
                <w:color w:val="auto"/>
              </w:rPr>
            </w:pPr>
          </w:p>
        </w:tc>
        <w:tc>
          <w:tcPr>
            <w:tcW w:w="660" w:type="dxa"/>
            <w:vAlign w:val="bottom"/>
            <w:shd w:val="clear" w:color="auto" w:fill="EFEDED"/>
          </w:tcPr>
          <w:p>
            <w:pPr>
              <w:spacing w:after="0"/>
              <w:rPr>
                <w:sz w:val="16"/>
                <w:szCs w:val="16"/>
                <w:color w:val="auto"/>
              </w:rPr>
            </w:pPr>
          </w:p>
        </w:tc>
        <w:tc>
          <w:tcPr>
            <w:tcW w:w="820" w:type="dxa"/>
            <w:vAlign w:val="bottom"/>
            <w:shd w:val="clear" w:color="auto" w:fill="EFEDED"/>
          </w:tcPr>
          <w:p>
            <w:pPr>
              <w:spacing w:after="0"/>
              <w:rPr>
                <w:sz w:val="16"/>
                <w:szCs w:val="16"/>
                <w:color w:val="auto"/>
              </w:rPr>
            </w:pPr>
          </w:p>
        </w:tc>
        <w:tc>
          <w:tcPr>
            <w:tcW w:w="800" w:type="dxa"/>
            <w:vAlign w:val="bottom"/>
            <w:shd w:val="clear" w:color="auto" w:fill="EFEDED"/>
          </w:tcPr>
          <w:p>
            <w:pPr>
              <w:jc w:val="right"/>
              <w:ind w:right="26"/>
              <w:spacing w:after="0"/>
              <w:rPr>
                <w:sz w:val="20"/>
                <w:szCs w:val="20"/>
                <w:color w:val="auto"/>
              </w:rPr>
            </w:pPr>
            <w:r>
              <w:rPr>
                <w:rFonts w:ascii="Arial" w:cs="Arial" w:eastAsia="Arial" w:hAnsi="Arial"/>
                <w:sz w:val="11"/>
                <w:szCs w:val="11"/>
                <w:color w:val="58595B"/>
              </w:rPr>
              <w:t>44,171</w:t>
            </w:r>
          </w:p>
        </w:tc>
        <w:tc>
          <w:tcPr>
            <w:tcW w:w="680" w:type="dxa"/>
            <w:vAlign w:val="bottom"/>
            <w:shd w:val="clear" w:color="auto" w:fill="EFEDED"/>
          </w:tcPr>
          <w:p>
            <w:pPr>
              <w:jc w:val="right"/>
              <w:ind w:right="66"/>
              <w:spacing w:after="0"/>
              <w:rPr>
                <w:sz w:val="20"/>
                <w:szCs w:val="20"/>
                <w:color w:val="auto"/>
              </w:rPr>
            </w:pPr>
            <w:r>
              <w:rPr>
                <w:rFonts w:ascii="Arial" w:cs="Arial" w:eastAsia="Arial" w:hAnsi="Arial"/>
                <w:sz w:val="11"/>
                <w:szCs w:val="11"/>
                <w:color w:val="58595B"/>
              </w:rPr>
              <w:t>23.95</w:t>
            </w:r>
          </w:p>
        </w:tc>
        <w:tc>
          <w:tcPr>
            <w:tcW w:w="900" w:type="dxa"/>
            <w:vAlign w:val="bottom"/>
            <w:shd w:val="clear" w:color="auto" w:fill="EFEDED"/>
          </w:tcPr>
          <w:p>
            <w:pPr>
              <w:jc w:val="right"/>
              <w:ind w:right="106"/>
              <w:spacing w:after="0"/>
              <w:rPr>
                <w:sz w:val="20"/>
                <w:szCs w:val="20"/>
                <w:color w:val="auto"/>
              </w:rPr>
            </w:pPr>
            <w:r>
              <w:rPr>
                <w:rFonts w:ascii="Arial" w:cs="Arial" w:eastAsia="Arial" w:hAnsi="Arial"/>
                <w:sz w:val="11"/>
                <w:szCs w:val="11"/>
                <w:color w:val="58595B"/>
              </w:rPr>
              <w:t>499,574</w:t>
            </w:r>
          </w:p>
        </w:tc>
      </w:tr>
      <w:tr>
        <w:trPr>
          <w:trHeight w:val="203"/>
        </w:trPr>
        <w:tc>
          <w:tcPr>
            <w:tcW w:w="1380" w:type="dxa"/>
            <w:vAlign w:val="bottom"/>
            <w:tcBorders>
              <w:bottom w:val="single" w:sz="8" w:color="EFEDED"/>
            </w:tcBorders>
            <w:shd w:val="clear" w:color="auto" w:fill="EFEDED"/>
          </w:tcPr>
          <w:p>
            <w:pPr>
              <w:spacing w:after="0"/>
              <w:rPr>
                <w:sz w:val="17"/>
                <w:szCs w:val="17"/>
                <w:color w:val="auto"/>
              </w:rPr>
            </w:pPr>
          </w:p>
        </w:tc>
        <w:tc>
          <w:tcPr>
            <w:tcW w:w="82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1"/>
                <w:szCs w:val="11"/>
                <w:color w:val="58595B"/>
              </w:rPr>
              <w:t>Cash Bonus</w:t>
            </w:r>
          </w:p>
        </w:tc>
        <w:tc>
          <w:tcPr>
            <w:tcW w:w="820" w:type="dxa"/>
            <w:vAlign w:val="bottom"/>
            <w:tcBorders>
              <w:bottom w:val="single" w:sz="8" w:color="EFEDED"/>
            </w:tcBorders>
            <w:shd w:val="clear" w:color="auto" w:fill="EFEDED"/>
          </w:tcPr>
          <w:p>
            <w:pPr>
              <w:jc w:val="right"/>
              <w:ind w:right="26"/>
              <w:spacing w:after="0"/>
              <w:rPr>
                <w:sz w:val="20"/>
                <w:szCs w:val="20"/>
                <w:color w:val="auto"/>
              </w:rPr>
            </w:pPr>
            <w:r>
              <w:rPr>
                <w:rFonts w:ascii="Arial" w:cs="Arial" w:eastAsia="Arial" w:hAnsi="Arial"/>
                <w:sz w:val="11"/>
                <w:szCs w:val="11"/>
                <w:color w:val="58595B"/>
              </w:rPr>
              <w:t>1/1/2025</w:t>
            </w:r>
          </w:p>
        </w:tc>
        <w:tc>
          <w:tcPr>
            <w:tcW w:w="72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tcBorders>
              <w:bottom w:val="single" w:sz="8" w:color="EFEDED"/>
            </w:tcBorders>
            <w:shd w:val="clear" w:color="auto" w:fill="EFEDED"/>
          </w:tcPr>
          <w:p>
            <w:pPr>
              <w:jc w:val="right"/>
              <w:ind w:right="46"/>
              <w:spacing w:after="0"/>
              <w:rPr>
                <w:sz w:val="20"/>
                <w:szCs w:val="20"/>
                <w:color w:val="auto"/>
              </w:rPr>
            </w:pPr>
            <w:r>
              <w:rPr>
                <w:rFonts w:ascii="Arial" w:cs="Arial" w:eastAsia="Arial" w:hAnsi="Arial"/>
                <w:sz w:val="11"/>
                <w:szCs w:val="11"/>
                <w:color w:val="58595B"/>
              </w:rPr>
              <w:t>116,028</w:t>
            </w:r>
          </w:p>
        </w:tc>
        <w:tc>
          <w:tcPr>
            <w:tcW w:w="720" w:type="dxa"/>
            <w:vAlign w:val="bottom"/>
            <w:tcBorders>
              <w:bottom w:val="single" w:sz="8" w:color="EFEDED"/>
            </w:tcBorders>
            <w:shd w:val="clear" w:color="auto" w:fill="EFEDED"/>
          </w:tcPr>
          <w:p>
            <w:pPr>
              <w:jc w:val="right"/>
              <w:ind w:right="46"/>
              <w:spacing w:after="0"/>
              <w:rPr>
                <w:sz w:val="20"/>
                <w:szCs w:val="20"/>
                <w:color w:val="auto"/>
              </w:rPr>
            </w:pPr>
            <w:r>
              <w:rPr>
                <w:rFonts w:ascii="Arial" w:cs="Arial" w:eastAsia="Arial" w:hAnsi="Arial"/>
                <w:sz w:val="11"/>
                <w:szCs w:val="11"/>
                <w:color w:val="58595B"/>
              </w:rPr>
              <w:t>580,138</w:t>
            </w:r>
          </w:p>
        </w:tc>
        <w:tc>
          <w:tcPr>
            <w:tcW w:w="740" w:type="dxa"/>
            <w:vAlign w:val="bottom"/>
            <w:tcBorders>
              <w:bottom w:val="single" w:sz="8" w:color="EFEDED"/>
              <w:right w:val="single" w:sz="8" w:color="EFEDED"/>
            </w:tcBorders>
            <w:shd w:val="clear" w:color="auto" w:fill="EFEDED"/>
          </w:tcPr>
          <w:p>
            <w:pPr>
              <w:jc w:val="right"/>
              <w:ind w:right="6"/>
              <w:spacing w:after="0"/>
              <w:rPr>
                <w:sz w:val="20"/>
                <w:szCs w:val="20"/>
                <w:color w:val="auto"/>
              </w:rPr>
            </w:pPr>
            <w:r>
              <w:rPr>
                <w:rFonts w:ascii="Arial" w:cs="Arial" w:eastAsia="Arial" w:hAnsi="Arial"/>
                <w:sz w:val="11"/>
                <w:szCs w:val="11"/>
                <w:color w:val="58595B"/>
              </w:rPr>
              <w:t>870,207</w:t>
            </w:r>
          </w:p>
        </w:tc>
        <w:tc>
          <w:tcPr>
            <w:tcW w:w="680" w:type="dxa"/>
            <w:vAlign w:val="bottom"/>
            <w:tcBorders>
              <w:bottom w:val="single" w:sz="8" w:color="EFEDED"/>
            </w:tcBorders>
            <w:shd w:val="clear" w:color="auto" w:fill="EFEDED"/>
          </w:tcPr>
          <w:p>
            <w:pPr>
              <w:spacing w:after="0"/>
              <w:rPr>
                <w:sz w:val="17"/>
                <w:szCs w:val="17"/>
                <w:color w:val="auto"/>
              </w:rPr>
            </w:pPr>
          </w:p>
        </w:tc>
        <w:tc>
          <w:tcPr>
            <w:tcW w:w="740" w:type="dxa"/>
            <w:vAlign w:val="bottom"/>
            <w:tcBorders>
              <w:bottom w:val="single" w:sz="8" w:color="EFEDED"/>
            </w:tcBorders>
            <w:shd w:val="clear" w:color="auto" w:fill="EFEDED"/>
          </w:tcPr>
          <w:p>
            <w:pPr>
              <w:spacing w:after="0"/>
              <w:rPr>
                <w:sz w:val="17"/>
                <w:szCs w:val="17"/>
                <w:color w:val="auto"/>
              </w:rPr>
            </w:pPr>
          </w:p>
        </w:tc>
        <w:tc>
          <w:tcPr>
            <w:tcW w:w="660" w:type="dxa"/>
            <w:vAlign w:val="bottom"/>
            <w:tcBorders>
              <w:bottom w:val="single" w:sz="8" w:color="EFEDED"/>
            </w:tcBorders>
            <w:shd w:val="clear" w:color="auto" w:fill="EFEDED"/>
          </w:tcPr>
          <w:p>
            <w:pPr>
              <w:spacing w:after="0"/>
              <w:rPr>
                <w:sz w:val="17"/>
                <w:szCs w:val="17"/>
                <w:color w:val="auto"/>
              </w:rPr>
            </w:pPr>
          </w:p>
        </w:tc>
        <w:tc>
          <w:tcPr>
            <w:tcW w:w="820" w:type="dxa"/>
            <w:vAlign w:val="bottom"/>
            <w:tcBorders>
              <w:bottom w:val="single" w:sz="8" w:color="EFEDED"/>
            </w:tcBorders>
            <w:shd w:val="clear" w:color="auto" w:fill="EFEDED"/>
          </w:tcPr>
          <w:p>
            <w:pPr>
              <w:spacing w:after="0"/>
              <w:rPr>
                <w:sz w:val="17"/>
                <w:szCs w:val="17"/>
                <w:color w:val="auto"/>
              </w:rPr>
            </w:pPr>
          </w:p>
        </w:tc>
        <w:tc>
          <w:tcPr>
            <w:tcW w:w="800" w:type="dxa"/>
            <w:vAlign w:val="bottom"/>
            <w:tcBorders>
              <w:bottom w:val="single" w:sz="8" w:color="EFEDED"/>
            </w:tcBorders>
            <w:shd w:val="clear" w:color="auto" w:fill="EFEDED"/>
          </w:tcPr>
          <w:p>
            <w:pPr>
              <w:spacing w:after="0"/>
              <w:rPr>
                <w:sz w:val="17"/>
                <w:szCs w:val="17"/>
                <w:color w:val="auto"/>
              </w:rPr>
            </w:pPr>
          </w:p>
        </w:tc>
        <w:tc>
          <w:tcPr>
            <w:tcW w:w="680" w:type="dxa"/>
            <w:vAlign w:val="bottom"/>
            <w:tcBorders>
              <w:bottom w:val="single" w:sz="8" w:color="EFEDED"/>
            </w:tcBorders>
            <w:shd w:val="clear" w:color="auto" w:fill="EFEDED"/>
          </w:tcPr>
          <w:p>
            <w:pPr>
              <w:spacing w:after="0"/>
              <w:rPr>
                <w:sz w:val="17"/>
                <w:szCs w:val="17"/>
                <w:color w:val="auto"/>
              </w:rPr>
            </w:pPr>
          </w:p>
        </w:tc>
        <w:tc>
          <w:tcPr>
            <w:tcW w:w="900" w:type="dxa"/>
            <w:vAlign w:val="bottom"/>
            <w:tcBorders>
              <w:bottom w:val="single" w:sz="8" w:color="EFEDED"/>
            </w:tcBorders>
            <w:shd w:val="clear" w:color="auto" w:fill="EFEDED"/>
          </w:tcPr>
          <w:p>
            <w:pPr>
              <w:spacing w:after="0"/>
              <w:rPr>
                <w:sz w:val="17"/>
                <w:szCs w:val="17"/>
                <w:color w:val="auto"/>
              </w:rPr>
            </w:pPr>
          </w:p>
        </w:tc>
      </w:tr>
      <w:tr>
        <w:trPr>
          <w:trHeight w:val="161"/>
        </w:trPr>
        <w:tc>
          <w:tcPr>
            <w:tcW w:w="1380" w:type="dxa"/>
            <w:vAlign w:val="bottom"/>
          </w:tcPr>
          <w:p>
            <w:pPr>
              <w:ind w:left="100"/>
              <w:spacing w:after="0"/>
              <w:rPr>
                <w:sz w:val="20"/>
                <w:szCs w:val="20"/>
                <w:color w:val="auto"/>
              </w:rPr>
            </w:pPr>
            <w:r>
              <w:rPr>
                <w:rFonts w:ascii="Arial" w:cs="Arial" w:eastAsia="Arial" w:hAnsi="Arial"/>
                <w:sz w:val="11"/>
                <w:szCs w:val="11"/>
                <w:b w:val="1"/>
                <w:bCs w:val="1"/>
                <w:color w:val="58595B"/>
              </w:rPr>
              <w:t>Robert T. Davis, Jr</w:t>
            </w:r>
          </w:p>
        </w:tc>
        <w:tc>
          <w:tcPr>
            <w:tcW w:w="820" w:type="dxa"/>
            <w:vAlign w:val="bottom"/>
          </w:tcPr>
          <w:p>
            <w:pPr>
              <w:ind w:left="20"/>
              <w:spacing w:after="0"/>
              <w:rPr>
                <w:sz w:val="20"/>
                <w:szCs w:val="20"/>
                <w:color w:val="auto"/>
              </w:rPr>
            </w:pPr>
            <w:r>
              <w:rPr>
                <w:rFonts w:ascii="Arial" w:cs="Arial" w:eastAsia="Arial" w:hAnsi="Arial"/>
                <w:sz w:val="11"/>
                <w:szCs w:val="11"/>
                <w:color w:val="58595B"/>
              </w:rPr>
              <w:t>PSU</w:t>
            </w:r>
          </w:p>
        </w:tc>
        <w:tc>
          <w:tcPr>
            <w:tcW w:w="820" w:type="dxa"/>
            <w:vAlign w:val="bottom"/>
          </w:tcPr>
          <w:p>
            <w:pPr>
              <w:jc w:val="right"/>
              <w:ind w:right="26"/>
              <w:spacing w:after="0"/>
              <w:rPr>
                <w:sz w:val="20"/>
                <w:szCs w:val="20"/>
                <w:color w:val="auto"/>
              </w:rPr>
            </w:pPr>
            <w:r>
              <w:rPr>
                <w:rFonts w:ascii="Arial" w:cs="Arial" w:eastAsia="Arial" w:hAnsi="Arial"/>
                <w:sz w:val="11"/>
                <w:szCs w:val="11"/>
                <w:color w:val="58595B"/>
              </w:rPr>
              <w:t>3/11/2025</w:t>
            </w:r>
          </w:p>
        </w:tc>
        <w:tc>
          <w:tcPr>
            <w:tcW w:w="720" w:type="dxa"/>
            <w:vAlign w:val="bottom"/>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58595B"/>
              </w:rPr>
              <w:t>12,425</w:t>
            </w:r>
          </w:p>
        </w:tc>
        <w:tc>
          <w:tcPr>
            <w:tcW w:w="740" w:type="dxa"/>
            <w:vAlign w:val="bottom"/>
          </w:tcPr>
          <w:p>
            <w:pPr>
              <w:jc w:val="right"/>
              <w:ind w:right="106"/>
              <w:spacing w:after="0"/>
              <w:rPr>
                <w:sz w:val="20"/>
                <w:szCs w:val="20"/>
                <w:color w:val="auto"/>
              </w:rPr>
            </w:pPr>
            <w:r>
              <w:rPr>
                <w:rFonts w:ascii="Arial" w:cs="Arial" w:eastAsia="Arial" w:hAnsi="Arial"/>
                <w:sz w:val="11"/>
                <w:szCs w:val="11"/>
                <w:color w:val="58595B"/>
              </w:rPr>
              <w:t>24,849</w:t>
            </w:r>
          </w:p>
        </w:tc>
        <w:tc>
          <w:tcPr>
            <w:tcW w:w="660" w:type="dxa"/>
            <w:vAlign w:val="bottom"/>
          </w:tcPr>
          <w:p>
            <w:pPr>
              <w:jc w:val="center"/>
              <w:ind w:right="46"/>
              <w:spacing w:after="0"/>
              <w:rPr>
                <w:sz w:val="20"/>
                <w:szCs w:val="20"/>
                <w:color w:val="auto"/>
              </w:rPr>
            </w:pPr>
            <w:r>
              <w:rPr>
                <w:rFonts w:ascii="Arial" w:cs="Arial" w:eastAsia="Arial" w:hAnsi="Arial"/>
                <w:sz w:val="11"/>
                <w:szCs w:val="11"/>
                <w:color w:val="58595B"/>
                <w:w w:val="94"/>
              </w:rPr>
              <w:t>37,274</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Arial" w:cs="Arial" w:eastAsia="Arial" w:hAnsi="Arial"/>
                <w:sz w:val="11"/>
                <w:szCs w:val="11"/>
                <w:color w:val="58595B"/>
              </w:rPr>
              <w:t>595,134</w:t>
            </w:r>
          </w:p>
        </w:tc>
      </w:tr>
      <w:tr>
        <w:trPr>
          <w:trHeight w:val="183"/>
        </w:trPr>
        <w:tc>
          <w:tcPr>
            <w:tcW w:w="138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1"/>
                <w:szCs w:val="11"/>
                <w:color w:val="58595B"/>
              </w:rPr>
              <w:t>RSA</w:t>
            </w:r>
          </w:p>
        </w:tc>
        <w:tc>
          <w:tcPr>
            <w:tcW w:w="820" w:type="dxa"/>
            <w:vAlign w:val="bottom"/>
          </w:tcPr>
          <w:p>
            <w:pPr>
              <w:jc w:val="right"/>
              <w:ind w:right="26"/>
              <w:spacing w:after="0"/>
              <w:rPr>
                <w:sz w:val="20"/>
                <w:szCs w:val="20"/>
                <w:color w:val="auto"/>
              </w:rPr>
            </w:pPr>
            <w:r>
              <w:rPr>
                <w:rFonts w:ascii="Arial" w:cs="Arial" w:eastAsia="Arial" w:hAnsi="Arial"/>
                <w:sz w:val="11"/>
                <w:szCs w:val="11"/>
                <w:color w:val="58595B"/>
              </w:rPr>
              <w:t>3/11/2025</w:t>
            </w:r>
          </w:p>
        </w:tc>
        <w:tc>
          <w:tcPr>
            <w:tcW w:w="720" w:type="dxa"/>
            <w:vAlign w:val="bottom"/>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color w:val="58595B"/>
              </w:rPr>
              <w:t>12,425</w:t>
            </w: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jc w:val="right"/>
              <w:ind w:right="106"/>
              <w:spacing w:after="0"/>
              <w:rPr>
                <w:sz w:val="20"/>
                <w:szCs w:val="20"/>
                <w:color w:val="auto"/>
              </w:rPr>
            </w:pPr>
            <w:r>
              <w:rPr>
                <w:rFonts w:ascii="Arial" w:cs="Arial" w:eastAsia="Arial" w:hAnsi="Arial"/>
                <w:sz w:val="11"/>
                <w:szCs w:val="11"/>
                <w:color w:val="58595B"/>
              </w:rPr>
              <w:t>297,579</w:t>
            </w:r>
          </w:p>
        </w:tc>
      </w:tr>
      <w:tr>
        <w:trPr>
          <w:trHeight w:val="189"/>
        </w:trPr>
        <w:tc>
          <w:tcPr>
            <w:tcW w:w="138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Arial" w:cs="Arial" w:eastAsia="Arial" w:hAnsi="Arial"/>
                <w:sz w:val="11"/>
                <w:szCs w:val="11"/>
                <w:color w:val="58595B"/>
              </w:rPr>
              <w:t>Stock Option</w:t>
            </w:r>
          </w:p>
        </w:tc>
        <w:tc>
          <w:tcPr>
            <w:tcW w:w="820" w:type="dxa"/>
            <w:vAlign w:val="bottom"/>
          </w:tcPr>
          <w:p>
            <w:pPr>
              <w:jc w:val="right"/>
              <w:ind w:right="26"/>
              <w:spacing w:after="0"/>
              <w:rPr>
                <w:sz w:val="20"/>
                <w:szCs w:val="20"/>
                <w:color w:val="auto"/>
              </w:rPr>
            </w:pPr>
            <w:r>
              <w:rPr>
                <w:rFonts w:ascii="Arial" w:cs="Arial" w:eastAsia="Arial" w:hAnsi="Arial"/>
                <w:sz w:val="11"/>
                <w:szCs w:val="11"/>
                <w:color w:val="58595B"/>
              </w:rPr>
              <w:t>3/11/2025</w:t>
            </w:r>
          </w:p>
        </w:tc>
        <w:tc>
          <w:tcPr>
            <w:tcW w:w="720" w:type="dxa"/>
            <w:vAlign w:val="bottom"/>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58595B"/>
              </w:rPr>
              <w:t>26,310</w:t>
            </w:r>
          </w:p>
        </w:tc>
        <w:tc>
          <w:tcPr>
            <w:tcW w:w="680" w:type="dxa"/>
            <w:vAlign w:val="bottom"/>
          </w:tcPr>
          <w:p>
            <w:pPr>
              <w:jc w:val="right"/>
              <w:ind w:right="66"/>
              <w:spacing w:after="0"/>
              <w:rPr>
                <w:sz w:val="20"/>
                <w:szCs w:val="20"/>
                <w:color w:val="auto"/>
              </w:rPr>
            </w:pPr>
            <w:r>
              <w:rPr>
                <w:rFonts w:ascii="Arial" w:cs="Arial" w:eastAsia="Arial" w:hAnsi="Arial"/>
                <w:sz w:val="11"/>
                <w:szCs w:val="11"/>
                <w:color w:val="58595B"/>
              </w:rPr>
              <w:t>23.95</w:t>
            </w:r>
          </w:p>
        </w:tc>
        <w:tc>
          <w:tcPr>
            <w:tcW w:w="900" w:type="dxa"/>
            <w:vAlign w:val="bottom"/>
          </w:tcPr>
          <w:p>
            <w:pPr>
              <w:jc w:val="right"/>
              <w:ind w:right="106"/>
              <w:spacing w:after="0"/>
              <w:rPr>
                <w:sz w:val="20"/>
                <w:szCs w:val="20"/>
                <w:color w:val="auto"/>
              </w:rPr>
            </w:pPr>
            <w:r>
              <w:rPr>
                <w:rFonts w:ascii="Arial" w:cs="Arial" w:eastAsia="Arial" w:hAnsi="Arial"/>
                <w:sz w:val="11"/>
                <w:szCs w:val="11"/>
                <w:color w:val="58595B"/>
              </w:rPr>
              <w:t>297,566</w:t>
            </w:r>
          </w:p>
        </w:tc>
      </w:tr>
      <w:tr>
        <w:trPr>
          <w:trHeight w:val="189"/>
        </w:trPr>
        <w:tc>
          <w:tcPr>
            <w:tcW w:w="138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Arial" w:cs="Arial" w:eastAsia="Arial" w:hAnsi="Arial"/>
                <w:sz w:val="11"/>
                <w:szCs w:val="11"/>
                <w:color w:val="58595B"/>
              </w:rPr>
              <w:t>Cash Bonus</w:t>
            </w:r>
          </w:p>
        </w:tc>
        <w:tc>
          <w:tcPr>
            <w:tcW w:w="820" w:type="dxa"/>
            <w:vAlign w:val="bottom"/>
          </w:tcPr>
          <w:p>
            <w:pPr>
              <w:jc w:val="right"/>
              <w:ind w:right="26"/>
              <w:spacing w:after="0"/>
              <w:rPr>
                <w:sz w:val="20"/>
                <w:szCs w:val="20"/>
                <w:color w:val="auto"/>
              </w:rPr>
            </w:pPr>
            <w:r>
              <w:rPr>
                <w:rFonts w:ascii="Arial" w:cs="Arial" w:eastAsia="Arial" w:hAnsi="Arial"/>
                <w:sz w:val="11"/>
                <w:szCs w:val="11"/>
                <w:color w:val="58595B"/>
              </w:rPr>
              <w:t>1/1/2025</w:t>
            </w:r>
          </w:p>
        </w:tc>
        <w:tc>
          <w:tcPr>
            <w:tcW w:w="720" w:type="dxa"/>
            <w:vAlign w:val="bottom"/>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tcPr>
          <w:p>
            <w:pPr>
              <w:jc w:val="right"/>
              <w:ind w:right="46"/>
              <w:spacing w:after="0"/>
              <w:rPr>
                <w:sz w:val="20"/>
                <w:szCs w:val="20"/>
                <w:color w:val="auto"/>
              </w:rPr>
            </w:pPr>
            <w:r>
              <w:rPr>
                <w:rFonts w:ascii="Arial" w:cs="Arial" w:eastAsia="Arial" w:hAnsi="Arial"/>
                <w:sz w:val="11"/>
                <w:szCs w:val="11"/>
                <w:color w:val="58595B"/>
              </w:rPr>
              <w:t>83,318</w:t>
            </w:r>
          </w:p>
        </w:tc>
        <w:tc>
          <w:tcPr>
            <w:tcW w:w="720" w:type="dxa"/>
            <w:vAlign w:val="bottom"/>
          </w:tcPr>
          <w:p>
            <w:pPr>
              <w:jc w:val="right"/>
              <w:ind w:right="46"/>
              <w:spacing w:after="0"/>
              <w:rPr>
                <w:sz w:val="20"/>
                <w:szCs w:val="20"/>
                <w:color w:val="auto"/>
              </w:rPr>
            </w:pPr>
            <w:r>
              <w:rPr>
                <w:rFonts w:ascii="Arial" w:cs="Arial" w:eastAsia="Arial" w:hAnsi="Arial"/>
                <w:sz w:val="11"/>
                <w:szCs w:val="11"/>
                <w:color w:val="58595B"/>
              </w:rPr>
              <w:t>416,588</w:t>
            </w:r>
          </w:p>
        </w:tc>
        <w:tc>
          <w:tcPr>
            <w:tcW w:w="740" w:type="dxa"/>
            <w:vAlign w:val="bottom"/>
          </w:tcPr>
          <w:p>
            <w:pPr>
              <w:jc w:val="right"/>
              <w:ind w:right="6"/>
              <w:spacing w:after="0"/>
              <w:rPr>
                <w:sz w:val="20"/>
                <w:szCs w:val="20"/>
                <w:color w:val="auto"/>
              </w:rPr>
            </w:pPr>
            <w:r>
              <w:rPr>
                <w:rFonts w:ascii="Arial" w:cs="Arial" w:eastAsia="Arial" w:hAnsi="Arial"/>
                <w:sz w:val="11"/>
                <w:szCs w:val="11"/>
                <w:color w:val="58595B"/>
              </w:rPr>
              <w:t>624,881</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3"/>
        </w:trPr>
        <w:tc>
          <w:tcPr>
            <w:tcW w:w="1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1"/>
        </w:trPr>
        <w:tc>
          <w:tcPr>
            <w:tcW w:w="1380" w:type="dxa"/>
            <w:vAlign w:val="bottom"/>
            <w:shd w:val="clear" w:color="auto" w:fill="EFEDED"/>
          </w:tcPr>
          <w:p>
            <w:pPr>
              <w:ind w:left="100"/>
              <w:spacing w:after="0"/>
              <w:rPr>
                <w:sz w:val="20"/>
                <w:szCs w:val="20"/>
                <w:color w:val="auto"/>
              </w:rPr>
            </w:pPr>
            <w:r>
              <w:rPr>
                <w:rFonts w:ascii="Arial" w:cs="Arial" w:eastAsia="Arial" w:hAnsi="Arial"/>
                <w:sz w:val="11"/>
                <w:szCs w:val="11"/>
                <w:b w:val="1"/>
                <w:bCs w:val="1"/>
                <w:color w:val="58595B"/>
              </w:rPr>
              <w:t>Michael J. McBreen</w:t>
            </w:r>
          </w:p>
        </w:tc>
        <w:tc>
          <w:tcPr>
            <w:tcW w:w="820" w:type="dxa"/>
            <w:vAlign w:val="bottom"/>
            <w:shd w:val="clear" w:color="auto" w:fill="EFEDED"/>
          </w:tcPr>
          <w:p>
            <w:pPr>
              <w:ind w:left="20"/>
              <w:spacing w:after="0"/>
              <w:rPr>
                <w:sz w:val="20"/>
                <w:szCs w:val="20"/>
                <w:color w:val="auto"/>
              </w:rPr>
            </w:pPr>
            <w:r>
              <w:rPr>
                <w:rFonts w:ascii="Arial" w:cs="Arial" w:eastAsia="Arial" w:hAnsi="Arial"/>
                <w:sz w:val="11"/>
                <w:szCs w:val="11"/>
                <w:color w:val="58595B"/>
              </w:rPr>
              <w:t>PSU</w:t>
            </w:r>
          </w:p>
        </w:tc>
        <w:tc>
          <w:tcPr>
            <w:tcW w:w="820" w:type="dxa"/>
            <w:vAlign w:val="bottom"/>
            <w:shd w:val="clear" w:color="auto" w:fill="EFEDED"/>
          </w:tcPr>
          <w:p>
            <w:pPr>
              <w:jc w:val="right"/>
              <w:ind w:right="26"/>
              <w:spacing w:after="0"/>
              <w:rPr>
                <w:sz w:val="20"/>
                <w:szCs w:val="20"/>
                <w:color w:val="auto"/>
              </w:rPr>
            </w:pPr>
            <w:r>
              <w:rPr>
                <w:rFonts w:ascii="Arial" w:cs="Arial" w:eastAsia="Arial" w:hAnsi="Arial"/>
                <w:sz w:val="11"/>
                <w:szCs w:val="11"/>
                <w:color w:val="58595B"/>
              </w:rPr>
              <w:t>3/11/2025</w:t>
            </w:r>
          </w:p>
        </w:tc>
        <w:tc>
          <w:tcPr>
            <w:tcW w:w="720" w:type="dxa"/>
            <w:vAlign w:val="bottom"/>
            <w:shd w:val="clear" w:color="auto" w:fill="EFEDED"/>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shd w:val="clear" w:color="auto" w:fill="EFEDED"/>
          </w:tcPr>
          <w:p>
            <w:pPr>
              <w:spacing w:after="0"/>
              <w:rPr>
                <w:sz w:val="14"/>
                <w:szCs w:val="14"/>
                <w:color w:val="auto"/>
              </w:rPr>
            </w:pPr>
          </w:p>
        </w:tc>
        <w:tc>
          <w:tcPr>
            <w:tcW w:w="720" w:type="dxa"/>
            <w:vAlign w:val="bottom"/>
            <w:shd w:val="clear" w:color="auto" w:fill="EFEDED"/>
          </w:tcPr>
          <w:p>
            <w:pPr>
              <w:spacing w:after="0"/>
              <w:rPr>
                <w:sz w:val="14"/>
                <w:szCs w:val="14"/>
                <w:color w:val="auto"/>
              </w:rPr>
            </w:pPr>
          </w:p>
        </w:tc>
        <w:tc>
          <w:tcPr>
            <w:tcW w:w="740" w:type="dxa"/>
            <w:vAlign w:val="bottom"/>
            <w:tcBorders>
              <w:right w:val="single" w:sz="8" w:color="EFEDED"/>
            </w:tcBorders>
            <w:shd w:val="clear" w:color="auto" w:fill="EFEDED"/>
          </w:tcPr>
          <w:p>
            <w:pPr>
              <w:spacing w:after="0"/>
              <w:rPr>
                <w:sz w:val="14"/>
                <w:szCs w:val="14"/>
                <w:color w:val="auto"/>
              </w:rPr>
            </w:pPr>
          </w:p>
        </w:tc>
        <w:tc>
          <w:tcPr>
            <w:tcW w:w="680" w:type="dxa"/>
            <w:vAlign w:val="bottom"/>
            <w:shd w:val="clear" w:color="auto" w:fill="EFEDED"/>
          </w:tcPr>
          <w:p>
            <w:pPr>
              <w:jc w:val="right"/>
              <w:spacing w:after="0"/>
              <w:rPr>
                <w:sz w:val="20"/>
                <w:szCs w:val="20"/>
                <w:color w:val="auto"/>
              </w:rPr>
            </w:pPr>
            <w:r>
              <w:rPr>
                <w:rFonts w:ascii="Arial" w:cs="Arial" w:eastAsia="Arial" w:hAnsi="Arial"/>
                <w:sz w:val="11"/>
                <w:szCs w:val="11"/>
                <w:color w:val="58595B"/>
              </w:rPr>
              <w:t>18,480</w:t>
            </w:r>
          </w:p>
        </w:tc>
        <w:tc>
          <w:tcPr>
            <w:tcW w:w="740" w:type="dxa"/>
            <w:vAlign w:val="bottom"/>
            <w:shd w:val="clear" w:color="auto" w:fill="EFEDED"/>
          </w:tcPr>
          <w:p>
            <w:pPr>
              <w:jc w:val="right"/>
              <w:ind w:right="106"/>
              <w:spacing w:after="0"/>
              <w:rPr>
                <w:sz w:val="20"/>
                <w:szCs w:val="20"/>
                <w:color w:val="auto"/>
              </w:rPr>
            </w:pPr>
            <w:r>
              <w:rPr>
                <w:rFonts w:ascii="Arial" w:cs="Arial" w:eastAsia="Arial" w:hAnsi="Arial"/>
                <w:sz w:val="11"/>
                <w:szCs w:val="11"/>
                <w:color w:val="58595B"/>
              </w:rPr>
              <w:t>36,959</w:t>
            </w:r>
          </w:p>
        </w:tc>
        <w:tc>
          <w:tcPr>
            <w:tcW w:w="660" w:type="dxa"/>
            <w:vAlign w:val="bottom"/>
            <w:shd w:val="clear" w:color="auto" w:fill="EFEDED"/>
          </w:tcPr>
          <w:p>
            <w:pPr>
              <w:jc w:val="center"/>
              <w:ind w:right="46"/>
              <w:spacing w:after="0"/>
              <w:rPr>
                <w:sz w:val="20"/>
                <w:szCs w:val="20"/>
                <w:color w:val="auto"/>
              </w:rPr>
            </w:pPr>
            <w:r>
              <w:rPr>
                <w:rFonts w:ascii="Arial" w:cs="Arial" w:eastAsia="Arial" w:hAnsi="Arial"/>
                <w:sz w:val="11"/>
                <w:szCs w:val="11"/>
                <w:color w:val="58595B"/>
                <w:w w:val="94"/>
              </w:rPr>
              <w:t>55,439</w:t>
            </w:r>
          </w:p>
        </w:tc>
        <w:tc>
          <w:tcPr>
            <w:tcW w:w="820" w:type="dxa"/>
            <w:vAlign w:val="bottom"/>
            <w:shd w:val="clear" w:color="auto" w:fill="EFEDED"/>
          </w:tcPr>
          <w:p>
            <w:pPr>
              <w:spacing w:after="0"/>
              <w:rPr>
                <w:sz w:val="14"/>
                <w:szCs w:val="14"/>
                <w:color w:val="auto"/>
              </w:rPr>
            </w:pPr>
          </w:p>
        </w:tc>
        <w:tc>
          <w:tcPr>
            <w:tcW w:w="800" w:type="dxa"/>
            <w:vAlign w:val="bottom"/>
            <w:shd w:val="clear" w:color="auto" w:fill="EFEDED"/>
          </w:tcPr>
          <w:p>
            <w:pPr>
              <w:spacing w:after="0"/>
              <w:rPr>
                <w:sz w:val="14"/>
                <w:szCs w:val="14"/>
                <w:color w:val="auto"/>
              </w:rPr>
            </w:pPr>
          </w:p>
        </w:tc>
        <w:tc>
          <w:tcPr>
            <w:tcW w:w="680" w:type="dxa"/>
            <w:vAlign w:val="bottom"/>
            <w:shd w:val="clear" w:color="auto" w:fill="EFEDED"/>
          </w:tcPr>
          <w:p>
            <w:pPr>
              <w:spacing w:after="0"/>
              <w:rPr>
                <w:sz w:val="14"/>
                <w:szCs w:val="14"/>
                <w:color w:val="auto"/>
              </w:rPr>
            </w:pPr>
          </w:p>
        </w:tc>
        <w:tc>
          <w:tcPr>
            <w:tcW w:w="900" w:type="dxa"/>
            <w:vAlign w:val="bottom"/>
            <w:shd w:val="clear" w:color="auto" w:fill="EFEDED"/>
          </w:tcPr>
          <w:p>
            <w:pPr>
              <w:jc w:val="right"/>
              <w:ind w:right="106"/>
              <w:spacing w:after="0"/>
              <w:rPr>
                <w:sz w:val="20"/>
                <w:szCs w:val="20"/>
                <w:color w:val="auto"/>
              </w:rPr>
            </w:pPr>
            <w:r>
              <w:rPr>
                <w:rFonts w:ascii="Arial" w:cs="Arial" w:eastAsia="Arial" w:hAnsi="Arial"/>
                <w:sz w:val="11"/>
                <w:szCs w:val="11"/>
                <w:color w:val="58595B"/>
              </w:rPr>
              <w:t>885,168</w:t>
            </w:r>
          </w:p>
        </w:tc>
      </w:tr>
      <w:tr>
        <w:trPr>
          <w:trHeight w:val="183"/>
        </w:trPr>
        <w:tc>
          <w:tcPr>
            <w:tcW w:w="1380" w:type="dxa"/>
            <w:vAlign w:val="bottom"/>
            <w:shd w:val="clear" w:color="auto" w:fill="EFEDED"/>
          </w:tcPr>
          <w:p>
            <w:pPr>
              <w:spacing w:after="0"/>
              <w:rPr>
                <w:sz w:val="15"/>
                <w:szCs w:val="15"/>
                <w:color w:val="auto"/>
              </w:rPr>
            </w:pPr>
          </w:p>
        </w:tc>
        <w:tc>
          <w:tcPr>
            <w:tcW w:w="820" w:type="dxa"/>
            <w:vAlign w:val="bottom"/>
            <w:shd w:val="clear" w:color="auto" w:fill="EFEDED"/>
          </w:tcPr>
          <w:p>
            <w:pPr>
              <w:ind w:left="20"/>
              <w:spacing w:after="0"/>
              <w:rPr>
                <w:sz w:val="20"/>
                <w:szCs w:val="20"/>
                <w:color w:val="auto"/>
              </w:rPr>
            </w:pPr>
            <w:r>
              <w:rPr>
                <w:rFonts w:ascii="Arial" w:cs="Arial" w:eastAsia="Arial" w:hAnsi="Arial"/>
                <w:sz w:val="11"/>
                <w:szCs w:val="11"/>
                <w:color w:val="58595B"/>
              </w:rPr>
              <w:t>RSA</w:t>
            </w:r>
          </w:p>
        </w:tc>
        <w:tc>
          <w:tcPr>
            <w:tcW w:w="820" w:type="dxa"/>
            <w:vAlign w:val="bottom"/>
            <w:shd w:val="clear" w:color="auto" w:fill="EFEDED"/>
          </w:tcPr>
          <w:p>
            <w:pPr>
              <w:jc w:val="right"/>
              <w:ind w:right="26"/>
              <w:spacing w:after="0"/>
              <w:rPr>
                <w:sz w:val="20"/>
                <w:szCs w:val="20"/>
                <w:color w:val="auto"/>
              </w:rPr>
            </w:pPr>
            <w:r>
              <w:rPr>
                <w:rFonts w:ascii="Arial" w:cs="Arial" w:eastAsia="Arial" w:hAnsi="Arial"/>
                <w:sz w:val="11"/>
                <w:szCs w:val="11"/>
                <w:color w:val="58595B"/>
              </w:rPr>
              <w:t>3/11/2025</w:t>
            </w:r>
          </w:p>
        </w:tc>
        <w:tc>
          <w:tcPr>
            <w:tcW w:w="720" w:type="dxa"/>
            <w:vAlign w:val="bottom"/>
            <w:shd w:val="clear" w:color="auto" w:fill="EFEDED"/>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shd w:val="clear" w:color="auto" w:fill="EFEDED"/>
          </w:tcPr>
          <w:p>
            <w:pPr>
              <w:spacing w:after="0"/>
              <w:rPr>
                <w:sz w:val="15"/>
                <w:szCs w:val="15"/>
                <w:color w:val="auto"/>
              </w:rPr>
            </w:pPr>
          </w:p>
        </w:tc>
        <w:tc>
          <w:tcPr>
            <w:tcW w:w="720" w:type="dxa"/>
            <w:vAlign w:val="bottom"/>
            <w:shd w:val="clear" w:color="auto" w:fill="EFEDED"/>
          </w:tcPr>
          <w:p>
            <w:pPr>
              <w:spacing w:after="0"/>
              <w:rPr>
                <w:sz w:val="15"/>
                <w:szCs w:val="15"/>
                <w:color w:val="auto"/>
              </w:rPr>
            </w:pPr>
          </w:p>
        </w:tc>
        <w:tc>
          <w:tcPr>
            <w:tcW w:w="740" w:type="dxa"/>
            <w:vAlign w:val="bottom"/>
            <w:tcBorders>
              <w:right w:val="single" w:sz="8" w:color="EFEDED"/>
            </w:tcBorders>
            <w:shd w:val="clear" w:color="auto" w:fill="EFEDED"/>
          </w:tcPr>
          <w:p>
            <w:pPr>
              <w:spacing w:after="0"/>
              <w:rPr>
                <w:sz w:val="15"/>
                <w:szCs w:val="15"/>
                <w:color w:val="auto"/>
              </w:rPr>
            </w:pPr>
          </w:p>
        </w:tc>
        <w:tc>
          <w:tcPr>
            <w:tcW w:w="680" w:type="dxa"/>
            <w:vAlign w:val="bottom"/>
            <w:shd w:val="clear" w:color="auto" w:fill="EFEDED"/>
          </w:tcPr>
          <w:p>
            <w:pPr>
              <w:spacing w:after="0"/>
              <w:rPr>
                <w:sz w:val="15"/>
                <w:szCs w:val="15"/>
                <w:color w:val="auto"/>
              </w:rPr>
            </w:pPr>
          </w:p>
        </w:tc>
        <w:tc>
          <w:tcPr>
            <w:tcW w:w="740" w:type="dxa"/>
            <w:vAlign w:val="bottom"/>
            <w:shd w:val="clear" w:color="auto" w:fill="EFEDED"/>
          </w:tcPr>
          <w:p>
            <w:pPr>
              <w:spacing w:after="0"/>
              <w:rPr>
                <w:sz w:val="15"/>
                <w:szCs w:val="15"/>
                <w:color w:val="auto"/>
              </w:rPr>
            </w:pPr>
          </w:p>
        </w:tc>
        <w:tc>
          <w:tcPr>
            <w:tcW w:w="660" w:type="dxa"/>
            <w:vAlign w:val="bottom"/>
            <w:shd w:val="clear" w:color="auto" w:fill="EFEDED"/>
          </w:tcPr>
          <w:p>
            <w:pPr>
              <w:spacing w:after="0"/>
              <w:rPr>
                <w:sz w:val="15"/>
                <w:szCs w:val="15"/>
                <w:color w:val="auto"/>
              </w:rPr>
            </w:pPr>
          </w:p>
        </w:tc>
        <w:tc>
          <w:tcPr>
            <w:tcW w:w="820" w:type="dxa"/>
            <w:vAlign w:val="bottom"/>
            <w:shd w:val="clear" w:color="auto" w:fill="EFEDED"/>
          </w:tcPr>
          <w:p>
            <w:pPr>
              <w:jc w:val="right"/>
              <w:ind w:right="26"/>
              <w:spacing w:after="0"/>
              <w:rPr>
                <w:sz w:val="20"/>
                <w:szCs w:val="20"/>
                <w:color w:val="auto"/>
              </w:rPr>
            </w:pPr>
            <w:r>
              <w:rPr>
                <w:rFonts w:ascii="Arial" w:cs="Arial" w:eastAsia="Arial" w:hAnsi="Arial"/>
                <w:sz w:val="11"/>
                <w:szCs w:val="11"/>
                <w:color w:val="58595B"/>
              </w:rPr>
              <w:t>18,480</w:t>
            </w:r>
          </w:p>
        </w:tc>
        <w:tc>
          <w:tcPr>
            <w:tcW w:w="800" w:type="dxa"/>
            <w:vAlign w:val="bottom"/>
            <w:shd w:val="clear" w:color="auto" w:fill="EFEDED"/>
          </w:tcPr>
          <w:p>
            <w:pPr>
              <w:spacing w:after="0"/>
              <w:rPr>
                <w:sz w:val="15"/>
                <w:szCs w:val="15"/>
                <w:color w:val="auto"/>
              </w:rPr>
            </w:pPr>
          </w:p>
        </w:tc>
        <w:tc>
          <w:tcPr>
            <w:tcW w:w="680" w:type="dxa"/>
            <w:vAlign w:val="bottom"/>
            <w:shd w:val="clear" w:color="auto" w:fill="EFEDED"/>
          </w:tcPr>
          <w:p>
            <w:pPr>
              <w:spacing w:after="0"/>
              <w:rPr>
                <w:sz w:val="15"/>
                <w:szCs w:val="15"/>
                <w:color w:val="auto"/>
              </w:rPr>
            </w:pPr>
          </w:p>
        </w:tc>
        <w:tc>
          <w:tcPr>
            <w:tcW w:w="900" w:type="dxa"/>
            <w:vAlign w:val="bottom"/>
            <w:shd w:val="clear" w:color="auto" w:fill="EFEDED"/>
          </w:tcPr>
          <w:p>
            <w:pPr>
              <w:jc w:val="right"/>
              <w:ind w:right="106"/>
              <w:spacing w:after="0"/>
              <w:rPr>
                <w:sz w:val="20"/>
                <w:szCs w:val="20"/>
                <w:color w:val="auto"/>
              </w:rPr>
            </w:pPr>
            <w:r>
              <w:rPr>
                <w:rFonts w:ascii="Arial" w:cs="Arial" w:eastAsia="Arial" w:hAnsi="Arial"/>
                <w:sz w:val="11"/>
                <w:szCs w:val="11"/>
                <w:color w:val="58595B"/>
              </w:rPr>
              <w:t>442,596</w:t>
            </w:r>
          </w:p>
        </w:tc>
      </w:tr>
      <w:tr>
        <w:trPr>
          <w:trHeight w:val="189"/>
        </w:trPr>
        <w:tc>
          <w:tcPr>
            <w:tcW w:w="1380" w:type="dxa"/>
            <w:vAlign w:val="bottom"/>
            <w:shd w:val="clear" w:color="auto" w:fill="EFEDED"/>
          </w:tcPr>
          <w:p>
            <w:pPr>
              <w:spacing w:after="0"/>
              <w:rPr>
                <w:sz w:val="16"/>
                <w:szCs w:val="16"/>
                <w:color w:val="auto"/>
              </w:rPr>
            </w:pPr>
          </w:p>
        </w:tc>
        <w:tc>
          <w:tcPr>
            <w:tcW w:w="820" w:type="dxa"/>
            <w:vAlign w:val="bottom"/>
            <w:shd w:val="clear" w:color="auto" w:fill="EFEDED"/>
          </w:tcPr>
          <w:p>
            <w:pPr>
              <w:ind w:left="20"/>
              <w:spacing w:after="0"/>
              <w:rPr>
                <w:sz w:val="20"/>
                <w:szCs w:val="20"/>
                <w:color w:val="auto"/>
              </w:rPr>
            </w:pPr>
            <w:r>
              <w:rPr>
                <w:rFonts w:ascii="Arial" w:cs="Arial" w:eastAsia="Arial" w:hAnsi="Arial"/>
                <w:sz w:val="11"/>
                <w:szCs w:val="11"/>
                <w:color w:val="58595B"/>
              </w:rPr>
              <w:t>Stock Option</w:t>
            </w:r>
          </w:p>
        </w:tc>
        <w:tc>
          <w:tcPr>
            <w:tcW w:w="820" w:type="dxa"/>
            <w:vAlign w:val="bottom"/>
            <w:shd w:val="clear" w:color="auto" w:fill="EFEDED"/>
          </w:tcPr>
          <w:p>
            <w:pPr>
              <w:jc w:val="right"/>
              <w:ind w:right="26"/>
              <w:spacing w:after="0"/>
              <w:rPr>
                <w:sz w:val="20"/>
                <w:szCs w:val="20"/>
                <w:color w:val="auto"/>
              </w:rPr>
            </w:pPr>
            <w:r>
              <w:rPr>
                <w:rFonts w:ascii="Arial" w:cs="Arial" w:eastAsia="Arial" w:hAnsi="Arial"/>
                <w:sz w:val="11"/>
                <w:szCs w:val="11"/>
                <w:color w:val="58595B"/>
              </w:rPr>
              <w:t>3/11/2025</w:t>
            </w:r>
          </w:p>
        </w:tc>
        <w:tc>
          <w:tcPr>
            <w:tcW w:w="720" w:type="dxa"/>
            <w:vAlign w:val="bottom"/>
            <w:shd w:val="clear" w:color="auto" w:fill="EFEDED"/>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shd w:val="clear" w:color="auto" w:fill="EFEDED"/>
          </w:tcPr>
          <w:p>
            <w:pPr>
              <w:spacing w:after="0"/>
              <w:rPr>
                <w:sz w:val="16"/>
                <w:szCs w:val="16"/>
                <w:color w:val="auto"/>
              </w:rPr>
            </w:pPr>
          </w:p>
        </w:tc>
        <w:tc>
          <w:tcPr>
            <w:tcW w:w="720" w:type="dxa"/>
            <w:vAlign w:val="bottom"/>
            <w:shd w:val="clear" w:color="auto" w:fill="EFEDED"/>
          </w:tcPr>
          <w:p>
            <w:pPr>
              <w:spacing w:after="0"/>
              <w:rPr>
                <w:sz w:val="16"/>
                <w:szCs w:val="16"/>
                <w:color w:val="auto"/>
              </w:rPr>
            </w:pPr>
          </w:p>
        </w:tc>
        <w:tc>
          <w:tcPr>
            <w:tcW w:w="740" w:type="dxa"/>
            <w:vAlign w:val="bottom"/>
            <w:tcBorders>
              <w:right w:val="single" w:sz="8" w:color="EFEDED"/>
            </w:tcBorders>
            <w:shd w:val="clear" w:color="auto" w:fill="EFEDED"/>
          </w:tcPr>
          <w:p>
            <w:pPr>
              <w:spacing w:after="0"/>
              <w:rPr>
                <w:sz w:val="16"/>
                <w:szCs w:val="16"/>
                <w:color w:val="auto"/>
              </w:rPr>
            </w:pPr>
          </w:p>
        </w:tc>
        <w:tc>
          <w:tcPr>
            <w:tcW w:w="680" w:type="dxa"/>
            <w:vAlign w:val="bottom"/>
            <w:shd w:val="clear" w:color="auto" w:fill="EFEDED"/>
          </w:tcPr>
          <w:p>
            <w:pPr>
              <w:spacing w:after="0"/>
              <w:rPr>
                <w:sz w:val="16"/>
                <w:szCs w:val="16"/>
                <w:color w:val="auto"/>
              </w:rPr>
            </w:pPr>
          </w:p>
        </w:tc>
        <w:tc>
          <w:tcPr>
            <w:tcW w:w="740" w:type="dxa"/>
            <w:vAlign w:val="bottom"/>
            <w:shd w:val="clear" w:color="auto" w:fill="EFEDED"/>
          </w:tcPr>
          <w:p>
            <w:pPr>
              <w:spacing w:after="0"/>
              <w:rPr>
                <w:sz w:val="16"/>
                <w:szCs w:val="16"/>
                <w:color w:val="auto"/>
              </w:rPr>
            </w:pPr>
          </w:p>
        </w:tc>
        <w:tc>
          <w:tcPr>
            <w:tcW w:w="660" w:type="dxa"/>
            <w:vAlign w:val="bottom"/>
            <w:shd w:val="clear" w:color="auto" w:fill="EFEDED"/>
          </w:tcPr>
          <w:p>
            <w:pPr>
              <w:spacing w:after="0"/>
              <w:rPr>
                <w:sz w:val="16"/>
                <w:szCs w:val="16"/>
                <w:color w:val="auto"/>
              </w:rPr>
            </w:pPr>
          </w:p>
        </w:tc>
        <w:tc>
          <w:tcPr>
            <w:tcW w:w="820" w:type="dxa"/>
            <w:vAlign w:val="bottom"/>
            <w:shd w:val="clear" w:color="auto" w:fill="EFEDED"/>
          </w:tcPr>
          <w:p>
            <w:pPr>
              <w:spacing w:after="0"/>
              <w:rPr>
                <w:sz w:val="16"/>
                <w:szCs w:val="16"/>
                <w:color w:val="auto"/>
              </w:rPr>
            </w:pPr>
          </w:p>
        </w:tc>
        <w:tc>
          <w:tcPr>
            <w:tcW w:w="800" w:type="dxa"/>
            <w:vAlign w:val="bottom"/>
            <w:shd w:val="clear" w:color="auto" w:fill="EFEDED"/>
          </w:tcPr>
          <w:p>
            <w:pPr>
              <w:jc w:val="right"/>
              <w:ind w:right="26"/>
              <w:spacing w:after="0"/>
              <w:rPr>
                <w:sz w:val="20"/>
                <w:szCs w:val="20"/>
                <w:color w:val="auto"/>
              </w:rPr>
            </w:pPr>
            <w:r>
              <w:rPr>
                <w:rFonts w:ascii="Arial" w:cs="Arial" w:eastAsia="Arial" w:hAnsi="Arial"/>
                <w:sz w:val="11"/>
                <w:szCs w:val="11"/>
                <w:color w:val="58595B"/>
              </w:rPr>
              <w:t>39,132</w:t>
            </w:r>
          </w:p>
        </w:tc>
        <w:tc>
          <w:tcPr>
            <w:tcW w:w="680" w:type="dxa"/>
            <w:vAlign w:val="bottom"/>
            <w:shd w:val="clear" w:color="auto" w:fill="EFEDED"/>
          </w:tcPr>
          <w:p>
            <w:pPr>
              <w:jc w:val="right"/>
              <w:ind w:right="66"/>
              <w:spacing w:after="0"/>
              <w:rPr>
                <w:sz w:val="20"/>
                <w:szCs w:val="20"/>
                <w:color w:val="auto"/>
              </w:rPr>
            </w:pPr>
            <w:r>
              <w:rPr>
                <w:rFonts w:ascii="Arial" w:cs="Arial" w:eastAsia="Arial" w:hAnsi="Arial"/>
                <w:sz w:val="11"/>
                <w:szCs w:val="11"/>
                <w:color w:val="58595B"/>
              </w:rPr>
              <w:t>23.95</w:t>
            </w:r>
          </w:p>
        </w:tc>
        <w:tc>
          <w:tcPr>
            <w:tcW w:w="900" w:type="dxa"/>
            <w:vAlign w:val="bottom"/>
            <w:shd w:val="clear" w:color="auto" w:fill="EFEDED"/>
          </w:tcPr>
          <w:p>
            <w:pPr>
              <w:jc w:val="right"/>
              <w:ind w:right="106"/>
              <w:spacing w:after="0"/>
              <w:rPr>
                <w:sz w:val="20"/>
                <w:szCs w:val="20"/>
                <w:color w:val="auto"/>
              </w:rPr>
            </w:pPr>
            <w:r>
              <w:rPr>
                <w:rFonts w:ascii="Arial" w:cs="Arial" w:eastAsia="Arial" w:hAnsi="Arial"/>
                <w:sz w:val="11"/>
                <w:szCs w:val="11"/>
                <w:color w:val="58595B"/>
              </w:rPr>
              <w:t>442,583</w:t>
            </w:r>
          </w:p>
        </w:tc>
      </w:tr>
      <w:tr>
        <w:trPr>
          <w:trHeight w:val="203"/>
        </w:trPr>
        <w:tc>
          <w:tcPr>
            <w:tcW w:w="1380" w:type="dxa"/>
            <w:vAlign w:val="bottom"/>
            <w:tcBorders>
              <w:bottom w:val="single" w:sz="8" w:color="EFEDED"/>
            </w:tcBorders>
            <w:shd w:val="clear" w:color="auto" w:fill="EFEDED"/>
          </w:tcPr>
          <w:p>
            <w:pPr>
              <w:spacing w:after="0"/>
              <w:rPr>
                <w:sz w:val="17"/>
                <w:szCs w:val="17"/>
                <w:color w:val="auto"/>
              </w:rPr>
            </w:pPr>
          </w:p>
        </w:tc>
        <w:tc>
          <w:tcPr>
            <w:tcW w:w="82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1"/>
                <w:szCs w:val="11"/>
                <w:color w:val="58595B"/>
              </w:rPr>
              <w:t>Cash Bonus</w:t>
            </w:r>
          </w:p>
        </w:tc>
        <w:tc>
          <w:tcPr>
            <w:tcW w:w="820" w:type="dxa"/>
            <w:vAlign w:val="bottom"/>
            <w:tcBorders>
              <w:bottom w:val="single" w:sz="8" w:color="EFEDED"/>
            </w:tcBorders>
            <w:shd w:val="clear" w:color="auto" w:fill="EFEDED"/>
          </w:tcPr>
          <w:p>
            <w:pPr>
              <w:jc w:val="right"/>
              <w:ind w:right="26"/>
              <w:spacing w:after="0"/>
              <w:rPr>
                <w:sz w:val="20"/>
                <w:szCs w:val="20"/>
                <w:color w:val="auto"/>
              </w:rPr>
            </w:pPr>
            <w:r>
              <w:rPr>
                <w:rFonts w:ascii="Arial" w:cs="Arial" w:eastAsia="Arial" w:hAnsi="Arial"/>
                <w:sz w:val="11"/>
                <w:szCs w:val="11"/>
                <w:color w:val="58595B"/>
              </w:rPr>
              <w:t>1/1/2025</w:t>
            </w:r>
          </w:p>
        </w:tc>
        <w:tc>
          <w:tcPr>
            <w:tcW w:w="72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tcBorders>
              <w:bottom w:val="single" w:sz="8" w:color="EFEDED"/>
            </w:tcBorders>
            <w:shd w:val="clear" w:color="auto" w:fill="EFEDED"/>
          </w:tcPr>
          <w:p>
            <w:pPr>
              <w:jc w:val="right"/>
              <w:ind w:right="46"/>
              <w:spacing w:after="0"/>
              <w:rPr>
                <w:sz w:val="20"/>
                <w:szCs w:val="20"/>
                <w:color w:val="auto"/>
              </w:rPr>
            </w:pPr>
            <w:r>
              <w:rPr>
                <w:rFonts w:ascii="Arial" w:cs="Arial" w:eastAsia="Arial" w:hAnsi="Arial"/>
                <w:sz w:val="11"/>
                <w:szCs w:val="11"/>
                <w:color w:val="58595B"/>
              </w:rPr>
              <w:t>109,438</w:t>
            </w:r>
          </w:p>
        </w:tc>
        <w:tc>
          <w:tcPr>
            <w:tcW w:w="720" w:type="dxa"/>
            <w:vAlign w:val="bottom"/>
            <w:tcBorders>
              <w:bottom w:val="single" w:sz="8" w:color="EFEDED"/>
            </w:tcBorders>
            <w:shd w:val="clear" w:color="auto" w:fill="EFEDED"/>
          </w:tcPr>
          <w:p>
            <w:pPr>
              <w:jc w:val="right"/>
              <w:ind w:right="46"/>
              <w:spacing w:after="0"/>
              <w:rPr>
                <w:sz w:val="20"/>
                <w:szCs w:val="20"/>
                <w:color w:val="auto"/>
              </w:rPr>
            </w:pPr>
            <w:r>
              <w:rPr>
                <w:rFonts w:ascii="Arial" w:cs="Arial" w:eastAsia="Arial" w:hAnsi="Arial"/>
                <w:sz w:val="11"/>
                <w:szCs w:val="11"/>
                <w:color w:val="58595B"/>
              </w:rPr>
              <w:t>547,188</w:t>
            </w:r>
          </w:p>
        </w:tc>
        <w:tc>
          <w:tcPr>
            <w:tcW w:w="740" w:type="dxa"/>
            <w:vAlign w:val="bottom"/>
            <w:tcBorders>
              <w:bottom w:val="single" w:sz="8" w:color="EFEDED"/>
              <w:right w:val="single" w:sz="8" w:color="EFEDED"/>
            </w:tcBorders>
            <w:shd w:val="clear" w:color="auto" w:fill="EFEDED"/>
          </w:tcPr>
          <w:p>
            <w:pPr>
              <w:jc w:val="right"/>
              <w:ind w:right="6"/>
              <w:spacing w:after="0"/>
              <w:rPr>
                <w:sz w:val="20"/>
                <w:szCs w:val="20"/>
                <w:color w:val="auto"/>
              </w:rPr>
            </w:pPr>
            <w:r>
              <w:rPr>
                <w:rFonts w:ascii="Arial" w:cs="Arial" w:eastAsia="Arial" w:hAnsi="Arial"/>
                <w:sz w:val="11"/>
                <w:szCs w:val="11"/>
                <w:color w:val="58595B"/>
              </w:rPr>
              <w:t>820,781</w:t>
            </w:r>
          </w:p>
        </w:tc>
        <w:tc>
          <w:tcPr>
            <w:tcW w:w="680" w:type="dxa"/>
            <w:vAlign w:val="bottom"/>
            <w:tcBorders>
              <w:bottom w:val="single" w:sz="8" w:color="EFEDED"/>
            </w:tcBorders>
            <w:shd w:val="clear" w:color="auto" w:fill="EFEDED"/>
          </w:tcPr>
          <w:p>
            <w:pPr>
              <w:spacing w:after="0"/>
              <w:rPr>
                <w:sz w:val="17"/>
                <w:szCs w:val="17"/>
                <w:color w:val="auto"/>
              </w:rPr>
            </w:pPr>
          </w:p>
        </w:tc>
        <w:tc>
          <w:tcPr>
            <w:tcW w:w="740" w:type="dxa"/>
            <w:vAlign w:val="bottom"/>
            <w:tcBorders>
              <w:bottom w:val="single" w:sz="8" w:color="EFEDED"/>
            </w:tcBorders>
            <w:shd w:val="clear" w:color="auto" w:fill="EFEDED"/>
          </w:tcPr>
          <w:p>
            <w:pPr>
              <w:spacing w:after="0"/>
              <w:rPr>
                <w:sz w:val="17"/>
                <w:szCs w:val="17"/>
                <w:color w:val="auto"/>
              </w:rPr>
            </w:pPr>
          </w:p>
        </w:tc>
        <w:tc>
          <w:tcPr>
            <w:tcW w:w="660" w:type="dxa"/>
            <w:vAlign w:val="bottom"/>
            <w:tcBorders>
              <w:bottom w:val="single" w:sz="8" w:color="EFEDED"/>
            </w:tcBorders>
            <w:shd w:val="clear" w:color="auto" w:fill="EFEDED"/>
          </w:tcPr>
          <w:p>
            <w:pPr>
              <w:spacing w:after="0"/>
              <w:rPr>
                <w:sz w:val="17"/>
                <w:szCs w:val="17"/>
                <w:color w:val="auto"/>
              </w:rPr>
            </w:pPr>
          </w:p>
        </w:tc>
        <w:tc>
          <w:tcPr>
            <w:tcW w:w="820" w:type="dxa"/>
            <w:vAlign w:val="bottom"/>
            <w:tcBorders>
              <w:bottom w:val="single" w:sz="8" w:color="EFEDED"/>
            </w:tcBorders>
            <w:shd w:val="clear" w:color="auto" w:fill="EFEDED"/>
          </w:tcPr>
          <w:p>
            <w:pPr>
              <w:spacing w:after="0"/>
              <w:rPr>
                <w:sz w:val="17"/>
                <w:szCs w:val="17"/>
                <w:color w:val="auto"/>
              </w:rPr>
            </w:pPr>
          </w:p>
        </w:tc>
        <w:tc>
          <w:tcPr>
            <w:tcW w:w="800" w:type="dxa"/>
            <w:vAlign w:val="bottom"/>
            <w:tcBorders>
              <w:bottom w:val="single" w:sz="8" w:color="EFEDED"/>
            </w:tcBorders>
            <w:shd w:val="clear" w:color="auto" w:fill="EFEDED"/>
          </w:tcPr>
          <w:p>
            <w:pPr>
              <w:spacing w:after="0"/>
              <w:rPr>
                <w:sz w:val="17"/>
                <w:szCs w:val="17"/>
                <w:color w:val="auto"/>
              </w:rPr>
            </w:pPr>
          </w:p>
        </w:tc>
        <w:tc>
          <w:tcPr>
            <w:tcW w:w="680" w:type="dxa"/>
            <w:vAlign w:val="bottom"/>
            <w:tcBorders>
              <w:bottom w:val="single" w:sz="8" w:color="EFEDED"/>
            </w:tcBorders>
            <w:shd w:val="clear" w:color="auto" w:fill="EFEDED"/>
          </w:tcPr>
          <w:p>
            <w:pPr>
              <w:spacing w:after="0"/>
              <w:rPr>
                <w:sz w:val="17"/>
                <w:szCs w:val="17"/>
                <w:color w:val="auto"/>
              </w:rPr>
            </w:pPr>
          </w:p>
        </w:tc>
        <w:tc>
          <w:tcPr>
            <w:tcW w:w="900" w:type="dxa"/>
            <w:vAlign w:val="bottom"/>
            <w:tcBorders>
              <w:bottom w:val="single" w:sz="8" w:color="EFEDED"/>
            </w:tcBorders>
            <w:shd w:val="clear" w:color="auto" w:fill="EFEDED"/>
          </w:tcPr>
          <w:p>
            <w:pPr>
              <w:spacing w:after="0"/>
              <w:rPr>
                <w:sz w:val="17"/>
                <w:szCs w:val="17"/>
                <w:color w:val="auto"/>
              </w:rPr>
            </w:pPr>
          </w:p>
        </w:tc>
      </w:tr>
      <w:tr>
        <w:trPr>
          <w:trHeight w:val="161"/>
        </w:trPr>
        <w:tc>
          <w:tcPr>
            <w:tcW w:w="1380" w:type="dxa"/>
            <w:vAlign w:val="bottom"/>
          </w:tcPr>
          <w:p>
            <w:pPr>
              <w:ind w:left="100"/>
              <w:spacing w:after="0"/>
              <w:rPr>
                <w:sz w:val="20"/>
                <w:szCs w:val="20"/>
                <w:color w:val="auto"/>
              </w:rPr>
            </w:pPr>
            <w:r>
              <w:rPr>
                <w:rFonts w:ascii="Arial" w:cs="Arial" w:eastAsia="Arial" w:hAnsi="Arial"/>
                <w:sz w:val="11"/>
                <w:szCs w:val="11"/>
                <w:b w:val="1"/>
                <w:bCs w:val="1"/>
                <w:color w:val="58595B"/>
              </w:rPr>
              <w:t>Harvinder Singh</w:t>
            </w:r>
          </w:p>
        </w:tc>
        <w:tc>
          <w:tcPr>
            <w:tcW w:w="820" w:type="dxa"/>
            <w:vAlign w:val="bottom"/>
          </w:tcPr>
          <w:p>
            <w:pPr>
              <w:ind w:left="20"/>
              <w:spacing w:after="0"/>
              <w:rPr>
                <w:sz w:val="20"/>
                <w:szCs w:val="20"/>
                <w:color w:val="auto"/>
              </w:rPr>
            </w:pPr>
            <w:r>
              <w:rPr>
                <w:rFonts w:ascii="Arial" w:cs="Arial" w:eastAsia="Arial" w:hAnsi="Arial"/>
                <w:sz w:val="11"/>
                <w:szCs w:val="11"/>
                <w:color w:val="58595B"/>
              </w:rPr>
              <w:t>PSU</w:t>
            </w:r>
          </w:p>
        </w:tc>
        <w:tc>
          <w:tcPr>
            <w:tcW w:w="820" w:type="dxa"/>
            <w:vAlign w:val="bottom"/>
          </w:tcPr>
          <w:p>
            <w:pPr>
              <w:jc w:val="right"/>
              <w:ind w:right="26"/>
              <w:spacing w:after="0"/>
              <w:rPr>
                <w:sz w:val="20"/>
                <w:szCs w:val="20"/>
                <w:color w:val="auto"/>
              </w:rPr>
            </w:pPr>
            <w:r>
              <w:rPr>
                <w:rFonts w:ascii="Arial" w:cs="Arial" w:eastAsia="Arial" w:hAnsi="Arial"/>
                <w:sz w:val="11"/>
                <w:szCs w:val="11"/>
                <w:color w:val="58595B"/>
              </w:rPr>
              <w:t>3/11/2025</w:t>
            </w:r>
          </w:p>
        </w:tc>
        <w:tc>
          <w:tcPr>
            <w:tcW w:w="720" w:type="dxa"/>
            <w:vAlign w:val="bottom"/>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58595B"/>
              </w:rPr>
              <w:t>9,508</w:t>
            </w:r>
          </w:p>
        </w:tc>
        <w:tc>
          <w:tcPr>
            <w:tcW w:w="740" w:type="dxa"/>
            <w:vAlign w:val="bottom"/>
          </w:tcPr>
          <w:p>
            <w:pPr>
              <w:jc w:val="right"/>
              <w:ind w:right="106"/>
              <w:spacing w:after="0"/>
              <w:rPr>
                <w:sz w:val="20"/>
                <w:szCs w:val="20"/>
                <w:color w:val="auto"/>
              </w:rPr>
            </w:pPr>
            <w:r>
              <w:rPr>
                <w:rFonts w:ascii="Arial" w:cs="Arial" w:eastAsia="Arial" w:hAnsi="Arial"/>
                <w:sz w:val="11"/>
                <w:szCs w:val="11"/>
                <w:color w:val="58595B"/>
              </w:rPr>
              <w:t>19,015</w:t>
            </w:r>
          </w:p>
        </w:tc>
        <w:tc>
          <w:tcPr>
            <w:tcW w:w="660" w:type="dxa"/>
            <w:vAlign w:val="bottom"/>
          </w:tcPr>
          <w:p>
            <w:pPr>
              <w:jc w:val="center"/>
              <w:ind w:right="46"/>
              <w:spacing w:after="0"/>
              <w:rPr>
                <w:sz w:val="20"/>
                <w:szCs w:val="20"/>
                <w:color w:val="auto"/>
              </w:rPr>
            </w:pPr>
            <w:r>
              <w:rPr>
                <w:rFonts w:ascii="Arial" w:cs="Arial" w:eastAsia="Arial" w:hAnsi="Arial"/>
                <w:sz w:val="11"/>
                <w:szCs w:val="11"/>
                <w:color w:val="58595B"/>
                <w:w w:val="94"/>
              </w:rPr>
              <w:t>28,523</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Arial" w:cs="Arial" w:eastAsia="Arial" w:hAnsi="Arial"/>
                <w:sz w:val="11"/>
                <w:szCs w:val="11"/>
                <w:color w:val="58595B"/>
              </w:rPr>
              <w:t>455,409</w:t>
            </w:r>
          </w:p>
        </w:tc>
      </w:tr>
      <w:tr>
        <w:trPr>
          <w:trHeight w:val="183"/>
        </w:trPr>
        <w:tc>
          <w:tcPr>
            <w:tcW w:w="138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1"/>
                <w:szCs w:val="11"/>
                <w:color w:val="58595B"/>
              </w:rPr>
              <w:t>RSA</w:t>
            </w:r>
          </w:p>
        </w:tc>
        <w:tc>
          <w:tcPr>
            <w:tcW w:w="820" w:type="dxa"/>
            <w:vAlign w:val="bottom"/>
          </w:tcPr>
          <w:p>
            <w:pPr>
              <w:jc w:val="right"/>
              <w:ind w:right="26"/>
              <w:spacing w:after="0"/>
              <w:rPr>
                <w:sz w:val="20"/>
                <w:szCs w:val="20"/>
                <w:color w:val="auto"/>
              </w:rPr>
            </w:pPr>
            <w:r>
              <w:rPr>
                <w:rFonts w:ascii="Arial" w:cs="Arial" w:eastAsia="Arial" w:hAnsi="Arial"/>
                <w:sz w:val="11"/>
                <w:szCs w:val="11"/>
                <w:color w:val="58595B"/>
              </w:rPr>
              <w:t>3/11/2025</w:t>
            </w:r>
          </w:p>
        </w:tc>
        <w:tc>
          <w:tcPr>
            <w:tcW w:w="720" w:type="dxa"/>
            <w:vAlign w:val="bottom"/>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color w:val="58595B"/>
              </w:rPr>
              <w:t>9,508</w:t>
            </w: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jc w:val="right"/>
              <w:ind w:right="106"/>
              <w:spacing w:after="0"/>
              <w:rPr>
                <w:sz w:val="20"/>
                <w:szCs w:val="20"/>
                <w:color w:val="auto"/>
              </w:rPr>
            </w:pPr>
            <w:r>
              <w:rPr>
                <w:rFonts w:ascii="Arial" w:cs="Arial" w:eastAsia="Arial" w:hAnsi="Arial"/>
                <w:sz w:val="11"/>
                <w:szCs w:val="11"/>
                <w:color w:val="58595B"/>
              </w:rPr>
              <w:t>227,717</w:t>
            </w:r>
          </w:p>
        </w:tc>
      </w:tr>
      <w:tr>
        <w:trPr>
          <w:trHeight w:val="189"/>
        </w:trPr>
        <w:tc>
          <w:tcPr>
            <w:tcW w:w="138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Arial" w:cs="Arial" w:eastAsia="Arial" w:hAnsi="Arial"/>
                <w:sz w:val="11"/>
                <w:szCs w:val="11"/>
                <w:color w:val="58595B"/>
              </w:rPr>
              <w:t>Stock Option</w:t>
            </w:r>
          </w:p>
        </w:tc>
        <w:tc>
          <w:tcPr>
            <w:tcW w:w="820" w:type="dxa"/>
            <w:vAlign w:val="bottom"/>
          </w:tcPr>
          <w:p>
            <w:pPr>
              <w:jc w:val="right"/>
              <w:ind w:right="26"/>
              <w:spacing w:after="0"/>
              <w:rPr>
                <w:sz w:val="20"/>
                <w:szCs w:val="20"/>
                <w:color w:val="auto"/>
              </w:rPr>
            </w:pPr>
            <w:r>
              <w:rPr>
                <w:rFonts w:ascii="Arial" w:cs="Arial" w:eastAsia="Arial" w:hAnsi="Arial"/>
                <w:sz w:val="11"/>
                <w:szCs w:val="11"/>
                <w:color w:val="58595B"/>
              </w:rPr>
              <w:t>3/11/2025</w:t>
            </w:r>
          </w:p>
        </w:tc>
        <w:tc>
          <w:tcPr>
            <w:tcW w:w="720" w:type="dxa"/>
            <w:vAlign w:val="bottom"/>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58595B"/>
              </w:rPr>
              <w:t>20,133</w:t>
            </w:r>
          </w:p>
        </w:tc>
        <w:tc>
          <w:tcPr>
            <w:tcW w:w="680" w:type="dxa"/>
            <w:vAlign w:val="bottom"/>
          </w:tcPr>
          <w:p>
            <w:pPr>
              <w:jc w:val="right"/>
              <w:ind w:right="66"/>
              <w:spacing w:after="0"/>
              <w:rPr>
                <w:sz w:val="20"/>
                <w:szCs w:val="20"/>
                <w:color w:val="auto"/>
              </w:rPr>
            </w:pPr>
            <w:r>
              <w:rPr>
                <w:rFonts w:ascii="Arial" w:cs="Arial" w:eastAsia="Arial" w:hAnsi="Arial"/>
                <w:sz w:val="11"/>
                <w:szCs w:val="11"/>
                <w:color w:val="58595B"/>
              </w:rPr>
              <w:t>23.95</w:t>
            </w:r>
          </w:p>
        </w:tc>
        <w:tc>
          <w:tcPr>
            <w:tcW w:w="900" w:type="dxa"/>
            <w:vAlign w:val="bottom"/>
          </w:tcPr>
          <w:p>
            <w:pPr>
              <w:jc w:val="right"/>
              <w:ind w:right="106"/>
              <w:spacing w:after="0"/>
              <w:rPr>
                <w:sz w:val="20"/>
                <w:szCs w:val="20"/>
                <w:color w:val="auto"/>
              </w:rPr>
            </w:pPr>
            <w:r>
              <w:rPr>
                <w:rFonts w:ascii="Arial" w:cs="Arial" w:eastAsia="Arial" w:hAnsi="Arial"/>
                <w:sz w:val="11"/>
                <w:szCs w:val="11"/>
                <w:color w:val="58595B"/>
              </w:rPr>
              <w:t>227,704</w:t>
            </w:r>
          </w:p>
        </w:tc>
      </w:tr>
      <w:tr>
        <w:trPr>
          <w:trHeight w:val="189"/>
        </w:trPr>
        <w:tc>
          <w:tcPr>
            <w:tcW w:w="138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Arial" w:cs="Arial" w:eastAsia="Arial" w:hAnsi="Arial"/>
                <w:sz w:val="11"/>
                <w:szCs w:val="11"/>
                <w:color w:val="58595B"/>
              </w:rPr>
              <w:t>Cash Bonus</w:t>
            </w:r>
          </w:p>
        </w:tc>
        <w:tc>
          <w:tcPr>
            <w:tcW w:w="820" w:type="dxa"/>
            <w:vAlign w:val="bottom"/>
          </w:tcPr>
          <w:p>
            <w:pPr>
              <w:jc w:val="right"/>
              <w:ind w:right="26"/>
              <w:spacing w:after="0"/>
              <w:rPr>
                <w:sz w:val="20"/>
                <w:szCs w:val="20"/>
                <w:color w:val="auto"/>
              </w:rPr>
            </w:pPr>
            <w:r>
              <w:rPr>
                <w:rFonts w:ascii="Arial" w:cs="Arial" w:eastAsia="Arial" w:hAnsi="Arial"/>
                <w:sz w:val="11"/>
                <w:szCs w:val="11"/>
                <w:color w:val="58595B"/>
              </w:rPr>
              <w:t>1/1/2025</w:t>
            </w:r>
          </w:p>
        </w:tc>
        <w:tc>
          <w:tcPr>
            <w:tcW w:w="720" w:type="dxa"/>
            <w:vAlign w:val="bottom"/>
          </w:tcPr>
          <w:p>
            <w:pPr>
              <w:jc w:val="right"/>
              <w:spacing w:after="0"/>
              <w:rPr>
                <w:sz w:val="20"/>
                <w:szCs w:val="20"/>
                <w:color w:val="auto"/>
              </w:rPr>
            </w:pPr>
            <w:r>
              <w:rPr>
                <w:rFonts w:ascii="Arial" w:cs="Arial" w:eastAsia="Arial" w:hAnsi="Arial"/>
                <w:sz w:val="11"/>
                <w:szCs w:val="11"/>
                <w:color w:val="58595B"/>
              </w:rPr>
              <w:t>2/11/2025</w:t>
            </w:r>
          </w:p>
        </w:tc>
        <w:tc>
          <w:tcPr>
            <w:tcW w:w="760" w:type="dxa"/>
            <w:vAlign w:val="bottom"/>
          </w:tcPr>
          <w:p>
            <w:pPr>
              <w:jc w:val="right"/>
              <w:ind w:right="46"/>
              <w:spacing w:after="0"/>
              <w:rPr>
                <w:sz w:val="20"/>
                <w:szCs w:val="20"/>
                <w:color w:val="auto"/>
              </w:rPr>
            </w:pPr>
            <w:r>
              <w:rPr>
                <w:rFonts w:ascii="Arial" w:cs="Arial" w:eastAsia="Arial" w:hAnsi="Arial"/>
                <w:sz w:val="11"/>
                <w:szCs w:val="11"/>
                <w:color w:val="58595B"/>
              </w:rPr>
              <w:t>68,310</w:t>
            </w:r>
          </w:p>
        </w:tc>
        <w:tc>
          <w:tcPr>
            <w:tcW w:w="720" w:type="dxa"/>
            <w:vAlign w:val="bottom"/>
          </w:tcPr>
          <w:p>
            <w:pPr>
              <w:jc w:val="right"/>
              <w:ind w:right="46"/>
              <w:spacing w:after="0"/>
              <w:rPr>
                <w:sz w:val="20"/>
                <w:szCs w:val="20"/>
                <w:color w:val="auto"/>
              </w:rPr>
            </w:pPr>
            <w:r>
              <w:rPr>
                <w:rFonts w:ascii="Arial" w:cs="Arial" w:eastAsia="Arial" w:hAnsi="Arial"/>
                <w:sz w:val="11"/>
                <w:szCs w:val="11"/>
                <w:color w:val="58595B"/>
              </w:rPr>
              <w:t>341,550</w:t>
            </w:r>
          </w:p>
        </w:tc>
        <w:tc>
          <w:tcPr>
            <w:tcW w:w="740" w:type="dxa"/>
            <w:vAlign w:val="bottom"/>
          </w:tcPr>
          <w:p>
            <w:pPr>
              <w:jc w:val="right"/>
              <w:ind w:right="6"/>
              <w:spacing w:after="0"/>
              <w:rPr>
                <w:sz w:val="20"/>
                <w:szCs w:val="20"/>
                <w:color w:val="auto"/>
              </w:rPr>
            </w:pPr>
            <w:r>
              <w:rPr>
                <w:rFonts w:ascii="Arial" w:cs="Arial" w:eastAsia="Arial" w:hAnsi="Arial"/>
                <w:sz w:val="11"/>
                <w:szCs w:val="11"/>
                <w:color w:val="58595B"/>
              </w:rPr>
              <w:t>512,325</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3"/>
        </w:trPr>
        <w:tc>
          <w:tcPr>
            <w:tcW w:w="1380" w:type="dxa"/>
            <w:vAlign w:val="bottom"/>
            <w:tcBorders>
              <w:bottom w:val="single" w:sz="8" w:color="58595B"/>
            </w:tcBorders>
          </w:tcPr>
          <w:p>
            <w:pPr>
              <w:spacing w:after="0"/>
              <w:rPr>
                <w:sz w:val="2"/>
                <w:szCs w:val="2"/>
                <w:color w:val="auto"/>
              </w:rPr>
            </w:pPr>
          </w:p>
        </w:tc>
        <w:tc>
          <w:tcPr>
            <w:tcW w:w="820" w:type="dxa"/>
            <w:vAlign w:val="bottom"/>
            <w:tcBorders>
              <w:bottom w:val="single" w:sz="8" w:color="58595B"/>
            </w:tcBorders>
          </w:tcPr>
          <w:p>
            <w:pPr>
              <w:spacing w:after="0"/>
              <w:rPr>
                <w:sz w:val="2"/>
                <w:szCs w:val="2"/>
                <w:color w:val="auto"/>
              </w:rPr>
            </w:pPr>
          </w:p>
        </w:tc>
        <w:tc>
          <w:tcPr>
            <w:tcW w:w="820" w:type="dxa"/>
            <w:vAlign w:val="bottom"/>
            <w:tcBorders>
              <w:bottom w:val="single" w:sz="8" w:color="58595B"/>
            </w:tcBorders>
          </w:tcPr>
          <w:p>
            <w:pPr>
              <w:spacing w:after="0"/>
              <w:rPr>
                <w:sz w:val="2"/>
                <w:szCs w:val="2"/>
                <w:color w:val="auto"/>
              </w:rPr>
            </w:pPr>
          </w:p>
        </w:tc>
        <w:tc>
          <w:tcPr>
            <w:tcW w:w="720" w:type="dxa"/>
            <w:vAlign w:val="bottom"/>
            <w:tcBorders>
              <w:bottom w:val="single" w:sz="8" w:color="58595B"/>
            </w:tcBorders>
          </w:tcPr>
          <w:p>
            <w:pPr>
              <w:spacing w:after="0"/>
              <w:rPr>
                <w:sz w:val="2"/>
                <w:szCs w:val="2"/>
                <w:color w:val="auto"/>
              </w:rPr>
            </w:pPr>
          </w:p>
        </w:tc>
        <w:tc>
          <w:tcPr>
            <w:tcW w:w="760" w:type="dxa"/>
            <w:vAlign w:val="bottom"/>
            <w:tcBorders>
              <w:bottom w:val="single" w:sz="8" w:color="58595B"/>
            </w:tcBorders>
          </w:tcPr>
          <w:p>
            <w:pPr>
              <w:spacing w:after="0"/>
              <w:rPr>
                <w:sz w:val="2"/>
                <w:szCs w:val="2"/>
                <w:color w:val="auto"/>
              </w:rPr>
            </w:pPr>
          </w:p>
        </w:tc>
        <w:tc>
          <w:tcPr>
            <w:tcW w:w="720" w:type="dxa"/>
            <w:vAlign w:val="bottom"/>
            <w:tcBorders>
              <w:bottom w:val="single" w:sz="8" w:color="58595B"/>
            </w:tcBorders>
          </w:tcPr>
          <w:p>
            <w:pPr>
              <w:spacing w:after="0"/>
              <w:rPr>
                <w:sz w:val="2"/>
                <w:szCs w:val="2"/>
                <w:color w:val="auto"/>
              </w:rPr>
            </w:pPr>
          </w:p>
        </w:tc>
        <w:tc>
          <w:tcPr>
            <w:tcW w:w="740" w:type="dxa"/>
            <w:vAlign w:val="bottom"/>
            <w:tcBorders>
              <w:bottom w:val="single" w:sz="8" w:color="58595B"/>
            </w:tcBorders>
          </w:tcPr>
          <w:p>
            <w:pPr>
              <w:spacing w:after="0"/>
              <w:rPr>
                <w:sz w:val="2"/>
                <w:szCs w:val="2"/>
                <w:color w:val="auto"/>
              </w:rPr>
            </w:pPr>
          </w:p>
        </w:tc>
        <w:tc>
          <w:tcPr>
            <w:tcW w:w="680" w:type="dxa"/>
            <w:vAlign w:val="bottom"/>
            <w:tcBorders>
              <w:bottom w:val="single" w:sz="8" w:color="58595B"/>
            </w:tcBorders>
          </w:tcPr>
          <w:p>
            <w:pPr>
              <w:spacing w:after="0"/>
              <w:rPr>
                <w:sz w:val="2"/>
                <w:szCs w:val="2"/>
                <w:color w:val="auto"/>
              </w:rPr>
            </w:pPr>
          </w:p>
        </w:tc>
        <w:tc>
          <w:tcPr>
            <w:tcW w:w="740" w:type="dxa"/>
            <w:vAlign w:val="bottom"/>
            <w:tcBorders>
              <w:bottom w:val="single" w:sz="8" w:color="58595B"/>
            </w:tcBorders>
          </w:tcPr>
          <w:p>
            <w:pPr>
              <w:spacing w:after="0"/>
              <w:rPr>
                <w:sz w:val="2"/>
                <w:szCs w:val="2"/>
                <w:color w:val="auto"/>
              </w:rPr>
            </w:pPr>
          </w:p>
        </w:tc>
        <w:tc>
          <w:tcPr>
            <w:tcW w:w="660" w:type="dxa"/>
            <w:vAlign w:val="bottom"/>
            <w:tcBorders>
              <w:bottom w:val="single" w:sz="8" w:color="58595B"/>
            </w:tcBorders>
          </w:tcPr>
          <w:p>
            <w:pPr>
              <w:spacing w:after="0"/>
              <w:rPr>
                <w:sz w:val="2"/>
                <w:szCs w:val="2"/>
                <w:color w:val="auto"/>
              </w:rPr>
            </w:pPr>
          </w:p>
        </w:tc>
        <w:tc>
          <w:tcPr>
            <w:tcW w:w="820" w:type="dxa"/>
            <w:vAlign w:val="bottom"/>
            <w:tcBorders>
              <w:bottom w:val="single" w:sz="8" w:color="58595B"/>
            </w:tcBorders>
          </w:tcPr>
          <w:p>
            <w:pPr>
              <w:spacing w:after="0"/>
              <w:rPr>
                <w:sz w:val="2"/>
                <w:szCs w:val="2"/>
                <w:color w:val="auto"/>
              </w:rPr>
            </w:pPr>
          </w:p>
        </w:tc>
        <w:tc>
          <w:tcPr>
            <w:tcW w:w="800" w:type="dxa"/>
            <w:vAlign w:val="bottom"/>
            <w:tcBorders>
              <w:bottom w:val="single" w:sz="8" w:color="58595B"/>
            </w:tcBorders>
          </w:tcPr>
          <w:p>
            <w:pPr>
              <w:spacing w:after="0"/>
              <w:rPr>
                <w:sz w:val="2"/>
                <w:szCs w:val="2"/>
                <w:color w:val="auto"/>
              </w:rPr>
            </w:pPr>
          </w:p>
        </w:tc>
        <w:tc>
          <w:tcPr>
            <w:tcW w:w="680" w:type="dxa"/>
            <w:vAlign w:val="bottom"/>
            <w:tcBorders>
              <w:bottom w:val="single" w:sz="8" w:color="58595B"/>
            </w:tcBorders>
          </w:tcPr>
          <w:p>
            <w:pPr>
              <w:spacing w:after="0"/>
              <w:rPr>
                <w:sz w:val="2"/>
                <w:szCs w:val="2"/>
                <w:color w:val="auto"/>
              </w:rPr>
            </w:pPr>
          </w:p>
        </w:tc>
        <w:tc>
          <w:tcPr>
            <w:tcW w:w="900" w:type="dxa"/>
            <w:vAlign w:val="bottom"/>
            <w:tcBorders>
              <w:bottom w:val="single" w:sz="8" w:color="58595B"/>
            </w:tcBorders>
          </w:tcPr>
          <w:p>
            <w:pPr>
              <w:spacing w:after="0"/>
              <w:rPr>
                <w:sz w:val="2"/>
                <w:szCs w:val="2"/>
                <w:color w:val="auto"/>
              </w:rPr>
            </w:pPr>
          </w:p>
        </w:tc>
      </w:tr>
    </w:tbl>
    <w:p>
      <w:pPr>
        <w:spacing w:after="0" w:line="139" w:lineRule="exact"/>
        <w:rPr>
          <w:sz w:val="20"/>
          <w:szCs w:val="20"/>
          <w:color w:val="auto"/>
        </w:rPr>
      </w:pPr>
    </w:p>
    <w:p>
      <w:pPr>
        <w:jc w:val="both"/>
        <w:ind w:left="340" w:right="40" w:hanging="332"/>
        <w:spacing w:after="0" w:line="273" w:lineRule="auto"/>
        <w:tabs>
          <w:tab w:leader="none" w:pos="338"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amounts reported in columns (c) through (e) represent potential cash payments pursuant to the Company’s Performance Incentive Compensation Plan. The “Target” is calculated by multiplying the officer’s base salary by the executive’s target award percentage established by the Compensation Committee (for Ms. Poul as provided in her employment agreement). See “— Compensation Discussion and Analysis — Analysis of 2025 Compensation Decisions, Annual Bonus” for more information.</w:t>
      </w:r>
    </w:p>
    <w:p>
      <w:pPr>
        <w:spacing w:after="0" w:line="17" w:lineRule="exact"/>
        <w:rPr>
          <w:rFonts w:ascii="Arial" w:cs="Arial" w:eastAsia="Arial" w:hAnsi="Arial"/>
          <w:sz w:val="14"/>
          <w:szCs w:val="14"/>
          <w:color w:val="auto"/>
        </w:rPr>
      </w:pPr>
    </w:p>
    <w:p>
      <w:pPr>
        <w:ind w:left="340" w:right="440" w:hanging="332"/>
        <w:spacing w:after="0" w:line="301" w:lineRule="auto"/>
        <w:tabs>
          <w:tab w:leader="none" w:pos="338"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 shown in columns (f) through (h) represents performance stock units granted under the Company’s 2003 Equity Incentive Plan. See “— Compensation Discussion and Analysis — Analysis of 2025 Compensation Decisions, Equity Grants” for a description of the material terms of these performance stock unit awards.</w:t>
      </w:r>
    </w:p>
    <w:p>
      <w:pPr>
        <w:spacing w:after="0" w:line="1" w:lineRule="exact"/>
        <w:rPr>
          <w:rFonts w:ascii="Arial" w:cs="Arial" w:eastAsia="Arial" w:hAnsi="Arial"/>
          <w:sz w:val="14"/>
          <w:szCs w:val="14"/>
          <w:color w:val="auto"/>
        </w:rPr>
      </w:pPr>
    </w:p>
    <w:p>
      <w:pPr>
        <w:ind w:left="340" w:right="20" w:hanging="332"/>
        <w:spacing w:after="0" w:line="273" w:lineRule="auto"/>
        <w:tabs>
          <w:tab w:leader="none" w:pos="338"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amounts shown in this column represent RSUs (with respect to awards granted to Messrs. De Witte and Singh) and shares of restricted stock (with respect to the other NEOs), all of which were granted under the Company’s 2003 Equity Incentive Plan. See “ — Compensation Discussion and Analysis — Analysis of 2025 Compensation Decisions, Equity Grants” for a description of the material terms of these RSA and RSU awards.</w:t>
      </w:r>
    </w:p>
    <w:p>
      <w:pPr>
        <w:spacing w:after="0" w:line="17" w:lineRule="exact"/>
        <w:rPr>
          <w:rFonts w:ascii="Arial" w:cs="Arial" w:eastAsia="Arial" w:hAnsi="Arial"/>
          <w:sz w:val="14"/>
          <w:szCs w:val="14"/>
          <w:color w:val="auto"/>
        </w:rPr>
      </w:pPr>
    </w:p>
    <w:p>
      <w:pPr>
        <w:ind w:left="340" w:right="160" w:hanging="332"/>
        <w:spacing w:after="0" w:line="276" w:lineRule="auto"/>
        <w:tabs>
          <w:tab w:leader="none" w:pos="338" w:val="left"/>
        </w:tabs>
        <w:numPr>
          <w:ilvl w:val="0"/>
          <w:numId w:val="44"/>
        </w:numPr>
        <w:rPr>
          <w:rFonts w:ascii="Arial" w:cs="Arial" w:eastAsia="Arial" w:hAnsi="Arial"/>
          <w:sz w:val="14"/>
          <w:szCs w:val="14"/>
          <w:color w:val="auto"/>
        </w:rPr>
      </w:pPr>
      <w:r>
        <w:rPr>
          <w:rFonts w:ascii="Arial" w:cs="Arial" w:eastAsia="Arial" w:hAnsi="Arial"/>
          <w:sz w:val="14"/>
          <w:szCs w:val="14"/>
          <w:color w:val="auto"/>
        </w:rPr>
        <w:t>Each NEO is eligible to vest in and receive a number of shares of the Company’s common stock ranging from 0% to 150% of the target number of shares of PSUs based on the Company’s achievement of goals relating to the growth in the Company’s annual organic revenue growth over the immediately preceding fiscal year, during each fiscal year of the performance period running from January 1, 2025 through December 31, 2027. See “— Compensation Discussion and Analysis — Analysis of 2025 Compensation Decisions, Equity Grants” for a description.</w:t>
      </w:r>
    </w:p>
    <w:p>
      <w:pPr>
        <w:spacing w:after="0" w:line="1" w:lineRule="exact"/>
        <w:rPr>
          <w:rFonts w:ascii="Arial" w:cs="Arial" w:eastAsia="Arial" w:hAnsi="Arial"/>
          <w:sz w:val="14"/>
          <w:szCs w:val="14"/>
          <w:color w:val="auto"/>
        </w:rPr>
      </w:pPr>
    </w:p>
    <w:p>
      <w:pPr>
        <w:ind w:left="340" w:right="40" w:hanging="332"/>
        <w:spacing w:after="0" w:line="265" w:lineRule="auto"/>
        <w:tabs>
          <w:tab w:leader="none" w:pos="338"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computed in accordance with FASB ASC Topic 718 of the restricted stock, contract stock/restricted stock units, performance stock units and stock options granted to each NEO in 2025. For restricted stock, contract stock/restricted stock units and performance stock units, fair value is calculated using the closing price of the Company’s common stock on the specific grant date. For stock options, fair value is based on the fair value of the option on the grant date as estimated using the binomial distribution model. For a discussion of the assumptions used to estimate fair value, please see Note 9, “Stock-Based Compensation” to our consolidated financial statements included in our Annual Report on Form 10-K for the year ended December 31, 2025. The grant date fair value of performance stock unit awards is shown in this column at Target, which represents the probable outcome of the performance conditions. The value if the maximum goals are achieved and calculated as of the grant date is $4,500,001 for Ms. Poul, $892,700 for Mr. Davis, $1,327,752 for Mr. McBreen, $1,498,719 for Ms. Knight and $683,114 for Mr. Singh.</w:t>
      </w:r>
    </w:p>
    <w:p>
      <w:pPr>
        <w:spacing w:after="0" w:line="200" w:lineRule="exact"/>
        <w:rPr>
          <w:sz w:val="20"/>
          <w:szCs w:val="20"/>
          <w:color w:val="auto"/>
        </w:rPr>
      </w:pPr>
    </w:p>
    <w:p>
      <w:pPr>
        <w:spacing w:after="0" w:line="31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60</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ind w:left="9080"/>
        <w:spacing w:after="0"/>
        <w:rPr>
          <w:sz w:val="20"/>
          <w:szCs w:val="20"/>
          <w:color w:val="auto"/>
        </w:rPr>
      </w:pPr>
      <w:r>
        <w:rPr>
          <w:rFonts w:ascii="Arial" w:cs="Arial" w:eastAsia="Arial" w:hAnsi="Arial"/>
          <w:sz w:val="12"/>
          <w:szCs w:val="12"/>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009845"/>
        </w:rPr>
        <w:t>Outstanding Equity Awards at Fiscal Year-End</w:t>
      </w:r>
    </w:p>
    <w:p>
      <w:pPr>
        <w:spacing w:after="0" w:line="193" w:lineRule="exact"/>
        <w:rPr>
          <w:sz w:val="20"/>
          <w:szCs w:val="20"/>
          <w:color w:val="auto"/>
        </w:rPr>
      </w:pPr>
    </w:p>
    <w:p>
      <w:pPr>
        <w:spacing w:after="0" w:line="324" w:lineRule="auto"/>
        <w:rPr>
          <w:sz w:val="20"/>
          <w:szCs w:val="20"/>
          <w:color w:val="auto"/>
        </w:rPr>
      </w:pPr>
      <w:r>
        <w:rPr>
          <w:rFonts w:ascii="Arial" w:cs="Arial" w:eastAsia="Arial" w:hAnsi="Arial"/>
          <w:sz w:val="16"/>
          <w:szCs w:val="16"/>
          <w:color w:val="58595B"/>
        </w:rPr>
        <w:t>The following table presents information with respect to outstanding equity awards as of December 31, 2025. Consistent with the terms of the De Witte Letter Agreement and Consulting Agreement, Mr. De Witte's outstanding equity continues to vest during Mr. De Witte's continued service to the Company during the consulting period. For additional information regarding the treatment of Mr. De Witte's outstanding equity awards upon his retirement, please refer to “Compensation Discussion and Analysis—Employment and Post-Employment Arrangements—CEO Agreements: Mr. De Witte” above.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Borders>
              <w:bottom w:val="single" w:sz="8" w:color="EFEDED"/>
            </w:tcBorders>
            <w:shd w:val="clear" w:color="auto" w:fill="EFEDED"/>
          </w:tcPr>
          <w:p>
            <w:pPr>
              <w:spacing w:after="0"/>
              <w:rPr>
                <w:sz w:val="17"/>
                <w:szCs w:val="17"/>
                <w:color w:val="auto"/>
              </w:rPr>
            </w:pPr>
          </w:p>
        </w:tc>
        <w:tc>
          <w:tcPr>
            <w:tcW w:w="1060" w:type="dxa"/>
            <w:vAlign w:val="bottom"/>
            <w:tcBorders>
              <w:bottom w:val="single" w:sz="8" w:color="58595B"/>
            </w:tcBorders>
            <w:shd w:val="clear" w:color="auto" w:fill="EFEDED"/>
          </w:tcPr>
          <w:p>
            <w:pPr>
              <w:spacing w:after="0"/>
              <w:rPr>
                <w:sz w:val="17"/>
                <w:szCs w:val="17"/>
                <w:color w:val="auto"/>
              </w:rPr>
            </w:pPr>
          </w:p>
        </w:tc>
        <w:tc>
          <w:tcPr>
            <w:tcW w:w="1420" w:type="dxa"/>
            <w:vAlign w:val="bottom"/>
            <w:tcBorders>
              <w:bottom w:val="single" w:sz="8" w:color="58595B"/>
            </w:tcBorders>
            <w:shd w:val="clear" w:color="auto" w:fill="EFEDED"/>
          </w:tcPr>
          <w:p>
            <w:pPr>
              <w:jc w:val="right"/>
              <w:spacing w:after="0"/>
              <w:rPr>
                <w:sz w:val="20"/>
                <w:szCs w:val="20"/>
                <w:color w:val="auto"/>
              </w:rPr>
            </w:pPr>
            <w:r>
              <w:rPr>
                <w:rFonts w:ascii="Arial" w:cs="Arial" w:eastAsia="Arial" w:hAnsi="Arial"/>
                <w:sz w:val="13"/>
                <w:szCs w:val="13"/>
                <w:color w:val="58595B"/>
              </w:rPr>
              <w:t>Option Awards</w:t>
            </w:r>
          </w:p>
        </w:tc>
        <w:tc>
          <w:tcPr>
            <w:tcW w:w="640" w:type="dxa"/>
            <w:vAlign w:val="bottom"/>
            <w:tcBorders>
              <w:bottom w:val="single" w:sz="8" w:color="58595B"/>
            </w:tcBorders>
            <w:shd w:val="clear" w:color="auto" w:fill="EFEDED"/>
          </w:tcPr>
          <w:p>
            <w:pPr>
              <w:spacing w:after="0"/>
              <w:rPr>
                <w:sz w:val="17"/>
                <w:szCs w:val="17"/>
                <w:color w:val="auto"/>
              </w:rPr>
            </w:pPr>
          </w:p>
        </w:tc>
        <w:tc>
          <w:tcPr>
            <w:tcW w:w="980" w:type="dxa"/>
            <w:vAlign w:val="bottom"/>
            <w:tcBorders>
              <w:bottom w:val="single" w:sz="8" w:color="58595B"/>
              <w:right w:val="single" w:sz="8" w:color="58595B"/>
            </w:tcBorders>
            <w:shd w:val="clear" w:color="auto" w:fill="EFEDED"/>
          </w:tcPr>
          <w:p>
            <w:pPr>
              <w:spacing w:after="0"/>
              <w:rPr>
                <w:sz w:val="17"/>
                <w:szCs w:val="17"/>
                <w:color w:val="auto"/>
              </w:rPr>
            </w:pPr>
          </w:p>
        </w:tc>
        <w:tc>
          <w:tcPr>
            <w:tcW w:w="1120" w:type="dxa"/>
            <w:vAlign w:val="bottom"/>
            <w:tcBorders>
              <w:bottom w:val="single" w:sz="8" w:color="58595B"/>
            </w:tcBorders>
            <w:shd w:val="clear" w:color="auto" w:fill="EFEDED"/>
          </w:tcPr>
          <w:p>
            <w:pPr>
              <w:spacing w:after="0"/>
              <w:rPr>
                <w:sz w:val="17"/>
                <w:szCs w:val="17"/>
                <w:color w:val="auto"/>
              </w:rPr>
            </w:pPr>
          </w:p>
        </w:tc>
        <w:tc>
          <w:tcPr>
            <w:tcW w:w="2200" w:type="dxa"/>
            <w:vAlign w:val="bottom"/>
            <w:tcBorders>
              <w:bottom w:val="single" w:sz="8" w:color="58595B"/>
            </w:tcBorders>
            <w:gridSpan w:val="2"/>
            <w:shd w:val="clear" w:color="auto" w:fill="EFEDED"/>
          </w:tcPr>
          <w:p>
            <w:pPr>
              <w:jc w:val="right"/>
              <w:ind w:right="617"/>
              <w:spacing w:after="0"/>
              <w:rPr>
                <w:sz w:val="20"/>
                <w:szCs w:val="20"/>
                <w:color w:val="auto"/>
              </w:rPr>
            </w:pPr>
            <w:r>
              <w:rPr>
                <w:rFonts w:ascii="Arial" w:cs="Arial" w:eastAsia="Arial" w:hAnsi="Arial"/>
                <w:sz w:val="13"/>
                <w:szCs w:val="13"/>
                <w:color w:val="58595B"/>
              </w:rPr>
              <w:t>Stock Awards</w:t>
            </w:r>
          </w:p>
        </w:tc>
        <w:tc>
          <w:tcPr>
            <w:tcW w:w="1320" w:type="dxa"/>
            <w:vAlign w:val="bottom"/>
            <w:tcBorders>
              <w:bottom w:val="single" w:sz="8" w:color="58595B"/>
            </w:tcBorders>
            <w:shd w:val="clear" w:color="auto" w:fill="EFEDED"/>
          </w:tcPr>
          <w:p>
            <w:pPr>
              <w:spacing w:after="0"/>
              <w:rPr>
                <w:sz w:val="17"/>
                <w:szCs w:val="17"/>
                <w:color w:val="auto"/>
              </w:rPr>
            </w:pPr>
          </w:p>
        </w:tc>
      </w:tr>
      <w:tr>
        <w:trPr>
          <w:trHeight w:val="158"/>
        </w:trPr>
        <w:tc>
          <w:tcPr>
            <w:tcW w:w="2500" w:type="dxa"/>
            <w:vAlign w:val="bottom"/>
            <w:shd w:val="clear" w:color="auto" w:fill="EFEDED"/>
          </w:tcPr>
          <w:p>
            <w:pPr>
              <w:spacing w:after="0"/>
              <w:rPr>
                <w:sz w:val="13"/>
                <w:szCs w:val="13"/>
                <w:color w:val="auto"/>
              </w:rPr>
            </w:pPr>
          </w:p>
        </w:tc>
        <w:tc>
          <w:tcPr>
            <w:tcW w:w="1060" w:type="dxa"/>
            <w:vAlign w:val="bottom"/>
            <w:shd w:val="clear" w:color="auto" w:fill="EFEDED"/>
          </w:tcPr>
          <w:p>
            <w:pPr>
              <w:spacing w:after="0"/>
              <w:rPr>
                <w:sz w:val="13"/>
                <w:szCs w:val="13"/>
                <w:color w:val="auto"/>
              </w:rPr>
            </w:pPr>
          </w:p>
        </w:tc>
        <w:tc>
          <w:tcPr>
            <w:tcW w:w="1420" w:type="dxa"/>
            <w:vAlign w:val="bottom"/>
            <w:shd w:val="clear" w:color="auto" w:fill="EFEDED"/>
          </w:tcPr>
          <w:p>
            <w:pPr>
              <w:spacing w:after="0"/>
              <w:rPr>
                <w:sz w:val="13"/>
                <w:szCs w:val="13"/>
                <w:color w:val="auto"/>
              </w:rPr>
            </w:pPr>
          </w:p>
        </w:tc>
        <w:tc>
          <w:tcPr>
            <w:tcW w:w="640" w:type="dxa"/>
            <w:vAlign w:val="bottom"/>
            <w:shd w:val="clear" w:color="auto" w:fill="EFEDED"/>
          </w:tcPr>
          <w:p>
            <w:pPr>
              <w:spacing w:after="0"/>
              <w:rPr>
                <w:sz w:val="13"/>
                <w:szCs w:val="13"/>
                <w:color w:val="auto"/>
              </w:rPr>
            </w:pPr>
          </w:p>
        </w:tc>
        <w:tc>
          <w:tcPr>
            <w:tcW w:w="980" w:type="dxa"/>
            <w:vAlign w:val="bottom"/>
            <w:tcBorders>
              <w:right w:val="single" w:sz="8" w:color="EFEDED"/>
            </w:tcBorders>
            <w:shd w:val="clear" w:color="auto" w:fill="EFEDED"/>
          </w:tcPr>
          <w:p>
            <w:pPr>
              <w:spacing w:after="0"/>
              <w:rPr>
                <w:sz w:val="13"/>
                <w:szCs w:val="13"/>
                <w:color w:val="auto"/>
              </w:rPr>
            </w:pPr>
          </w:p>
        </w:tc>
        <w:tc>
          <w:tcPr>
            <w:tcW w:w="1120" w:type="dxa"/>
            <w:vAlign w:val="bottom"/>
            <w:shd w:val="clear" w:color="auto" w:fill="EFEDED"/>
          </w:tcPr>
          <w:p>
            <w:pPr>
              <w:spacing w:after="0"/>
              <w:rPr>
                <w:sz w:val="13"/>
                <w:szCs w:val="13"/>
                <w:color w:val="auto"/>
              </w:rPr>
            </w:pPr>
          </w:p>
        </w:tc>
        <w:tc>
          <w:tcPr>
            <w:tcW w:w="1120" w:type="dxa"/>
            <w:vAlign w:val="bottom"/>
            <w:shd w:val="clear" w:color="auto" w:fill="EFEDED"/>
          </w:tcPr>
          <w:p>
            <w:pPr>
              <w:spacing w:after="0"/>
              <w:rPr>
                <w:sz w:val="13"/>
                <w:szCs w:val="13"/>
                <w:color w:val="auto"/>
              </w:rPr>
            </w:pPr>
          </w:p>
        </w:tc>
        <w:tc>
          <w:tcPr>
            <w:tcW w:w="1080" w:type="dxa"/>
            <w:vAlign w:val="bottom"/>
            <w:shd w:val="clear" w:color="auto" w:fill="EFEDED"/>
          </w:tcPr>
          <w:p>
            <w:pPr>
              <w:spacing w:after="0"/>
              <w:rPr>
                <w:sz w:val="13"/>
                <w:szCs w:val="13"/>
                <w:color w:val="auto"/>
              </w:rPr>
            </w:pPr>
          </w:p>
        </w:tc>
        <w:tc>
          <w:tcPr>
            <w:tcW w:w="1320" w:type="dxa"/>
            <w:vAlign w:val="bottom"/>
            <w:shd w:val="clear" w:color="auto" w:fill="EFEDED"/>
          </w:tcPr>
          <w:p>
            <w:pPr>
              <w:jc w:val="center"/>
              <w:ind w:right="177"/>
              <w:spacing w:after="0"/>
              <w:rPr>
                <w:sz w:val="20"/>
                <w:szCs w:val="20"/>
                <w:color w:val="auto"/>
              </w:rPr>
            </w:pPr>
            <w:r>
              <w:rPr>
                <w:rFonts w:ascii="Arial" w:cs="Arial" w:eastAsia="Arial" w:hAnsi="Arial"/>
                <w:sz w:val="13"/>
                <w:szCs w:val="13"/>
                <w:color w:val="58595B"/>
                <w:w w:val="99"/>
              </w:rPr>
              <w:t>Equity</w:t>
            </w:r>
          </w:p>
        </w:tc>
      </w:tr>
      <w:tr>
        <w:trPr>
          <w:trHeight w:val="148"/>
        </w:trPr>
        <w:tc>
          <w:tcPr>
            <w:tcW w:w="250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420" w:type="dxa"/>
            <w:vAlign w:val="bottom"/>
            <w:shd w:val="clear" w:color="auto" w:fill="EFEDED"/>
          </w:tcPr>
          <w:p>
            <w:pPr>
              <w:spacing w:after="0"/>
              <w:rPr>
                <w:sz w:val="12"/>
                <w:szCs w:val="12"/>
                <w:color w:val="auto"/>
              </w:rPr>
            </w:pPr>
          </w:p>
        </w:tc>
        <w:tc>
          <w:tcPr>
            <w:tcW w:w="640" w:type="dxa"/>
            <w:vAlign w:val="bottom"/>
            <w:shd w:val="clear" w:color="auto" w:fill="EFEDED"/>
          </w:tcPr>
          <w:p>
            <w:pPr>
              <w:spacing w:after="0"/>
              <w:rPr>
                <w:sz w:val="12"/>
                <w:szCs w:val="12"/>
                <w:color w:val="auto"/>
              </w:rPr>
            </w:pPr>
          </w:p>
        </w:tc>
        <w:tc>
          <w:tcPr>
            <w:tcW w:w="980" w:type="dxa"/>
            <w:vAlign w:val="bottom"/>
            <w:tcBorders>
              <w:right w:val="single" w:sz="8" w:color="EFEDED"/>
            </w:tcBorders>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108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9"/>
              </w:rPr>
              <w:t>Equity</w:t>
            </w:r>
          </w:p>
        </w:tc>
        <w:tc>
          <w:tcPr>
            <w:tcW w:w="1320" w:type="dxa"/>
            <w:vAlign w:val="bottom"/>
            <w:shd w:val="clear" w:color="auto" w:fill="EFEDED"/>
          </w:tcPr>
          <w:p>
            <w:pPr>
              <w:jc w:val="center"/>
              <w:ind w:right="197"/>
              <w:spacing w:after="0"/>
              <w:rPr>
                <w:sz w:val="20"/>
                <w:szCs w:val="20"/>
                <w:color w:val="auto"/>
              </w:rPr>
            </w:pPr>
            <w:r>
              <w:rPr>
                <w:rFonts w:ascii="Arial" w:cs="Arial" w:eastAsia="Arial" w:hAnsi="Arial"/>
                <w:sz w:val="13"/>
                <w:szCs w:val="13"/>
                <w:color w:val="58595B"/>
                <w:w w:val="96"/>
              </w:rPr>
              <w:t>Incentive</w:t>
            </w:r>
          </w:p>
        </w:tc>
      </w:tr>
      <w:tr>
        <w:trPr>
          <w:trHeight w:val="148"/>
        </w:trPr>
        <w:tc>
          <w:tcPr>
            <w:tcW w:w="250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420" w:type="dxa"/>
            <w:vAlign w:val="bottom"/>
            <w:shd w:val="clear" w:color="auto" w:fill="EFEDED"/>
          </w:tcPr>
          <w:p>
            <w:pPr>
              <w:spacing w:after="0"/>
              <w:rPr>
                <w:sz w:val="12"/>
                <w:szCs w:val="12"/>
                <w:color w:val="auto"/>
              </w:rPr>
            </w:pPr>
          </w:p>
        </w:tc>
        <w:tc>
          <w:tcPr>
            <w:tcW w:w="640" w:type="dxa"/>
            <w:vAlign w:val="bottom"/>
            <w:shd w:val="clear" w:color="auto" w:fill="EFEDED"/>
          </w:tcPr>
          <w:p>
            <w:pPr>
              <w:spacing w:after="0"/>
              <w:rPr>
                <w:sz w:val="12"/>
                <w:szCs w:val="12"/>
                <w:color w:val="auto"/>
              </w:rPr>
            </w:pPr>
          </w:p>
        </w:tc>
        <w:tc>
          <w:tcPr>
            <w:tcW w:w="980" w:type="dxa"/>
            <w:vAlign w:val="bottom"/>
            <w:tcBorders>
              <w:right w:val="single" w:sz="8" w:color="EFEDED"/>
            </w:tcBorders>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1080" w:type="dxa"/>
            <w:vAlign w:val="bottom"/>
            <w:shd w:val="clear" w:color="auto" w:fill="EFEDED"/>
          </w:tcPr>
          <w:p>
            <w:pPr>
              <w:jc w:val="center"/>
              <w:ind w:right="117"/>
              <w:spacing w:after="0"/>
              <w:rPr>
                <w:sz w:val="20"/>
                <w:szCs w:val="20"/>
                <w:color w:val="auto"/>
              </w:rPr>
            </w:pPr>
            <w:r>
              <w:rPr>
                <w:rFonts w:ascii="Arial" w:cs="Arial" w:eastAsia="Arial" w:hAnsi="Arial"/>
                <w:sz w:val="13"/>
                <w:szCs w:val="13"/>
                <w:color w:val="58595B"/>
                <w:w w:val="96"/>
              </w:rPr>
              <w:t>Incentive</w:t>
            </w:r>
          </w:p>
        </w:tc>
        <w:tc>
          <w:tcPr>
            <w:tcW w:w="1320" w:type="dxa"/>
            <w:vAlign w:val="bottom"/>
            <w:shd w:val="clear" w:color="auto" w:fill="EFEDED"/>
          </w:tcPr>
          <w:p>
            <w:pPr>
              <w:jc w:val="center"/>
              <w:ind w:right="177"/>
              <w:spacing w:after="0"/>
              <w:rPr>
                <w:sz w:val="20"/>
                <w:szCs w:val="20"/>
                <w:color w:val="auto"/>
              </w:rPr>
            </w:pPr>
            <w:r>
              <w:rPr>
                <w:rFonts w:ascii="Arial" w:cs="Arial" w:eastAsia="Arial" w:hAnsi="Arial"/>
                <w:sz w:val="13"/>
                <w:szCs w:val="13"/>
                <w:color w:val="58595B"/>
                <w:w w:val="92"/>
              </w:rPr>
              <w:t>Plan</w:t>
            </w:r>
          </w:p>
        </w:tc>
      </w:tr>
      <w:tr>
        <w:trPr>
          <w:trHeight w:val="162"/>
        </w:trPr>
        <w:tc>
          <w:tcPr>
            <w:tcW w:w="2500" w:type="dxa"/>
            <w:vAlign w:val="bottom"/>
            <w:shd w:val="clear" w:color="auto" w:fill="EFEDED"/>
          </w:tcPr>
          <w:p>
            <w:pPr>
              <w:spacing w:after="0"/>
              <w:rPr>
                <w:sz w:val="14"/>
                <w:szCs w:val="14"/>
                <w:color w:val="auto"/>
              </w:rPr>
            </w:pPr>
          </w:p>
        </w:tc>
        <w:tc>
          <w:tcPr>
            <w:tcW w:w="1060" w:type="dxa"/>
            <w:vAlign w:val="bottom"/>
            <w:shd w:val="clear" w:color="auto" w:fill="EFEDED"/>
          </w:tcPr>
          <w:p>
            <w:pPr>
              <w:spacing w:after="0"/>
              <w:rPr>
                <w:sz w:val="14"/>
                <w:szCs w:val="14"/>
                <w:color w:val="auto"/>
              </w:rPr>
            </w:pPr>
          </w:p>
        </w:tc>
        <w:tc>
          <w:tcPr>
            <w:tcW w:w="1420" w:type="dxa"/>
            <w:vAlign w:val="bottom"/>
            <w:shd w:val="clear" w:color="auto" w:fill="EFEDED"/>
          </w:tcPr>
          <w:p>
            <w:pPr>
              <w:spacing w:after="0"/>
              <w:rPr>
                <w:sz w:val="14"/>
                <w:szCs w:val="14"/>
                <w:color w:val="auto"/>
              </w:rPr>
            </w:pPr>
          </w:p>
        </w:tc>
        <w:tc>
          <w:tcPr>
            <w:tcW w:w="640" w:type="dxa"/>
            <w:vAlign w:val="bottom"/>
            <w:shd w:val="clear" w:color="auto" w:fill="EFEDED"/>
          </w:tcPr>
          <w:p>
            <w:pPr>
              <w:spacing w:after="0"/>
              <w:rPr>
                <w:sz w:val="14"/>
                <w:szCs w:val="14"/>
                <w:color w:val="auto"/>
              </w:rPr>
            </w:pPr>
          </w:p>
        </w:tc>
        <w:tc>
          <w:tcPr>
            <w:tcW w:w="980" w:type="dxa"/>
            <w:vAlign w:val="bottom"/>
            <w:tcBorders>
              <w:right w:val="single" w:sz="8" w:color="EFEDED"/>
            </w:tcBorders>
            <w:shd w:val="clear" w:color="auto" w:fill="EFEDED"/>
          </w:tcPr>
          <w:p>
            <w:pPr>
              <w:spacing w:after="0"/>
              <w:rPr>
                <w:sz w:val="14"/>
                <w:szCs w:val="14"/>
                <w:color w:val="auto"/>
              </w:rPr>
            </w:pPr>
          </w:p>
        </w:tc>
        <w:tc>
          <w:tcPr>
            <w:tcW w:w="1120" w:type="dxa"/>
            <w:vAlign w:val="bottom"/>
            <w:shd w:val="clear" w:color="auto" w:fill="EFEDED"/>
          </w:tcPr>
          <w:p>
            <w:pPr>
              <w:spacing w:after="0"/>
              <w:rPr>
                <w:sz w:val="14"/>
                <w:szCs w:val="14"/>
                <w:color w:val="auto"/>
              </w:rPr>
            </w:pPr>
          </w:p>
        </w:tc>
        <w:tc>
          <w:tcPr>
            <w:tcW w:w="1120" w:type="dxa"/>
            <w:vAlign w:val="bottom"/>
            <w:shd w:val="clear" w:color="auto" w:fill="EFEDED"/>
          </w:tcPr>
          <w:p>
            <w:pPr>
              <w:spacing w:after="0"/>
              <w:rPr>
                <w:sz w:val="14"/>
                <w:szCs w:val="14"/>
                <w:color w:val="auto"/>
              </w:rPr>
            </w:pPr>
          </w:p>
        </w:tc>
        <w:tc>
          <w:tcPr>
            <w:tcW w:w="108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2"/>
              </w:rPr>
              <w:t>Plan</w:t>
            </w:r>
          </w:p>
        </w:tc>
        <w:tc>
          <w:tcPr>
            <w:tcW w:w="1320" w:type="dxa"/>
            <w:vAlign w:val="bottom"/>
            <w:shd w:val="clear" w:color="auto" w:fill="EFEDED"/>
          </w:tcPr>
          <w:p>
            <w:pPr>
              <w:jc w:val="center"/>
              <w:ind w:right="177"/>
              <w:spacing w:after="0"/>
              <w:rPr>
                <w:sz w:val="20"/>
                <w:szCs w:val="20"/>
                <w:color w:val="auto"/>
              </w:rPr>
            </w:pPr>
            <w:r>
              <w:rPr>
                <w:rFonts w:ascii="Arial" w:cs="Arial" w:eastAsia="Arial" w:hAnsi="Arial"/>
                <w:sz w:val="13"/>
                <w:szCs w:val="13"/>
                <w:color w:val="58595B"/>
                <w:w w:val="93"/>
              </w:rPr>
              <w:t>Awards:</w:t>
            </w:r>
          </w:p>
        </w:tc>
      </w:tr>
      <w:tr>
        <w:trPr>
          <w:trHeight w:val="148"/>
        </w:trPr>
        <w:tc>
          <w:tcPr>
            <w:tcW w:w="250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420" w:type="dxa"/>
            <w:vAlign w:val="bottom"/>
            <w:shd w:val="clear" w:color="auto" w:fill="EFEDED"/>
          </w:tcPr>
          <w:p>
            <w:pPr>
              <w:spacing w:after="0"/>
              <w:rPr>
                <w:sz w:val="12"/>
                <w:szCs w:val="12"/>
                <w:color w:val="auto"/>
              </w:rPr>
            </w:pPr>
          </w:p>
        </w:tc>
        <w:tc>
          <w:tcPr>
            <w:tcW w:w="640" w:type="dxa"/>
            <w:vAlign w:val="bottom"/>
            <w:shd w:val="clear" w:color="auto" w:fill="EFEDED"/>
          </w:tcPr>
          <w:p>
            <w:pPr>
              <w:spacing w:after="0"/>
              <w:rPr>
                <w:sz w:val="12"/>
                <w:szCs w:val="12"/>
                <w:color w:val="auto"/>
              </w:rPr>
            </w:pPr>
          </w:p>
        </w:tc>
        <w:tc>
          <w:tcPr>
            <w:tcW w:w="980" w:type="dxa"/>
            <w:vAlign w:val="bottom"/>
            <w:tcBorders>
              <w:right w:val="single" w:sz="8" w:color="EFEDED"/>
            </w:tcBorders>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1080" w:type="dxa"/>
            <w:vAlign w:val="bottom"/>
            <w:shd w:val="clear" w:color="auto" w:fill="EFEDED"/>
          </w:tcPr>
          <w:p>
            <w:pPr>
              <w:jc w:val="center"/>
              <w:ind w:right="117"/>
              <w:spacing w:after="0"/>
              <w:rPr>
                <w:sz w:val="20"/>
                <w:szCs w:val="20"/>
                <w:color w:val="auto"/>
              </w:rPr>
            </w:pPr>
            <w:r>
              <w:rPr>
                <w:rFonts w:ascii="Arial" w:cs="Arial" w:eastAsia="Arial" w:hAnsi="Arial"/>
                <w:sz w:val="13"/>
                <w:szCs w:val="13"/>
                <w:color w:val="58595B"/>
                <w:w w:val="97"/>
              </w:rPr>
              <w:t>Awards:</w:t>
            </w:r>
          </w:p>
        </w:tc>
        <w:tc>
          <w:tcPr>
            <w:tcW w:w="1320" w:type="dxa"/>
            <w:vAlign w:val="bottom"/>
            <w:shd w:val="clear" w:color="auto" w:fill="EFEDED"/>
          </w:tcPr>
          <w:p>
            <w:pPr>
              <w:jc w:val="center"/>
              <w:ind w:right="177"/>
              <w:spacing w:after="0"/>
              <w:rPr>
                <w:sz w:val="20"/>
                <w:szCs w:val="20"/>
                <w:color w:val="auto"/>
              </w:rPr>
            </w:pPr>
            <w:r>
              <w:rPr>
                <w:rFonts w:ascii="Arial" w:cs="Arial" w:eastAsia="Arial" w:hAnsi="Arial"/>
                <w:sz w:val="13"/>
                <w:szCs w:val="13"/>
                <w:color w:val="58595B"/>
                <w:w w:val="94"/>
              </w:rPr>
              <w:t>Market or</w:t>
            </w:r>
          </w:p>
        </w:tc>
      </w:tr>
      <w:tr>
        <w:trPr>
          <w:trHeight w:val="149"/>
        </w:trPr>
        <w:tc>
          <w:tcPr>
            <w:tcW w:w="250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420" w:type="dxa"/>
            <w:vAlign w:val="bottom"/>
            <w:shd w:val="clear" w:color="auto" w:fill="EFEDED"/>
          </w:tcPr>
          <w:p>
            <w:pPr>
              <w:spacing w:after="0"/>
              <w:rPr>
                <w:sz w:val="12"/>
                <w:szCs w:val="12"/>
                <w:color w:val="auto"/>
              </w:rPr>
            </w:pPr>
          </w:p>
        </w:tc>
        <w:tc>
          <w:tcPr>
            <w:tcW w:w="640" w:type="dxa"/>
            <w:vAlign w:val="bottom"/>
            <w:shd w:val="clear" w:color="auto" w:fill="EFEDED"/>
          </w:tcPr>
          <w:p>
            <w:pPr>
              <w:spacing w:after="0"/>
              <w:rPr>
                <w:sz w:val="12"/>
                <w:szCs w:val="12"/>
                <w:color w:val="auto"/>
              </w:rPr>
            </w:pPr>
          </w:p>
        </w:tc>
        <w:tc>
          <w:tcPr>
            <w:tcW w:w="980" w:type="dxa"/>
            <w:vAlign w:val="bottom"/>
            <w:tcBorders>
              <w:right w:val="single" w:sz="8" w:color="EFEDED"/>
            </w:tcBorders>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1080" w:type="dxa"/>
            <w:vAlign w:val="bottom"/>
            <w:shd w:val="clear" w:color="auto" w:fill="EFEDED"/>
          </w:tcPr>
          <w:p>
            <w:pPr>
              <w:jc w:val="center"/>
              <w:ind w:right="117"/>
              <w:spacing w:after="0"/>
              <w:rPr>
                <w:sz w:val="20"/>
                <w:szCs w:val="20"/>
                <w:color w:val="auto"/>
              </w:rPr>
            </w:pPr>
            <w:r>
              <w:rPr>
                <w:rFonts w:ascii="Arial" w:cs="Arial" w:eastAsia="Arial" w:hAnsi="Arial"/>
                <w:sz w:val="13"/>
                <w:szCs w:val="13"/>
                <w:color w:val="58595B"/>
                <w:w w:val="95"/>
              </w:rPr>
              <w:t>Number of</w:t>
            </w:r>
          </w:p>
        </w:tc>
        <w:tc>
          <w:tcPr>
            <w:tcW w:w="1320" w:type="dxa"/>
            <w:vAlign w:val="bottom"/>
            <w:shd w:val="clear" w:color="auto" w:fill="EFEDED"/>
          </w:tcPr>
          <w:p>
            <w:pPr>
              <w:jc w:val="center"/>
              <w:ind w:right="177"/>
              <w:spacing w:after="0"/>
              <w:rPr>
                <w:sz w:val="20"/>
                <w:szCs w:val="20"/>
                <w:color w:val="auto"/>
              </w:rPr>
            </w:pPr>
            <w:r>
              <w:rPr>
                <w:rFonts w:ascii="Arial" w:cs="Arial" w:eastAsia="Arial" w:hAnsi="Arial"/>
                <w:sz w:val="13"/>
                <w:szCs w:val="13"/>
                <w:color w:val="58595B"/>
                <w:w w:val="98"/>
              </w:rPr>
              <w:t>Payout</w:t>
            </w:r>
          </w:p>
        </w:tc>
      </w:tr>
      <w:tr>
        <w:trPr>
          <w:trHeight w:val="148"/>
        </w:trPr>
        <w:tc>
          <w:tcPr>
            <w:tcW w:w="2500" w:type="dxa"/>
            <w:vAlign w:val="bottom"/>
            <w:shd w:val="clear" w:color="auto" w:fill="EFEDED"/>
          </w:tcPr>
          <w:p>
            <w:pPr>
              <w:spacing w:after="0"/>
              <w:rPr>
                <w:sz w:val="12"/>
                <w:szCs w:val="12"/>
                <w:color w:val="auto"/>
              </w:rPr>
            </w:pPr>
          </w:p>
        </w:tc>
        <w:tc>
          <w:tcPr>
            <w:tcW w:w="1060" w:type="dxa"/>
            <w:vAlign w:val="bottom"/>
            <w:shd w:val="clear" w:color="auto" w:fill="EFEDED"/>
          </w:tcPr>
          <w:p>
            <w:pPr>
              <w:spacing w:after="0"/>
              <w:rPr>
                <w:sz w:val="12"/>
                <w:szCs w:val="12"/>
                <w:color w:val="auto"/>
              </w:rPr>
            </w:pPr>
          </w:p>
        </w:tc>
        <w:tc>
          <w:tcPr>
            <w:tcW w:w="1420" w:type="dxa"/>
            <w:vAlign w:val="bottom"/>
            <w:shd w:val="clear" w:color="auto" w:fill="EFEDED"/>
          </w:tcPr>
          <w:p>
            <w:pPr>
              <w:jc w:val="center"/>
              <w:ind w:right="37"/>
              <w:spacing w:after="0"/>
              <w:rPr>
                <w:sz w:val="20"/>
                <w:szCs w:val="20"/>
                <w:color w:val="auto"/>
              </w:rPr>
            </w:pPr>
            <w:r>
              <w:rPr>
                <w:rFonts w:ascii="Arial" w:cs="Arial" w:eastAsia="Arial" w:hAnsi="Arial"/>
                <w:sz w:val="13"/>
                <w:szCs w:val="13"/>
                <w:color w:val="58595B"/>
                <w:w w:val="98"/>
              </w:rPr>
              <w:t>Number of</w:t>
            </w:r>
          </w:p>
        </w:tc>
        <w:tc>
          <w:tcPr>
            <w:tcW w:w="640" w:type="dxa"/>
            <w:vAlign w:val="bottom"/>
            <w:shd w:val="clear" w:color="auto" w:fill="EFEDED"/>
          </w:tcPr>
          <w:p>
            <w:pPr>
              <w:spacing w:after="0"/>
              <w:rPr>
                <w:sz w:val="12"/>
                <w:szCs w:val="12"/>
                <w:color w:val="auto"/>
              </w:rPr>
            </w:pPr>
          </w:p>
        </w:tc>
        <w:tc>
          <w:tcPr>
            <w:tcW w:w="980" w:type="dxa"/>
            <w:vAlign w:val="bottom"/>
            <w:tcBorders>
              <w:right w:val="single" w:sz="8" w:color="EFEDED"/>
            </w:tcBorders>
            <w:shd w:val="clear" w:color="auto" w:fill="EFEDED"/>
          </w:tcPr>
          <w:p>
            <w:pPr>
              <w:spacing w:after="0"/>
              <w:rPr>
                <w:sz w:val="12"/>
                <w:szCs w:val="12"/>
                <w:color w:val="auto"/>
              </w:rPr>
            </w:pPr>
          </w:p>
        </w:tc>
        <w:tc>
          <w:tcPr>
            <w:tcW w:w="1120" w:type="dxa"/>
            <w:vAlign w:val="bottom"/>
            <w:shd w:val="clear" w:color="auto" w:fill="EFEDED"/>
          </w:tcPr>
          <w:p>
            <w:pPr>
              <w:spacing w:after="0"/>
              <w:rPr>
                <w:sz w:val="12"/>
                <w:szCs w:val="12"/>
                <w:color w:val="auto"/>
              </w:rPr>
            </w:pPr>
          </w:p>
        </w:tc>
        <w:tc>
          <w:tcPr>
            <w:tcW w:w="1120" w:type="dxa"/>
            <w:vAlign w:val="bottom"/>
            <w:shd w:val="clear" w:color="auto" w:fill="EFEDED"/>
          </w:tcPr>
          <w:p>
            <w:pPr>
              <w:jc w:val="center"/>
              <w:ind w:right="77"/>
              <w:spacing w:after="0"/>
              <w:rPr>
                <w:sz w:val="20"/>
                <w:szCs w:val="20"/>
                <w:color w:val="auto"/>
              </w:rPr>
            </w:pPr>
            <w:r>
              <w:rPr>
                <w:rFonts w:ascii="Arial" w:cs="Arial" w:eastAsia="Arial" w:hAnsi="Arial"/>
                <w:sz w:val="13"/>
                <w:szCs w:val="13"/>
                <w:color w:val="58595B"/>
                <w:w w:val="95"/>
              </w:rPr>
              <w:t>Market</w:t>
            </w:r>
          </w:p>
        </w:tc>
        <w:tc>
          <w:tcPr>
            <w:tcW w:w="108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8"/>
              </w:rPr>
              <w:t>Unearned</w:t>
            </w:r>
          </w:p>
        </w:tc>
        <w:tc>
          <w:tcPr>
            <w:tcW w:w="1320" w:type="dxa"/>
            <w:vAlign w:val="bottom"/>
            <w:shd w:val="clear" w:color="auto" w:fill="EFEDED"/>
          </w:tcPr>
          <w:p>
            <w:pPr>
              <w:jc w:val="center"/>
              <w:ind w:right="177"/>
              <w:spacing w:after="0"/>
              <w:rPr>
                <w:sz w:val="20"/>
                <w:szCs w:val="20"/>
                <w:color w:val="auto"/>
              </w:rPr>
            </w:pPr>
            <w:r>
              <w:rPr>
                <w:rFonts w:ascii="Arial" w:cs="Arial" w:eastAsia="Arial" w:hAnsi="Arial"/>
                <w:sz w:val="13"/>
                <w:szCs w:val="13"/>
                <w:color w:val="58595B"/>
                <w:w w:val="92"/>
              </w:rPr>
              <w:t>Value of</w:t>
            </w:r>
          </w:p>
        </w:tc>
      </w:tr>
      <w:tr>
        <w:trPr>
          <w:trHeight w:val="148"/>
        </w:trPr>
        <w:tc>
          <w:tcPr>
            <w:tcW w:w="250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Number of</w:t>
            </w:r>
          </w:p>
        </w:tc>
        <w:tc>
          <w:tcPr>
            <w:tcW w:w="1420" w:type="dxa"/>
            <w:vAlign w:val="bottom"/>
            <w:shd w:val="clear" w:color="auto" w:fill="EFEDED"/>
          </w:tcPr>
          <w:p>
            <w:pPr>
              <w:jc w:val="center"/>
              <w:ind w:right="37"/>
              <w:spacing w:after="0"/>
              <w:rPr>
                <w:sz w:val="20"/>
                <w:szCs w:val="20"/>
                <w:color w:val="auto"/>
              </w:rPr>
            </w:pPr>
            <w:r>
              <w:rPr>
                <w:rFonts w:ascii="Arial" w:cs="Arial" w:eastAsia="Arial" w:hAnsi="Arial"/>
                <w:sz w:val="13"/>
                <w:szCs w:val="13"/>
                <w:color w:val="58595B"/>
                <w:w w:val="98"/>
              </w:rPr>
              <w:t>Securities</w:t>
            </w:r>
          </w:p>
        </w:tc>
        <w:tc>
          <w:tcPr>
            <w:tcW w:w="640" w:type="dxa"/>
            <w:vAlign w:val="bottom"/>
            <w:shd w:val="clear" w:color="auto" w:fill="EFEDED"/>
          </w:tcPr>
          <w:p>
            <w:pPr>
              <w:spacing w:after="0"/>
              <w:rPr>
                <w:sz w:val="12"/>
                <w:szCs w:val="12"/>
                <w:color w:val="auto"/>
              </w:rPr>
            </w:pPr>
          </w:p>
        </w:tc>
        <w:tc>
          <w:tcPr>
            <w:tcW w:w="980" w:type="dxa"/>
            <w:vAlign w:val="bottom"/>
            <w:tcBorders>
              <w:right w:val="single" w:sz="8" w:color="EFEDED"/>
            </w:tcBorders>
            <w:shd w:val="clear" w:color="auto" w:fill="EFEDED"/>
          </w:tcPr>
          <w:p>
            <w:pPr>
              <w:spacing w:after="0"/>
              <w:rPr>
                <w:sz w:val="12"/>
                <w:szCs w:val="12"/>
                <w:color w:val="auto"/>
              </w:rPr>
            </w:pPr>
          </w:p>
        </w:tc>
        <w:tc>
          <w:tcPr>
            <w:tcW w:w="1120" w:type="dxa"/>
            <w:vAlign w:val="bottom"/>
            <w:shd w:val="clear" w:color="auto" w:fill="EFEDED"/>
          </w:tcPr>
          <w:p>
            <w:pPr>
              <w:jc w:val="center"/>
              <w:ind w:right="57"/>
              <w:spacing w:after="0"/>
              <w:rPr>
                <w:sz w:val="20"/>
                <w:szCs w:val="20"/>
                <w:color w:val="auto"/>
              </w:rPr>
            </w:pPr>
            <w:r>
              <w:rPr>
                <w:rFonts w:ascii="Arial" w:cs="Arial" w:eastAsia="Arial" w:hAnsi="Arial"/>
                <w:sz w:val="13"/>
                <w:szCs w:val="13"/>
                <w:color w:val="58595B"/>
                <w:w w:val="98"/>
              </w:rPr>
              <w:t>Number of</w:t>
            </w:r>
          </w:p>
        </w:tc>
        <w:tc>
          <w:tcPr>
            <w:tcW w:w="112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2"/>
              </w:rPr>
              <w:t>Value of</w:t>
            </w:r>
          </w:p>
        </w:tc>
        <w:tc>
          <w:tcPr>
            <w:tcW w:w="108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8"/>
              </w:rPr>
              <w:t>Shares,</w:t>
            </w:r>
          </w:p>
        </w:tc>
        <w:tc>
          <w:tcPr>
            <w:tcW w:w="1320" w:type="dxa"/>
            <w:vAlign w:val="bottom"/>
            <w:shd w:val="clear" w:color="auto" w:fill="EFEDED"/>
          </w:tcPr>
          <w:p>
            <w:pPr>
              <w:jc w:val="center"/>
              <w:ind w:right="177"/>
              <w:spacing w:after="0"/>
              <w:rPr>
                <w:sz w:val="20"/>
                <w:szCs w:val="20"/>
                <w:color w:val="auto"/>
              </w:rPr>
            </w:pPr>
            <w:r>
              <w:rPr>
                <w:rFonts w:ascii="Arial" w:cs="Arial" w:eastAsia="Arial" w:hAnsi="Arial"/>
                <w:sz w:val="13"/>
                <w:szCs w:val="13"/>
                <w:color w:val="58595B"/>
                <w:w w:val="98"/>
              </w:rPr>
              <w:t>Unearned</w:t>
            </w:r>
          </w:p>
        </w:tc>
      </w:tr>
      <w:tr>
        <w:trPr>
          <w:trHeight w:val="148"/>
        </w:trPr>
        <w:tc>
          <w:tcPr>
            <w:tcW w:w="250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Securities</w:t>
            </w:r>
          </w:p>
        </w:tc>
        <w:tc>
          <w:tcPr>
            <w:tcW w:w="1420" w:type="dxa"/>
            <w:vAlign w:val="bottom"/>
            <w:shd w:val="clear" w:color="auto" w:fill="EFEDED"/>
          </w:tcPr>
          <w:p>
            <w:pPr>
              <w:jc w:val="center"/>
              <w:ind w:right="37"/>
              <w:spacing w:after="0"/>
              <w:rPr>
                <w:sz w:val="20"/>
                <w:szCs w:val="20"/>
                <w:color w:val="auto"/>
              </w:rPr>
            </w:pPr>
            <w:r>
              <w:rPr>
                <w:rFonts w:ascii="Arial" w:cs="Arial" w:eastAsia="Arial" w:hAnsi="Arial"/>
                <w:sz w:val="13"/>
                <w:szCs w:val="13"/>
                <w:color w:val="58595B"/>
                <w:w w:val="96"/>
              </w:rPr>
              <w:t>Underlying</w:t>
            </w:r>
          </w:p>
        </w:tc>
        <w:tc>
          <w:tcPr>
            <w:tcW w:w="640" w:type="dxa"/>
            <w:vAlign w:val="bottom"/>
            <w:shd w:val="clear" w:color="auto" w:fill="EFEDED"/>
          </w:tcPr>
          <w:p>
            <w:pPr>
              <w:spacing w:after="0"/>
              <w:rPr>
                <w:sz w:val="12"/>
                <w:szCs w:val="12"/>
                <w:color w:val="auto"/>
              </w:rPr>
            </w:pPr>
          </w:p>
        </w:tc>
        <w:tc>
          <w:tcPr>
            <w:tcW w:w="980" w:type="dxa"/>
            <w:vAlign w:val="bottom"/>
            <w:tcBorders>
              <w:right w:val="single" w:sz="8" w:color="EFEDED"/>
            </w:tcBorders>
            <w:shd w:val="clear" w:color="auto" w:fill="EFEDED"/>
          </w:tcPr>
          <w:p>
            <w:pPr>
              <w:spacing w:after="0"/>
              <w:rPr>
                <w:sz w:val="12"/>
                <w:szCs w:val="12"/>
                <w:color w:val="auto"/>
              </w:rPr>
            </w:pPr>
          </w:p>
        </w:tc>
        <w:tc>
          <w:tcPr>
            <w:tcW w:w="1120" w:type="dxa"/>
            <w:vAlign w:val="bottom"/>
            <w:shd w:val="clear" w:color="auto" w:fill="EFEDED"/>
          </w:tcPr>
          <w:p>
            <w:pPr>
              <w:jc w:val="center"/>
              <w:ind w:right="57"/>
              <w:spacing w:after="0"/>
              <w:rPr>
                <w:sz w:val="20"/>
                <w:szCs w:val="20"/>
                <w:color w:val="auto"/>
              </w:rPr>
            </w:pPr>
            <w:r>
              <w:rPr>
                <w:rFonts w:ascii="Arial" w:cs="Arial" w:eastAsia="Arial" w:hAnsi="Arial"/>
                <w:sz w:val="13"/>
                <w:szCs w:val="13"/>
                <w:color w:val="58595B"/>
                <w:w w:val="99"/>
              </w:rPr>
              <w:t>Shares or</w:t>
            </w:r>
          </w:p>
        </w:tc>
        <w:tc>
          <w:tcPr>
            <w:tcW w:w="112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9"/>
              </w:rPr>
              <w:t>Shares or</w:t>
            </w:r>
          </w:p>
        </w:tc>
        <w:tc>
          <w:tcPr>
            <w:tcW w:w="108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4"/>
              </w:rPr>
              <w:t>Units</w:t>
            </w:r>
          </w:p>
        </w:tc>
        <w:tc>
          <w:tcPr>
            <w:tcW w:w="1320" w:type="dxa"/>
            <w:vAlign w:val="bottom"/>
            <w:shd w:val="clear" w:color="auto" w:fill="EFEDED"/>
          </w:tcPr>
          <w:p>
            <w:pPr>
              <w:jc w:val="center"/>
              <w:ind w:right="177"/>
              <w:spacing w:after="0"/>
              <w:rPr>
                <w:sz w:val="20"/>
                <w:szCs w:val="20"/>
                <w:color w:val="auto"/>
              </w:rPr>
            </w:pPr>
            <w:r>
              <w:rPr>
                <w:rFonts w:ascii="Arial" w:cs="Arial" w:eastAsia="Arial" w:hAnsi="Arial"/>
                <w:sz w:val="13"/>
                <w:szCs w:val="13"/>
                <w:color w:val="58595B"/>
                <w:w w:val="97"/>
              </w:rPr>
              <w:t>Shares, Units</w:t>
            </w:r>
          </w:p>
        </w:tc>
      </w:tr>
      <w:tr>
        <w:trPr>
          <w:trHeight w:val="162"/>
        </w:trPr>
        <w:tc>
          <w:tcPr>
            <w:tcW w:w="2500" w:type="dxa"/>
            <w:vAlign w:val="bottom"/>
            <w:shd w:val="clear" w:color="auto" w:fill="EFEDED"/>
          </w:tcPr>
          <w:p>
            <w:pPr>
              <w:spacing w:after="0"/>
              <w:rPr>
                <w:sz w:val="14"/>
                <w:szCs w:val="14"/>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Underlying</w:t>
            </w:r>
          </w:p>
        </w:tc>
        <w:tc>
          <w:tcPr>
            <w:tcW w:w="1420" w:type="dxa"/>
            <w:vAlign w:val="bottom"/>
            <w:shd w:val="clear" w:color="auto" w:fill="EFEDED"/>
          </w:tcPr>
          <w:p>
            <w:pPr>
              <w:jc w:val="center"/>
              <w:ind w:right="17"/>
              <w:spacing w:after="0"/>
              <w:rPr>
                <w:sz w:val="20"/>
                <w:szCs w:val="20"/>
                <w:color w:val="auto"/>
              </w:rPr>
            </w:pPr>
            <w:r>
              <w:rPr>
                <w:rFonts w:ascii="Arial" w:cs="Arial" w:eastAsia="Arial" w:hAnsi="Arial"/>
                <w:sz w:val="13"/>
                <w:szCs w:val="13"/>
                <w:color w:val="58595B"/>
                <w:w w:val="96"/>
              </w:rPr>
              <w:t>Unexercised</w:t>
            </w:r>
          </w:p>
        </w:tc>
        <w:tc>
          <w:tcPr>
            <w:tcW w:w="640" w:type="dxa"/>
            <w:vAlign w:val="bottom"/>
            <w:shd w:val="clear" w:color="auto" w:fill="EFEDED"/>
          </w:tcPr>
          <w:p>
            <w:pPr>
              <w:spacing w:after="0"/>
              <w:rPr>
                <w:sz w:val="14"/>
                <w:szCs w:val="14"/>
                <w:color w:val="auto"/>
              </w:rPr>
            </w:pPr>
          </w:p>
        </w:tc>
        <w:tc>
          <w:tcPr>
            <w:tcW w:w="980" w:type="dxa"/>
            <w:vAlign w:val="bottom"/>
            <w:tcBorders>
              <w:right w:val="single" w:sz="8" w:color="EFEDED"/>
            </w:tcBorders>
            <w:shd w:val="clear" w:color="auto" w:fill="EFEDED"/>
          </w:tcPr>
          <w:p>
            <w:pPr>
              <w:spacing w:after="0"/>
              <w:rPr>
                <w:sz w:val="14"/>
                <w:szCs w:val="14"/>
                <w:color w:val="auto"/>
              </w:rPr>
            </w:pPr>
          </w:p>
        </w:tc>
        <w:tc>
          <w:tcPr>
            <w:tcW w:w="1120" w:type="dxa"/>
            <w:vAlign w:val="bottom"/>
            <w:shd w:val="clear" w:color="auto" w:fill="EFEDED"/>
          </w:tcPr>
          <w:p>
            <w:pPr>
              <w:jc w:val="center"/>
              <w:ind w:right="57"/>
              <w:spacing w:after="0"/>
              <w:rPr>
                <w:sz w:val="20"/>
                <w:szCs w:val="20"/>
                <w:color w:val="auto"/>
              </w:rPr>
            </w:pPr>
            <w:r>
              <w:rPr>
                <w:rFonts w:ascii="Arial" w:cs="Arial" w:eastAsia="Arial" w:hAnsi="Arial"/>
                <w:sz w:val="13"/>
                <w:szCs w:val="13"/>
                <w:color w:val="58595B"/>
                <w:w w:val="99"/>
              </w:rPr>
              <w:t>Units of</w:t>
            </w:r>
          </w:p>
        </w:tc>
        <w:tc>
          <w:tcPr>
            <w:tcW w:w="112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9"/>
              </w:rPr>
              <w:t>Units of</w:t>
            </w:r>
          </w:p>
        </w:tc>
        <w:tc>
          <w:tcPr>
            <w:tcW w:w="1080" w:type="dxa"/>
            <w:vAlign w:val="bottom"/>
            <w:shd w:val="clear" w:color="auto" w:fill="EFEDED"/>
          </w:tcPr>
          <w:p>
            <w:pPr>
              <w:jc w:val="center"/>
              <w:ind w:right="117"/>
              <w:spacing w:after="0"/>
              <w:rPr>
                <w:sz w:val="20"/>
                <w:szCs w:val="20"/>
                <w:color w:val="auto"/>
              </w:rPr>
            </w:pPr>
            <w:r>
              <w:rPr>
                <w:rFonts w:ascii="Arial" w:cs="Arial" w:eastAsia="Arial" w:hAnsi="Arial"/>
                <w:sz w:val="13"/>
                <w:szCs w:val="13"/>
                <w:color w:val="58595B"/>
                <w:w w:val="96"/>
              </w:rPr>
              <w:t>or Other</w:t>
            </w:r>
          </w:p>
        </w:tc>
        <w:tc>
          <w:tcPr>
            <w:tcW w:w="1320" w:type="dxa"/>
            <w:vAlign w:val="bottom"/>
            <w:shd w:val="clear" w:color="auto" w:fill="EFEDED"/>
          </w:tcPr>
          <w:p>
            <w:pPr>
              <w:jc w:val="center"/>
              <w:ind w:right="197"/>
              <w:spacing w:after="0"/>
              <w:rPr>
                <w:sz w:val="20"/>
                <w:szCs w:val="20"/>
                <w:color w:val="auto"/>
              </w:rPr>
            </w:pPr>
            <w:r>
              <w:rPr>
                <w:rFonts w:ascii="Arial" w:cs="Arial" w:eastAsia="Arial" w:hAnsi="Arial"/>
                <w:sz w:val="13"/>
                <w:szCs w:val="13"/>
                <w:color w:val="58595B"/>
                <w:w w:val="96"/>
              </w:rPr>
              <w:t>or Other</w:t>
            </w:r>
          </w:p>
        </w:tc>
      </w:tr>
      <w:tr>
        <w:trPr>
          <w:trHeight w:val="148"/>
        </w:trPr>
        <w:tc>
          <w:tcPr>
            <w:tcW w:w="250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Unexercised</w:t>
            </w:r>
          </w:p>
        </w:tc>
        <w:tc>
          <w:tcPr>
            <w:tcW w:w="1420" w:type="dxa"/>
            <w:vAlign w:val="bottom"/>
            <w:shd w:val="clear" w:color="auto" w:fill="EFEDED"/>
          </w:tcPr>
          <w:p>
            <w:pPr>
              <w:jc w:val="center"/>
              <w:ind w:right="37"/>
              <w:spacing w:after="0"/>
              <w:rPr>
                <w:sz w:val="20"/>
                <w:szCs w:val="20"/>
                <w:color w:val="auto"/>
              </w:rPr>
            </w:pPr>
            <w:r>
              <w:rPr>
                <w:rFonts w:ascii="Arial" w:cs="Arial" w:eastAsia="Arial" w:hAnsi="Arial"/>
                <w:sz w:val="13"/>
                <w:szCs w:val="13"/>
                <w:color w:val="58595B"/>
                <w:w w:val="98"/>
              </w:rPr>
              <w:t>Options</w:t>
            </w:r>
          </w:p>
        </w:tc>
        <w:tc>
          <w:tcPr>
            <w:tcW w:w="640" w:type="dxa"/>
            <w:vAlign w:val="bottom"/>
            <w:shd w:val="clear" w:color="auto" w:fill="EFEDED"/>
          </w:tcPr>
          <w:p>
            <w:pPr>
              <w:jc w:val="center"/>
              <w:ind w:right="57"/>
              <w:spacing w:after="0"/>
              <w:rPr>
                <w:sz w:val="20"/>
                <w:szCs w:val="20"/>
                <w:color w:val="auto"/>
              </w:rPr>
            </w:pPr>
            <w:r>
              <w:rPr>
                <w:rFonts w:ascii="Arial" w:cs="Arial" w:eastAsia="Arial" w:hAnsi="Arial"/>
                <w:sz w:val="13"/>
                <w:szCs w:val="13"/>
                <w:color w:val="58595B"/>
                <w:w w:val="93"/>
              </w:rPr>
              <w:t>Option</w:t>
            </w:r>
          </w:p>
        </w:tc>
        <w:tc>
          <w:tcPr>
            <w:tcW w:w="980" w:type="dxa"/>
            <w:vAlign w:val="bottom"/>
            <w:tcBorders>
              <w:right w:val="single" w:sz="8" w:color="EFEDED"/>
            </w:tcBorders>
            <w:shd w:val="clear" w:color="auto" w:fill="EFEDED"/>
          </w:tcPr>
          <w:p>
            <w:pPr>
              <w:spacing w:after="0"/>
              <w:rPr>
                <w:sz w:val="12"/>
                <w:szCs w:val="12"/>
                <w:color w:val="auto"/>
              </w:rPr>
            </w:pPr>
          </w:p>
        </w:tc>
        <w:tc>
          <w:tcPr>
            <w:tcW w:w="1120" w:type="dxa"/>
            <w:vAlign w:val="bottom"/>
            <w:shd w:val="clear" w:color="auto" w:fill="EFEDED"/>
          </w:tcPr>
          <w:p>
            <w:pPr>
              <w:jc w:val="center"/>
              <w:ind w:right="57"/>
              <w:spacing w:after="0"/>
              <w:rPr>
                <w:sz w:val="20"/>
                <w:szCs w:val="20"/>
                <w:color w:val="auto"/>
              </w:rPr>
            </w:pPr>
            <w:r>
              <w:rPr>
                <w:rFonts w:ascii="Arial" w:cs="Arial" w:eastAsia="Arial" w:hAnsi="Arial"/>
                <w:sz w:val="13"/>
                <w:szCs w:val="13"/>
                <w:color w:val="58595B"/>
                <w:w w:val="96"/>
              </w:rPr>
              <w:t>Stock That</w:t>
            </w:r>
          </w:p>
        </w:tc>
        <w:tc>
          <w:tcPr>
            <w:tcW w:w="112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8"/>
              </w:rPr>
              <w:t>Stock</w:t>
            </w:r>
          </w:p>
        </w:tc>
        <w:tc>
          <w:tcPr>
            <w:tcW w:w="108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6"/>
              </w:rPr>
              <w:t>Rights That</w:t>
            </w:r>
          </w:p>
        </w:tc>
        <w:tc>
          <w:tcPr>
            <w:tcW w:w="1320" w:type="dxa"/>
            <w:vAlign w:val="bottom"/>
            <w:shd w:val="clear" w:color="auto" w:fill="EFEDED"/>
          </w:tcPr>
          <w:p>
            <w:pPr>
              <w:jc w:val="center"/>
              <w:ind w:right="177"/>
              <w:spacing w:after="0"/>
              <w:rPr>
                <w:sz w:val="20"/>
                <w:szCs w:val="20"/>
                <w:color w:val="auto"/>
              </w:rPr>
            </w:pPr>
            <w:r>
              <w:rPr>
                <w:rFonts w:ascii="Arial" w:cs="Arial" w:eastAsia="Arial" w:hAnsi="Arial"/>
                <w:sz w:val="13"/>
                <w:szCs w:val="13"/>
                <w:color w:val="58595B"/>
                <w:w w:val="96"/>
              </w:rPr>
              <w:t>Rights That</w:t>
            </w:r>
          </w:p>
        </w:tc>
      </w:tr>
      <w:tr>
        <w:trPr>
          <w:trHeight w:val="148"/>
        </w:trPr>
        <w:tc>
          <w:tcPr>
            <w:tcW w:w="250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Options</w:t>
            </w:r>
          </w:p>
        </w:tc>
        <w:tc>
          <w:tcPr>
            <w:tcW w:w="1420" w:type="dxa"/>
            <w:vAlign w:val="bottom"/>
            <w:shd w:val="clear" w:color="auto" w:fill="EFEDED"/>
          </w:tcPr>
          <w:p>
            <w:pPr>
              <w:jc w:val="center"/>
              <w:ind w:right="37"/>
              <w:spacing w:after="0"/>
              <w:rPr>
                <w:sz w:val="20"/>
                <w:szCs w:val="20"/>
                <w:color w:val="auto"/>
              </w:rPr>
            </w:pPr>
            <w:r>
              <w:rPr>
                <w:rFonts w:ascii="Arial" w:cs="Arial" w:eastAsia="Arial" w:hAnsi="Arial"/>
                <w:sz w:val="13"/>
                <w:szCs w:val="13"/>
                <w:color w:val="58595B"/>
              </w:rPr>
              <w:t>(#)</w:t>
            </w:r>
          </w:p>
        </w:tc>
        <w:tc>
          <w:tcPr>
            <w:tcW w:w="640" w:type="dxa"/>
            <w:vAlign w:val="bottom"/>
            <w:shd w:val="clear" w:color="auto" w:fill="EFEDED"/>
          </w:tcPr>
          <w:p>
            <w:pPr>
              <w:jc w:val="center"/>
              <w:ind w:right="57"/>
              <w:spacing w:after="0"/>
              <w:rPr>
                <w:sz w:val="20"/>
                <w:szCs w:val="20"/>
                <w:color w:val="auto"/>
              </w:rPr>
            </w:pPr>
            <w:r>
              <w:rPr>
                <w:rFonts w:ascii="Arial" w:cs="Arial" w:eastAsia="Arial" w:hAnsi="Arial"/>
                <w:sz w:val="13"/>
                <w:szCs w:val="13"/>
                <w:color w:val="58595B"/>
                <w:w w:val="96"/>
              </w:rPr>
              <w:t>Exercise</w:t>
            </w:r>
          </w:p>
        </w:tc>
        <w:tc>
          <w:tcPr>
            <w:tcW w:w="98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3"/>
              </w:rPr>
              <w:t>Option</w:t>
            </w:r>
          </w:p>
        </w:tc>
        <w:tc>
          <w:tcPr>
            <w:tcW w:w="1120" w:type="dxa"/>
            <w:vAlign w:val="bottom"/>
            <w:shd w:val="clear" w:color="auto" w:fill="EFEDED"/>
          </w:tcPr>
          <w:p>
            <w:pPr>
              <w:jc w:val="center"/>
              <w:ind w:right="57"/>
              <w:spacing w:after="0"/>
              <w:rPr>
                <w:sz w:val="20"/>
                <w:szCs w:val="20"/>
                <w:color w:val="auto"/>
              </w:rPr>
            </w:pPr>
            <w:r>
              <w:rPr>
                <w:rFonts w:ascii="Arial" w:cs="Arial" w:eastAsia="Arial" w:hAnsi="Arial"/>
                <w:sz w:val="13"/>
                <w:szCs w:val="13"/>
                <w:color w:val="58595B"/>
                <w:w w:val="95"/>
              </w:rPr>
              <w:t>Have Not</w:t>
            </w:r>
          </w:p>
        </w:tc>
        <w:tc>
          <w:tcPr>
            <w:tcW w:w="1120" w:type="dxa"/>
            <w:vAlign w:val="bottom"/>
            <w:shd w:val="clear" w:color="auto" w:fill="EFEDED"/>
          </w:tcPr>
          <w:p>
            <w:pPr>
              <w:jc w:val="center"/>
              <w:ind w:right="77"/>
              <w:spacing w:after="0"/>
              <w:rPr>
                <w:sz w:val="20"/>
                <w:szCs w:val="20"/>
                <w:color w:val="auto"/>
              </w:rPr>
            </w:pPr>
            <w:r>
              <w:rPr>
                <w:rFonts w:ascii="Arial" w:cs="Arial" w:eastAsia="Arial" w:hAnsi="Arial"/>
                <w:sz w:val="13"/>
                <w:szCs w:val="13"/>
                <w:color w:val="58595B"/>
                <w:w w:val="96"/>
              </w:rPr>
              <w:t>That Have</w:t>
            </w:r>
          </w:p>
        </w:tc>
        <w:tc>
          <w:tcPr>
            <w:tcW w:w="108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5"/>
              </w:rPr>
              <w:t>Have Not</w:t>
            </w:r>
          </w:p>
        </w:tc>
        <w:tc>
          <w:tcPr>
            <w:tcW w:w="1320" w:type="dxa"/>
            <w:vAlign w:val="bottom"/>
            <w:shd w:val="clear" w:color="auto" w:fill="EFEDED"/>
          </w:tcPr>
          <w:p>
            <w:pPr>
              <w:jc w:val="center"/>
              <w:ind w:right="177"/>
              <w:spacing w:after="0"/>
              <w:rPr>
                <w:sz w:val="20"/>
                <w:szCs w:val="20"/>
                <w:color w:val="auto"/>
              </w:rPr>
            </w:pPr>
            <w:r>
              <w:rPr>
                <w:rFonts w:ascii="Arial" w:cs="Arial" w:eastAsia="Arial" w:hAnsi="Arial"/>
                <w:sz w:val="13"/>
                <w:szCs w:val="13"/>
                <w:color w:val="58595B"/>
                <w:w w:val="95"/>
              </w:rPr>
              <w:t>Have Not</w:t>
            </w:r>
          </w:p>
        </w:tc>
      </w:tr>
      <w:tr>
        <w:trPr>
          <w:trHeight w:val="148"/>
        </w:trPr>
        <w:tc>
          <w:tcPr>
            <w:tcW w:w="2500" w:type="dxa"/>
            <w:vAlign w:val="bottom"/>
            <w:shd w:val="clear" w:color="auto" w:fill="EFEDED"/>
          </w:tcPr>
          <w:p>
            <w:pPr>
              <w:spacing w:after="0"/>
              <w:rPr>
                <w:sz w:val="12"/>
                <w:szCs w:val="12"/>
                <w:color w:val="auto"/>
              </w:rPr>
            </w:pP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420" w:type="dxa"/>
            <w:vAlign w:val="bottom"/>
            <w:shd w:val="clear" w:color="auto" w:fill="EFEDED"/>
          </w:tcPr>
          <w:p>
            <w:pPr>
              <w:jc w:val="center"/>
              <w:ind w:right="37"/>
              <w:spacing w:after="0"/>
              <w:rPr>
                <w:sz w:val="20"/>
                <w:szCs w:val="20"/>
                <w:color w:val="auto"/>
              </w:rPr>
            </w:pPr>
            <w:r>
              <w:rPr>
                <w:rFonts w:ascii="Arial" w:cs="Arial" w:eastAsia="Arial" w:hAnsi="Arial"/>
                <w:sz w:val="13"/>
                <w:szCs w:val="13"/>
                <w:color w:val="58595B"/>
                <w:w w:val="97"/>
              </w:rPr>
              <w:t>Unexercisable</w:t>
            </w:r>
          </w:p>
        </w:tc>
        <w:tc>
          <w:tcPr>
            <w:tcW w:w="640" w:type="dxa"/>
            <w:vAlign w:val="bottom"/>
            <w:shd w:val="clear" w:color="auto" w:fill="EFEDED"/>
          </w:tcPr>
          <w:p>
            <w:pPr>
              <w:jc w:val="center"/>
              <w:ind w:right="57"/>
              <w:spacing w:after="0"/>
              <w:rPr>
                <w:sz w:val="20"/>
                <w:szCs w:val="20"/>
                <w:color w:val="auto"/>
              </w:rPr>
            </w:pPr>
            <w:r>
              <w:rPr>
                <w:rFonts w:ascii="Arial" w:cs="Arial" w:eastAsia="Arial" w:hAnsi="Arial"/>
                <w:sz w:val="13"/>
                <w:szCs w:val="13"/>
                <w:color w:val="58595B"/>
                <w:w w:val="94"/>
              </w:rPr>
              <w:t>Price</w:t>
            </w:r>
          </w:p>
        </w:tc>
        <w:tc>
          <w:tcPr>
            <w:tcW w:w="98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Expiration</w:t>
            </w:r>
          </w:p>
        </w:tc>
        <w:tc>
          <w:tcPr>
            <w:tcW w:w="1120" w:type="dxa"/>
            <w:vAlign w:val="bottom"/>
            <w:shd w:val="clear" w:color="auto" w:fill="EFEDED"/>
          </w:tcPr>
          <w:p>
            <w:pPr>
              <w:jc w:val="center"/>
              <w:ind w:right="37"/>
              <w:spacing w:after="0"/>
              <w:rPr>
                <w:sz w:val="20"/>
                <w:szCs w:val="20"/>
                <w:color w:val="auto"/>
              </w:rPr>
            </w:pPr>
            <w:r>
              <w:rPr>
                <w:rFonts w:ascii="Arial" w:cs="Arial" w:eastAsia="Arial" w:hAnsi="Arial"/>
                <w:sz w:val="13"/>
                <w:szCs w:val="13"/>
                <w:color w:val="58595B"/>
                <w:w w:val="95"/>
              </w:rPr>
              <w:t>Vested(2)</w:t>
            </w:r>
          </w:p>
        </w:tc>
        <w:tc>
          <w:tcPr>
            <w:tcW w:w="1120" w:type="dxa"/>
            <w:vAlign w:val="bottom"/>
            <w:shd w:val="clear" w:color="auto" w:fill="EFEDED"/>
          </w:tcPr>
          <w:p>
            <w:pPr>
              <w:jc w:val="center"/>
              <w:ind w:right="77"/>
              <w:spacing w:after="0"/>
              <w:rPr>
                <w:sz w:val="20"/>
                <w:szCs w:val="20"/>
                <w:color w:val="auto"/>
              </w:rPr>
            </w:pPr>
            <w:r>
              <w:rPr>
                <w:rFonts w:ascii="Arial" w:cs="Arial" w:eastAsia="Arial" w:hAnsi="Arial"/>
                <w:sz w:val="13"/>
                <w:szCs w:val="13"/>
                <w:color w:val="58595B"/>
                <w:w w:val="96"/>
              </w:rPr>
              <w:t>Not Vested</w:t>
            </w:r>
          </w:p>
        </w:tc>
        <w:tc>
          <w:tcPr>
            <w:tcW w:w="1080" w:type="dxa"/>
            <w:vAlign w:val="bottom"/>
            <w:shd w:val="clear" w:color="auto" w:fill="EFEDED"/>
          </w:tcPr>
          <w:p>
            <w:pPr>
              <w:jc w:val="center"/>
              <w:ind w:right="117"/>
              <w:spacing w:after="0"/>
              <w:rPr>
                <w:sz w:val="20"/>
                <w:szCs w:val="20"/>
                <w:color w:val="auto"/>
              </w:rPr>
            </w:pPr>
            <w:r>
              <w:rPr>
                <w:rFonts w:ascii="Arial" w:cs="Arial" w:eastAsia="Arial" w:hAnsi="Arial"/>
                <w:sz w:val="13"/>
                <w:szCs w:val="13"/>
                <w:color w:val="58595B"/>
                <w:w w:val="95"/>
              </w:rPr>
              <w:t>Vested(3)</w:t>
            </w:r>
          </w:p>
        </w:tc>
        <w:tc>
          <w:tcPr>
            <w:tcW w:w="1320" w:type="dxa"/>
            <w:vAlign w:val="bottom"/>
            <w:shd w:val="clear" w:color="auto" w:fill="EFEDED"/>
          </w:tcPr>
          <w:p>
            <w:pPr>
              <w:jc w:val="center"/>
              <w:ind w:right="197"/>
              <w:spacing w:after="0"/>
              <w:rPr>
                <w:sz w:val="20"/>
                <w:szCs w:val="20"/>
                <w:color w:val="auto"/>
              </w:rPr>
            </w:pPr>
            <w:r>
              <w:rPr>
                <w:rFonts w:ascii="Arial" w:cs="Arial" w:eastAsia="Arial" w:hAnsi="Arial"/>
                <w:sz w:val="13"/>
                <w:szCs w:val="13"/>
                <w:color w:val="58595B"/>
                <w:w w:val="93"/>
              </w:rPr>
              <w:t>Vested</w:t>
            </w:r>
          </w:p>
        </w:tc>
      </w:tr>
      <w:tr>
        <w:trPr>
          <w:trHeight w:val="148"/>
        </w:trPr>
        <w:tc>
          <w:tcPr>
            <w:tcW w:w="2500" w:type="dxa"/>
            <w:vAlign w:val="bottom"/>
            <w:shd w:val="clear" w:color="auto" w:fill="EFEDED"/>
          </w:tcPr>
          <w:p>
            <w:pPr>
              <w:ind w:left="140"/>
              <w:spacing w:after="0"/>
              <w:rPr>
                <w:sz w:val="20"/>
                <w:szCs w:val="20"/>
                <w:color w:val="auto"/>
              </w:rPr>
            </w:pPr>
            <w:r>
              <w:rPr>
                <w:rFonts w:ascii="Arial" w:cs="Arial" w:eastAsia="Arial" w:hAnsi="Arial"/>
                <w:sz w:val="13"/>
                <w:szCs w:val="13"/>
                <w:color w:val="58595B"/>
              </w:rPr>
              <w:t>Name</w:t>
            </w:r>
          </w:p>
        </w:tc>
        <w:tc>
          <w:tcPr>
            <w:tcW w:w="10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Exercisable</w:t>
            </w:r>
          </w:p>
        </w:tc>
        <w:tc>
          <w:tcPr>
            <w:tcW w:w="1420" w:type="dxa"/>
            <w:vAlign w:val="bottom"/>
            <w:shd w:val="clear" w:color="auto" w:fill="EFEDED"/>
          </w:tcPr>
          <w:p>
            <w:pPr>
              <w:jc w:val="center"/>
              <w:ind w:right="37"/>
              <w:spacing w:after="0"/>
              <w:rPr>
                <w:sz w:val="20"/>
                <w:szCs w:val="20"/>
                <w:color w:val="auto"/>
              </w:rPr>
            </w:pPr>
            <w:r>
              <w:rPr>
                <w:rFonts w:ascii="Arial" w:cs="Arial" w:eastAsia="Arial" w:hAnsi="Arial"/>
                <w:sz w:val="13"/>
                <w:szCs w:val="13"/>
                <w:color w:val="58595B"/>
              </w:rPr>
              <w:t>(1)</w:t>
            </w:r>
          </w:p>
        </w:tc>
        <w:tc>
          <w:tcPr>
            <w:tcW w:w="640" w:type="dxa"/>
            <w:vAlign w:val="bottom"/>
            <w:shd w:val="clear" w:color="auto" w:fill="EFEDED"/>
          </w:tcPr>
          <w:p>
            <w:pPr>
              <w:jc w:val="center"/>
              <w:ind w:right="57"/>
              <w:spacing w:after="0"/>
              <w:rPr>
                <w:sz w:val="20"/>
                <w:szCs w:val="20"/>
                <w:color w:val="auto"/>
              </w:rPr>
            </w:pPr>
            <w:r>
              <w:rPr>
                <w:rFonts w:ascii="Arial" w:cs="Arial" w:eastAsia="Arial" w:hAnsi="Arial"/>
                <w:sz w:val="13"/>
                <w:szCs w:val="13"/>
                <w:color w:val="58595B"/>
              </w:rPr>
              <w:t>($)</w:t>
            </w:r>
          </w:p>
        </w:tc>
        <w:tc>
          <w:tcPr>
            <w:tcW w:w="98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4"/>
              </w:rPr>
              <w:t>Date</w:t>
            </w:r>
          </w:p>
        </w:tc>
        <w:tc>
          <w:tcPr>
            <w:tcW w:w="112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2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rPr>
              <w:t>($)</w:t>
            </w:r>
          </w:p>
        </w:tc>
        <w:tc>
          <w:tcPr>
            <w:tcW w:w="108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320" w:type="dxa"/>
            <w:vAlign w:val="bottom"/>
            <w:shd w:val="clear" w:color="auto" w:fill="EFEDED"/>
          </w:tcPr>
          <w:p>
            <w:pPr>
              <w:jc w:val="center"/>
              <w:ind w:right="177"/>
              <w:spacing w:after="0"/>
              <w:rPr>
                <w:sz w:val="20"/>
                <w:szCs w:val="20"/>
                <w:color w:val="auto"/>
              </w:rPr>
            </w:pPr>
            <w:r>
              <w:rPr>
                <w:rFonts w:ascii="Arial" w:cs="Arial" w:eastAsia="Arial" w:hAnsi="Arial"/>
                <w:sz w:val="13"/>
                <w:szCs w:val="13"/>
                <w:color w:val="58595B"/>
              </w:rPr>
              <w:t>($)</w:t>
            </w:r>
          </w:p>
        </w:tc>
      </w:tr>
      <w:tr>
        <w:trPr>
          <w:trHeight w:val="187"/>
        </w:trPr>
        <w:tc>
          <w:tcPr>
            <w:tcW w:w="250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(a)</w:t>
            </w:r>
          </w:p>
        </w:tc>
        <w:tc>
          <w:tcPr>
            <w:tcW w:w="10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(b)</w:t>
            </w:r>
          </w:p>
        </w:tc>
        <w:tc>
          <w:tcPr>
            <w:tcW w:w="1420" w:type="dxa"/>
            <w:vAlign w:val="bottom"/>
            <w:tcBorders>
              <w:bottom w:val="single" w:sz="8" w:color="EFEDED"/>
            </w:tcBorders>
            <w:shd w:val="clear" w:color="auto" w:fill="EFEDED"/>
          </w:tcPr>
          <w:p>
            <w:pPr>
              <w:jc w:val="center"/>
              <w:ind w:right="37"/>
              <w:spacing w:after="0"/>
              <w:rPr>
                <w:sz w:val="20"/>
                <w:szCs w:val="20"/>
                <w:color w:val="auto"/>
              </w:rPr>
            </w:pPr>
            <w:r>
              <w:rPr>
                <w:rFonts w:ascii="Arial" w:cs="Arial" w:eastAsia="Arial" w:hAnsi="Arial"/>
                <w:sz w:val="13"/>
                <w:szCs w:val="13"/>
                <w:color w:val="58595B"/>
              </w:rPr>
              <w:t>(c)</w:t>
            </w:r>
          </w:p>
        </w:tc>
        <w:tc>
          <w:tcPr>
            <w:tcW w:w="640" w:type="dxa"/>
            <w:vAlign w:val="bottom"/>
            <w:tcBorders>
              <w:bottom w:val="single" w:sz="8" w:color="EFEDED"/>
            </w:tcBorders>
            <w:shd w:val="clear" w:color="auto" w:fill="EFEDED"/>
          </w:tcPr>
          <w:p>
            <w:pPr>
              <w:jc w:val="center"/>
              <w:ind w:right="57"/>
              <w:spacing w:after="0"/>
              <w:rPr>
                <w:sz w:val="20"/>
                <w:szCs w:val="20"/>
                <w:color w:val="auto"/>
              </w:rPr>
            </w:pPr>
            <w:r>
              <w:rPr>
                <w:rFonts w:ascii="Arial" w:cs="Arial" w:eastAsia="Arial" w:hAnsi="Arial"/>
                <w:sz w:val="13"/>
                <w:szCs w:val="13"/>
                <w:color w:val="58595B"/>
              </w:rPr>
              <w:t>(e)</w:t>
            </w:r>
          </w:p>
        </w:tc>
        <w:tc>
          <w:tcPr>
            <w:tcW w:w="980" w:type="dxa"/>
            <w:vAlign w:val="bottom"/>
            <w:tcBorders>
              <w:bottom w:val="single" w:sz="8" w:color="EFEDED"/>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7"/>
              </w:rPr>
              <w:t>(f)</w:t>
            </w:r>
          </w:p>
        </w:tc>
        <w:tc>
          <w:tcPr>
            <w:tcW w:w="1120" w:type="dxa"/>
            <w:vAlign w:val="bottom"/>
            <w:tcBorders>
              <w:bottom w:val="single" w:sz="8" w:color="EFEDED"/>
            </w:tcBorders>
            <w:shd w:val="clear" w:color="auto" w:fill="EFEDED"/>
          </w:tcPr>
          <w:p>
            <w:pPr>
              <w:jc w:val="center"/>
              <w:ind w:right="57"/>
              <w:spacing w:after="0"/>
              <w:rPr>
                <w:sz w:val="20"/>
                <w:szCs w:val="20"/>
                <w:color w:val="auto"/>
              </w:rPr>
            </w:pPr>
            <w:r>
              <w:rPr>
                <w:rFonts w:ascii="Arial" w:cs="Arial" w:eastAsia="Arial" w:hAnsi="Arial"/>
                <w:sz w:val="13"/>
                <w:szCs w:val="13"/>
                <w:color w:val="58595B"/>
              </w:rPr>
              <w:t>(g)</w:t>
            </w:r>
          </w:p>
        </w:tc>
        <w:tc>
          <w:tcPr>
            <w:tcW w:w="1120" w:type="dxa"/>
            <w:vAlign w:val="bottom"/>
            <w:tcBorders>
              <w:bottom w:val="single" w:sz="8" w:color="EFEDED"/>
            </w:tcBorders>
            <w:shd w:val="clear" w:color="auto" w:fill="EFEDED"/>
          </w:tcPr>
          <w:p>
            <w:pPr>
              <w:jc w:val="center"/>
              <w:ind w:right="97"/>
              <w:spacing w:after="0"/>
              <w:rPr>
                <w:sz w:val="20"/>
                <w:szCs w:val="20"/>
                <w:color w:val="auto"/>
              </w:rPr>
            </w:pPr>
            <w:r>
              <w:rPr>
                <w:rFonts w:ascii="Arial" w:cs="Arial" w:eastAsia="Arial" w:hAnsi="Arial"/>
                <w:sz w:val="13"/>
                <w:szCs w:val="13"/>
                <w:color w:val="58595B"/>
              </w:rPr>
              <w:t>(h)</w:t>
            </w:r>
          </w:p>
        </w:tc>
        <w:tc>
          <w:tcPr>
            <w:tcW w:w="1080" w:type="dxa"/>
            <w:vAlign w:val="bottom"/>
            <w:tcBorders>
              <w:bottom w:val="single" w:sz="8" w:color="EFEDED"/>
            </w:tcBorders>
            <w:shd w:val="clear" w:color="auto" w:fill="EFEDED"/>
          </w:tcPr>
          <w:p>
            <w:pPr>
              <w:jc w:val="center"/>
              <w:ind w:right="97"/>
              <w:spacing w:after="0"/>
              <w:rPr>
                <w:sz w:val="20"/>
                <w:szCs w:val="20"/>
                <w:color w:val="auto"/>
              </w:rPr>
            </w:pPr>
            <w:r>
              <w:rPr>
                <w:rFonts w:ascii="Arial" w:cs="Arial" w:eastAsia="Arial" w:hAnsi="Arial"/>
                <w:sz w:val="13"/>
                <w:szCs w:val="13"/>
                <w:color w:val="58595B"/>
              </w:rPr>
              <w:t>(i)</w:t>
            </w:r>
          </w:p>
        </w:tc>
        <w:tc>
          <w:tcPr>
            <w:tcW w:w="1320" w:type="dxa"/>
            <w:vAlign w:val="bottom"/>
            <w:tcBorders>
              <w:bottom w:val="single" w:sz="8" w:color="EFEDED"/>
            </w:tcBorders>
            <w:shd w:val="clear" w:color="auto" w:fill="EFEDED"/>
          </w:tcPr>
          <w:p>
            <w:pPr>
              <w:jc w:val="center"/>
              <w:ind w:right="177"/>
              <w:spacing w:after="0"/>
              <w:rPr>
                <w:sz w:val="20"/>
                <w:szCs w:val="20"/>
                <w:color w:val="auto"/>
              </w:rPr>
            </w:pPr>
            <w:r>
              <w:rPr>
                <w:rFonts w:ascii="Arial" w:cs="Arial" w:eastAsia="Arial" w:hAnsi="Arial"/>
                <w:sz w:val="13"/>
                <w:szCs w:val="13"/>
                <w:color w:val="58595B"/>
              </w:rPr>
              <w:t>(j)</w:t>
            </w:r>
          </w:p>
        </w:tc>
      </w:tr>
      <w:tr>
        <w:trPr>
          <w:trHeight w:val="175"/>
        </w:trPr>
        <w:tc>
          <w:tcPr>
            <w:tcW w:w="2500" w:type="dxa"/>
            <w:vAlign w:val="bottom"/>
          </w:tcPr>
          <w:p>
            <w:pPr>
              <w:ind w:left="140"/>
              <w:spacing w:after="0"/>
              <w:rPr>
                <w:sz w:val="20"/>
                <w:szCs w:val="20"/>
                <w:color w:val="auto"/>
              </w:rPr>
            </w:pPr>
            <w:r>
              <w:rPr>
                <w:rFonts w:ascii="Arial" w:cs="Arial" w:eastAsia="Arial" w:hAnsi="Arial"/>
                <w:sz w:val="13"/>
                <w:szCs w:val="13"/>
                <w:color w:val="58595B"/>
              </w:rPr>
              <w:t>Mojdeh Poul</w:t>
            </w:r>
          </w:p>
        </w:tc>
        <w:tc>
          <w:tcPr>
            <w:tcW w:w="1060" w:type="dxa"/>
            <w:vAlign w:val="bottom"/>
          </w:tcPr>
          <w:p>
            <w:pPr>
              <w:jc w:val="right"/>
              <w:spacing w:after="0"/>
              <w:rPr>
                <w:sz w:val="20"/>
                <w:szCs w:val="20"/>
                <w:color w:val="auto"/>
              </w:rPr>
            </w:pPr>
            <w:r>
              <w:rPr>
                <w:rFonts w:ascii="Arial" w:cs="Arial" w:eastAsia="Arial" w:hAnsi="Arial"/>
                <w:sz w:val="13"/>
                <w:szCs w:val="13"/>
                <w:color w:val="58595B"/>
              </w:rPr>
              <w:t>—</w:t>
            </w:r>
          </w:p>
        </w:tc>
        <w:tc>
          <w:tcPr>
            <w:tcW w:w="1420" w:type="dxa"/>
            <w:vAlign w:val="bottom"/>
          </w:tcPr>
          <w:p>
            <w:pPr>
              <w:jc w:val="right"/>
              <w:ind w:right="117"/>
              <w:spacing w:after="0"/>
              <w:rPr>
                <w:sz w:val="20"/>
                <w:szCs w:val="20"/>
                <w:color w:val="auto"/>
              </w:rPr>
            </w:pPr>
            <w:r>
              <w:rPr>
                <w:rFonts w:ascii="Arial" w:cs="Arial" w:eastAsia="Arial" w:hAnsi="Arial"/>
                <w:sz w:val="13"/>
                <w:szCs w:val="13"/>
                <w:color w:val="58595B"/>
              </w:rPr>
              <w:t>217,961</w:t>
            </w:r>
          </w:p>
        </w:tc>
        <w:tc>
          <w:tcPr>
            <w:tcW w:w="640" w:type="dxa"/>
            <w:vAlign w:val="bottom"/>
          </w:tcPr>
          <w:p>
            <w:pPr>
              <w:jc w:val="right"/>
              <w:spacing w:after="0"/>
              <w:rPr>
                <w:sz w:val="20"/>
                <w:szCs w:val="20"/>
                <w:color w:val="auto"/>
              </w:rPr>
            </w:pPr>
            <w:r>
              <w:rPr>
                <w:rFonts w:ascii="Arial" w:cs="Arial" w:eastAsia="Arial" w:hAnsi="Arial"/>
                <w:sz w:val="13"/>
                <w:szCs w:val="13"/>
                <w:color w:val="58595B"/>
              </w:rPr>
              <w:t>21.7</w:t>
            </w:r>
          </w:p>
        </w:tc>
        <w:tc>
          <w:tcPr>
            <w:tcW w:w="980" w:type="dxa"/>
            <w:vAlign w:val="bottom"/>
          </w:tcPr>
          <w:p>
            <w:pPr>
              <w:jc w:val="right"/>
              <w:spacing w:after="0"/>
              <w:rPr>
                <w:sz w:val="20"/>
                <w:szCs w:val="20"/>
                <w:color w:val="auto"/>
              </w:rPr>
            </w:pPr>
            <w:r>
              <w:rPr>
                <w:rFonts w:ascii="Arial" w:cs="Arial" w:eastAsia="Arial" w:hAnsi="Arial"/>
                <w:sz w:val="13"/>
                <w:szCs w:val="13"/>
                <w:color w:val="58595B"/>
              </w:rPr>
              <w:t>1/6/2033</w:t>
            </w:r>
          </w:p>
        </w:tc>
        <w:tc>
          <w:tcPr>
            <w:tcW w:w="1120" w:type="dxa"/>
            <w:vAlign w:val="bottom"/>
          </w:tcPr>
          <w:p>
            <w:pPr>
              <w:jc w:val="right"/>
              <w:ind w:right="97"/>
              <w:spacing w:after="0"/>
              <w:rPr>
                <w:sz w:val="20"/>
                <w:szCs w:val="20"/>
                <w:color w:val="auto"/>
              </w:rPr>
            </w:pPr>
            <w:r>
              <w:rPr>
                <w:rFonts w:ascii="Arial" w:cs="Arial" w:eastAsia="Arial" w:hAnsi="Arial"/>
                <w:sz w:val="13"/>
                <w:szCs w:val="13"/>
                <w:color w:val="58595B"/>
              </w:rPr>
              <w:t>102,298</w:t>
            </w:r>
          </w:p>
        </w:tc>
        <w:tc>
          <w:tcPr>
            <w:tcW w:w="1120" w:type="dxa"/>
            <w:vAlign w:val="bottom"/>
          </w:tcPr>
          <w:p>
            <w:pPr>
              <w:jc w:val="right"/>
              <w:ind w:right="57"/>
              <w:spacing w:after="0"/>
              <w:rPr>
                <w:sz w:val="20"/>
                <w:szCs w:val="20"/>
                <w:color w:val="auto"/>
              </w:rPr>
            </w:pPr>
            <w:r>
              <w:rPr>
                <w:rFonts w:ascii="Arial" w:cs="Arial" w:eastAsia="Arial" w:hAnsi="Arial"/>
                <w:sz w:val="13"/>
                <w:szCs w:val="13"/>
                <w:color w:val="58595B"/>
              </w:rPr>
              <w:t>1,270,541</w:t>
            </w:r>
          </w:p>
        </w:tc>
        <w:tc>
          <w:tcPr>
            <w:tcW w:w="1080" w:type="dxa"/>
            <w:vAlign w:val="bottom"/>
          </w:tcPr>
          <w:p>
            <w:pPr>
              <w:jc w:val="right"/>
              <w:ind w:right="117"/>
              <w:spacing w:after="0"/>
              <w:rPr>
                <w:sz w:val="20"/>
                <w:szCs w:val="20"/>
                <w:color w:val="auto"/>
              </w:rPr>
            </w:pPr>
            <w:r>
              <w:rPr>
                <w:rFonts w:ascii="Arial" w:cs="Arial" w:eastAsia="Arial" w:hAnsi="Arial"/>
                <w:sz w:val="13"/>
                <w:szCs w:val="13"/>
                <w:color w:val="58595B"/>
              </w:rPr>
              <w:t>83,925</w:t>
            </w:r>
          </w:p>
        </w:tc>
        <w:tc>
          <w:tcPr>
            <w:tcW w:w="1320" w:type="dxa"/>
            <w:vAlign w:val="bottom"/>
          </w:tcPr>
          <w:p>
            <w:pPr>
              <w:jc w:val="right"/>
              <w:ind w:right="137"/>
              <w:spacing w:after="0"/>
              <w:rPr>
                <w:sz w:val="20"/>
                <w:szCs w:val="20"/>
                <w:color w:val="auto"/>
              </w:rPr>
            </w:pPr>
            <w:r>
              <w:rPr>
                <w:rFonts w:ascii="Arial" w:cs="Arial" w:eastAsia="Arial" w:hAnsi="Arial"/>
                <w:sz w:val="13"/>
                <w:szCs w:val="13"/>
                <w:color w:val="58595B"/>
              </w:rPr>
              <w:t>1,042,349</w:t>
            </w:r>
          </w:p>
        </w:tc>
      </w:tr>
      <w:tr>
        <w:trPr>
          <w:trHeight w:val="28"/>
        </w:trPr>
        <w:tc>
          <w:tcPr>
            <w:tcW w:w="2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75"/>
        </w:trPr>
        <w:tc>
          <w:tcPr>
            <w:tcW w:w="2500" w:type="dxa"/>
            <w:vAlign w:val="bottom"/>
            <w:shd w:val="clear" w:color="auto" w:fill="EFEDED"/>
          </w:tcPr>
          <w:p>
            <w:pPr>
              <w:ind w:left="140"/>
              <w:spacing w:after="0"/>
              <w:rPr>
                <w:sz w:val="20"/>
                <w:szCs w:val="20"/>
                <w:color w:val="auto"/>
              </w:rPr>
            </w:pPr>
            <w:r>
              <w:rPr>
                <w:rFonts w:ascii="Arial" w:cs="Arial" w:eastAsia="Arial" w:hAnsi="Arial"/>
                <w:sz w:val="13"/>
                <w:szCs w:val="13"/>
                <w:color w:val="58595B"/>
              </w:rPr>
              <w:t>Lea Knight</w:t>
            </w:r>
          </w:p>
        </w:tc>
        <w:tc>
          <w:tcPr>
            <w:tcW w:w="10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4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44,171</w:t>
            </w:r>
          </w:p>
        </w:tc>
        <w:tc>
          <w:tcPr>
            <w:tcW w:w="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23.95</w:t>
            </w:r>
          </w:p>
        </w:tc>
        <w:tc>
          <w:tcPr>
            <w:tcW w:w="980" w:type="dxa"/>
            <w:vAlign w:val="bottom"/>
            <w:tcBorders>
              <w:right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3/11/2033</w:t>
            </w:r>
          </w:p>
        </w:tc>
        <w:tc>
          <w:tcPr>
            <w:tcW w:w="1120" w:type="dxa"/>
            <w:vAlign w:val="bottom"/>
            <w:shd w:val="clear" w:color="auto" w:fill="EFEDED"/>
          </w:tcPr>
          <w:p>
            <w:pPr>
              <w:jc w:val="right"/>
              <w:ind w:right="97"/>
              <w:spacing w:after="0"/>
              <w:rPr>
                <w:sz w:val="20"/>
                <w:szCs w:val="20"/>
                <w:color w:val="auto"/>
              </w:rPr>
            </w:pPr>
            <w:r>
              <w:rPr>
                <w:rFonts w:ascii="Arial" w:cs="Arial" w:eastAsia="Arial" w:hAnsi="Arial"/>
                <w:sz w:val="13"/>
                <w:szCs w:val="13"/>
                <w:color w:val="58595B"/>
              </w:rPr>
              <w:t>49,381</w:t>
            </w:r>
          </w:p>
        </w:tc>
        <w:tc>
          <w:tcPr>
            <w:tcW w:w="112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613,312</w:t>
            </w:r>
          </w:p>
        </w:tc>
        <w:tc>
          <w:tcPr>
            <w:tcW w:w="108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43,793</w:t>
            </w:r>
          </w:p>
        </w:tc>
        <w:tc>
          <w:tcPr>
            <w:tcW w:w="1320" w:type="dxa"/>
            <w:vAlign w:val="bottom"/>
            <w:shd w:val="clear" w:color="auto" w:fill="EFEDED"/>
          </w:tcPr>
          <w:p>
            <w:pPr>
              <w:jc w:val="right"/>
              <w:ind w:right="137"/>
              <w:spacing w:after="0"/>
              <w:rPr>
                <w:sz w:val="20"/>
                <w:szCs w:val="20"/>
                <w:color w:val="auto"/>
              </w:rPr>
            </w:pPr>
            <w:r>
              <w:rPr>
                <w:rFonts w:ascii="Arial" w:cs="Arial" w:eastAsia="Arial" w:hAnsi="Arial"/>
                <w:sz w:val="13"/>
                <w:szCs w:val="13"/>
                <w:color w:val="58595B"/>
              </w:rPr>
              <w:t>543,909</w:t>
            </w:r>
          </w:p>
        </w:tc>
      </w:tr>
      <w:tr>
        <w:trPr>
          <w:trHeight w:val="210"/>
        </w:trPr>
        <w:tc>
          <w:tcPr>
            <w:tcW w:w="2500" w:type="dxa"/>
            <w:vAlign w:val="bottom"/>
            <w:tcBorders>
              <w:bottom w:val="single" w:sz="8" w:color="EFEDED"/>
            </w:tcBorders>
            <w:shd w:val="clear" w:color="auto" w:fill="EFEDED"/>
          </w:tcPr>
          <w:p>
            <w:pPr>
              <w:spacing w:after="0"/>
              <w:rPr>
                <w:sz w:val="18"/>
                <w:szCs w:val="18"/>
                <w:color w:val="auto"/>
              </w:rPr>
            </w:pPr>
          </w:p>
        </w:tc>
        <w:tc>
          <w:tcPr>
            <w:tcW w:w="10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6,827</w:t>
            </w:r>
          </w:p>
        </w:tc>
        <w:tc>
          <w:tcPr>
            <w:tcW w:w="1420" w:type="dxa"/>
            <w:vAlign w:val="bottom"/>
            <w:tcBorders>
              <w:bottom w:val="single" w:sz="8" w:color="EFEDED"/>
            </w:tcBorders>
            <w:shd w:val="clear" w:color="auto" w:fill="EFEDED"/>
          </w:tcPr>
          <w:p>
            <w:pPr>
              <w:jc w:val="right"/>
              <w:ind w:right="117"/>
              <w:spacing w:after="0"/>
              <w:rPr>
                <w:sz w:val="20"/>
                <w:szCs w:val="20"/>
                <w:color w:val="auto"/>
              </w:rPr>
            </w:pPr>
            <w:r>
              <w:rPr>
                <w:rFonts w:ascii="Arial" w:cs="Arial" w:eastAsia="Arial" w:hAnsi="Arial"/>
                <w:sz w:val="13"/>
                <w:szCs w:val="13"/>
                <w:color w:val="58595B"/>
              </w:rPr>
              <w:t>20,481</w:t>
            </w:r>
          </w:p>
        </w:tc>
        <w:tc>
          <w:tcPr>
            <w:tcW w:w="6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36.22</w:t>
            </w:r>
          </w:p>
        </w:tc>
        <w:tc>
          <w:tcPr>
            <w:tcW w:w="980" w:type="dxa"/>
            <w:vAlign w:val="bottom"/>
            <w:tcBorders>
              <w:bottom w:val="single" w:sz="8" w:color="EFEDED"/>
              <w:right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3/11/2032</w:t>
            </w:r>
          </w:p>
        </w:tc>
        <w:tc>
          <w:tcPr>
            <w:tcW w:w="1120" w:type="dxa"/>
            <w:vAlign w:val="bottom"/>
            <w:tcBorders>
              <w:bottom w:val="single" w:sz="8" w:color="EFEDED"/>
            </w:tcBorders>
            <w:shd w:val="clear" w:color="auto" w:fill="EFEDED"/>
          </w:tcPr>
          <w:p>
            <w:pPr>
              <w:spacing w:after="0"/>
              <w:rPr>
                <w:sz w:val="18"/>
                <w:szCs w:val="18"/>
                <w:color w:val="auto"/>
              </w:rPr>
            </w:pPr>
          </w:p>
        </w:tc>
        <w:tc>
          <w:tcPr>
            <w:tcW w:w="1120" w:type="dxa"/>
            <w:vAlign w:val="bottom"/>
            <w:tcBorders>
              <w:bottom w:val="single" w:sz="8" w:color="EFEDED"/>
            </w:tcBorders>
            <w:shd w:val="clear" w:color="auto" w:fill="EFEDED"/>
          </w:tcPr>
          <w:p>
            <w:pPr>
              <w:spacing w:after="0"/>
              <w:rPr>
                <w:sz w:val="18"/>
                <w:szCs w:val="18"/>
                <w:color w:val="auto"/>
              </w:rPr>
            </w:pPr>
          </w:p>
        </w:tc>
        <w:tc>
          <w:tcPr>
            <w:tcW w:w="1080" w:type="dxa"/>
            <w:vAlign w:val="bottom"/>
            <w:tcBorders>
              <w:bottom w:val="single" w:sz="8" w:color="EFEDED"/>
            </w:tcBorders>
            <w:shd w:val="clear" w:color="auto" w:fill="EFEDED"/>
          </w:tcPr>
          <w:p>
            <w:pPr>
              <w:spacing w:after="0"/>
              <w:rPr>
                <w:sz w:val="18"/>
                <w:szCs w:val="18"/>
                <w:color w:val="auto"/>
              </w:rPr>
            </w:pPr>
          </w:p>
        </w:tc>
        <w:tc>
          <w:tcPr>
            <w:tcW w:w="1320" w:type="dxa"/>
            <w:vAlign w:val="bottom"/>
            <w:tcBorders>
              <w:bottom w:val="single" w:sz="8" w:color="EFEDED"/>
            </w:tcBorders>
            <w:shd w:val="clear" w:color="auto" w:fill="EFEDED"/>
          </w:tcPr>
          <w:p>
            <w:pPr>
              <w:spacing w:after="0"/>
              <w:rPr>
                <w:sz w:val="18"/>
                <w:szCs w:val="18"/>
                <w:color w:val="auto"/>
              </w:rPr>
            </w:pPr>
          </w:p>
        </w:tc>
      </w:tr>
      <w:tr>
        <w:trPr>
          <w:trHeight w:val="175"/>
        </w:trPr>
        <w:tc>
          <w:tcPr>
            <w:tcW w:w="2500" w:type="dxa"/>
            <w:vAlign w:val="bottom"/>
          </w:tcPr>
          <w:p>
            <w:pPr>
              <w:ind w:left="140"/>
              <w:spacing w:after="0"/>
              <w:rPr>
                <w:sz w:val="20"/>
                <w:szCs w:val="20"/>
                <w:color w:val="auto"/>
              </w:rPr>
            </w:pPr>
            <w:r>
              <w:rPr>
                <w:rFonts w:ascii="Arial" w:cs="Arial" w:eastAsia="Arial" w:hAnsi="Arial"/>
                <w:sz w:val="13"/>
                <w:szCs w:val="13"/>
                <w:color w:val="58595B"/>
              </w:rPr>
              <w:t>Robert T. Davis, Jr</w:t>
            </w:r>
          </w:p>
        </w:tc>
        <w:tc>
          <w:tcPr>
            <w:tcW w:w="1060" w:type="dxa"/>
            <w:vAlign w:val="bottom"/>
          </w:tcPr>
          <w:p>
            <w:pPr>
              <w:jc w:val="right"/>
              <w:spacing w:after="0"/>
              <w:rPr>
                <w:sz w:val="20"/>
                <w:szCs w:val="20"/>
                <w:color w:val="auto"/>
              </w:rPr>
            </w:pPr>
            <w:r>
              <w:rPr>
                <w:rFonts w:ascii="Arial" w:cs="Arial" w:eastAsia="Arial" w:hAnsi="Arial"/>
                <w:sz w:val="13"/>
                <w:szCs w:val="13"/>
                <w:color w:val="58595B"/>
              </w:rPr>
              <w:t>—</w:t>
            </w:r>
          </w:p>
        </w:tc>
        <w:tc>
          <w:tcPr>
            <w:tcW w:w="1420" w:type="dxa"/>
            <w:vAlign w:val="bottom"/>
          </w:tcPr>
          <w:p>
            <w:pPr>
              <w:jc w:val="right"/>
              <w:ind w:right="117"/>
              <w:spacing w:after="0"/>
              <w:rPr>
                <w:sz w:val="20"/>
                <w:szCs w:val="20"/>
                <w:color w:val="auto"/>
              </w:rPr>
            </w:pPr>
            <w:r>
              <w:rPr>
                <w:rFonts w:ascii="Arial" w:cs="Arial" w:eastAsia="Arial" w:hAnsi="Arial"/>
                <w:sz w:val="13"/>
                <w:szCs w:val="13"/>
                <w:color w:val="58595B"/>
              </w:rPr>
              <w:t>26,310</w:t>
            </w:r>
          </w:p>
        </w:tc>
        <w:tc>
          <w:tcPr>
            <w:tcW w:w="640" w:type="dxa"/>
            <w:vAlign w:val="bottom"/>
          </w:tcPr>
          <w:p>
            <w:pPr>
              <w:jc w:val="right"/>
              <w:spacing w:after="0"/>
              <w:rPr>
                <w:sz w:val="20"/>
                <w:szCs w:val="20"/>
                <w:color w:val="auto"/>
              </w:rPr>
            </w:pPr>
            <w:r>
              <w:rPr>
                <w:rFonts w:ascii="Arial" w:cs="Arial" w:eastAsia="Arial" w:hAnsi="Arial"/>
                <w:sz w:val="13"/>
                <w:szCs w:val="13"/>
                <w:color w:val="58595B"/>
              </w:rPr>
              <w:t>23.95</w:t>
            </w:r>
          </w:p>
        </w:tc>
        <w:tc>
          <w:tcPr>
            <w:tcW w:w="980" w:type="dxa"/>
            <w:vAlign w:val="bottom"/>
          </w:tcPr>
          <w:p>
            <w:pPr>
              <w:jc w:val="right"/>
              <w:spacing w:after="0"/>
              <w:rPr>
                <w:sz w:val="20"/>
                <w:szCs w:val="20"/>
                <w:color w:val="auto"/>
              </w:rPr>
            </w:pPr>
            <w:r>
              <w:rPr>
                <w:rFonts w:ascii="Arial" w:cs="Arial" w:eastAsia="Arial" w:hAnsi="Arial"/>
                <w:sz w:val="13"/>
                <w:szCs w:val="13"/>
                <w:color w:val="58595B"/>
              </w:rPr>
              <w:t>3/11/2033</w:t>
            </w:r>
          </w:p>
        </w:tc>
        <w:tc>
          <w:tcPr>
            <w:tcW w:w="1120" w:type="dxa"/>
            <w:vAlign w:val="bottom"/>
          </w:tcPr>
          <w:p>
            <w:pPr>
              <w:jc w:val="right"/>
              <w:ind w:right="97"/>
              <w:spacing w:after="0"/>
              <w:rPr>
                <w:sz w:val="20"/>
                <w:szCs w:val="20"/>
                <w:color w:val="auto"/>
              </w:rPr>
            </w:pPr>
            <w:r>
              <w:rPr>
                <w:rFonts w:ascii="Arial" w:cs="Arial" w:eastAsia="Arial" w:hAnsi="Arial"/>
                <w:sz w:val="13"/>
                <w:szCs w:val="13"/>
                <w:color w:val="58595B"/>
              </w:rPr>
              <w:t>32,009</w:t>
            </w:r>
          </w:p>
        </w:tc>
        <w:tc>
          <w:tcPr>
            <w:tcW w:w="1120" w:type="dxa"/>
            <w:vAlign w:val="bottom"/>
          </w:tcPr>
          <w:p>
            <w:pPr>
              <w:jc w:val="right"/>
              <w:ind w:right="57"/>
              <w:spacing w:after="0"/>
              <w:rPr>
                <w:sz w:val="20"/>
                <w:szCs w:val="20"/>
                <w:color w:val="auto"/>
              </w:rPr>
            </w:pPr>
            <w:r>
              <w:rPr>
                <w:rFonts w:ascii="Arial" w:cs="Arial" w:eastAsia="Arial" w:hAnsi="Arial"/>
                <w:sz w:val="13"/>
                <w:szCs w:val="13"/>
                <w:color w:val="58595B"/>
              </w:rPr>
              <w:t>397,552</w:t>
            </w:r>
          </w:p>
        </w:tc>
        <w:tc>
          <w:tcPr>
            <w:tcW w:w="1080" w:type="dxa"/>
            <w:vAlign w:val="bottom"/>
          </w:tcPr>
          <w:p>
            <w:pPr>
              <w:jc w:val="right"/>
              <w:ind w:right="117"/>
              <w:spacing w:after="0"/>
              <w:rPr>
                <w:sz w:val="20"/>
                <w:szCs w:val="20"/>
                <w:color w:val="auto"/>
              </w:rPr>
            </w:pPr>
            <w:r>
              <w:rPr>
                <w:rFonts w:ascii="Arial" w:cs="Arial" w:eastAsia="Arial" w:hAnsi="Arial"/>
                <w:sz w:val="13"/>
                <w:szCs w:val="13"/>
                <w:color w:val="58595B"/>
              </w:rPr>
              <w:t>25,329</w:t>
            </w:r>
          </w:p>
        </w:tc>
        <w:tc>
          <w:tcPr>
            <w:tcW w:w="1320" w:type="dxa"/>
            <w:vAlign w:val="bottom"/>
          </w:tcPr>
          <w:p>
            <w:pPr>
              <w:jc w:val="right"/>
              <w:ind w:right="137"/>
              <w:spacing w:after="0"/>
              <w:rPr>
                <w:sz w:val="20"/>
                <w:szCs w:val="20"/>
                <w:color w:val="auto"/>
              </w:rPr>
            </w:pPr>
            <w:r>
              <w:rPr>
                <w:rFonts w:ascii="Arial" w:cs="Arial" w:eastAsia="Arial" w:hAnsi="Arial"/>
                <w:sz w:val="13"/>
                <w:szCs w:val="13"/>
                <w:color w:val="58595B"/>
              </w:rPr>
              <w:t>314,586</w:t>
            </w:r>
          </w:p>
        </w:tc>
      </w:tr>
      <w:tr>
        <w:trPr>
          <w:trHeight w:val="203"/>
        </w:trPr>
        <w:tc>
          <w:tcPr>
            <w:tcW w:w="2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58595B"/>
              </w:rPr>
              <w:t>3,740</w:t>
            </w:r>
          </w:p>
        </w:tc>
        <w:tc>
          <w:tcPr>
            <w:tcW w:w="1420" w:type="dxa"/>
            <w:vAlign w:val="bottom"/>
          </w:tcPr>
          <w:p>
            <w:pPr>
              <w:jc w:val="right"/>
              <w:ind w:right="117"/>
              <w:spacing w:after="0"/>
              <w:rPr>
                <w:sz w:val="20"/>
                <w:szCs w:val="20"/>
                <w:color w:val="auto"/>
              </w:rPr>
            </w:pPr>
            <w:r>
              <w:rPr>
                <w:rFonts w:ascii="Arial" w:cs="Arial" w:eastAsia="Arial" w:hAnsi="Arial"/>
                <w:sz w:val="13"/>
                <w:szCs w:val="13"/>
                <w:color w:val="58595B"/>
              </w:rPr>
              <w:t>11,223</w:t>
            </w:r>
          </w:p>
        </w:tc>
        <w:tc>
          <w:tcPr>
            <w:tcW w:w="640" w:type="dxa"/>
            <w:vAlign w:val="bottom"/>
          </w:tcPr>
          <w:p>
            <w:pPr>
              <w:jc w:val="right"/>
              <w:spacing w:after="0"/>
              <w:rPr>
                <w:sz w:val="20"/>
                <w:szCs w:val="20"/>
                <w:color w:val="auto"/>
              </w:rPr>
            </w:pPr>
            <w:r>
              <w:rPr>
                <w:rFonts w:ascii="Arial" w:cs="Arial" w:eastAsia="Arial" w:hAnsi="Arial"/>
                <w:sz w:val="13"/>
                <w:szCs w:val="13"/>
                <w:color w:val="58595B"/>
              </w:rPr>
              <w:t>36.22</w:t>
            </w:r>
          </w:p>
        </w:tc>
        <w:tc>
          <w:tcPr>
            <w:tcW w:w="980" w:type="dxa"/>
            <w:vAlign w:val="bottom"/>
          </w:tcPr>
          <w:p>
            <w:pPr>
              <w:jc w:val="right"/>
              <w:spacing w:after="0"/>
              <w:rPr>
                <w:sz w:val="20"/>
                <w:szCs w:val="20"/>
                <w:color w:val="auto"/>
              </w:rPr>
            </w:pPr>
            <w:r>
              <w:rPr>
                <w:rFonts w:ascii="Arial" w:cs="Arial" w:eastAsia="Arial" w:hAnsi="Arial"/>
                <w:sz w:val="13"/>
                <w:szCs w:val="13"/>
                <w:color w:val="58595B"/>
              </w:rPr>
              <w:t>3/11/2032</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58595B"/>
              </w:rPr>
              <w:t>15,887</w:t>
            </w:r>
          </w:p>
        </w:tc>
        <w:tc>
          <w:tcPr>
            <w:tcW w:w="1420" w:type="dxa"/>
            <w:vAlign w:val="bottom"/>
          </w:tcPr>
          <w:p>
            <w:pPr>
              <w:jc w:val="right"/>
              <w:ind w:right="117"/>
              <w:spacing w:after="0"/>
              <w:rPr>
                <w:sz w:val="20"/>
                <w:szCs w:val="20"/>
                <w:color w:val="auto"/>
              </w:rPr>
            </w:pPr>
            <w:r>
              <w:rPr>
                <w:rFonts w:ascii="Arial" w:cs="Arial" w:eastAsia="Arial" w:hAnsi="Arial"/>
                <w:sz w:val="13"/>
                <w:szCs w:val="13"/>
                <w:color w:val="58595B"/>
              </w:rPr>
              <w:t>—</w:t>
            </w:r>
          </w:p>
        </w:tc>
        <w:tc>
          <w:tcPr>
            <w:tcW w:w="640" w:type="dxa"/>
            <w:vAlign w:val="bottom"/>
          </w:tcPr>
          <w:p>
            <w:pPr>
              <w:jc w:val="right"/>
              <w:spacing w:after="0"/>
              <w:rPr>
                <w:sz w:val="20"/>
                <w:szCs w:val="20"/>
                <w:color w:val="auto"/>
              </w:rPr>
            </w:pPr>
            <w:r>
              <w:rPr>
                <w:rFonts w:ascii="Arial" w:cs="Arial" w:eastAsia="Arial" w:hAnsi="Arial"/>
                <w:sz w:val="13"/>
                <w:szCs w:val="13"/>
                <w:color w:val="58595B"/>
              </w:rPr>
              <w:t>43.39</w:t>
            </w:r>
          </w:p>
        </w:tc>
        <w:tc>
          <w:tcPr>
            <w:tcW w:w="980" w:type="dxa"/>
            <w:vAlign w:val="bottom"/>
          </w:tcPr>
          <w:p>
            <w:pPr>
              <w:jc w:val="right"/>
              <w:spacing w:after="0"/>
              <w:rPr>
                <w:sz w:val="20"/>
                <w:szCs w:val="20"/>
                <w:color w:val="auto"/>
              </w:rPr>
            </w:pPr>
            <w:r>
              <w:rPr>
                <w:rFonts w:ascii="Arial" w:cs="Arial" w:eastAsia="Arial" w:hAnsi="Arial"/>
                <w:sz w:val="13"/>
                <w:szCs w:val="13"/>
                <w:color w:val="58595B"/>
              </w:rPr>
              <w:t>3/13/2028</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58595B"/>
              </w:rPr>
              <w:t>5,176</w:t>
            </w:r>
          </w:p>
        </w:tc>
        <w:tc>
          <w:tcPr>
            <w:tcW w:w="1420" w:type="dxa"/>
            <w:vAlign w:val="bottom"/>
          </w:tcPr>
          <w:p>
            <w:pPr>
              <w:jc w:val="right"/>
              <w:ind w:right="117"/>
              <w:spacing w:after="0"/>
              <w:rPr>
                <w:sz w:val="20"/>
                <w:szCs w:val="20"/>
                <w:color w:val="auto"/>
              </w:rPr>
            </w:pPr>
            <w:r>
              <w:rPr>
                <w:rFonts w:ascii="Arial" w:cs="Arial" w:eastAsia="Arial" w:hAnsi="Arial"/>
                <w:sz w:val="13"/>
                <w:szCs w:val="13"/>
                <w:color w:val="58595B"/>
              </w:rPr>
              <w:t>5,178</w:t>
            </w:r>
          </w:p>
        </w:tc>
        <w:tc>
          <w:tcPr>
            <w:tcW w:w="640" w:type="dxa"/>
            <w:vAlign w:val="bottom"/>
          </w:tcPr>
          <w:p>
            <w:pPr>
              <w:jc w:val="right"/>
              <w:spacing w:after="0"/>
              <w:rPr>
                <w:sz w:val="20"/>
                <w:szCs w:val="20"/>
                <w:color w:val="auto"/>
              </w:rPr>
            </w:pPr>
            <w:r>
              <w:rPr>
                <w:rFonts w:ascii="Arial" w:cs="Arial" w:eastAsia="Arial" w:hAnsi="Arial"/>
                <w:sz w:val="13"/>
                <w:szCs w:val="13"/>
                <w:color w:val="58595B"/>
              </w:rPr>
              <w:t>52.87</w:t>
            </w:r>
          </w:p>
        </w:tc>
        <w:tc>
          <w:tcPr>
            <w:tcW w:w="980" w:type="dxa"/>
            <w:vAlign w:val="bottom"/>
          </w:tcPr>
          <w:p>
            <w:pPr>
              <w:jc w:val="right"/>
              <w:spacing w:after="0"/>
              <w:rPr>
                <w:sz w:val="20"/>
                <w:szCs w:val="20"/>
                <w:color w:val="auto"/>
              </w:rPr>
            </w:pPr>
            <w:r>
              <w:rPr>
                <w:rFonts w:ascii="Arial" w:cs="Arial" w:eastAsia="Arial" w:hAnsi="Arial"/>
                <w:sz w:val="13"/>
                <w:szCs w:val="13"/>
                <w:color w:val="58595B"/>
              </w:rPr>
              <w:t>3/10/2031</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58595B"/>
              </w:rPr>
              <w:t>10,373</w:t>
            </w:r>
          </w:p>
        </w:tc>
        <w:tc>
          <w:tcPr>
            <w:tcW w:w="1420" w:type="dxa"/>
            <w:vAlign w:val="bottom"/>
          </w:tcPr>
          <w:p>
            <w:pPr>
              <w:jc w:val="right"/>
              <w:ind w:right="117"/>
              <w:spacing w:after="0"/>
              <w:rPr>
                <w:sz w:val="20"/>
                <w:szCs w:val="20"/>
                <w:color w:val="auto"/>
              </w:rPr>
            </w:pPr>
            <w:r>
              <w:rPr>
                <w:rFonts w:ascii="Arial" w:cs="Arial" w:eastAsia="Arial" w:hAnsi="Arial"/>
                <w:sz w:val="13"/>
                <w:szCs w:val="13"/>
                <w:color w:val="58595B"/>
              </w:rPr>
              <w:t>—</w:t>
            </w:r>
          </w:p>
        </w:tc>
        <w:tc>
          <w:tcPr>
            <w:tcW w:w="640" w:type="dxa"/>
            <w:vAlign w:val="bottom"/>
          </w:tcPr>
          <w:p>
            <w:pPr>
              <w:jc w:val="right"/>
              <w:spacing w:after="0"/>
              <w:rPr>
                <w:sz w:val="20"/>
                <w:szCs w:val="20"/>
                <w:color w:val="auto"/>
              </w:rPr>
            </w:pPr>
            <w:r>
              <w:rPr>
                <w:rFonts w:ascii="Arial" w:cs="Arial" w:eastAsia="Arial" w:hAnsi="Arial"/>
                <w:sz w:val="13"/>
                <w:szCs w:val="13"/>
                <w:color w:val="58595B"/>
              </w:rPr>
              <w:t>55.91</w:t>
            </w:r>
          </w:p>
        </w:tc>
        <w:tc>
          <w:tcPr>
            <w:tcW w:w="980" w:type="dxa"/>
            <w:vAlign w:val="bottom"/>
          </w:tcPr>
          <w:p>
            <w:pPr>
              <w:jc w:val="right"/>
              <w:spacing w:after="0"/>
              <w:rPr>
                <w:sz w:val="20"/>
                <w:szCs w:val="20"/>
                <w:color w:val="auto"/>
              </w:rPr>
            </w:pPr>
            <w:r>
              <w:rPr>
                <w:rFonts w:ascii="Arial" w:cs="Arial" w:eastAsia="Arial" w:hAnsi="Arial"/>
                <w:sz w:val="13"/>
                <w:szCs w:val="13"/>
                <w:color w:val="58595B"/>
              </w:rPr>
              <w:t>3/13/2027</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58595B"/>
              </w:rPr>
              <w:t>8,609</w:t>
            </w:r>
          </w:p>
        </w:tc>
        <w:tc>
          <w:tcPr>
            <w:tcW w:w="1420" w:type="dxa"/>
            <w:vAlign w:val="bottom"/>
          </w:tcPr>
          <w:p>
            <w:pPr>
              <w:jc w:val="right"/>
              <w:ind w:right="117"/>
              <w:spacing w:after="0"/>
              <w:rPr>
                <w:sz w:val="20"/>
                <w:szCs w:val="20"/>
                <w:color w:val="auto"/>
              </w:rPr>
            </w:pPr>
            <w:r>
              <w:rPr>
                <w:rFonts w:ascii="Arial" w:cs="Arial" w:eastAsia="Arial" w:hAnsi="Arial"/>
                <w:sz w:val="13"/>
                <w:szCs w:val="13"/>
                <w:color w:val="58595B"/>
              </w:rPr>
              <w:t>—</w:t>
            </w:r>
          </w:p>
        </w:tc>
        <w:tc>
          <w:tcPr>
            <w:tcW w:w="640" w:type="dxa"/>
            <w:vAlign w:val="bottom"/>
          </w:tcPr>
          <w:p>
            <w:pPr>
              <w:jc w:val="right"/>
              <w:spacing w:after="0"/>
              <w:rPr>
                <w:sz w:val="20"/>
                <w:szCs w:val="20"/>
                <w:color w:val="auto"/>
              </w:rPr>
            </w:pPr>
            <w:r>
              <w:rPr>
                <w:rFonts w:ascii="Arial" w:cs="Arial" w:eastAsia="Arial" w:hAnsi="Arial"/>
                <w:sz w:val="13"/>
                <w:szCs w:val="13"/>
                <w:color w:val="58595B"/>
              </w:rPr>
              <w:t>56.23</w:t>
            </w:r>
          </w:p>
        </w:tc>
        <w:tc>
          <w:tcPr>
            <w:tcW w:w="980" w:type="dxa"/>
            <w:vAlign w:val="bottom"/>
          </w:tcPr>
          <w:p>
            <w:pPr>
              <w:jc w:val="right"/>
              <w:spacing w:after="0"/>
              <w:rPr>
                <w:sz w:val="20"/>
                <w:szCs w:val="20"/>
                <w:color w:val="auto"/>
              </w:rPr>
            </w:pPr>
            <w:r>
              <w:rPr>
                <w:rFonts w:ascii="Arial" w:cs="Arial" w:eastAsia="Arial" w:hAnsi="Arial"/>
                <w:sz w:val="13"/>
                <w:szCs w:val="13"/>
                <w:color w:val="58595B"/>
              </w:rPr>
              <w:t>3/13/2026</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58595B"/>
              </w:rPr>
              <w:t>6,894</w:t>
            </w:r>
          </w:p>
        </w:tc>
        <w:tc>
          <w:tcPr>
            <w:tcW w:w="1420" w:type="dxa"/>
            <w:vAlign w:val="bottom"/>
          </w:tcPr>
          <w:p>
            <w:pPr>
              <w:jc w:val="right"/>
              <w:ind w:right="117"/>
              <w:spacing w:after="0"/>
              <w:rPr>
                <w:sz w:val="20"/>
                <w:szCs w:val="20"/>
                <w:color w:val="auto"/>
              </w:rPr>
            </w:pPr>
            <w:r>
              <w:rPr>
                <w:rFonts w:ascii="Arial" w:cs="Arial" w:eastAsia="Arial" w:hAnsi="Arial"/>
                <w:sz w:val="13"/>
                <w:szCs w:val="13"/>
                <w:color w:val="58595B"/>
              </w:rPr>
              <w:t>2,299</w:t>
            </w:r>
          </w:p>
        </w:tc>
        <w:tc>
          <w:tcPr>
            <w:tcW w:w="640" w:type="dxa"/>
            <w:vAlign w:val="bottom"/>
          </w:tcPr>
          <w:p>
            <w:pPr>
              <w:jc w:val="right"/>
              <w:spacing w:after="0"/>
              <w:rPr>
                <w:sz w:val="20"/>
                <w:szCs w:val="20"/>
                <w:color w:val="auto"/>
              </w:rPr>
            </w:pPr>
            <w:r>
              <w:rPr>
                <w:rFonts w:ascii="Arial" w:cs="Arial" w:eastAsia="Arial" w:hAnsi="Arial"/>
                <w:sz w:val="13"/>
                <w:szCs w:val="13"/>
                <w:color w:val="58595B"/>
              </w:rPr>
              <w:t>65.11</w:t>
            </w:r>
          </w:p>
        </w:tc>
        <w:tc>
          <w:tcPr>
            <w:tcW w:w="980" w:type="dxa"/>
            <w:vAlign w:val="bottom"/>
          </w:tcPr>
          <w:p>
            <w:pPr>
              <w:jc w:val="right"/>
              <w:spacing w:after="0"/>
              <w:rPr>
                <w:sz w:val="20"/>
                <w:szCs w:val="20"/>
                <w:color w:val="auto"/>
              </w:rPr>
            </w:pPr>
            <w:r>
              <w:rPr>
                <w:rFonts w:ascii="Arial" w:cs="Arial" w:eastAsia="Arial" w:hAnsi="Arial"/>
                <w:sz w:val="13"/>
                <w:szCs w:val="13"/>
                <w:color w:val="58595B"/>
              </w:rPr>
              <w:t>3/11/2030</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58595B"/>
              </w:rPr>
              <w:t>9,232</w:t>
            </w:r>
          </w:p>
        </w:tc>
        <w:tc>
          <w:tcPr>
            <w:tcW w:w="1420" w:type="dxa"/>
            <w:vAlign w:val="bottom"/>
          </w:tcPr>
          <w:p>
            <w:pPr>
              <w:jc w:val="right"/>
              <w:ind w:right="117"/>
              <w:spacing w:after="0"/>
              <w:rPr>
                <w:sz w:val="20"/>
                <w:szCs w:val="20"/>
                <w:color w:val="auto"/>
              </w:rPr>
            </w:pPr>
            <w:r>
              <w:rPr>
                <w:rFonts w:ascii="Arial" w:cs="Arial" w:eastAsia="Arial" w:hAnsi="Arial"/>
                <w:sz w:val="13"/>
                <w:szCs w:val="13"/>
                <w:color w:val="58595B"/>
              </w:rPr>
              <w:t>—</w:t>
            </w:r>
          </w:p>
        </w:tc>
        <w:tc>
          <w:tcPr>
            <w:tcW w:w="640" w:type="dxa"/>
            <w:vAlign w:val="bottom"/>
          </w:tcPr>
          <w:p>
            <w:pPr>
              <w:jc w:val="right"/>
              <w:spacing w:after="0"/>
              <w:rPr>
                <w:sz w:val="20"/>
                <w:szCs w:val="20"/>
                <w:color w:val="auto"/>
              </w:rPr>
            </w:pPr>
            <w:r>
              <w:rPr>
                <w:rFonts w:ascii="Arial" w:cs="Arial" w:eastAsia="Arial" w:hAnsi="Arial"/>
                <w:sz w:val="13"/>
                <w:szCs w:val="13"/>
                <w:color w:val="58595B"/>
              </w:rPr>
              <w:t>68.1</w:t>
            </w:r>
          </w:p>
        </w:tc>
        <w:tc>
          <w:tcPr>
            <w:tcW w:w="980" w:type="dxa"/>
            <w:vAlign w:val="bottom"/>
          </w:tcPr>
          <w:p>
            <w:pPr>
              <w:jc w:val="right"/>
              <w:spacing w:after="0"/>
              <w:rPr>
                <w:sz w:val="20"/>
                <w:szCs w:val="20"/>
                <w:color w:val="auto"/>
              </w:rPr>
            </w:pPr>
            <w:r>
              <w:rPr>
                <w:rFonts w:ascii="Arial" w:cs="Arial" w:eastAsia="Arial" w:hAnsi="Arial"/>
                <w:sz w:val="13"/>
                <w:szCs w:val="13"/>
                <w:color w:val="58595B"/>
              </w:rPr>
              <w:t>3/12/2029</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8"/>
        </w:trPr>
        <w:tc>
          <w:tcPr>
            <w:tcW w:w="2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75"/>
        </w:trPr>
        <w:tc>
          <w:tcPr>
            <w:tcW w:w="2500" w:type="dxa"/>
            <w:vAlign w:val="bottom"/>
            <w:shd w:val="clear" w:color="auto" w:fill="EFEDED"/>
          </w:tcPr>
          <w:p>
            <w:pPr>
              <w:ind w:left="140"/>
              <w:spacing w:after="0"/>
              <w:rPr>
                <w:sz w:val="20"/>
                <w:szCs w:val="20"/>
                <w:color w:val="auto"/>
              </w:rPr>
            </w:pPr>
            <w:r>
              <w:rPr>
                <w:rFonts w:ascii="Arial" w:cs="Arial" w:eastAsia="Arial" w:hAnsi="Arial"/>
                <w:sz w:val="13"/>
                <w:szCs w:val="13"/>
                <w:color w:val="58595B"/>
              </w:rPr>
              <w:t>Michael J. McBreen</w:t>
            </w:r>
          </w:p>
        </w:tc>
        <w:tc>
          <w:tcPr>
            <w:tcW w:w="10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4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39,132</w:t>
            </w:r>
          </w:p>
        </w:tc>
        <w:tc>
          <w:tcPr>
            <w:tcW w:w="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23.95</w:t>
            </w:r>
          </w:p>
        </w:tc>
        <w:tc>
          <w:tcPr>
            <w:tcW w:w="980" w:type="dxa"/>
            <w:vAlign w:val="bottom"/>
            <w:tcBorders>
              <w:right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3/11/2033</w:t>
            </w:r>
          </w:p>
        </w:tc>
        <w:tc>
          <w:tcPr>
            <w:tcW w:w="1120" w:type="dxa"/>
            <w:vAlign w:val="bottom"/>
            <w:shd w:val="clear" w:color="auto" w:fill="EFEDED"/>
          </w:tcPr>
          <w:p>
            <w:pPr>
              <w:jc w:val="right"/>
              <w:ind w:right="97"/>
              <w:spacing w:after="0"/>
              <w:rPr>
                <w:sz w:val="20"/>
                <w:szCs w:val="20"/>
                <w:color w:val="auto"/>
              </w:rPr>
            </w:pPr>
            <w:r>
              <w:rPr>
                <w:rFonts w:ascii="Arial" w:cs="Arial" w:eastAsia="Arial" w:hAnsi="Arial"/>
                <w:sz w:val="13"/>
                <w:szCs w:val="13"/>
                <w:color w:val="58595B"/>
              </w:rPr>
              <w:t>40,931</w:t>
            </w:r>
          </w:p>
        </w:tc>
        <w:tc>
          <w:tcPr>
            <w:tcW w:w="112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508,363</w:t>
            </w:r>
          </w:p>
        </w:tc>
        <w:tc>
          <w:tcPr>
            <w:tcW w:w="108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41,137</w:t>
            </w:r>
          </w:p>
        </w:tc>
        <w:tc>
          <w:tcPr>
            <w:tcW w:w="1320" w:type="dxa"/>
            <w:vAlign w:val="bottom"/>
            <w:shd w:val="clear" w:color="auto" w:fill="EFEDED"/>
          </w:tcPr>
          <w:p>
            <w:pPr>
              <w:jc w:val="right"/>
              <w:ind w:right="137"/>
              <w:spacing w:after="0"/>
              <w:rPr>
                <w:sz w:val="20"/>
                <w:szCs w:val="20"/>
                <w:color w:val="auto"/>
              </w:rPr>
            </w:pPr>
            <w:r>
              <w:rPr>
                <w:rFonts w:ascii="Arial" w:cs="Arial" w:eastAsia="Arial" w:hAnsi="Arial"/>
                <w:sz w:val="13"/>
                <w:szCs w:val="13"/>
                <w:color w:val="58595B"/>
              </w:rPr>
              <w:t>510,922</w:t>
            </w:r>
          </w:p>
        </w:tc>
      </w:tr>
      <w:tr>
        <w:trPr>
          <w:trHeight w:val="203"/>
        </w:trPr>
        <w:tc>
          <w:tcPr>
            <w:tcW w:w="2500" w:type="dxa"/>
            <w:vAlign w:val="bottom"/>
            <w:shd w:val="clear" w:color="auto" w:fill="EFEDED"/>
          </w:tcPr>
          <w:p>
            <w:pPr>
              <w:spacing w:after="0"/>
              <w:rPr>
                <w:sz w:val="17"/>
                <w:szCs w:val="17"/>
                <w:color w:val="auto"/>
              </w:rPr>
            </w:pPr>
          </w:p>
        </w:tc>
        <w:tc>
          <w:tcPr>
            <w:tcW w:w="10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7,056</w:t>
            </w:r>
          </w:p>
        </w:tc>
        <w:tc>
          <w:tcPr>
            <w:tcW w:w="14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21,170</w:t>
            </w:r>
          </w:p>
        </w:tc>
        <w:tc>
          <w:tcPr>
            <w:tcW w:w="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36.22</w:t>
            </w:r>
          </w:p>
        </w:tc>
        <w:tc>
          <w:tcPr>
            <w:tcW w:w="980" w:type="dxa"/>
            <w:vAlign w:val="bottom"/>
            <w:tcBorders>
              <w:right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3/11/2032</w:t>
            </w:r>
          </w:p>
        </w:tc>
        <w:tc>
          <w:tcPr>
            <w:tcW w:w="1120" w:type="dxa"/>
            <w:vAlign w:val="bottom"/>
            <w:shd w:val="clear" w:color="auto" w:fill="EFEDED"/>
          </w:tcPr>
          <w:p>
            <w:pPr>
              <w:spacing w:after="0"/>
              <w:rPr>
                <w:sz w:val="17"/>
                <w:szCs w:val="17"/>
                <w:color w:val="auto"/>
              </w:rPr>
            </w:pPr>
          </w:p>
        </w:tc>
        <w:tc>
          <w:tcPr>
            <w:tcW w:w="1120" w:type="dxa"/>
            <w:vAlign w:val="bottom"/>
            <w:shd w:val="clear" w:color="auto" w:fill="EFEDED"/>
          </w:tcPr>
          <w:p>
            <w:pPr>
              <w:spacing w:after="0"/>
              <w:rPr>
                <w:sz w:val="17"/>
                <w:szCs w:val="17"/>
                <w:color w:val="auto"/>
              </w:rPr>
            </w:pPr>
          </w:p>
        </w:tc>
        <w:tc>
          <w:tcPr>
            <w:tcW w:w="1080" w:type="dxa"/>
            <w:vAlign w:val="bottom"/>
            <w:shd w:val="clear" w:color="auto" w:fill="EFEDED"/>
          </w:tcPr>
          <w:p>
            <w:pPr>
              <w:spacing w:after="0"/>
              <w:rPr>
                <w:sz w:val="17"/>
                <w:szCs w:val="17"/>
                <w:color w:val="auto"/>
              </w:rPr>
            </w:pPr>
          </w:p>
        </w:tc>
        <w:tc>
          <w:tcPr>
            <w:tcW w:w="1320" w:type="dxa"/>
            <w:vAlign w:val="bottom"/>
            <w:shd w:val="clear" w:color="auto" w:fill="EFEDED"/>
          </w:tcPr>
          <w:p>
            <w:pPr>
              <w:spacing w:after="0"/>
              <w:rPr>
                <w:sz w:val="17"/>
                <w:szCs w:val="17"/>
                <w:color w:val="auto"/>
              </w:rPr>
            </w:pPr>
          </w:p>
        </w:tc>
      </w:tr>
      <w:tr>
        <w:trPr>
          <w:trHeight w:val="203"/>
        </w:trPr>
        <w:tc>
          <w:tcPr>
            <w:tcW w:w="2500" w:type="dxa"/>
            <w:vAlign w:val="bottom"/>
            <w:shd w:val="clear" w:color="auto" w:fill="EFEDED"/>
          </w:tcPr>
          <w:p>
            <w:pPr>
              <w:spacing w:after="0"/>
              <w:rPr>
                <w:sz w:val="17"/>
                <w:szCs w:val="17"/>
                <w:color w:val="auto"/>
              </w:rPr>
            </w:pPr>
          </w:p>
        </w:tc>
        <w:tc>
          <w:tcPr>
            <w:tcW w:w="10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9,786</w:t>
            </w:r>
          </w:p>
        </w:tc>
        <w:tc>
          <w:tcPr>
            <w:tcW w:w="14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w:t>
            </w:r>
          </w:p>
        </w:tc>
        <w:tc>
          <w:tcPr>
            <w:tcW w:w="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43.39</w:t>
            </w:r>
          </w:p>
        </w:tc>
        <w:tc>
          <w:tcPr>
            <w:tcW w:w="980" w:type="dxa"/>
            <w:vAlign w:val="bottom"/>
            <w:tcBorders>
              <w:right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3/13/2028</w:t>
            </w:r>
          </w:p>
        </w:tc>
        <w:tc>
          <w:tcPr>
            <w:tcW w:w="1120" w:type="dxa"/>
            <w:vAlign w:val="bottom"/>
            <w:shd w:val="clear" w:color="auto" w:fill="EFEDED"/>
          </w:tcPr>
          <w:p>
            <w:pPr>
              <w:spacing w:after="0"/>
              <w:rPr>
                <w:sz w:val="17"/>
                <w:szCs w:val="17"/>
                <w:color w:val="auto"/>
              </w:rPr>
            </w:pPr>
          </w:p>
        </w:tc>
        <w:tc>
          <w:tcPr>
            <w:tcW w:w="1120" w:type="dxa"/>
            <w:vAlign w:val="bottom"/>
            <w:shd w:val="clear" w:color="auto" w:fill="EFEDED"/>
          </w:tcPr>
          <w:p>
            <w:pPr>
              <w:spacing w:after="0"/>
              <w:rPr>
                <w:sz w:val="17"/>
                <w:szCs w:val="17"/>
                <w:color w:val="auto"/>
              </w:rPr>
            </w:pPr>
          </w:p>
        </w:tc>
        <w:tc>
          <w:tcPr>
            <w:tcW w:w="1080" w:type="dxa"/>
            <w:vAlign w:val="bottom"/>
            <w:shd w:val="clear" w:color="auto" w:fill="EFEDED"/>
          </w:tcPr>
          <w:p>
            <w:pPr>
              <w:spacing w:after="0"/>
              <w:rPr>
                <w:sz w:val="17"/>
                <w:szCs w:val="17"/>
                <w:color w:val="auto"/>
              </w:rPr>
            </w:pPr>
          </w:p>
        </w:tc>
        <w:tc>
          <w:tcPr>
            <w:tcW w:w="1320" w:type="dxa"/>
            <w:vAlign w:val="bottom"/>
            <w:shd w:val="clear" w:color="auto" w:fill="EFEDED"/>
          </w:tcPr>
          <w:p>
            <w:pPr>
              <w:spacing w:after="0"/>
              <w:rPr>
                <w:sz w:val="17"/>
                <w:szCs w:val="17"/>
                <w:color w:val="auto"/>
              </w:rPr>
            </w:pPr>
          </w:p>
        </w:tc>
      </w:tr>
      <w:tr>
        <w:trPr>
          <w:trHeight w:val="203"/>
        </w:trPr>
        <w:tc>
          <w:tcPr>
            <w:tcW w:w="2500" w:type="dxa"/>
            <w:vAlign w:val="bottom"/>
            <w:shd w:val="clear" w:color="auto" w:fill="EFEDED"/>
          </w:tcPr>
          <w:p>
            <w:pPr>
              <w:spacing w:after="0"/>
              <w:rPr>
                <w:sz w:val="17"/>
                <w:szCs w:val="17"/>
                <w:color w:val="auto"/>
              </w:rPr>
            </w:pPr>
          </w:p>
        </w:tc>
        <w:tc>
          <w:tcPr>
            <w:tcW w:w="10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9,956</w:t>
            </w:r>
          </w:p>
        </w:tc>
        <w:tc>
          <w:tcPr>
            <w:tcW w:w="14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9,956</w:t>
            </w:r>
          </w:p>
        </w:tc>
        <w:tc>
          <w:tcPr>
            <w:tcW w:w="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52.87</w:t>
            </w:r>
          </w:p>
        </w:tc>
        <w:tc>
          <w:tcPr>
            <w:tcW w:w="980" w:type="dxa"/>
            <w:vAlign w:val="bottom"/>
            <w:tcBorders>
              <w:right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3/10/2031</w:t>
            </w:r>
          </w:p>
        </w:tc>
        <w:tc>
          <w:tcPr>
            <w:tcW w:w="1120" w:type="dxa"/>
            <w:vAlign w:val="bottom"/>
            <w:shd w:val="clear" w:color="auto" w:fill="EFEDED"/>
          </w:tcPr>
          <w:p>
            <w:pPr>
              <w:spacing w:after="0"/>
              <w:rPr>
                <w:sz w:val="17"/>
                <w:szCs w:val="17"/>
                <w:color w:val="auto"/>
              </w:rPr>
            </w:pPr>
          </w:p>
        </w:tc>
        <w:tc>
          <w:tcPr>
            <w:tcW w:w="1120" w:type="dxa"/>
            <w:vAlign w:val="bottom"/>
            <w:shd w:val="clear" w:color="auto" w:fill="EFEDED"/>
          </w:tcPr>
          <w:p>
            <w:pPr>
              <w:spacing w:after="0"/>
              <w:rPr>
                <w:sz w:val="17"/>
                <w:szCs w:val="17"/>
                <w:color w:val="auto"/>
              </w:rPr>
            </w:pPr>
          </w:p>
        </w:tc>
        <w:tc>
          <w:tcPr>
            <w:tcW w:w="1080" w:type="dxa"/>
            <w:vAlign w:val="bottom"/>
            <w:shd w:val="clear" w:color="auto" w:fill="EFEDED"/>
          </w:tcPr>
          <w:p>
            <w:pPr>
              <w:spacing w:after="0"/>
              <w:rPr>
                <w:sz w:val="17"/>
                <w:szCs w:val="17"/>
                <w:color w:val="auto"/>
              </w:rPr>
            </w:pPr>
          </w:p>
        </w:tc>
        <w:tc>
          <w:tcPr>
            <w:tcW w:w="1320" w:type="dxa"/>
            <w:vAlign w:val="bottom"/>
            <w:shd w:val="clear" w:color="auto" w:fill="EFEDED"/>
          </w:tcPr>
          <w:p>
            <w:pPr>
              <w:spacing w:after="0"/>
              <w:rPr>
                <w:sz w:val="17"/>
                <w:szCs w:val="17"/>
                <w:color w:val="auto"/>
              </w:rPr>
            </w:pPr>
          </w:p>
        </w:tc>
      </w:tr>
      <w:tr>
        <w:trPr>
          <w:trHeight w:val="203"/>
        </w:trPr>
        <w:tc>
          <w:tcPr>
            <w:tcW w:w="2500" w:type="dxa"/>
            <w:vAlign w:val="bottom"/>
            <w:shd w:val="clear" w:color="auto" w:fill="EFEDED"/>
          </w:tcPr>
          <w:p>
            <w:pPr>
              <w:spacing w:after="0"/>
              <w:rPr>
                <w:sz w:val="17"/>
                <w:szCs w:val="17"/>
                <w:color w:val="auto"/>
              </w:rPr>
            </w:pPr>
          </w:p>
        </w:tc>
        <w:tc>
          <w:tcPr>
            <w:tcW w:w="10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5,116</w:t>
            </w:r>
          </w:p>
        </w:tc>
        <w:tc>
          <w:tcPr>
            <w:tcW w:w="14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w:t>
            </w:r>
          </w:p>
        </w:tc>
        <w:tc>
          <w:tcPr>
            <w:tcW w:w="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55.91</w:t>
            </w:r>
          </w:p>
        </w:tc>
        <w:tc>
          <w:tcPr>
            <w:tcW w:w="980" w:type="dxa"/>
            <w:vAlign w:val="bottom"/>
            <w:tcBorders>
              <w:right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3/13/2027</w:t>
            </w:r>
          </w:p>
        </w:tc>
        <w:tc>
          <w:tcPr>
            <w:tcW w:w="1120" w:type="dxa"/>
            <w:vAlign w:val="bottom"/>
            <w:shd w:val="clear" w:color="auto" w:fill="EFEDED"/>
          </w:tcPr>
          <w:p>
            <w:pPr>
              <w:spacing w:after="0"/>
              <w:rPr>
                <w:sz w:val="17"/>
                <w:szCs w:val="17"/>
                <w:color w:val="auto"/>
              </w:rPr>
            </w:pPr>
          </w:p>
        </w:tc>
        <w:tc>
          <w:tcPr>
            <w:tcW w:w="1120" w:type="dxa"/>
            <w:vAlign w:val="bottom"/>
            <w:shd w:val="clear" w:color="auto" w:fill="EFEDED"/>
          </w:tcPr>
          <w:p>
            <w:pPr>
              <w:spacing w:after="0"/>
              <w:rPr>
                <w:sz w:val="17"/>
                <w:szCs w:val="17"/>
                <w:color w:val="auto"/>
              </w:rPr>
            </w:pPr>
          </w:p>
        </w:tc>
        <w:tc>
          <w:tcPr>
            <w:tcW w:w="1080" w:type="dxa"/>
            <w:vAlign w:val="bottom"/>
            <w:shd w:val="clear" w:color="auto" w:fill="EFEDED"/>
          </w:tcPr>
          <w:p>
            <w:pPr>
              <w:spacing w:after="0"/>
              <w:rPr>
                <w:sz w:val="17"/>
                <w:szCs w:val="17"/>
                <w:color w:val="auto"/>
              </w:rPr>
            </w:pPr>
          </w:p>
        </w:tc>
        <w:tc>
          <w:tcPr>
            <w:tcW w:w="1320" w:type="dxa"/>
            <w:vAlign w:val="bottom"/>
            <w:shd w:val="clear" w:color="auto" w:fill="EFEDED"/>
          </w:tcPr>
          <w:p>
            <w:pPr>
              <w:spacing w:after="0"/>
              <w:rPr>
                <w:sz w:val="17"/>
                <w:szCs w:val="17"/>
                <w:color w:val="auto"/>
              </w:rPr>
            </w:pPr>
          </w:p>
        </w:tc>
      </w:tr>
      <w:tr>
        <w:trPr>
          <w:trHeight w:val="202"/>
        </w:trPr>
        <w:tc>
          <w:tcPr>
            <w:tcW w:w="2500" w:type="dxa"/>
            <w:vAlign w:val="bottom"/>
            <w:shd w:val="clear" w:color="auto" w:fill="EFEDED"/>
          </w:tcPr>
          <w:p>
            <w:pPr>
              <w:spacing w:after="0"/>
              <w:rPr>
                <w:sz w:val="17"/>
                <w:szCs w:val="17"/>
                <w:color w:val="auto"/>
              </w:rPr>
            </w:pPr>
          </w:p>
        </w:tc>
        <w:tc>
          <w:tcPr>
            <w:tcW w:w="10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4,298</w:t>
            </w:r>
          </w:p>
        </w:tc>
        <w:tc>
          <w:tcPr>
            <w:tcW w:w="14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w:t>
            </w:r>
          </w:p>
        </w:tc>
        <w:tc>
          <w:tcPr>
            <w:tcW w:w="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56.23</w:t>
            </w:r>
          </w:p>
        </w:tc>
        <w:tc>
          <w:tcPr>
            <w:tcW w:w="980" w:type="dxa"/>
            <w:vAlign w:val="bottom"/>
            <w:tcBorders>
              <w:right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3/13/2026</w:t>
            </w:r>
          </w:p>
        </w:tc>
        <w:tc>
          <w:tcPr>
            <w:tcW w:w="1120" w:type="dxa"/>
            <w:vAlign w:val="bottom"/>
            <w:shd w:val="clear" w:color="auto" w:fill="EFEDED"/>
          </w:tcPr>
          <w:p>
            <w:pPr>
              <w:spacing w:after="0"/>
              <w:rPr>
                <w:sz w:val="17"/>
                <w:szCs w:val="17"/>
                <w:color w:val="auto"/>
              </w:rPr>
            </w:pPr>
          </w:p>
        </w:tc>
        <w:tc>
          <w:tcPr>
            <w:tcW w:w="1120" w:type="dxa"/>
            <w:vAlign w:val="bottom"/>
            <w:shd w:val="clear" w:color="auto" w:fill="EFEDED"/>
          </w:tcPr>
          <w:p>
            <w:pPr>
              <w:spacing w:after="0"/>
              <w:rPr>
                <w:sz w:val="17"/>
                <w:szCs w:val="17"/>
                <w:color w:val="auto"/>
              </w:rPr>
            </w:pPr>
          </w:p>
        </w:tc>
        <w:tc>
          <w:tcPr>
            <w:tcW w:w="1080" w:type="dxa"/>
            <w:vAlign w:val="bottom"/>
            <w:shd w:val="clear" w:color="auto" w:fill="EFEDED"/>
          </w:tcPr>
          <w:p>
            <w:pPr>
              <w:spacing w:after="0"/>
              <w:rPr>
                <w:sz w:val="17"/>
                <w:szCs w:val="17"/>
                <w:color w:val="auto"/>
              </w:rPr>
            </w:pPr>
          </w:p>
        </w:tc>
        <w:tc>
          <w:tcPr>
            <w:tcW w:w="1320" w:type="dxa"/>
            <w:vAlign w:val="bottom"/>
            <w:shd w:val="clear" w:color="auto" w:fill="EFEDED"/>
          </w:tcPr>
          <w:p>
            <w:pPr>
              <w:spacing w:after="0"/>
              <w:rPr>
                <w:sz w:val="17"/>
                <w:szCs w:val="17"/>
                <w:color w:val="auto"/>
              </w:rPr>
            </w:pPr>
          </w:p>
        </w:tc>
      </w:tr>
      <w:tr>
        <w:trPr>
          <w:trHeight w:val="203"/>
        </w:trPr>
        <w:tc>
          <w:tcPr>
            <w:tcW w:w="2500" w:type="dxa"/>
            <w:vAlign w:val="bottom"/>
            <w:shd w:val="clear" w:color="auto" w:fill="EFEDED"/>
          </w:tcPr>
          <w:p>
            <w:pPr>
              <w:spacing w:after="0"/>
              <w:rPr>
                <w:sz w:val="17"/>
                <w:szCs w:val="17"/>
                <w:color w:val="auto"/>
              </w:rPr>
            </w:pPr>
          </w:p>
        </w:tc>
        <w:tc>
          <w:tcPr>
            <w:tcW w:w="10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7,028</w:t>
            </w:r>
          </w:p>
        </w:tc>
        <w:tc>
          <w:tcPr>
            <w:tcW w:w="14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2,343</w:t>
            </w:r>
          </w:p>
        </w:tc>
        <w:tc>
          <w:tcPr>
            <w:tcW w:w="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65.11</w:t>
            </w:r>
          </w:p>
        </w:tc>
        <w:tc>
          <w:tcPr>
            <w:tcW w:w="980" w:type="dxa"/>
            <w:vAlign w:val="bottom"/>
            <w:tcBorders>
              <w:right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3/11/2030</w:t>
            </w:r>
          </w:p>
        </w:tc>
        <w:tc>
          <w:tcPr>
            <w:tcW w:w="1120" w:type="dxa"/>
            <w:vAlign w:val="bottom"/>
            <w:shd w:val="clear" w:color="auto" w:fill="EFEDED"/>
          </w:tcPr>
          <w:p>
            <w:pPr>
              <w:spacing w:after="0"/>
              <w:rPr>
                <w:sz w:val="17"/>
                <w:szCs w:val="17"/>
                <w:color w:val="auto"/>
              </w:rPr>
            </w:pPr>
          </w:p>
        </w:tc>
        <w:tc>
          <w:tcPr>
            <w:tcW w:w="1120" w:type="dxa"/>
            <w:vAlign w:val="bottom"/>
            <w:shd w:val="clear" w:color="auto" w:fill="EFEDED"/>
          </w:tcPr>
          <w:p>
            <w:pPr>
              <w:spacing w:after="0"/>
              <w:rPr>
                <w:sz w:val="17"/>
                <w:szCs w:val="17"/>
                <w:color w:val="auto"/>
              </w:rPr>
            </w:pPr>
          </w:p>
        </w:tc>
        <w:tc>
          <w:tcPr>
            <w:tcW w:w="1080" w:type="dxa"/>
            <w:vAlign w:val="bottom"/>
            <w:shd w:val="clear" w:color="auto" w:fill="EFEDED"/>
          </w:tcPr>
          <w:p>
            <w:pPr>
              <w:spacing w:after="0"/>
              <w:rPr>
                <w:sz w:val="17"/>
                <w:szCs w:val="17"/>
                <w:color w:val="auto"/>
              </w:rPr>
            </w:pPr>
          </w:p>
        </w:tc>
        <w:tc>
          <w:tcPr>
            <w:tcW w:w="1320" w:type="dxa"/>
            <w:vAlign w:val="bottom"/>
            <w:shd w:val="clear" w:color="auto" w:fill="EFEDED"/>
          </w:tcPr>
          <w:p>
            <w:pPr>
              <w:spacing w:after="0"/>
              <w:rPr>
                <w:sz w:val="17"/>
                <w:szCs w:val="17"/>
                <w:color w:val="auto"/>
              </w:rPr>
            </w:pPr>
          </w:p>
        </w:tc>
      </w:tr>
      <w:tr>
        <w:trPr>
          <w:trHeight w:val="210"/>
        </w:trPr>
        <w:tc>
          <w:tcPr>
            <w:tcW w:w="2500" w:type="dxa"/>
            <w:vAlign w:val="bottom"/>
            <w:tcBorders>
              <w:bottom w:val="single" w:sz="8" w:color="EFEDED"/>
            </w:tcBorders>
            <w:shd w:val="clear" w:color="auto" w:fill="EFEDED"/>
          </w:tcPr>
          <w:p>
            <w:pPr>
              <w:spacing w:after="0"/>
              <w:rPr>
                <w:sz w:val="18"/>
                <w:szCs w:val="18"/>
                <w:color w:val="auto"/>
              </w:rPr>
            </w:pPr>
          </w:p>
        </w:tc>
        <w:tc>
          <w:tcPr>
            <w:tcW w:w="10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8,721</w:t>
            </w:r>
          </w:p>
        </w:tc>
        <w:tc>
          <w:tcPr>
            <w:tcW w:w="1420" w:type="dxa"/>
            <w:vAlign w:val="bottom"/>
            <w:tcBorders>
              <w:bottom w:val="single" w:sz="8" w:color="EFEDED"/>
            </w:tcBorders>
            <w:shd w:val="clear" w:color="auto" w:fill="EFEDED"/>
          </w:tcPr>
          <w:p>
            <w:pPr>
              <w:jc w:val="right"/>
              <w:ind w:right="117"/>
              <w:spacing w:after="0"/>
              <w:rPr>
                <w:sz w:val="20"/>
                <w:szCs w:val="20"/>
                <w:color w:val="auto"/>
              </w:rPr>
            </w:pPr>
            <w:r>
              <w:rPr>
                <w:rFonts w:ascii="Arial" w:cs="Arial" w:eastAsia="Arial" w:hAnsi="Arial"/>
                <w:sz w:val="13"/>
                <w:szCs w:val="13"/>
                <w:color w:val="58595B"/>
              </w:rPr>
              <w:t>—</w:t>
            </w:r>
          </w:p>
        </w:tc>
        <w:tc>
          <w:tcPr>
            <w:tcW w:w="6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68.1</w:t>
            </w:r>
          </w:p>
        </w:tc>
        <w:tc>
          <w:tcPr>
            <w:tcW w:w="980" w:type="dxa"/>
            <w:vAlign w:val="bottom"/>
            <w:tcBorders>
              <w:bottom w:val="single" w:sz="8" w:color="EFEDED"/>
              <w:right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3/12/2029</w:t>
            </w:r>
          </w:p>
        </w:tc>
        <w:tc>
          <w:tcPr>
            <w:tcW w:w="1120" w:type="dxa"/>
            <w:vAlign w:val="bottom"/>
            <w:tcBorders>
              <w:bottom w:val="single" w:sz="8" w:color="EFEDED"/>
            </w:tcBorders>
            <w:shd w:val="clear" w:color="auto" w:fill="EFEDED"/>
          </w:tcPr>
          <w:p>
            <w:pPr>
              <w:spacing w:after="0"/>
              <w:rPr>
                <w:sz w:val="18"/>
                <w:szCs w:val="18"/>
                <w:color w:val="auto"/>
              </w:rPr>
            </w:pPr>
          </w:p>
        </w:tc>
        <w:tc>
          <w:tcPr>
            <w:tcW w:w="1120" w:type="dxa"/>
            <w:vAlign w:val="bottom"/>
            <w:tcBorders>
              <w:bottom w:val="single" w:sz="8" w:color="EFEDED"/>
            </w:tcBorders>
            <w:shd w:val="clear" w:color="auto" w:fill="EFEDED"/>
          </w:tcPr>
          <w:p>
            <w:pPr>
              <w:spacing w:after="0"/>
              <w:rPr>
                <w:sz w:val="18"/>
                <w:szCs w:val="18"/>
                <w:color w:val="auto"/>
              </w:rPr>
            </w:pPr>
          </w:p>
        </w:tc>
        <w:tc>
          <w:tcPr>
            <w:tcW w:w="1080" w:type="dxa"/>
            <w:vAlign w:val="bottom"/>
            <w:tcBorders>
              <w:bottom w:val="single" w:sz="8" w:color="EFEDED"/>
            </w:tcBorders>
            <w:shd w:val="clear" w:color="auto" w:fill="EFEDED"/>
          </w:tcPr>
          <w:p>
            <w:pPr>
              <w:spacing w:after="0"/>
              <w:rPr>
                <w:sz w:val="18"/>
                <w:szCs w:val="18"/>
                <w:color w:val="auto"/>
              </w:rPr>
            </w:pPr>
          </w:p>
        </w:tc>
        <w:tc>
          <w:tcPr>
            <w:tcW w:w="1320" w:type="dxa"/>
            <w:vAlign w:val="bottom"/>
            <w:tcBorders>
              <w:bottom w:val="single" w:sz="8" w:color="EFEDED"/>
            </w:tcBorders>
            <w:shd w:val="clear" w:color="auto" w:fill="EFEDED"/>
          </w:tcPr>
          <w:p>
            <w:pPr>
              <w:spacing w:after="0"/>
              <w:rPr>
                <w:sz w:val="18"/>
                <w:szCs w:val="18"/>
                <w:color w:val="auto"/>
              </w:rPr>
            </w:pPr>
          </w:p>
        </w:tc>
      </w:tr>
      <w:tr>
        <w:trPr>
          <w:trHeight w:val="175"/>
        </w:trPr>
        <w:tc>
          <w:tcPr>
            <w:tcW w:w="2500" w:type="dxa"/>
            <w:vAlign w:val="bottom"/>
          </w:tcPr>
          <w:p>
            <w:pPr>
              <w:ind w:left="140"/>
              <w:spacing w:after="0"/>
              <w:rPr>
                <w:sz w:val="20"/>
                <w:szCs w:val="20"/>
                <w:color w:val="auto"/>
              </w:rPr>
            </w:pPr>
            <w:r>
              <w:rPr>
                <w:rFonts w:ascii="Arial" w:cs="Arial" w:eastAsia="Arial" w:hAnsi="Arial"/>
                <w:sz w:val="13"/>
                <w:szCs w:val="13"/>
                <w:color w:val="58595B"/>
              </w:rPr>
              <w:t>Harvinder Singh</w:t>
            </w:r>
          </w:p>
        </w:tc>
        <w:tc>
          <w:tcPr>
            <w:tcW w:w="1060" w:type="dxa"/>
            <w:vAlign w:val="bottom"/>
          </w:tcPr>
          <w:p>
            <w:pPr>
              <w:jc w:val="right"/>
              <w:spacing w:after="0"/>
              <w:rPr>
                <w:sz w:val="20"/>
                <w:szCs w:val="20"/>
                <w:color w:val="auto"/>
              </w:rPr>
            </w:pPr>
            <w:r>
              <w:rPr>
                <w:rFonts w:ascii="Arial" w:cs="Arial" w:eastAsia="Arial" w:hAnsi="Arial"/>
                <w:sz w:val="13"/>
                <w:szCs w:val="13"/>
                <w:color w:val="58595B"/>
              </w:rPr>
              <w:t>—</w:t>
            </w:r>
          </w:p>
        </w:tc>
        <w:tc>
          <w:tcPr>
            <w:tcW w:w="1420" w:type="dxa"/>
            <w:vAlign w:val="bottom"/>
          </w:tcPr>
          <w:p>
            <w:pPr>
              <w:jc w:val="right"/>
              <w:ind w:right="117"/>
              <w:spacing w:after="0"/>
              <w:rPr>
                <w:sz w:val="20"/>
                <w:szCs w:val="20"/>
                <w:color w:val="auto"/>
              </w:rPr>
            </w:pPr>
            <w:r>
              <w:rPr>
                <w:rFonts w:ascii="Arial" w:cs="Arial" w:eastAsia="Arial" w:hAnsi="Arial"/>
                <w:sz w:val="13"/>
                <w:szCs w:val="13"/>
                <w:color w:val="58595B"/>
              </w:rPr>
              <w:t>20,133</w:t>
            </w:r>
          </w:p>
        </w:tc>
        <w:tc>
          <w:tcPr>
            <w:tcW w:w="640" w:type="dxa"/>
            <w:vAlign w:val="bottom"/>
          </w:tcPr>
          <w:p>
            <w:pPr>
              <w:jc w:val="right"/>
              <w:spacing w:after="0"/>
              <w:rPr>
                <w:sz w:val="20"/>
                <w:szCs w:val="20"/>
                <w:color w:val="auto"/>
              </w:rPr>
            </w:pPr>
            <w:r>
              <w:rPr>
                <w:rFonts w:ascii="Arial" w:cs="Arial" w:eastAsia="Arial" w:hAnsi="Arial"/>
                <w:sz w:val="13"/>
                <w:szCs w:val="13"/>
                <w:color w:val="58595B"/>
              </w:rPr>
              <w:t>23.95</w:t>
            </w:r>
          </w:p>
        </w:tc>
        <w:tc>
          <w:tcPr>
            <w:tcW w:w="980" w:type="dxa"/>
            <w:vAlign w:val="bottom"/>
          </w:tcPr>
          <w:p>
            <w:pPr>
              <w:jc w:val="right"/>
              <w:spacing w:after="0"/>
              <w:rPr>
                <w:sz w:val="20"/>
                <w:szCs w:val="20"/>
                <w:color w:val="auto"/>
              </w:rPr>
            </w:pPr>
            <w:r>
              <w:rPr>
                <w:rFonts w:ascii="Arial" w:cs="Arial" w:eastAsia="Arial" w:hAnsi="Arial"/>
                <w:sz w:val="13"/>
                <w:szCs w:val="13"/>
                <w:color w:val="58595B"/>
              </w:rPr>
              <w:t>3/11/2033</w:t>
            </w:r>
          </w:p>
        </w:tc>
        <w:tc>
          <w:tcPr>
            <w:tcW w:w="1120" w:type="dxa"/>
            <w:vAlign w:val="bottom"/>
          </w:tcPr>
          <w:p>
            <w:pPr>
              <w:jc w:val="right"/>
              <w:ind w:right="97"/>
              <w:spacing w:after="0"/>
              <w:rPr>
                <w:sz w:val="20"/>
                <w:szCs w:val="20"/>
                <w:color w:val="auto"/>
              </w:rPr>
            </w:pPr>
            <w:r>
              <w:rPr>
                <w:rFonts w:ascii="Arial" w:cs="Arial" w:eastAsia="Arial" w:hAnsi="Arial"/>
                <w:sz w:val="13"/>
                <w:szCs w:val="13"/>
                <w:color w:val="58595B"/>
              </w:rPr>
              <w:t>32,074</w:t>
            </w:r>
          </w:p>
        </w:tc>
        <w:tc>
          <w:tcPr>
            <w:tcW w:w="1120" w:type="dxa"/>
            <w:vAlign w:val="bottom"/>
          </w:tcPr>
          <w:p>
            <w:pPr>
              <w:jc w:val="right"/>
              <w:ind w:right="57"/>
              <w:spacing w:after="0"/>
              <w:rPr>
                <w:sz w:val="20"/>
                <w:szCs w:val="20"/>
                <w:color w:val="auto"/>
              </w:rPr>
            </w:pPr>
            <w:r>
              <w:rPr>
                <w:rFonts w:ascii="Arial" w:cs="Arial" w:eastAsia="Arial" w:hAnsi="Arial"/>
                <w:sz w:val="13"/>
                <w:szCs w:val="13"/>
                <w:color w:val="58595B"/>
              </w:rPr>
              <w:t>398,359</w:t>
            </w:r>
          </w:p>
        </w:tc>
        <w:tc>
          <w:tcPr>
            <w:tcW w:w="1080" w:type="dxa"/>
            <w:vAlign w:val="bottom"/>
          </w:tcPr>
          <w:p>
            <w:pPr>
              <w:jc w:val="right"/>
              <w:ind w:right="117"/>
              <w:spacing w:after="0"/>
              <w:rPr>
                <w:sz w:val="20"/>
                <w:szCs w:val="20"/>
                <w:color w:val="auto"/>
              </w:rPr>
            </w:pPr>
            <w:r>
              <w:rPr>
                <w:rFonts w:ascii="Arial" w:cs="Arial" w:eastAsia="Arial" w:hAnsi="Arial"/>
                <w:sz w:val="13"/>
                <w:szCs w:val="13"/>
                <w:color w:val="58595B"/>
              </w:rPr>
              <w:t>22,309</w:t>
            </w:r>
          </w:p>
        </w:tc>
        <w:tc>
          <w:tcPr>
            <w:tcW w:w="1320" w:type="dxa"/>
            <w:vAlign w:val="bottom"/>
          </w:tcPr>
          <w:p>
            <w:pPr>
              <w:jc w:val="right"/>
              <w:ind w:right="137"/>
              <w:spacing w:after="0"/>
              <w:rPr>
                <w:sz w:val="20"/>
                <w:szCs w:val="20"/>
                <w:color w:val="auto"/>
              </w:rPr>
            </w:pPr>
            <w:r>
              <w:rPr>
                <w:rFonts w:ascii="Arial" w:cs="Arial" w:eastAsia="Arial" w:hAnsi="Arial"/>
                <w:sz w:val="13"/>
                <w:szCs w:val="13"/>
                <w:color w:val="58595B"/>
              </w:rPr>
              <w:t>277,078</w:t>
            </w:r>
          </w:p>
        </w:tc>
      </w:tr>
      <w:tr>
        <w:trPr>
          <w:trHeight w:val="203"/>
        </w:trPr>
        <w:tc>
          <w:tcPr>
            <w:tcW w:w="2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58595B"/>
              </w:rPr>
              <w:t>4,123</w:t>
            </w:r>
          </w:p>
        </w:tc>
        <w:tc>
          <w:tcPr>
            <w:tcW w:w="1420" w:type="dxa"/>
            <w:vAlign w:val="bottom"/>
          </w:tcPr>
          <w:p>
            <w:pPr>
              <w:jc w:val="right"/>
              <w:ind w:right="117"/>
              <w:spacing w:after="0"/>
              <w:rPr>
                <w:sz w:val="20"/>
                <w:szCs w:val="20"/>
                <w:color w:val="auto"/>
              </w:rPr>
            </w:pPr>
            <w:r>
              <w:rPr>
                <w:rFonts w:ascii="Arial" w:cs="Arial" w:eastAsia="Arial" w:hAnsi="Arial"/>
                <w:sz w:val="13"/>
                <w:szCs w:val="13"/>
                <w:color w:val="58595B"/>
              </w:rPr>
              <w:t>12,370</w:t>
            </w:r>
          </w:p>
        </w:tc>
        <w:tc>
          <w:tcPr>
            <w:tcW w:w="640" w:type="dxa"/>
            <w:vAlign w:val="bottom"/>
          </w:tcPr>
          <w:p>
            <w:pPr>
              <w:jc w:val="right"/>
              <w:spacing w:after="0"/>
              <w:rPr>
                <w:sz w:val="20"/>
                <w:szCs w:val="20"/>
                <w:color w:val="auto"/>
              </w:rPr>
            </w:pPr>
            <w:r>
              <w:rPr>
                <w:rFonts w:ascii="Arial" w:cs="Arial" w:eastAsia="Arial" w:hAnsi="Arial"/>
                <w:sz w:val="13"/>
                <w:szCs w:val="13"/>
                <w:color w:val="58595B"/>
              </w:rPr>
              <w:t>36.22</w:t>
            </w:r>
          </w:p>
        </w:tc>
        <w:tc>
          <w:tcPr>
            <w:tcW w:w="980" w:type="dxa"/>
            <w:vAlign w:val="bottom"/>
          </w:tcPr>
          <w:p>
            <w:pPr>
              <w:jc w:val="right"/>
              <w:spacing w:after="0"/>
              <w:rPr>
                <w:sz w:val="20"/>
                <w:szCs w:val="20"/>
                <w:color w:val="auto"/>
              </w:rPr>
            </w:pPr>
            <w:r>
              <w:rPr>
                <w:rFonts w:ascii="Arial" w:cs="Arial" w:eastAsia="Arial" w:hAnsi="Arial"/>
                <w:sz w:val="13"/>
                <w:szCs w:val="13"/>
                <w:color w:val="58595B"/>
              </w:rPr>
              <w:t>3/11/2032</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58595B"/>
              </w:rPr>
              <w:t>4,378</w:t>
            </w:r>
          </w:p>
        </w:tc>
        <w:tc>
          <w:tcPr>
            <w:tcW w:w="1420" w:type="dxa"/>
            <w:vAlign w:val="bottom"/>
          </w:tcPr>
          <w:p>
            <w:pPr>
              <w:jc w:val="right"/>
              <w:ind w:right="117"/>
              <w:spacing w:after="0"/>
              <w:rPr>
                <w:sz w:val="20"/>
                <w:szCs w:val="20"/>
                <w:color w:val="auto"/>
              </w:rPr>
            </w:pPr>
            <w:r>
              <w:rPr>
                <w:rFonts w:ascii="Arial" w:cs="Arial" w:eastAsia="Arial" w:hAnsi="Arial"/>
                <w:sz w:val="13"/>
                <w:szCs w:val="13"/>
                <w:color w:val="58595B"/>
              </w:rPr>
              <w:t>4,380</w:t>
            </w:r>
          </w:p>
        </w:tc>
        <w:tc>
          <w:tcPr>
            <w:tcW w:w="640" w:type="dxa"/>
            <w:vAlign w:val="bottom"/>
          </w:tcPr>
          <w:p>
            <w:pPr>
              <w:jc w:val="right"/>
              <w:spacing w:after="0"/>
              <w:rPr>
                <w:sz w:val="20"/>
                <w:szCs w:val="20"/>
                <w:color w:val="auto"/>
              </w:rPr>
            </w:pPr>
            <w:r>
              <w:rPr>
                <w:rFonts w:ascii="Arial" w:cs="Arial" w:eastAsia="Arial" w:hAnsi="Arial"/>
                <w:sz w:val="13"/>
                <w:szCs w:val="13"/>
                <w:color w:val="58595B"/>
              </w:rPr>
              <w:t>52.87</w:t>
            </w:r>
          </w:p>
        </w:tc>
        <w:tc>
          <w:tcPr>
            <w:tcW w:w="980" w:type="dxa"/>
            <w:vAlign w:val="bottom"/>
          </w:tcPr>
          <w:p>
            <w:pPr>
              <w:jc w:val="right"/>
              <w:spacing w:after="0"/>
              <w:rPr>
                <w:sz w:val="20"/>
                <w:szCs w:val="20"/>
                <w:color w:val="auto"/>
              </w:rPr>
            </w:pPr>
            <w:r>
              <w:rPr>
                <w:rFonts w:ascii="Arial" w:cs="Arial" w:eastAsia="Arial" w:hAnsi="Arial"/>
                <w:sz w:val="13"/>
                <w:szCs w:val="13"/>
                <w:color w:val="58595B"/>
              </w:rPr>
              <w:t>3/10/2031</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8"/>
        </w:trPr>
        <w:tc>
          <w:tcPr>
            <w:tcW w:w="2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75"/>
        </w:trPr>
        <w:tc>
          <w:tcPr>
            <w:tcW w:w="2500" w:type="dxa"/>
            <w:vAlign w:val="bottom"/>
            <w:shd w:val="clear" w:color="auto" w:fill="EFEDED"/>
          </w:tcPr>
          <w:p>
            <w:pPr>
              <w:ind w:left="140"/>
              <w:spacing w:after="0"/>
              <w:rPr>
                <w:sz w:val="20"/>
                <w:szCs w:val="20"/>
                <w:color w:val="auto"/>
              </w:rPr>
            </w:pPr>
            <w:r>
              <w:rPr>
                <w:rFonts w:ascii="Arial" w:cs="Arial" w:eastAsia="Arial" w:hAnsi="Arial"/>
                <w:sz w:val="13"/>
                <w:szCs w:val="13"/>
                <w:color w:val="58595B"/>
              </w:rPr>
              <w:t>Jan De Witte</w:t>
            </w:r>
          </w:p>
        </w:tc>
        <w:tc>
          <w:tcPr>
            <w:tcW w:w="10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23,916</w:t>
            </w:r>
          </w:p>
        </w:tc>
        <w:tc>
          <w:tcPr>
            <w:tcW w:w="14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71,748</w:t>
            </w:r>
          </w:p>
        </w:tc>
        <w:tc>
          <w:tcPr>
            <w:tcW w:w="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36.22</w:t>
            </w:r>
          </w:p>
        </w:tc>
        <w:tc>
          <w:tcPr>
            <w:tcW w:w="980" w:type="dxa"/>
            <w:vAlign w:val="bottom"/>
            <w:tcBorders>
              <w:right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3/11/2032</w:t>
            </w:r>
          </w:p>
        </w:tc>
        <w:tc>
          <w:tcPr>
            <w:tcW w:w="1120" w:type="dxa"/>
            <w:vAlign w:val="bottom"/>
            <w:shd w:val="clear" w:color="auto" w:fill="EFEDED"/>
          </w:tcPr>
          <w:p>
            <w:pPr>
              <w:jc w:val="right"/>
              <w:ind w:right="97"/>
              <w:spacing w:after="0"/>
              <w:rPr>
                <w:sz w:val="20"/>
                <w:szCs w:val="20"/>
                <w:color w:val="auto"/>
              </w:rPr>
            </w:pPr>
            <w:r>
              <w:rPr>
                <w:rFonts w:ascii="Arial" w:cs="Arial" w:eastAsia="Arial" w:hAnsi="Arial"/>
                <w:sz w:val="13"/>
                <w:szCs w:val="13"/>
                <w:color w:val="58595B"/>
              </w:rPr>
              <w:t>36,278</w:t>
            </w:r>
          </w:p>
        </w:tc>
        <w:tc>
          <w:tcPr>
            <w:tcW w:w="1120" w:type="dxa"/>
            <w:vAlign w:val="bottom"/>
            <w:shd w:val="clear" w:color="auto" w:fill="EFEDED"/>
          </w:tcPr>
          <w:p>
            <w:pPr>
              <w:jc w:val="right"/>
              <w:ind w:right="57"/>
              <w:spacing w:after="0"/>
              <w:rPr>
                <w:sz w:val="20"/>
                <w:szCs w:val="20"/>
                <w:color w:val="auto"/>
              </w:rPr>
            </w:pPr>
            <w:r>
              <w:rPr>
                <w:rFonts w:ascii="Arial" w:cs="Arial" w:eastAsia="Arial" w:hAnsi="Arial"/>
                <w:sz w:val="13"/>
                <w:szCs w:val="13"/>
                <w:color w:val="58595B"/>
              </w:rPr>
              <w:t>450,573</w:t>
            </w:r>
          </w:p>
        </w:tc>
        <w:tc>
          <w:tcPr>
            <w:tcW w:w="108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55,495</w:t>
            </w:r>
          </w:p>
        </w:tc>
        <w:tc>
          <w:tcPr>
            <w:tcW w:w="1320" w:type="dxa"/>
            <w:vAlign w:val="bottom"/>
            <w:shd w:val="clear" w:color="auto" w:fill="EFEDED"/>
          </w:tcPr>
          <w:p>
            <w:pPr>
              <w:jc w:val="right"/>
              <w:ind w:right="137"/>
              <w:spacing w:after="0"/>
              <w:rPr>
                <w:sz w:val="20"/>
                <w:szCs w:val="20"/>
                <w:color w:val="auto"/>
              </w:rPr>
            </w:pPr>
            <w:r>
              <w:rPr>
                <w:rFonts w:ascii="Arial" w:cs="Arial" w:eastAsia="Arial" w:hAnsi="Arial"/>
                <w:sz w:val="13"/>
                <w:szCs w:val="13"/>
                <w:color w:val="58595B"/>
              </w:rPr>
              <w:t>689,248</w:t>
            </w:r>
          </w:p>
        </w:tc>
      </w:tr>
      <w:tr>
        <w:trPr>
          <w:trHeight w:val="203"/>
        </w:trPr>
        <w:tc>
          <w:tcPr>
            <w:tcW w:w="2500" w:type="dxa"/>
            <w:vAlign w:val="bottom"/>
            <w:shd w:val="clear" w:color="auto" w:fill="EFEDED"/>
          </w:tcPr>
          <w:p>
            <w:pPr>
              <w:spacing w:after="0"/>
              <w:rPr>
                <w:sz w:val="17"/>
                <w:szCs w:val="17"/>
                <w:color w:val="auto"/>
              </w:rPr>
            </w:pPr>
          </w:p>
        </w:tc>
        <w:tc>
          <w:tcPr>
            <w:tcW w:w="10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31,858</w:t>
            </w:r>
          </w:p>
        </w:tc>
        <w:tc>
          <w:tcPr>
            <w:tcW w:w="1420" w:type="dxa"/>
            <w:vAlign w:val="bottom"/>
            <w:shd w:val="clear" w:color="auto" w:fill="EFEDED"/>
          </w:tcPr>
          <w:p>
            <w:pPr>
              <w:jc w:val="right"/>
              <w:ind w:right="117"/>
              <w:spacing w:after="0"/>
              <w:rPr>
                <w:sz w:val="20"/>
                <w:szCs w:val="20"/>
                <w:color w:val="auto"/>
              </w:rPr>
            </w:pPr>
            <w:r>
              <w:rPr>
                <w:rFonts w:ascii="Arial" w:cs="Arial" w:eastAsia="Arial" w:hAnsi="Arial"/>
                <w:sz w:val="13"/>
                <w:szCs w:val="13"/>
                <w:color w:val="58595B"/>
              </w:rPr>
              <w:t>31,859</w:t>
            </w:r>
          </w:p>
        </w:tc>
        <w:tc>
          <w:tcPr>
            <w:tcW w:w="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52.87</w:t>
            </w:r>
          </w:p>
        </w:tc>
        <w:tc>
          <w:tcPr>
            <w:tcW w:w="980" w:type="dxa"/>
            <w:vAlign w:val="bottom"/>
            <w:tcBorders>
              <w:right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3/10/2031</w:t>
            </w:r>
          </w:p>
        </w:tc>
        <w:tc>
          <w:tcPr>
            <w:tcW w:w="1120" w:type="dxa"/>
            <w:vAlign w:val="bottom"/>
            <w:shd w:val="clear" w:color="auto" w:fill="EFEDED"/>
          </w:tcPr>
          <w:p>
            <w:pPr>
              <w:spacing w:after="0"/>
              <w:rPr>
                <w:sz w:val="17"/>
                <w:szCs w:val="17"/>
                <w:color w:val="auto"/>
              </w:rPr>
            </w:pPr>
          </w:p>
        </w:tc>
        <w:tc>
          <w:tcPr>
            <w:tcW w:w="1120" w:type="dxa"/>
            <w:vAlign w:val="bottom"/>
            <w:shd w:val="clear" w:color="auto" w:fill="EFEDED"/>
          </w:tcPr>
          <w:p>
            <w:pPr>
              <w:spacing w:after="0"/>
              <w:rPr>
                <w:sz w:val="17"/>
                <w:szCs w:val="17"/>
                <w:color w:val="auto"/>
              </w:rPr>
            </w:pPr>
          </w:p>
        </w:tc>
        <w:tc>
          <w:tcPr>
            <w:tcW w:w="1080" w:type="dxa"/>
            <w:vAlign w:val="bottom"/>
            <w:shd w:val="clear" w:color="auto" w:fill="EFEDED"/>
          </w:tcPr>
          <w:p>
            <w:pPr>
              <w:spacing w:after="0"/>
              <w:rPr>
                <w:sz w:val="17"/>
                <w:szCs w:val="17"/>
                <w:color w:val="auto"/>
              </w:rPr>
            </w:pPr>
          </w:p>
        </w:tc>
        <w:tc>
          <w:tcPr>
            <w:tcW w:w="1320" w:type="dxa"/>
            <w:vAlign w:val="bottom"/>
            <w:shd w:val="clear" w:color="auto" w:fill="EFEDED"/>
          </w:tcPr>
          <w:p>
            <w:pPr>
              <w:spacing w:after="0"/>
              <w:rPr>
                <w:sz w:val="17"/>
                <w:szCs w:val="17"/>
                <w:color w:val="auto"/>
              </w:rPr>
            </w:pPr>
          </w:p>
        </w:tc>
      </w:tr>
      <w:tr>
        <w:trPr>
          <w:trHeight w:val="210"/>
        </w:trPr>
        <w:tc>
          <w:tcPr>
            <w:tcW w:w="2500" w:type="dxa"/>
            <w:vAlign w:val="bottom"/>
            <w:tcBorders>
              <w:bottom w:val="single" w:sz="8" w:color="EFEDED"/>
            </w:tcBorders>
            <w:shd w:val="clear" w:color="auto" w:fill="EFEDED"/>
          </w:tcPr>
          <w:p>
            <w:pPr>
              <w:spacing w:after="0"/>
              <w:rPr>
                <w:sz w:val="18"/>
                <w:szCs w:val="18"/>
                <w:color w:val="auto"/>
              </w:rPr>
            </w:pPr>
          </w:p>
        </w:tc>
        <w:tc>
          <w:tcPr>
            <w:tcW w:w="10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32,399</w:t>
            </w:r>
          </w:p>
        </w:tc>
        <w:tc>
          <w:tcPr>
            <w:tcW w:w="1420" w:type="dxa"/>
            <w:vAlign w:val="bottom"/>
            <w:tcBorders>
              <w:bottom w:val="single" w:sz="8" w:color="EFEDED"/>
            </w:tcBorders>
            <w:shd w:val="clear" w:color="auto" w:fill="EFEDED"/>
          </w:tcPr>
          <w:p>
            <w:pPr>
              <w:jc w:val="right"/>
              <w:ind w:right="117"/>
              <w:spacing w:after="0"/>
              <w:rPr>
                <w:sz w:val="20"/>
                <w:szCs w:val="20"/>
                <w:color w:val="auto"/>
              </w:rPr>
            </w:pPr>
            <w:r>
              <w:rPr>
                <w:rFonts w:ascii="Arial" w:cs="Arial" w:eastAsia="Arial" w:hAnsi="Arial"/>
                <w:sz w:val="13"/>
                <w:szCs w:val="13"/>
                <w:color w:val="58595B"/>
              </w:rPr>
              <w:t>10,800</w:t>
            </w:r>
          </w:p>
        </w:tc>
        <w:tc>
          <w:tcPr>
            <w:tcW w:w="6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65.11</w:t>
            </w:r>
          </w:p>
        </w:tc>
        <w:tc>
          <w:tcPr>
            <w:tcW w:w="980" w:type="dxa"/>
            <w:vAlign w:val="bottom"/>
            <w:tcBorders>
              <w:bottom w:val="single" w:sz="8" w:color="EFEDED"/>
              <w:right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3/11/2030</w:t>
            </w:r>
          </w:p>
        </w:tc>
        <w:tc>
          <w:tcPr>
            <w:tcW w:w="1120" w:type="dxa"/>
            <w:vAlign w:val="bottom"/>
            <w:tcBorders>
              <w:bottom w:val="single" w:sz="8" w:color="EFEDED"/>
            </w:tcBorders>
            <w:shd w:val="clear" w:color="auto" w:fill="EFEDED"/>
          </w:tcPr>
          <w:p>
            <w:pPr>
              <w:spacing w:after="0"/>
              <w:rPr>
                <w:sz w:val="18"/>
                <w:szCs w:val="18"/>
                <w:color w:val="auto"/>
              </w:rPr>
            </w:pPr>
          </w:p>
        </w:tc>
        <w:tc>
          <w:tcPr>
            <w:tcW w:w="1120" w:type="dxa"/>
            <w:vAlign w:val="bottom"/>
            <w:tcBorders>
              <w:bottom w:val="single" w:sz="8" w:color="EFEDED"/>
            </w:tcBorders>
            <w:shd w:val="clear" w:color="auto" w:fill="EFEDED"/>
          </w:tcPr>
          <w:p>
            <w:pPr>
              <w:spacing w:after="0"/>
              <w:rPr>
                <w:sz w:val="18"/>
                <w:szCs w:val="18"/>
                <w:color w:val="auto"/>
              </w:rPr>
            </w:pPr>
          </w:p>
        </w:tc>
        <w:tc>
          <w:tcPr>
            <w:tcW w:w="1080" w:type="dxa"/>
            <w:vAlign w:val="bottom"/>
            <w:tcBorders>
              <w:bottom w:val="single" w:sz="8" w:color="EFEDED"/>
            </w:tcBorders>
            <w:shd w:val="clear" w:color="auto" w:fill="EFEDED"/>
          </w:tcPr>
          <w:p>
            <w:pPr>
              <w:spacing w:after="0"/>
              <w:rPr>
                <w:sz w:val="18"/>
                <w:szCs w:val="18"/>
                <w:color w:val="auto"/>
              </w:rPr>
            </w:pPr>
          </w:p>
        </w:tc>
        <w:tc>
          <w:tcPr>
            <w:tcW w:w="1320" w:type="dxa"/>
            <w:vAlign w:val="bottom"/>
            <w:tcBorders>
              <w:bottom w:val="single" w:sz="8" w:color="EFEDED"/>
            </w:tcBorders>
            <w:shd w:val="clear" w:color="auto" w:fill="EFEDED"/>
          </w:tcPr>
          <w:p>
            <w:pPr>
              <w:spacing w:after="0"/>
              <w:rPr>
                <w:sz w:val="18"/>
                <w:szCs w:val="18"/>
                <w:color w:val="auto"/>
              </w:rPr>
            </w:pPr>
          </w:p>
        </w:tc>
      </w:tr>
      <w:tr>
        <w:trPr>
          <w:trHeight w:val="20"/>
        </w:trPr>
        <w:tc>
          <w:tcPr>
            <w:tcW w:w="2500" w:type="dxa"/>
            <w:vAlign w:val="bottom"/>
            <w:shd w:val="clear" w:color="auto" w:fill="58595B"/>
          </w:tcPr>
          <w:p>
            <w:pPr>
              <w:spacing w:after="0" w:line="20" w:lineRule="exact"/>
              <w:rPr>
                <w:sz w:val="1"/>
                <w:szCs w:val="1"/>
                <w:color w:val="auto"/>
              </w:rPr>
            </w:pPr>
          </w:p>
        </w:tc>
        <w:tc>
          <w:tcPr>
            <w:tcW w:w="1060" w:type="dxa"/>
            <w:vAlign w:val="bottom"/>
            <w:shd w:val="clear" w:color="auto" w:fill="58595B"/>
          </w:tcPr>
          <w:p>
            <w:pPr>
              <w:spacing w:after="0" w:line="20" w:lineRule="exact"/>
              <w:rPr>
                <w:sz w:val="1"/>
                <w:szCs w:val="1"/>
                <w:color w:val="auto"/>
              </w:rPr>
            </w:pPr>
          </w:p>
        </w:tc>
        <w:tc>
          <w:tcPr>
            <w:tcW w:w="1420" w:type="dxa"/>
            <w:vAlign w:val="bottom"/>
            <w:shd w:val="clear" w:color="auto" w:fill="58595B"/>
          </w:tcPr>
          <w:p>
            <w:pPr>
              <w:spacing w:after="0" w:line="20" w:lineRule="exact"/>
              <w:rPr>
                <w:sz w:val="1"/>
                <w:szCs w:val="1"/>
                <w:color w:val="auto"/>
              </w:rPr>
            </w:pPr>
          </w:p>
        </w:tc>
        <w:tc>
          <w:tcPr>
            <w:tcW w:w="640" w:type="dxa"/>
            <w:vAlign w:val="bottom"/>
            <w:shd w:val="clear" w:color="auto" w:fill="58595B"/>
          </w:tcPr>
          <w:p>
            <w:pPr>
              <w:spacing w:after="0" w:line="20" w:lineRule="exact"/>
              <w:rPr>
                <w:sz w:val="1"/>
                <w:szCs w:val="1"/>
                <w:color w:val="auto"/>
              </w:rPr>
            </w:pPr>
          </w:p>
        </w:tc>
        <w:tc>
          <w:tcPr>
            <w:tcW w:w="980" w:type="dxa"/>
            <w:vAlign w:val="bottom"/>
            <w:tcBorders>
              <w:right w:val="single" w:sz="8" w:color="58595B"/>
            </w:tcBorders>
            <w:shd w:val="clear" w:color="auto" w:fill="58595B"/>
          </w:tcPr>
          <w:p>
            <w:pPr>
              <w:spacing w:after="0" w:line="20" w:lineRule="exact"/>
              <w:rPr>
                <w:sz w:val="1"/>
                <w:szCs w:val="1"/>
                <w:color w:val="auto"/>
              </w:rPr>
            </w:pPr>
          </w:p>
        </w:tc>
        <w:tc>
          <w:tcPr>
            <w:tcW w:w="1120" w:type="dxa"/>
            <w:vAlign w:val="bottom"/>
            <w:shd w:val="clear" w:color="auto" w:fill="58595B"/>
          </w:tcPr>
          <w:p>
            <w:pPr>
              <w:spacing w:after="0" w:line="20" w:lineRule="exact"/>
              <w:rPr>
                <w:sz w:val="1"/>
                <w:szCs w:val="1"/>
                <w:color w:val="auto"/>
              </w:rPr>
            </w:pPr>
          </w:p>
        </w:tc>
        <w:tc>
          <w:tcPr>
            <w:tcW w:w="1120" w:type="dxa"/>
            <w:vAlign w:val="bottom"/>
            <w:shd w:val="clear" w:color="auto" w:fill="58595B"/>
          </w:tcPr>
          <w:p>
            <w:pPr>
              <w:spacing w:after="0" w:line="20" w:lineRule="exact"/>
              <w:rPr>
                <w:sz w:val="1"/>
                <w:szCs w:val="1"/>
                <w:color w:val="auto"/>
              </w:rPr>
            </w:pPr>
          </w:p>
        </w:tc>
        <w:tc>
          <w:tcPr>
            <w:tcW w:w="1080" w:type="dxa"/>
            <w:vAlign w:val="bottom"/>
            <w:shd w:val="clear" w:color="auto" w:fill="58595B"/>
          </w:tcPr>
          <w:p>
            <w:pPr>
              <w:spacing w:after="0" w:line="20" w:lineRule="exact"/>
              <w:rPr>
                <w:sz w:val="1"/>
                <w:szCs w:val="1"/>
                <w:color w:val="auto"/>
              </w:rPr>
            </w:pPr>
          </w:p>
        </w:tc>
        <w:tc>
          <w:tcPr>
            <w:tcW w:w="1320" w:type="dxa"/>
            <w:vAlign w:val="bottom"/>
            <w:shd w:val="clear" w:color="auto" w:fill="58595B"/>
          </w:tcPr>
          <w:p>
            <w:pPr>
              <w:spacing w:after="0" w:line="20" w:lineRule="exact"/>
              <w:rPr>
                <w:sz w:val="1"/>
                <w:szCs w:val="1"/>
                <w:color w:val="auto"/>
              </w:rPr>
            </w:pPr>
          </w:p>
        </w:tc>
      </w:tr>
    </w:tbl>
    <w:p>
      <w:pPr>
        <w:spacing w:after="0" w:line="139" w:lineRule="exact"/>
        <w:rPr>
          <w:sz w:val="20"/>
          <w:szCs w:val="20"/>
          <w:color w:val="auto"/>
        </w:rPr>
      </w:pPr>
    </w:p>
    <w:p>
      <w:pPr>
        <w:jc w:val="both"/>
        <w:ind w:left="340" w:right="60" w:hanging="332"/>
        <w:spacing w:after="0" w:line="273" w:lineRule="auto"/>
        <w:tabs>
          <w:tab w:leader="none" w:pos="338" w:val="left"/>
        </w:tabs>
        <w:numPr>
          <w:ilvl w:val="0"/>
          <w:numId w:val="45"/>
        </w:numPr>
        <w:rPr>
          <w:rFonts w:ascii="Arial" w:cs="Arial" w:eastAsia="Arial" w:hAnsi="Arial"/>
          <w:sz w:val="14"/>
          <w:szCs w:val="14"/>
          <w:color w:val="auto"/>
        </w:rPr>
      </w:pPr>
      <w:r>
        <w:rPr>
          <w:rFonts w:ascii="Arial" w:cs="Arial" w:eastAsia="Arial" w:hAnsi="Arial"/>
          <w:sz w:val="14"/>
          <w:szCs w:val="14"/>
          <w:color w:val="auto"/>
        </w:rPr>
        <w:t>Vesting information for each outstanding non-qualified stock option award as of December 31, 2025 for the NEOs is described in the table below. Consistent with the terms of the De Witte Letter Agreement and Consulting Agreement, Mr. De Witte has the ability to exercise vested stock options for the lesser of (a) the stated terms of the stock options and (b) six months following his cessation of service to the Company under the Consulting Agreement.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860" w:type="dxa"/>
            <w:vAlign w:val="bottom"/>
            <w:tcBorders>
              <w:bottom w:val="single" w:sz="8" w:color="EFEDED"/>
            </w:tcBorders>
            <w:shd w:val="clear" w:color="auto" w:fill="EFEDED"/>
          </w:tcPr>
          <w:p>
            <w:pPr>
              <w:spacing w:after="0"/>
              <w:rPr>
                <w:sz w:val="17"/>
                <w:szCs w:val="17"/>
                <w:color w:val="auto"/>
              </w:rPr>
            </w:pPr>
          </w:p>
        </w:tc>
        <w:tc>
          <w:tcPr>
            <w:tcW w:w="820" w:type="dxa"/>
            <w:vAlign w:val="bottom"/>
            <w:tcBorders>
              <w:bottom w:val="single" w:sz="8" w:color="58595B"/>
            </w:tcBorders>
            <w:shd w:val="clear" w:color="auto" w:fill="EFEDED"/>
          </w:tcPr>
          <w:p>
            <w:pPr>
              <w:spacing w:after="0"/>
              <w:rPr>
                <w:sz w:val="17"/>
                <w:szCs w:val="17"/>
                <w:color w:val="auto"/>
              </w:rPr>
            </w:pPr>
          </w:p>
        </w:tc>
        <w:tc>
          <w:tcPr>
            <w:tcW w:w="1200" w:type="dxa"/>
            <w:vAlign w:val="bottom"/>
            <w:tcBorders>
              <w:bottom w:val="single" w:sz="8" w:color="58595B"/>
            </w:tcBorders>
            <w:shd w:val="clear" w:color="auto" w:fill="EFEDED"/>
          </w:tcPr>
          <w:p>
            <w:pPr>
              <w:spacing w:after="0"/>
              <w:rPr>
                <w:sz w:val="17"/>
                <w:szCs w:val="17"/>
                <w:color w:val="auto"/>
              </w:rPr>
            </w:pPr>
          </w:p>
        </w:tc>
        <w:tc>
          <w:tcPr>
            <w:tcW w:w="4180" w:type="dxa"/>
            <w:vAlign w:val="bottom"/>
            <w:tcBorders>
              <w:bottom w:val="single" w:sz="8" w:color="58595B"/>
            </w:tcBorders>
            <w:gridSpan w:val="3"/>
            <w:shd w:val="clear" w:color="auto" w:fill="EFEDED"/>
          </w:tcPr>
          <w:p>
            <w:pPr>
              <w:jc w:val="right"/>
              <w:ind w:right="37"/>
              <w:spacing w:after="0"/>
              <w:rPr>
                <w:sz w:val="20"/>
                <w:szCs w:val="20"/>
                <w:color w:val="auto"/>
              </w:rPr>
            </w:pPr>
            <w:r>
              <w:rPr>
                <w:rFonts w:ascii="Arial" w:cs="Arial" w:eastAsia="Arial" w:hAnsi="Arial"/>
                <w:sz w:val="13"/>
                <w:szCs w:val="13"/>
                <w:color w:val="58595B"/>
              </w:rPr>
              <w:t>Number of Shares Underlying Non-Qualified Stock Option Awards</w:t>
            </w:r>
          </w:p>
        </w:tc>
        <w:tc>
          <w:tcPr>
            <w:tcW w:w="1220" w:type="dxa"/>
            <w:vAlign w:val="bottom"/>
            <w:tcBorders>
              <w:bottom w:val="single" w:sz="8" w:color="58595B"/>
            </w:tcBorders>
            <w:shd w:val="clear" w:color="auto" w:fill="EFEDED"/>
          </w:tcPr>
          <w:p>
            <w:pPr>
              <w:spacing w:after="0"/>
              <w:rPr>
                <w:sz w:val="17"/>
                <w:szCs w:val="17"/>
                <w:color w:val="auto"/>
              </w:rPr>
            </w:pPr>
          </w:p>
        </w:tc>
        <w:tc>
          <w:tcPr>
            <w:tcW w:w="1240" w:type="dxa"/>
            <w:vAlign w:val="bottom"/>
            <w:tcBorders>
              <w:bottom w:val="single" w:sz="8" w:color="58595B"/>
            </w:tcBorders>
            <w:shd w:val="clear" w:color="auto" w:fill="EFEDED"/>
          </w:tcPr>
          <w:p>
            <w:pPr>
              <w:spacing w:after="0"/>
              <w:rPr>
                <w:sz w:val="17"/>
                <w:szCs w:val="17"/>
                <w:color w:val="auto"/>
              </w:rPr>
            </w:pPr>
          </w:p>
        </w:tc>
      </w:tr>
      <w:tr>
        <w:trPr>
          <w:trHeight w:val="158"/>
        </w:trPr>
        <w:tc>
          <w:tcPr>
            <w:tcW w:w="1860" w:type="dxa"/>
            <w:vAlign w:val="bottom"/>
            <w:shd w:val="clear" w:color="auto" w:fill="EFEDED"/>
          </w:tcPr>
          <w:p>
            <w:pPr>
              <w:spacing w:after="0"/>
              <w:rPr>
                <w:sz w:val="13"/>
                <w:szCs w:val="13"/>
                <w:color w:val="auto"/>
              </w:rPr>
            </w:pPr>
          </w:p>
        </w:tc>
        <w:tc>
          <w:tcPr>
            <w:tcW w:w="820" w:type="dxa"/>
            <w:vAlign w:val="bottom"/>
            <w:shd w:val="clear" w:color="auto" w:fill="EFEDED"/>
          </w:tcPr>
          <w:p>
            <w:pPr>
              <w:jc w:val="right"/>
              <w:ind w:right="157"/>
              <w:spacing w:after="0"/>
              <w:rPr>
                <w:sz w:val="20"/>
                <w:szCs w:val="20"/>
                <w:color w:val="auto"/>
              </w:rPr>
            </w:pPr>
            <w:r>
              <w:rPr>
                <w:rFonts w:ascii="Arial" w:cs="Arial" w:eastAsia="Arial" w:hAnsi="Arial"/>
                <w:sz w:val="13"/>
                <w:szCs w:val="13"/>
                <w:color w:val="58595B"/>
              </w:rPr>
              <w:t>Exercise</w:t>
            </w:r>
          </w:p>
        </w:tc>
        <w:tc>
          <w:tcPr>
            <w:tcW w:w="1200" w:type="dxa"/>
            <w:vAlign w:val="bottom"/>
            <w:shd w:val="clear" w:color="auto" w:fill="EFEDED"/>
          </w:tcPr>
          <w:p>
            <w:pPr>
              <w:spacing w:after="0"/>
              <w:rPr>
                <w:sz w:val="13"/>
                <w:szCs w:val="13"/>
                <w:color w:val="auto"/>
              </w:rPr>
            </w:pPr>
          </w:p>
        </w:tc>
        <w:tc>
          <w:tcPr>
            <w:tcW w:w="1180" w:type="dxa"/>
            <w:vAlign w:val="bottom"/>
            <w:shd w:val="clear" w:color="auto" w:fill="EFEDED"/>
          </w:tcPr>
          <w:p>
            <w:pPr>
              <w:spacing w:after="0"/>
              <w:rPr>
                <w:sz w:val="13"/>
                <w:szCs w:val="13"/>
                <w:color w:val="auto"/>
              </w:rPr>
            </w:pPr>
          </w:p>
        </w:tc>
        <w:tc>
          <w:tcPr>
            <w:tcW w:w="1500" w:type="dxa"/>
            <w:vAlign w:val="bottom"/>
            <w:shd w:val="clear" w:color="auto" w:fill="EFEDED"/>
          </w:tcPr>
          <w:p>
            <w:pPr>
              <w:spacing w:after="0"/>
              <w:rPr>
                <w:sz w:val="13"/>
                <w:szCs w:val="13"/>
                <w:color w:val="auto"/>
              </w:rPr>
            </w:pPr>
          </w:p>
        </w:tc>
        <w:tc>
          <w:tcPr>
            <w:tcW w:w="1500" w:type="dxa"/>
            <w:vAlign w:val="bottom"/>
            <w:shd w:val="clear" w:color="auto" w:fill="EFEDED"/>
          </w:tcPr>
          <w:p>
            <w:pPr>
              <w:spacing w:after="0"/>
              <w:rPr>
                <w:sz w:val="13"/>
                <w:szCs w:val="13"/>
                <w:color w:val="auto"/>
              </w:rPr>
            </w:pPr>
          </w:p>
        </w:tc>
        <w:tc>
          <w:tcPr>
            <w:tcW w:w="1220" w:type="dxa"/>
            <w:vAlign w:val="bottom"/>
            <w:shd w:val="clear" w:color="auto" w:fill="EFEDED"/>
          </w:tcPr>
          <w:p>
            <w:pPr>
              <w:spacing w:after="0"/>
              <w:rPr>
                <w:sz w:val="13"/>
                <w:szCs w:val="13"/>
                <w:color w:val="auto"/>
              </w:rPr>
            </w:pPr>
          </w:p>
        </w:tc>
        <w:tc>
          <w:tcPr>
            <w:tcW w:w="1240" w:type="dxa"/>
            <w:vAlign w:val="bottom"/>
            <w:shd w:val="clear" w:color="auto" w:fill="EFEDED"/>
          </w:tcPr>
          <w:p>
            <w:pPr>
              <w:spacing w:after="0"/>
              <w:rPr>
                <w:sz w:val="13"/>
                <w:szCs w:val="13"/>
                <w:color w:val="auto"/>
              </w:rPr>
            </w:pPr>
          </w:p>
        </w:tc>
      </w:tr>
      <w:tr>
        <w:trPr>
          <w:trHeight w:val="173"/>
        </w:trPr>
        <w:tc>
          <w:tcPr>
            <w:tcW w:w="186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Vesting Date</w:t>
            </w:r>
          </w:p>
        </w:tc>
        <w:tc>
          <w:tcPr>
            <w:tcW w:w="820" w:type="dxa"/>
            <w:vAlign w:val="bottom"/>
            <w:tcBorders>
              <w:bottom w:val="single" w:sz="8" w:color="EFEDED"/>
            </w:tcBorders>
            <w:shd w:val="clear" w:color="auto" w:fill="EFEDED"/>
          </w:tcPr>
          <w:p>
            <w:pPr>
              <w:jc w:val="right"/>
              <w:ind w:right="257"/>
              <w:spacing w:after="0"/>
              <w:rPr>
                <w:sz w:val="20"/>
                <w:szCs w:val="20"/>
                <w:color w:val="auto"/>
              </w:rPr>
            </w:pPr>
            <w:r>
              <w:rPr>
                <w:rFonts w:ascii="Arial" w:cs="Arial" w:eastAsia="Arial" w:hAnsi="Arial"/>
                <w:sz w:val="13"/>
                <w:szCs w:val="13"/>
                <w:color w:val="58595B"/>
              </w:rPr>
              <w:t>Price</w:t>
            </w:r>
          </w:p>
        </w:tc>
        <w:tc>
          <w:tcPr>
            <w:tcW w:w="1200" w:type="dxa"/>
            <w:vAlign w:val="bottom"/>
            <w:tcBorders>
              <w:bottom w:val="single" w:sz="8" w:color="EFEDED"/>
            </w:tcBorders>
            <w:shd w:val="clear" w:color="auto" w:fill="EFEDED"/>
          </w:tcPr>
          <w:p>
            <w:pPr>
              <w:jc w:val="right"/>
              <w:ind w:right="297"/>
              <w:spacing w:after="0"/>
              <w:rPr>
                <w:sz w:val="20"/>
                <w:szCs w:val="20"/>
                <w:color w:val="auto"/>
              </w:rPr>
            </w:pPr>
            <w:r>
              <w:rPr>
                <w:rFonts w:ascii="Arial" w:cs="Arial" w:eastAsia="Arial" w:hAnsi="Arial"/>
                <w:sz w:val="13"/>
                <w:szCs w:val="13"/>
                <w:color w:val="58595B"/>
              </w:rPr>
              <w:t>Mojdeh Poul</w:t>
            </w:r>
          </w:p>
        </w:tc>
        <w:tc>
          <w:tcPr>
            <w:tcW w:w="1180" w:type="dxa"/>
            <w:vAlign w:val="bottom"/>
            <w:tcBorders>
              <w:bottom w:val="single" w:sz="8" w:color="EFEDED"/>
            </w:tcBorders>
            <w:shd w:val="clear" w:color="auto" w:fill="EFEDED"/>
          </w:tcPr>
          <w:p>
            <w:pPr>
              <w:jc w:val="right"/>
              <w:ind w:right="337"/>
              <w:spacing w:after="0"/>
              <w:rPr>
                <w:sz w:val="20"/>
                <w:szCs w:val="20"/>
                <w:color w:val="auto"/>
              </w:rPr>
            </w:pPr>
            <w:r>
              <w:rPr>
                <w:rFonts w:ascii="Arial" w:cs="Arial" w:eastAsia="Arial" w:hAnsi="Arial"/>
                <w:sz w:val="13"/>
                <w:szCs w:val="13"/>
                <w:color w:val="58595B"/>
              </w:rPr>
              <w:t>Lea Knight</w:t>
            </w:r>
          </w:p>
        </w:tc>
        <w:tc>
          <w:tcPr>
            <w:tcW w:w="1500" w:type="dxa"/>
            <w:vAlign w:val="bottom"/>
            <w:tcBorders>
              <w:bottom w:val="single" w:sz="8" w:color="EFEDED"/>
            </w:tcBorders>
            <w:shd w:val="clear" w:color="auto" w:fill="EFEDED"/>
          </w:tcPr>
          <w:p>
            <w:pPr>
              <w:jc w:val="right"/>
              <w:ind w:right="257"/>
              <w:spacing w:after="0"/>
              <w:rPr>
                <w:sz w:val="20"/>
                <w:szCs w:val="20"/>
                <w:color w:val="auto"/>
              </w:rPr>
            </w:pPr>
            <w:r>
              <w:rPr>
                <w:rFonts w:ascii="Arial" w:cs="Arial" w:eastAsia="Arial" w:hAnsi="Arial"/>
                <w:sz w:val="13"/>
                <w:szCs w:val="13"/>
                <w:color w:val="58595B"/>
              </w:rPr>
              <w:t>Robert T. Davis Jr.</w:t>
            </w:r>
          </w:p>
        </w:tc>
        <w:tc>
          <w:tcPr>
            <w:tcW w:w="1500" w:type="dxa"/>
            <w:vAlign w:val="bottom"/>
            <w:tcBorders>
              <w:bottom w:val="single" w:sz="8" w:color="EFEDED"/>
            </w:tcBorders>
            <w:shd w:val="clear" w:color="auto" w:fill="EFEDED"/>
          </w:tcPr>
          <w:p>
            <w:pPr>
              <w:jc w:val="right"/>
              <w:ind w:right="197"/>
              <w:spacing w:after="0"/>
              <w:rPr>
                <w:sz w:val="20"/>
                <w:szCs w:val="20"/>
                <w:color w:val="auto"/>
              </w:rPr>
            </w:pPr>
            <w:r>
              <w:rPr>
                <w:rFonts w:ascii="Arial" w:cs="Arial" w:eastAsia="Arial" w:hAnsi="Arial"/>
                <w:sz w:val="13"/>
                <w:szCs w:val="13"/>
                <w:color w:val="58595B"/>
              </w:rPr>
              <w:t>Michael J. McBreen</w:t>
            </w:r>
          </w:p>
        </w:tc>
        <w:tc>
          <w:tcPr>
            <w:tcW w:w="1220" w:type="dxa"/>
            <w:vAlign w:val="bottom"/>
            <w:tcBorders>
              <w:bottom w:val="single" w:sz="8" w:color="EFEDED"/>
            </w:tcBorders>
            <w:shd w:val="clear" w:color="auto" w:fill="EFEDED"/>
          </w:tcPr>
          <w:p>
            <w:pPr>
              <w:jc w:val="right"/>
              <w:ind w:right="157"/>
              <w:spacing w:after="0"/>
              <w:rPr>
                <w:sz w:val="20"/>
                <w:szCs w:val="20"/>
                <w:color w:val="auto"/>
              </w:rPr>
            </w:pPr>
            <w:r>
              <w:rPr>
                <w:rFonts w:ascii="Arial" w:cs="Arial" w:eastAsia="Arial" w:hAnsi="Arial"/>
                <w:sz w:val="13"/>
                <w:szCs w:val="13"/>
                <w:color w:val="58595B"/>
              </w:rPr>
              <w:t>Harvinder Singh</w:t>
            </w:r>
          </w:p>
        </w:tc>
        <w:tc>
          <w:tcPr>
            <w:tcW w:w="1240" w:type="dxa"/>
            <w:vAlign w:val="bottom"/>
            <w:tcBorders>
              <w:bottom w:val="single" w:sz="8" w:color="EFEDED"/>
            </w:tcBorders>
            <w:shd w:val="clear" w:color="auto" w:fill="EFEDED"/>
          </w:tcPr>
          <w:p>
            <w:pPr>
              <w:jc w:val="right"/>
              <w:ind w:right="297"/>
              <w:spacing w:after="0"/>
              <w:rPr>
                <w:sz w:val="20"/>
                <w:szCs w:val="20"/>
                <w:color w:val="auto"/>
              </w:rPr>
            </w:pPr>
            <w:r>
              <w:rPr>
                <w:rFonts w:ascii="Arial" w:cs="Arial" w:eastAsia="Arial" w:hAnsi="Arial"/>
                <w:sz w:val="13"/>
                <w:szCs w:val="13"/>
                <w:color w:val="58595B"/>
              </w:rPr>
              <w:t>Jan De Witte</w:t>
            </w:r>
          </w:p>
        </w:tc>
      </w:tr>
      <w:tr>
        <w:trPr>
          <w:trHeight w:val="175"/>
        </w:trPr>
        <w:tc>
          <w:tcPr>
            <w:tcW w:w="1860" w:type="dxa"/>
            <w:vAlign w:val="bottom"/>
          </w:tcPr>
          <w:p>
            <w:pPr>
              <w:ind w:left="140"/>
              <w:spacing w:after="0"/>
              <w:rPr>
                <w:sz w:val="20"/>
                <w:szCs w:val="20"/>
                <w:color w:val="auto"/>
              </w:rPr>
            </w:pPr>
            <w:r>
              <w:rPr>
                <w:rFonts w:ascii="Arial" w:cs="Arial" w:eastAsia="Arial" w:hAnsi="Arial"/>
                <w:sz w:val="13"/>
                <w:szCs w:val="13"/>
                <w:color w:val="58595B"/>
              </w:rPr>
              <w:t>2026</w:t>
            </w: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8"/>
        </w:trPr>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86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1/6/2026</w:t>
            </w:r>
          </w:p>
        </w:tc>
        <w:tc>
          <w:tcPr>
            <w:tcW w:w="820" w:type="dxa"/>
            <w:vAlign w:val="bottom"/>
            <w:tcBorders>
              <w:bottom w:val="single" w:sz="8" w:color="EFEDED"/>
            </w:tcBorders>
            <w:shd w:val="clear" w:color="auto" w:fill="EFEDED"/>
          </w:tcPr>
          <w:p>
            <w:pPr>
              <w:jc w:val="right"/>
              <w:ind w:right="97"/>
              <w:spacing w:after="0"/>
              <w:rPr>
                <w:sz w:val="20"/>
                <w:szCs w:val="20"/>
                <w:color w:val="auto"/>
              </w:rPr>
            </w:pPr>
            <w:r>
              <w:rPr>
                <w:rFonts w:ascii="Arial" w:cs="Arial" w:eastAsia="Arial" w:hAnsi="Arial"/>
                <w:sz w:val="13"/>
                <w:szCs w:val="13"/>
                <w:color w:val="58595B"/>
              </w:rPr>
              <w:t>21.70</w:t>
            </w:r>
          </w:p>
        </w:tc>
        <w:tc>
          <w:tcPr>
            <w:tcW w:w="1200" w:type="dxa"/>
            <w:vAlign w:val="bottom"/>
            <w:tcBorders>
              <w:bottom w:val="single" w:sz="8" w:color="EFEDED"/>
            </w:tcBorders>
            <w:shd w:val="clear" w:color="auto" w:fill="EFEDED"/>
          </w:tcPr>
          <w:p>
            <w:pPr>
              <w:jc w:val="right"/>
              <w:ind w:right="97"/>
              <w:spacing w:after="0"/>
              <w:rPr>
                <w:sz w:val="20"/>
                <w:szCs w:val="20"/>
                <w:color w:val="auto"/>
              </w:rPr>
            </w:pPr>
            <w:r>
              <w:rPr>
                <w:rFonts w:ascii="Arial" w:cs="Arial" w:eastAsia="Arial" w:hAnsi="Arial"/>
                <w:sz w:val="13"/>
                <w:szCs w:val="13"/>
                <w:color w:val="58595B"/>
              </w:rPr>
              <w:t>54,489</w:t>
            </w:r>
          </w:p>
        </w:tc>
        <w:tc>
          <w:tcPr>
            <w:tcW w:w="1180" w:type="dxa"/>
            <w:vAlign w:val="bottom"/>
            <w:tcBorders>
              <w:bottom w:val="single" w:sz="8" w:color="EFEDED"/>
            </w:tcBorders>
            <w:shd w:val="clear" w:color="auto" w:fill="EFEDED"/>
          </w:tcPr>
          <w:p>
            <w:pPr>
              <w:spacing w:after="0"/>
              <w:rPr>
                <w:sz w:val="15"/>
                <w:szCs w:val="15"/>
                <w:color w:val="auto"/>
              </w:rPr>
            </w:pPr>
          </w:p>
        </w:tc>
        <w:tc>
          <w:tcPr>
            <w:tcW w:w="1500" w:type="dxa"/>
            <w:vAlign w:val="bottom"/>
            <w:tcBorders>
              <w:bottom w:val="single" w:sz="8" w:color="EFEDED"/>
            </w:tcBorders>
            <w:shd w:val="clear" w:color="auto" w:fill="EFEDED"/>
          </w:tcPr>
          <w:p>
            <w:pPr>
              <w:spacing w:after="0"/>
              <w:rPr>
                <w:sz w:val="15"/>
                <w:szCs w:val="15"/>
                <w:color w:val="auto"/>
              </w:rPr>
            </w:pPr>
          </w:p>
        </w:tc>
        <w:tc>
          <w:tcPr>
            <w:tcW w:w="1500" w:type="dxa"/>
            <w:vAlign w:val="bottom"/>
            <w:tcBorders>
              <w:bottom w:val="single" w:sz="8" w:color="EFEDED"/>
            </w:tcBorders>
            <w:shd w:val="clear" w:color="auto" w:fill="EFEDED"/>
          </w:tcPr>
          <w:p>
            <w:pPr>
              <w:spacing w:after="0"/>
              <w:rPr>
                <w:sz w:val="15"/>
                <w:szCs w:val="15"/>
                <w:color w:val="auto"/>
              </w:rPr>
            </w:pPr>
          </w:p>
        </w:tc>
        <w:tc>
          <w:tcPr>
            <w:tcW w:w="1220" w:type="dxa"/>
            <w:vAlign w:val="bottom"/>
            <w:tcBorders>
              <w:bottom w:val="single" w:sz="8" w:color="EFEDED"/>
            </w:tcBorders>
            <w:shd w:val="clear" w:color="auto" w:fill="EFEDED"/>
          </w:tcPr>
          <w:p>
            <w:pPr>
              <w:spacing w:after="0"/>
              <w:rPr>
                <w:sz w:val="15"/>
                <w:szCs w:val="15"/>
                <w:color w:val="auto"/>
              </w:rPr>
            </w:pPr>
          </w:p>
        </w:tc>
        <w:tc>
          <w:tcPr>
            <w:tcW w:w="1240" w:type="dxa"/>
            <w:vAlign w:val="bottom"/>
            <w:tcBorders>
              <w:bottom w:val="single" w:sz="8" w:color="EFEDED"/>
            </w:tcBorders>
            <w:shd w:val="clear" w:color="auto" w:fill="EFEDED"/>
          </w:tcPr>
          <w:p>
            <w:pPr>
              <w:spacing w:after="0"/>
              <w:rPr>
                <w:sz w:val="15"/>
                <w:szCs w:val="15"/>
                <w:color w:val="auto"/>
              </w:rPr>
            </w:pPr>
          </w:p>
        </w:tc>
      </w:tr>
      <w:tr>
        <w:trPr>
          <w:trHeight w:val="175"/>
        </w:trPr>
        <w:tc>
          <w:tcPr>
            <w:tcW w:w="1860" w:type="dxa"/>
            <w:vAlign w:val="bottom"/>
          </w:tcPr>
          <w:p>
            <w:pPr>
              <w:ind w:left="140"/>
              <w:spacing w:after="0"/>
              <w:rPr>
                <w:sz w:val="20"/>
                <w:szCs w:val="20"/>
                <w:color w:val="auto"/>
              </w:rPr>
            </w:pPr>
            <w:r>
              <w:rPr>
                <w:rFonts w:ascii="Arial" w:cs="Arial" w:eastAsia="Arial" w:hAnsi="Arial"/>
                <w:sz w:val="13"/>
                <w:szCs w:val="13"/>
                <w:color w:val="58595B"/>
              </w:rPr>
              <w:t>3/10/2026</w:t>
            </w:r>
          </w:p>
        </w:tc>
        <w:tc>
          <w:tcPr>
            <w:tcW w:w="820" w:type="dxa"/>
            <w:vAlign w:val="bottom"/>
          </w:tcPr>
          <w:p>
            <w:pPr>
              <w:jc w:val="right"/>
              <w:ind w:right="97"/>
              <w:spacing w:after="0"/>
              <w:rPr>
                <w:sz w:val="20"/>
                <w:szCs w:val="20"/>
                <w:color w:val="auto"/>
              </w:rPr>
            </w:pPr>
            <w:r>
              <w:rPr>
                <w:rFonts w:ascii="Arial" w:cs="Arial" w:eastAsia="Arial" w:hAnsi="Arial"/>
                <w:sz w:val="13"/>
                <w:szCs w:val="13"/>
                <w:color w:val="58595B"/>
              </w:rPr>
              <w:t>52.87</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jc w:val="right"/>
              <w:ind w:right="77"/>
              <w:spacing w:after="0"/>
              <w:rPr>
                <w:sz w:val="20"/>
                <w:szCs w:val="20"/>
                <w:color w:val="auto"/>
              </w:rPr>
            </w:pPr>
            <w:r>
              <w:rPr>
                <w:rFonts w:ascii="Arial" w:cs="Arial" w:eastAsia="Arial" w:hAnsi="Arial"/>
                <w:sz w:val="13"/>
                <w:szCs w:val="13"/>
                <w:color w:val="58595B"/>
              </w:rPr>
              <w:t>2,589</w:t>
            </w:r>
          </w:p>
        </w:tc>
        <w:tc>
          <w:tcPr>
            <w:tcW w:w="1500" w:type="dxa"/>
            <w:vAlign w:val="bottom"/>
          </w:tcPr>
          <w:p>
            <w:pPr>
              <w:jc w:val="right"/>
              <w:ind w:right="57"/>
              <w:spacing w:after="0"/>
              <w:rPr>
                <w:sz w:val="20"/>
                <w:szCs w:val="20"/>
                <w:color w:val="auto"/>
              </w:rPr>
            </w:pPr>
            <w:r>
              <w:rPr>
                <w:rFonts w:ascii="Arial" w:cs="Arial" w:eastAsia="Arial" w:hAnsi="Arial"/>
                <w:sz w:val="13"/>
                <w:szCs w:val="13"/>
                <w:color w:val="58595B"/>
              </w:rPr>
              <w:t>4,978</w:t>
            </w:r>
          </w:p>
        </w:tc>
        <w:tc>
          <w:tcPr>
            <w:tcW w:w="1220" w:type="dxa"/>
            <w:vAlign w:val="bottom"/>
          </w:tcPr>
          <w:p>
            <w:pPr>
              <w:jc w:val="right"/>
              <w:ind w:right="77"/>
              <w:spacing w:after="0"/>
              <w:rPr>
                <w:sz w:val="20"/>
                <w:szCs w:val="20"/>
                <w:color w:val="auto"/>
              </w:rPr>
            </w:pPr>
            <w:r>
              <w:rPr>
                <w:rFonts w:ascii="Arial" w:cs="Arial" w:eastAsia="Arial" w:hAnsi="Arial"/>
                <w:sz w:val="13"/>
                <w:szCs w:val="13"/>
                <w:color w:val="58595B"/>
              </w:rPr>
              <w:t>2,190</w:t>
            </w:r>
          </w:p>
        </w:tc>
        <w:tc>
          <w:tcPr>
            <w:tcW w:w="1240" w:type="dxa"/>
            <w:vAlign w:val="bottom"/>
          </w:tcPr>
          <w:p>
            <w:pPr>
              <w:jc w:val="right"/>
              <w:ind w:right="137"/>
              <w:spacing w:after="0"/>
              <w:rPr>
                <w:sz w:val="20"/>
                <w:szCs w:val="20"/>
                <w:color w:val="auto"/>
              </w:rPr>
            </w:pPr>
            <w:r>
              <w:rPr>
                <w:rFonts w:ascii="Arial" w:cs="Arial" w:eastAsia="Arial" w:hAnsi="Arial"/>
                <w:sz w:val="13"/>
                <w:szCs w:val="13"/>
                <w:color w:val="58595B"/>
              </w:rPr>
              <w:t>15,929</w:t>
            </w:r>
          </w:p>
        </w:tc>
      </w:tr>
      <w:tr>
        <w:trPr>
          <w:trHeight w:val="28"/>
        </w:trPr>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86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3/11/2026</w:t>
            </w:r>
          </w:p>
        </w:tc>
        <w:tc>
          <w:tcPr>
            <w:tcW w:w="820" w:type="dxa"/>
            <w:vAlign w:val="bottom"/>
            <w:tcBorders>
              <w:bottom w:val="single" w:sz="8" w:color="EFEDED"/>
            </w:tcBorders>
            <w:shd w:val="clear" w:color="auto" w:fill="EFEDED"/>
          </w:tcPr>
          <w:p>
            <w:pPr>
              <w:jc w:val="right"/>
              <w:ind w:right="97"/>
              <w:spacing w:after="0"/>
              <w:rPr>
                <w:sz w:val="20"/>
                <w:szCs w:val="20"/>
                <w:color w:val="auto"/>
              </w:rPr>
            </w:pPr>
            <w:r>
              <w:rPr>
                <w:rFonts w:ascii="Arial" w:cs="Arial" w:eastAsia="Arial" w:hAnsi="Arial"/>
                <w:sz w:val="13"/>
                <w:szCs w:val="13"/>
                <w:color w:val="58595B"/>
              </w:rPr>
              <w:t>23.95</w:t>
            </w:r>
          </w:p>
        </w:tc>
        <w:tc>
          <w:tcPr>
            <w:tcW w:w="1200" w:type="dxa"/>
            <w:vAlign w:val="bottom"/>
            <w:tcBorders>
              <w:bottom w:val="single" w:sz="8" w:color="EFEDED"/>
            </w:tcBorders>
            <w:shd w:val="clear" w:color="auto" w:fill="EFEDED"/>
          </w:tcPr>
          <w:p>
            <w:pPr>
              <w:spacing w:after="0"/>
              <w:rPr>
                <w:sz w:val="15"/>
                <w:szCs w:val="15"/>
                <w:color w:val="auto"/>
              </w:rPr>
            </w:pPr>
          </w:p>
        </w:tc>
        <w:tc>
          <w:tcPr>
            <w:tcW w:w="1180" w:type="dxa"/>
            <w:vAlign w:val="bottom"/>
            <w:tcBorders>
              <w:bottom w:val="single" w:sz="8" w:color="EFEDED"/>
            </w:tcBorders>
            <w:shd w:val="clear" w:color="auto" w:fill="EFEDED"/>
          </w:tcPr>
          <w:p>
            <w:pPr>
              <w:jc w:val="right"/>
              <w:ind w:right="97"/>
              <w:spacing w:after="0"/>
              <w:rPr>
                <w:sz w:val="20"/>
                <w:szCs w:val="20"/>
                <w:color w:val="auto"/>
              </w:rPr>
            </w:pPr>
            <w:r>
              <w:rPr>
                <w:rFonts w:ascii="Arial" w:cs="Arial" w:eastAsia="Arial" w:hAnsi="Arial"/>
                <w:sz w:val="13"/>
                <w:szCs w:val="13"/>
                <w:color w:val="58595B"/>
              </w:rPr>
              <w:t>11,042</w:t>
            </w:r>
          </w:p>
        </w:tc>
        <w:tc>
          <w:tcPr>
            <w:tcW w:w="150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6,577</w:t>
            </w:r>
          </w:p>
        </w:tc>
        <w:tc>
          <w:tcPr>
            <w:tcW w:w="1500" w:type="dxa"/>
            <w:vAlign w:val="bottom"/>
            <w:tcBorders>
              <w:bottom w:val="single" w:sz="8" w:color="EFEDED"/>
            </w:tcBorders>
            <w:shd w:val="clear" w:color="auto" w:fill="EFEDED"/>
          </w:tcPr>
          <w:p>
            <w:pPr>
              <w:jc w:val="right"/>
              <w:ind w:right="57"/>
              <w:spacing w:after="0"/>
              <w:rPr>
                <w:sz w:val="20"/>
                <w:szCs w:val="20"/>
                <w:color w:val="auto"/>
              </w:rPr>
            </w:pPr>
            <w:r>
              <w:rPr>
                <w:rFonts w:ascii="Arial" w:cs="Arial" w:eastAsia="Arial" w:hAnsi="Arial"/>
                <w:sz w:val="13"/>
                <w:szCs w:val="13"/>
                <w:color w:val="58595B"/>
              </w:rPr>
              <w:t>9,783</w:t>
            </w:r>
          </w:p>
        </w:tc>
        <w:tc>
          <w:tcPr>
            <w:tcW w:w="122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5,033</w:t>
            </w:r>
          </w:p>
        </w:tc>
        <w:tc>
          <w:tcPr>
            <w:tcW w:w="1240" w:type="dxa"/>
            <w:vAlign w:val="bottom"/>
            <w:tcBorders>
              <w:bottom w:val="single" w:sz="8" w:color="EFEDED"/>
            </w:tcBorders>
            <w:shd w:val="clear" w:color="auto" w:fill="EFEDED"/>
          </w:tcPr>
          <w:p>
            <w:pPr>
              <w:spacing w:after="0"/>
              <w:rPr>
                <w:sz w:val="15"/>
                <w:szCs w:val="15"/>
                <w:color w:val="auto"/>
              </w:rPr>
            </w:pPr>
          </w:p>
        </w:tc>
      </w:tr>
      <w:tr>
        <w:trPr>
          <w:trHeight w:val="175"/>
        </w:trPr>
        <w:tc>
          <w:tcPr>
            <w:tcW w:w="1860" w:type="dxa"/>
            <w:vAlign w:val="bottom"/>
          </w:tcPr>
          <w:p>
            <w:pPr>
              <w:ind w:left="140"/>
              <w:spacing w:after="0"/>
              <w:rPr>
                <w:sz w:val="20"/>
                <w:szCs w:val="20"/>
                <w:color w:val="auto"/>
              </w:rPr>
            </w:pPr>
            <w:r>
              <w:rPr>
                <w:rFonts w:ascii="Arial" w:cs="Arial" w:eastAsia="Arial" w:hAnsi="Arial"/>
                <w:sz w:val="13"/>
                <w:szCs w:val="13"/>
                <w:color w:val="58595B"/>
              </w:rPr>
              <w:t>3/11/2026</w:t>
            </w:r>
          </w:p>
        </w:tc>
        <w:tc>
          <w:tcPr>
            <w:tcW w:w="820" w:type="dxa"/>
            <w:vAlign w:val="bottom"/>
          </w:tcPr>
          <w:p>
            <w:pPr>
              <w:jc w:val="right"/>
              <w:ind w:right="97"/>
              <w:spacing w:after="0"/>
              <w:rPr>
                <w:sz w:val="20"/>
                <w:szCs w:val="20"/>
                <w:color w:val="auto"/>
              </w:rPr>
            </w:pPr>
            <w:r>
              <w:rPr>
                <w:rFonts w:ascii="Arial" w:cs="Arial" w:eastAsia="Arial" w:hAnsi="Arial"/>
                <w:sz w:val="13"/>
                <w:szCs w:val="13"/>
                <w:color w:val="58595B"/>
              </w:rPr>
              <w:t>36.22</w:t>
            </w:r>
          </w:p>
        </w:tc>
        <w:tc>
          <w:tcPr>
            <w:tcW w:w="1200" w:type="dxa"/>
            <w:vAlign w:val="bottom"/>
          </w:tcPr>
          <w:p>
            <w:pPr>
              <w:spacing w:after="0"/>
              <w:rPr>
                <w:sz w:val="15"/>
                <w:szCs w:val="15"/>
                <w:color w:val="auto"/>
              </w:rPr>
            </w:pPr>
          </w:p>
        </w:tc>
        <w:tc>
          <w:tcPr>
            <w:tcW w:w="1180" w:type="dxa"/>
            <w:vAlign w:val="bottom"/>
          </w:tcPr>
          <w:p>
            <w:pPr>
              <w:jc w:val="right"/>
              <w:ind w:right="97"/>
              <w:spacing w:after="0"/>
              <w:rPr>
                <w:sz w:val="20"/>
                <w:szCs w:val="20"/>
                <w:color w:val="auto"/>
              </w:rPr>
            </w:pPr>
            <w:r>
              <w:rPr>
                <w:rFonts w:ascii="Arial" w:cs="Arial" w:eastAsia="Arial" w:hAnsi="Arial"/>
                <w:sz w:val="13"/>
                <w:szCs w:val="13"/>
                <w:color w:val="58595B"/>
              </w:rPr>
              <w:t>6,827</w:t>
            </w:r>
          </w:p>
        </w:tc>
        <w:tc>
          <w:tcPr>
            <w:tcW w:w="1500" w:type="dxa"/>
            <w:vAlign w:val="bottom"/>
          </w:tcPr>
          <w:p>
            <w:pPr>
              <w:jc w:val="right"/>
              <w:ind w:right="77"/>
              <w:spacing w:after="0"/>
              <w:rPr>
                <w:sz w:val="20"/>
                <w:szCs w:val="20"/>
                <w:color w:val="auto"/>
              </w:rPr>
            </w:pPr>
            <w:r>
              <w:rPr>
                <w:rFonts w:ascii="Arial" w:cs="Arial" w:eastAsia="Arial" w:hAnsi="Arial"/>
                <w:sz w:val="13"/>
                <w:szCs w:val="13"/>
                <w:color w:val="58595B"/>
              </w:rPr>
              <w:t>3,741</w:t>
            </w:r>
          </w:p>
        </w:tc>
        <w:tc>
          <w:tcPr>
            <w:tcW w:w="1500" w:type="dxa"/>
            <w:vAlign w:val="bottom"/>
          </w:tcPr>
          <w:p>
            <w:pPr>
              <w:jc w:val="right"/>
              <w:ind w:right="57"/>
              <w:spacing w:after="0"/>
              <w:rPr>
                <w:sz w:val="20"/>
                <w:szCs w:val="20"/>
                <w:color w:val="auto"/>
              </w:rPr>
            </w:pPr>
            <w:r>
              <w:rPr>
                <w:rFonts w:ascii="Arial" w:cs="Arial" w:eastAsia="Arial" w:hAnsi="Arial"/>
                <w:sz w:val="13"/>
                <w:szCs w:val="13"/>
                <w:color w:val="58595B"/>
              </w:rPr>
              <w:t>7,056</w:t>
            </w:r>
          </w:p>
        </w:tc>
        <w:tc>
          <w:tcPr>
            <w:tcW w:w="1220" w:type="dxa"/>
            <w:vAlign w:val="bottom"/>
          </w:tcPr>
          <w:p>
            <w:pPr>
              <w:jc w:val="right"/>
              <w:ind w:right="77"/>
              <w:spacing w:after="0"/>
              <w:rPr>
                <w:sz w:val="20"/>
                <w:szCs w:val="20"/>
                <w:color w:val="auto"/>
              </w:rPr>
            </w:pPr>
            <w:r>
              <w:rPr>
                <w:rFonts w:ascii="Arial" w:cs="Arial" w:eastAsia="Arial" w:hAnsi="Arial"/>
                <w:sz w:val="13"/>
                <w:szCs w:val="13"/>
                <w:color w:val="58595B"/>
              </w:rPr>
              <w:t>4,123</w:t>
            </w:r>
          </w:p>
        </w:tc>
        <w:tc>
          <w:tcPr>
            <w:tcW w:w="1240" w:type="dxa"/>
            <w:vAlign w:val="bottom"/>
          </w:tcPr>
          <w:p>
            <w:pPr>
              <w:jc w:val="right"/>
              <w:ind w:right="137"/>
              <w:spacing w:after="0"/>
              <w:rPr>
                <w:sz w:val="20"/>
                <w:szCs w:val="20"/>
                <w:color w:val="auto"/>
              </w:rPr>
            </w:pPr>
            <w:r>
              <w:rPr>
                <w:rFonts w:ascii="Arial" w:cs="Arial" w:eastAsia="Arial" w:hAnsi="Arial"/>
                <w:sz w:val="13"/>
                <w:szCs w:val="13"/>
                <w:color w:val="58595B"/>
              </w:rPr>
              <w:t>23,916</w:t>
            </w:r>
          </w:p>
        </w:tc>
      </w:tr>
      <w:tr>
        <w:trPr>
          <w:trHeight w:val="28"/>
        </w:trPr>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86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3/11/2026</w:t>
            </w:r>
          </w:p>
        </w:tc>
        <w:tc>
          <w:tcPr>
            <w:tcW w:w="820" w:type="dxa"/>
            <w:vAlign w:val="bottom"/>
            <w:tcBorders>
              <w:bottom w:val="single" w:sz="8" w:color="EFEDED"/>
            </w:tcBorders>
            <w:shd w:val="clear" w:color="auto" w:fill="EFEDED"/>
          </w:tcPr>
          <w:p>
            <w:pPr>
              <w:jc w:val="right"/>
              <w:ind w:right="97"/>
              <w:spacing w:after="0"/>
              <w:rPr>
                <w:sz w:val="20"/>
                <w:szCs w:val="20"/>
                <w:color w:val="auto"/>
              </w:rPr>
            </w:pPr>
            <w:r>
              <w:rPr>
                <w:rFonts w:ascii="Arial" w:cs="Arial" w:eastAsia="Arial" w:hAnsi="Arial"/>
                <w:sz w:val="13"/>
                <w:szCs w:val="13"/>
                <w:color w:val="58595B"/>
              </w:rPr>
              <w:t>65.11</w:t>
            </w:r>
          </w:p>
        </w:tc>
        <w:tc>
          <w:tcPr>
            <w:tcW w:w="1200" w:type="dxa"/>
            <w:vAlign w:val="bottom"/>
            <w:tcBorders>
              <w:bottom w:val="single" w:sz="8" w:color="EFEDED"/>
            </w:tcBorders>
            <w:shd w:val="clear" w:color="auto" w:fill="EFEDED"/>
          </w:tcPr>
          <w:p>
            <w:pPr>
              <w:spacing w:after="0"/>
              <w:rPr>
                <w:sz w:val="15"/>
                <w:szCs w:val="15"/>
                <w:color w:val="auto"/>
              </w:rPr>
            </w:pPr>
          </w:p>
        </w:tc>
        <w:tc>
          <w:tcPr>
            <w:tcW w:w="1180" w:type="dxa"/>
            <w:vAlign w:val="bottom"/>
            <w:tcBorders>
              <w:bottom w:val="single" w:sz="8" w:color="EFEDED"/>
            </w:tcBorders>
            <w:shd w:val="clear" w:color="auto" w:fill="EFEDED"/>
          </w:tcPr>
          <w:p>
            <w:pPr>
              <w:spacing w:after="0"/>
              <w:rPr>
                <w:sz w:val="15"/>
                <w:szCs w:val="15"/>
                <w:color w:val="auto"/>
              </w:rPr>
            </w:pPr>
          </w:p>
        </w:tc>
        <w:tc>
          <w:tcPr>
            <w:tcW w:w="150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2,299</w:t>
            </w:r>
          </w:p>
        </w:tc>
        <w:tc>
          <w:tcPr>
            <w:tcW w:w="1500" w:type="dxa"/>
            <w:vAlign w:val="bottom"/>
            <w:tcBorders>
              <w:bottom w:val="single" w:sz="8" w:color="EFEDED"/>
            </w:tcBorders>
            <w:shd w:val="clear" w:color="auto" w:fill="EFEDED"/>
          </w:tcPr>
          <w:p>
            <w:pPr>
              <w:jc w:val="right"/>
              <w:ind w:right="57"/>
              <w:spacing w:after="0"/>
              <w:rPr>
                <w:sz w:val="20"/>
                <w:szCs w:val="20"/>
                <w:color w:val="auto"/>
              </w:rPr>
            </w:pPr>
            <w:r>
              <w:rPr>
                <w:rFonts w:ascii="Arial" w:cs="Arial" w:eastAsia="Arial" w:hAnsi="Arial"/>
                <w:sz w:val="13"/>
                <w:szCs w:val="13"/>
                <w:color w:val="58595B"/>
              </w:rPr>
              <w:t>2,343</w:t>
            </w:r>
          </w:p>
        </w:tc>
        <w:tc>
          <w:tcPr>
            <w:tcW w:w="1220" w:type="dxa"/>
            <w:vAlign w:val="bottom"/>
            <w:tcBorders>
              <w:bottom w:val="single" w:sz="8" w:color="EFEDED"/>
            </w:tcBorders>
            <w:shd w:val="clear" w:color="auto" w:fill="EFEDED"/>
          </w:tcPr>
          <w:p>
            <w:pPr>
              <w:spacing w:after="0"/>
              <w:rPr>
                <w:sz w:val="15"/>
                <w:szCs w:val="15"/>
                <w:color w:val="auto"/>
              </w:rPr>
            </w:pPr>
          </w:p>
        </w:tc>
        <w:tc>
          <w:tcPr>
            <w:tcW w:w="1240" w:type="dxa"/>
            <w:vAlign w:val="bottom"/>
            <w:tcBorders>
              <w:bottom w:val="single" w:sz="8" w:color="EFEDED"/>
            </w:tcBorders>
            <w:shd w:val="clear" w:color="auto" w:fill="EFEDED"/>
          </w:tcPr>
          <w:p>
            <w:pPr>
              <w:jc w:val="right"/>
              <w:ind w:right="137"/>
              <w:spacing w:after="0"/>
              <w:rPr>
                <w:sz w:val="20"/>
                <w:szCs w:val="20"/>
                <w:color w:val="auto"/>
              </w:rPr>
            </w:pPr>
            <w:r>
              <w:rPr>
                <w:rFonts w:ascii="Arial" w:cs="Arial" w:eastAsia="Arial" w:hAnsi="Arial"/>
                <w:sz w:val="13"/>
                <w:szCs w:val="13"/>
                <w:color w:val="58595B"/>
              </w:rPr>
              <w:t>10,800</w:t>
            </w:r>
          </w:p>
        </w:tc>
      </w:tr>
      <w:tr>
        <w:trPr>
          <w:trHeight w:val="175"/>
        </w:trPr>
        <w:tc>
          <w:tcPr>
            <w:tcW w:w="1860" w:type="dxa"/>
            <w:vAlign w:val="bottom"/>
          </w:tcPr>
          <w:p>
            <w:pPr>
              <w:ind w:left="140"/>
              <w:spacing w:after="0"/>
              <w:rPr>
                <w:sz w:val="20"/>
                <w:szCs w:val="20"/>
                <w:color w:val="auto"/>
              </w:rPr>
            </w:pPr>
            <w:r>
              <w:rPr>
                <w:rFonts w:ascii="Arial" w:cs="Arial" w:eastAsia="Arial" w:hAnsi="Arial"/>
                <w:sz w:val="13"/>
                <w:szCs w:val="13"/>
                <w:color w:val="58595B"/>
              </w:rPr>
              <w:t>2027</w:t>
            </w: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8"/>
        </w:trPr>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86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1/6/2027</w:t>
            </w:r>
          </w:p>
        </w:tc>
        <w:tc>
          <w:tcPr>
            <w:tcW w:w="820" w:type="dxa"/>
            <w:vAlign w:val="bottom"/>
            <w:tcBorders>
              <w:bottom w:val="single" w:sz="8" w:color="EFEDED"/>
            </w:tcBorders>
            <w:shd w:val="clear" w:color="auto" w:fill="EFEDED"/>
          </w:tcPr>
          <w:p>
            <w:pPr>
              <w:jc w:val="right"/>
              <w:ind w:right="97"/>
              <w:spacing w:after="0"/>
              <w:rPr>
                <w:sz w:val="20"/>
                <w:szCs w:val="20"/>
                <w:color w:val="auto"/>
              </w:rPr>
            </w:pPr>
            <w:r>
              <w:rPr>
                <w:rFonts w:ascii="Arial" w:cs="Arial" w:eastAsia="Arial" w:hAnsi="Arial"/>
                <w:sz w:val="13"/>
                <w:szCs w:val="13"/>
                <w:color w:val="58595B"/>
              </w:rPr>
              <w:t>21.70</w:t>
            </w:r>
          </w:p>
        </w:tc>
        <w:tc>
          <w:tcPr>
            <w:tcW w:w="1200" w:type="dxa"/>
            <w:vAlign w:val="bottom"/>
            <w:tcBorders>
              <w:bottom w:val="single" w:sz="8" w:color="EFEDED"/>
            </w:tcBorders>
            <w:shd w:val="clear" w:color="auto" w:fill="EFEDED"/>
          </w:tcPr>
          <w:p>
            <w:pPr>
              <w:jc w:val="right"/>
              <w:ind w:right="97"/>
              <w:spacing w:after="0"/>
              <w:rPr>
                <w:sz w:val="20"/>
                <w:szCs w:val="20"/>
                <w:color w:val="auto"/>
              </w:rPr>
            </w:pPr>
            <w:r>
              <w:rPr>
                <w:rFonts w:ascii="Arial" w:cs="Arial" w:eastAsia="Arial" w:hAnsi="Arial"/>
                <w:sz w:val="13"/>
                <w:szCs w:val="13"/>
                <w:color w:val="58595B"/>
              </w:rPr>
              <w:t>54,490</w:t>
            </w:r>
          </w:p>
        </w:tc>
        <w:tc>
          <w:tcPr>
            <w:tcW w:w="1180" w:type="dxa"/>
            <w:vAlign w:val="bottom"/>
            <w:tcBorders>
              <w:bottom w:val="single" w:sz="8" w:color="EFEDED"/>
            </w:tcBorders>
            <w:shd w:val="clear" w:color="auto" w:fill="EFEDED"/>
          </w:tcPr>
          <w:p>
            <w:pPr>
              <w:spacing w:after="0"/>
              <w:rPr>
                <w:sz w:val="15"/>
                <w:szCs w:val="15"/>
                <w:color w:val="auto"/>
              </w:rPr>
            </w:pPr>
          </w:p>
        </w:tc>
        <w:tc>
          <w:tcPr>
            <w:tcW w:w="1500" w:type="dxa"/>
            <w:vAlign w:val="bottom"/>
            <w:tcBorders>
              <w:bottom w:val="single" w:sz="8" w:color="EFEDED"/>
            </w:tcBorders>
            <w:shd w:val="clear" w:color="auto" w:fill="EFEDED"/>
          </w:tcPr>
          <w:p>
            <w:pPr>
              <w:spacing w:after="0"/>
              <w:rPr>
                <w:sz w:val="15"/>
                <w:szCs w:val="15"/>
                <w:color w:val="auto"/>
              </w:rPr>
            </w:pPr>
          </w:p>
        </w:tc>
        <w:tc>
          <w:tcPr>
            <w:tcW w:w="1500" w:type="dxa"/>
            <w:vAlign w:val="bottom"/>
            <w:tcBorders>
              <w:bottom w:val="single" w:sz="8" w:color="EFEDED"/>
            </w:tcBorders>
            <w:shd w:val="clear" w:color="auto" w:fill="EFEDED"/>
          </w:tcPr>
          <w:p>
            <w:pPr>
              <w:spacing w:after="0"/>
              <w:rPr>
                <w:sz w:val="15"/>
                <w:szCs w:val="15"/>
                <w:color w:val="auto"/>
              </w:rPr>
            </w:pPr>
          </w:p>
        </w:tc>
        <w:tc>
          <w:tcPr>
            <w:tcW w:w="1220" w:type="dxa"/>
            <w:vAlign w:val="bottom"/>
            <w:tcBorders>
              <w:bottom w:val="single" w:sz="8" w:color="EFEDED"/>
            </w:tcBorders>
            <w:shd w:val="clear" w:color="auto" w:fill="EFEDED"/>
          </w:tcPr>
          <w:p>
            <w:pPr>
              <w:spacing w:after="0"/>
              <w:rPr>
                <w:sz w:val="15"/>
                <w:szCs w:val="15"/>
                <w:color w:val="auto"/>
              </w:rPr>
            </w:pPr>
          </w:p>
        </w:tc>
        <w:tc>
          <w:tcPr>
            <w:tcW w:w="1240" w:type="dxa"/>
            <w:vAlign w:val="bottom"/>
            <w:tcBorders>
              <w:bottom w:val="single" w:sz="8" w:color="EFEDED"/>
            </w:tcBorders>
            <w:shd w:val="clear" w:color="auto" w:fill="EFEDED"/>
          </w:tcPr>
          <w:p>
            <w:pPr>
              <w:spacing w:after="0"/>
              <w:rPr>
                <w:sz w:val="15"/>
                <w:szCs w:val="15"/>
                <w:color w:val="auto"/>
              </w:rPr>
            </w:pPr>
          </w:p>
        </w:tc>
      </w:tr>
      <w:tr>
        <w:trPr>
          <w:trHeight w:val="175"/>
        </w:trPr>
        <w:tc>
          <w:tcPr>
            <w:tcW w:w="1860" w:type="dxa"/>
            <w:vAlign w:val="bottom"/>
          </w:tcPr>
          <w:p>
            <w:pPr>
              <w:ind w:left="140"/>
              <w:spacing w:after="0"/>
              <w:rPr>
                <w:sz w:val="20"/>
                <w:szCs w:val="20"/>
                <w:color w:val="auto"/>
              </w:rPr>
            </w:pPr>
            <w:r>
              <w:rPr>
                <w:rFonts w:ascii="Arial" w:cs="Arial" w:eastAsia="Arial" w:hAnsi="Arial"/>
                <w:sz w:val="13"/>
                <w:szCs w:val="13"/>
                <w:color w:val="58595B"/>
              </w:rPr>
              <w:t>3/10/2027</w:t>
            </w:r>
          </w:p>
        </w:tc>
        <w:tc>
          <w:tcPr>
            <w:tcW w:w="820" w:type="dxa"/>
            <w:vAlign w:val="bottom"/>
          </w:tcPr>
          <w:p>
            <w:pPr>
              <w:jc w:val="right"/>
              <w:ind w:right="97"/>
              <w:spacing w:after="0"/>
              <w:rPr>
                <w:sz w:val="20"/>
                <w:szCs w:val="20"/>
                <w:color w:val="auto"/>
              </w:rPr>
            </w:pPr>
            <w:r>
              <w:rPr>
                <w:rFonts w:ascii="Arial" w:cs="Arial" w:eastAsia="Arial" w:hAnsi="Arial"/>
                <w:sz w:val="13"/>
                <w:szCs w:val="13"/>
                <w:color w:val="58595B"/>
              </w:rPr>
              <w:t>52.87</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jc w:val="right"/>
              <w:ind w:right="77"/>
              <w:spacing w:after="0"/>
              <w:rPr>
                <w:sz w:val="20"/>
                <w:szCs w:val="20"/>
                <w:color w:val="auto"/>
              </w:rPr>
            </w:pPr>
            <w:r>
              <w:rPr>
                <w:rFonts w:ascii="Arial" w:cs="Arial" w:eastAsia="Arial" w:hAnsi="Arial"/>
                <w:sz w:val="13"/>
                <w:szCs w:val="13"/>
                <w:color w:val="58595B"/>
              </w:rPr>
              <w:t>2,589</w:t>
            </w:r>
          </w:p>
        </w:tc>
        <w:tc>
          <w:tcPr>
            <w:tcW w:w="1500" w:type="dxa"/>
            <w:vAlign w:val="bottom"/>
          </w:tcPr>
          <w:p>
            <w:pPr>
              <w:jc w:val="right"/>
              <w:ind w:right="57"/>
              <w:spacing w:after="0"/>
              <w:rPr>
                <w:sz w:val="20"/>
                <w:szCs w:val="20"/>
                <w:color w:val="auto"/>
              </w:rPr>
            </w:pPr>
            <w:r>
              <w:rPr>
                <w:rFonts w:ascii="Arial" w:cs="Arial" w:eastAsia="Arial" w:hAnsi="Arial"/>
                <w:sz w:val="13"/>
                <w:szCs w:val="13"/>
                <w:color w:val="58595B"/>
              </w:rPr>
              <w:t>4,978</w:t>
            </w:r>
          </w:p>
        </w:tc>
        <w:tc>
          <w:tcPr>
            <w:tcW w:w="1220" w:type="dxa"/>
            <w:vAlign w:val="bottom"/>
          </w:tcPr>
          <w:p>
            <w:pPr>
              <w:jc w:val="right"/>
              <w:ind w:right="77"/>
              <w:spacing w:after="0"/>
              <w:rPr>
                <w:sz w:val="20"/>
                <w:szCs w:val="20"/>
                <w:color w:val="auto"/>
              </w:rPr>
            </w:pPr>
            <w:r>
              <w:rPr>
                <w:rFonts w:ascii="Arial" w:cs="Arial" w:eastAsia="Arial" w:hAnsi="Arial"/>
                <w:sz w:val="13"/>
                <w:szCs w:val="13"/>
                <w:color w:val="58595B"/>
              </w:rPr>
              <w:t>2,190</w:t>
            </w:r>
          </w:p>
        </w:tc>
        <w:tc>
          <w:tcPr>
            <w:tcW w:w="1240" w:type="dxa"/>
            <w:vAlign w:val="bottom"/>
          </w:tcPr>
          <w:p>
            <w:pPr>
              <w:jc w:val="right"/>
              <w:ind w:right="137"/>
              <w:spacing w:after="0"/>
              <w:rPr>
                <w:sz w:val="20"/>
                <w:szCs w:val="20"/>
                <w:color w:val="auto"/>
              </w:rPr>
            </w:pPr>
            <w:r>
              <w:rPr>
                <w:rFonts w:ascii="Arial" w:cs="Arial" w:eastAsia="Arial" w:hAnsi="Arial"/>
                <w:sz w:val="13"/>
                <w:szCs w:val="13"/>
                <w:color w:val="58595B"/>
              </w:rPr>
              <w:t>15,930</w:t>
            </w:r>
          </w:p>
        </w:tc>
      </w:tr>
      <w:tr>
        <w:trPr>
          <w:trHeight w:val="28"/>
        </w:trPr>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86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3/11/2027</w:t>
            </w:r>
          </w:p>
        </w:tc>
        <w:tc>
          <w:tcPr>
            <w:tcW w:w="820" w:type="dxa"/>
            <w:vAlign w:val="bottom"/>
            <w:tcBorders>
              <w:bottom w:val="single" w:sz="8" w:color="EFEDED"/>
            </w:tcBorders>
            <w:shd w:val="clear" w:color="auto" w:fill="EFEDED"/>
          </w:tcPr>
          <w:p>
            <w:pPr>
              <w:jc w:val="right"/>
              <w:ind w:right="97"/>
              <w:spacing w:after="0"/>
              <w:rPr>
                <w:sz w:val="20"/>
                <w:szCs w:val="20"/>
                <w:color w:val="auto"/>
              </w:rPr>
            </w:pPr>
            <w:r>
              <w:rPr>
                <w:rFonts w:ascii="Arial" w:cs="Arial" w:eastAsia="Arial" w:hAnsi="Arial"/>
                <w:sz w:val="13"/>
                <w:szCs w:val="13"/>
                <w:color w:val="58595B"/>
              </w:rPr>
              <w:t>23.95</w:t>
            </w:r>
          </w:p>
        </w:tc>
        <w:tc>
          <w:tcPr>
            <w:tcW w:w="1200" w:type="dxa"/>
            <w:vAlign w:val="bottom"/>
            <w:tcBorders>
              <w:bottom w:val="single" w:sz="8" w:color="EFEDED"/>
            </w:tcBorders>
            <w:shd w:val="clear" w:color="auto" w:fill="EFEDED"/>
          </w:tcPr>
          <w:p>
            <w:pPr>
              <w:spacing w:after="0"/>
              <w:rPr>
                <w:sz w:val="15"/>
                <w:szCs w:val="15"/>
                <w:color w:val="auto"/>
              </w:rPr>
            </w:pPr>
          </w:p>
        </w:tc>
        <w:tc>
          <w:tcPr>
            <w:tcW w:w="1180" w:type="dxa"/>
            <w:vAlign w:val="bottom"/>
            <w:tcBorders>
              <w:bottom w:val="single" w:sz="8" w:color="EFEDED"/>
            </w:tcBorders>
            <w:shd w:val="clear" w:color="auto" w:fill="EFEDED"/>
          </w:tcPr>
          <w:p>
            <w:pPr>
              <w:jc w:val="right"/>
              <w:ind w:right="97"/>
              <w:spacing w:after="0"/>
              <w:rPr>
                <w:sz w:val="20"/>
                <w:szCs w:val="20"/>
                <w:color w:val="auto"/>
              </w:rPr>
            </w:pPr>
            <w:r>
              <w:rPr>
                <w:rFonts w:ascii="Arial" w:cs="Arial" w:eastAsia="Arial" w:hAnsi="Arial"/>
                <w:sz w:val="13"/>
                <w:szCs w:val="13"/>
                <w:color w:val="58595B"/>
              </w:rPr>
              <w:t>11,043</w:t>
            </w:r>
          </w:p>
        </w:tc>
        <w:tc>
          <w:tcPr>
            <w:tcW w:w="150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6,577</w:t>
            </w:r>
          </w:p>
        </w:tc>
        <w:tc>
          <w:tcPr>
            <w:tcW w:w="1500" w:type="dxa"/>
            <w:vAlign w:val="bottom"/>
            <w:tcBorders>
              <w:bottom w:val="single" w:sz="8" w:color="EFEDED"/>
            </w:tcBorders>
            <w:shd w:val="clear" w:color="auto" w:fill="EFEDED"/>
          </w:tcPr>
          <w:p>
            <w:pPr>
              <w:jc w:val="right"/>
              <w:ind w:right="57"/>
              <w:spacing w:after="0"/>
              <w:rPr>
                <w:sz w:val="20"/>
                <w:szCs w:val="20"/>
                <w:color w:val="auto"/>
              </w:rPr>
            </w:pPr>
            <w:r>
              <w:rPr>
                <w:rFonts w:ascii="Arial" w:cs="Arial" w:eastAsia="Arial" w:hAnsi="Arial"/>
                <w:sz w:val="13"/>
                <w:szCs w:val="13"/>
                <w:color w:val="58595B"/>
              </w:rPr>
              <w:t>9,783</w:t>
            </w:r>
          </w:p>
        </w:tc>
        <w:tc>
          <w:tcPr>
            <w:tcW w:w="122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5,033</w:t>
            </w:r>
          </w:p>
        </w:tc>
        <w:tc>
          <w:tcPr>
            <w:tcW w:w="1240" w:type="dxa"/>
            <w:vAlign w:val="bottom"/>
            <w:tcBorders>
              <w:bottom w:val="single" w:sz="8" w:color="EFEDED"/>
            </w:tcBorders>
            <w:shd w:val="clear" w:color="auto" w:fill="EFEDED"/>
          </w:tcPr>
          <w:p>
            <w:pPr>
              <w:spacing w:after="0"/>
              <w:rPr>
                <w:sz w:val="15"/>
                <w:szCs w:val="15"/>
                <w:color w:val="auto"/>
              </w:rPr>
            </w:pPr>
          </w:p>
        </w:tc>
      </w:tr>
      <w:tr>
        <w:trPr>
          <w:trHeight w:val="175"/>
        </w:trPr>
        <w:tc>
          <w:tcPr>
            <w:tcW w:w="1860" w:type="dxa"/>
            <w:vAlign w:val="bottom"/>
          </w:tcPr>
          <w:p>
            <w:pPr>
              <w:ind w:left="140"/>
              <w:spacing w:after="0"/>
              <w:rPr>
                <w:sz w:val="20"/>
                <w:szCs w:val="20"/>
                <w:color w:val="auto"/>
              </w:rPr>
            </w:pPr>
            <w:r>
              <w:rPr>
                <w:rFonts w:ascii="Arial" w:cs="Arial" w:eastAsia="Arial" w:hAnsi="Arial"/>
                <w:sz w:val="13"/>
                <w:szCs w:val="13"/>
                <w:color w:val="58595B"/>
              </w:rPr>
              <w:t>3/11/2027</w:t>
            </w:r>
          </w:p>
        </w:tc>
        <w:tc>
          <w:tcPr>
            <w:tcW w:w="820" w:type="dxa"/>
            <w:vAlign w:val="bottom"/>
          </w:tcPr>
          <w:p>
            <w:pPr>
              <w:jc w:val="right"/>
              <w:ind w:right="97"/>
              <w:spacing w:after="0"/>
              <w:rPr>
                <w:sz w:val="20"/>
                <w:szCs w:val="20"/>
                <w:color w:val="auto"/>
              </w:rPr>
            </w:pPr>
            <w:r>
              <w:rPr>
                <w:rFonts w:ascii="Arial" w:cs="Arial" w:eastAsia="Arial" w:hAnsi="Arial"/>
                <w:sz w:val="13"/>
                <w:szCs w:val="13"/>
                <w:color w:val="58595B"/>
              </w:rPr>
              <w:t>36.22</w:t>
            </w:r>
          </w:p>
        </w:tc>
        <w:tc>
          <w:tcPr>
            <w:tcW w:w="1200" w:type="dxa"/>
            <w:vAlign w:val="bottom"/>
          </w:tcPr>
          <w:p>
            <w:pPr>
              <w:spacing w:after="0"/>
              <w:rPr>
                <w:sz w:val="15"/>
                <w:szCs w:val="15"/>
                <w:color w:val="auto"/>
              </w:rPr>
            </w:pPr>
          </w:p>
        </w:tc>
        <w:tc>
          <w:tcPr>
            <w:tcW w:w="1180" w:type="dxa"/>
            <w:vAlign w:val="bottom"/>
          </w:tcPr>
          <w:p>
            <w:pPr>
              <w:jc w:val="right"/>
              <w:ind w:right="97"/>
              <w:spacing w:after="0"/>
              <w:rPr>
                <w:sz w:val="20"/>
                <w:szCs w:val="20"/>
                <w:color w:val="auto"/>
              </w:rPr>
            </w:pPr>
            <w:r>
              <w:rPr>
                <w:rFonts w:ascii="Arial" w:cs="Arial" w:eastAsia="Arial" w:hAnsi="Arial"/>
                <w:sz w:val="13"/>
                <w:szCs w:val="13"/>
                <w:color w:val="58595B"/>
              </w:rPr>
              <w:t>6,827</w:t>
            </w:r>
          </w:p>
        </w:tc>
        <w:tc>
          <w:tcPr>
            <w:tcW w:w="1500" w:type="dxa"/>
            <w:vAlign w:val="bottom"/>
          </w:tcPr>
          <w:p>
            <w:pPr>
              <w:jc w:val="right"/>
              <w:ind w:right="77"/>
              <w:spacing w:after="0"/>
              <w:rPr>
                <w:sz w:val="20"/>
                <w:szCs w:val="20"/>
                <w:color w:val="auto"/>
              </w:rPr>
            </w:pPr>
            <w:r>
              <w:rPr>
                <w:rFonts w:ascii="Arial" w:cs="Arial" w:eastAsia="Arial" w:hAnsi="Arial"/>
                <w:sz w:val="13"/>
                <w:szCs w:val="13"/>
                <w:color w:val="58595B"/>
              </w:rPr>
              <w:t>3,741</w:t>
            </w:r>
          </w:p>
        </w:tc>
        <w:tc>
          <w:tcPr>
            <w:tcW w:w="1500" w:type="dxa"/>
            <w:vAlign w:val="bottom"/>
          </w:tcPr>
          <w:p>
            <w:pPr>
              <w:jc w:val="right"/>
              <w:ind w:right="57"/>
              <w:spacing w:after="0"/>
              <w:rPr>
                <w:sz w:val="20"/>
                <w:szCs w:val="20"/>
                <w:color w:val="auto"/>
              </w:rPr>
            </w:pPr>
            <w:r>
              <w:rPr>
                <w:rFonts w:ascii="Arial" w:cs="Arial" w:eastAsia="Arial" w:hAnsi="Arial"/>
                <w:sz w:val="13"/>
                <w:szCs w:val="13"/>
                <w:color w:val="58595B"/>
              </w:rPr>
              <w:t>7,057</w:t>
            </w:r>
          </w:p>
        </w:tc>
        <w:tc>
          <w:tcPr>
            <w:tcW w:w="1220" w:type="dxa"/>
            <w:vAlign w:val="bottom"/>
          </w:tcPr>
          <w:p>
            <w:pPr>
              <w:jc w:val="right"/>
              <w:ind w:right="77"/>
              <w:spacing w:after="0"/>
              <w:rPr>
                <w:sz w:val="20"/>
                <w:szCs w:val="20"/>
                <w:color w:val="auto"/>
              </w:rPr>
            </w:pPr>
            <w:r>
              <w:rPr>
                <w:rFonts w:ascii="Arial" w:cs="Arial" w:eastAsia="Arial" w:hAnsi="Arial"/>
                <w:sz w:val="13"/>
                <w:szCs w:val="13"/>
                <w:color w:val="58595B"/>
              </w:rPr>
              <w:t>4,123</w:t>
            </w:r>
          </w:p>
        </w:tc>
        <w:tc>
          <w:tcPr>
            <w:tcW w:w="1240" w:type="dxa"/>
            <w:vAlign w:val="bottom"/>
          </w:tcPr>
          <w:p>
            <w:pPr>
              <w:jc w:val="right"/>
              <w:ind w:right="137"/>
              <w:spacing w:after="0"/>
              <w:rPr>
                <w:sz w:val="20"/>
                <w:szCs w:val="20"/>
                <w:color w:val="auto"/>
              </w:rPr>
            </w:pPr>
            <w:r>
              <w:rPr>
                <w:rFonts w:ascii="Arial" w:cs="Arial" w:eastAsia="Arial" w:hAnsi="Arial"/>
                <w:sz w:val="13"/>
                <w:szCs w:val="13"/>
                <w:color w:val="58595B"/>
              </w:rPr>
              <w:t>23,916</w:t>
            </w:r>
          </w:p>
        </w:tc>
      </w:tr>
      <w:tr>
        <w:trPr>
          <w:trHeight w:val="28"/>
        </w:trPr>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86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2028</w:t>
            </w:r>
          </w:p>
        </w:tc>
        <w:tc>
          <w:tcPr>
            <w:tcW w:w="820" w:type="dxa"/>
            <w:vAlign w:val="bottom"/>
            <w:tcBorders>
              <w:bottom w:val="single" w:sz="8" w:color="EFEDED"/>
            </w:tcBorders>
            <w:shd w:val="clear" w:color="auto" w:fill="EFEDED"/>
          </w:tcPr>
          <w:p>
            <w:pPr>
              <w:spacing w:after="0"/>
              <w:rPr>
                <w:sz w:val="15"/>
                <w:szCs w:val="15"/>
                <w:color w:val="auto"/>
              </w:rPr>
            </w:pPr>
          </w:p>
        </w:tc>
        <w:tc>
          <w:tcPr>
            <w:tcW w:w="1200" w:type="dxa"/>
            <w:vAlign w:val="bottom"/>
            <w:tcBorders>
              <w:bottom w:val="single" w:sz="8" w:color="EFEDED"/>
            </w:tcBorders>
            <w:shd w:val="clear" w:color="auto" w:fill="EFEDED"/>
          </w:tcPr>
          <w:p>
            <w:pPr>
              <w:spacing w:after="0"/>
              <w:rPr>
                <w:sz w:val="15"/>
                <w:szCs w:val="15"/>
                <w:color w:val="auto"/>
              </w:rPr>
            </w:pPr>
          </w:p>
        </w:tc>
        <w:tc>
          <w:tcPr>
            <w:tcW w:w="1180" w:type="dxa"/>
            <w:vAlign w:val="bottom"/>
            <w:tcBorders>
              <w:bottom w:val="single" w:sz="8" w:color="EFEDED"/>
            </w:tcBorders>
            <w:shd w:val="clear" w:color="auto" w:fill="EFEDED"/>
          </w:tcPr>
          <w:p>
            <w:pPr>
              <w:spacing w:after="0"/>
              <w:rPr>
                <w:sz w:val="15"/>
                <w:szCs w:val="15"/>
                <w:color w:val="auto"/>
              </w:rPr>
            </w:pPr>
          </w:p>
        </w:tc>
        <w:tc>
          <w:tcPr>
            <w:tcW w:w="1500" w:type="dxa"/>
            <w:vAlign w:val="bottom"/>
            <w:tcBorders>
              <w:bottom w:val="single" w:sz="8" w:color="EFEDED"/>
            </w:tcBorders>
            <w:shd w:val="clear" w:color="auto" w:fill="EFEDED"/>
          </w:tcPr>
          <w:p>
            <w:pPr>
              <w:spacing w:after="0"/>
              <w:rPr>
                <w:sz w:val="15"/>
                <w:szCs w:val="15"/>
                <w:color w:val="auto"/>
              </w:rPr>
            </w:pPr>
          </w:p>
        </w:tc>
        <w:tc>
          <w:tcPr>
            <w:tcW w:w="1500" w:type="dxa"/>
            <w:vAlign w:val="bottom"/>
            <w:tcBorders>
              <w:bottom w:val="single" w:sz="8" w:color="EFEDED"/>
            </w:tcBorders>
            <w:shd w:val="clear" w:color="auto" w:fill="EFEDED"/>
          </w:tcPr>
          <w:p>
            <w:pPr>
              <w:spacing w:after="0"/>
              <w:rPr>
                <w:sz w:val="15"/>
                <w:szCs w:val="15"/>
                <w:color w:val="auto"/>
              </w:rPr>
            </w:pPr>
          </w:p>
        </w:tc>
        <w:tc>
          <w:tcPr>
            <w:tcW w:w="1220" w:type="dxa"/>
            <w:vAlign w:val="bottom"/>
            <w:tcBorders>
              <w:bottom w:val="single" w:sz="8" w:color="EFEDED"/>
            </w:tcBorders>
            <w:shd w:val="clear" w:color="auto" w:fill="EFEDED"/>
          </w:tcPr>
          <w:p>
            <w:pPr>
              <w:spacing w:after="0"/>
              <w:rPr>
                <w:sz w:val="15"/>
                <w:szCs w:val="15"/>
                <w:color w:val="auto"/>
              </w:rPr>
            </w:pPr>
          </w:p>
        </w:tc>
        <w:tc>
          <w:tcPr>
            <w:tcW w:w="1240" w:type="dxa"/>
            <w:vAlign w:val="bottom"/>
            <w:tcBorders>
              <w:bottom w:val="single" w:sz="8" w:color="EFEDED"/>
            </w:tcBorders>
            <w:shd w:val="clear" w:color="auto" w:fill="EFEDED"/>
          </w:tcPr>
          <w:p>
            <w:pPr>
              <w:spacing w:after="0"/>
              <w:rPr>
                <w:sz w:val="15"/>
                <w:szCs w:val="15"/>
                <w:color w:val="auto"/>
              </w:rPr>
            </w:pPr>
          </w:p>
        </w:tc>
      </w:tr>
      <w:tr>
        <w:trPr>
          <w:trHeight w:val="175"/>
        </w:trPr>
        <w:tc>
          <w:tcPr>
            <w:tcW w:w="1860" w:type="dxa"/>
            <w:vAlign w:val="bottom"/>
          </w:tcPr>
          <w:p>
            <w:pPr>
              <w:ind w:left="140"/>
              <w:spacing w:after="0"/>
              <w:rPr>
                <w:sz w:val="20"/>
                <w:szCs w:val="20"/>
                <w:color w:val="auto"/>
              </w:rPr>
            </w:pPr>
            <w:r>
              <w:rPr>
                <w:rFonts w:ascii="Arial" w:cs="Arial" w:eastAsia="Arial" w:hAnsi="Arial"/>
                <w:sz w:val="13"/>
                <w:szCs w:val="13"/>
                <w:color w:val="58595B"/>
              </w:rPr>
              <w:t>1/6/2028</w:t>
            </w:r>
          </w:p>
        </w:tc>
        <w:tc>
          <w:tcPr>
            <w:tcW w:w="820" w:type="dxa"/>
            <w:vAlign w:val="bottom"/>
          </w:tcPr>
          <w:p>
            <w:pPr>
              <w:jc w:val="right"/>
              <w:ind w:right="97"/>
              <w:spacing w:after="0"/>
              <w:rPr>
                <w:sz w:val="20"/>
                <w:szCs w:val="20"/>
                <w:color w:val="auto"/>
              </w:rPr>
            </w:pPr>
            <w:r>
              <w:rPr>
                <w:rFonts w:ascii="Arial" w:cs="Arial" w:eastAsia="Arial" w:hAnsi="Arial"/>
                <w:sz w:val="13"/>
                <w:szCs w:val="13"/>
                <w:color w:val="58595B"/>
              </w:rPr>
              <w:t>21.70</w:t>
            </w:r>
          </w:p>
        </w:tc>
        <w:tc>
          <w:tcPr>
            <w:tcW w:w="1200" w:type="dxa"/>
            <w:vAlign w:val="bottom"/>
          </w:tcPr>
          <w:p>
            <w:pPr>
              <w:jc w:val="right"/>
              <w:ind w:right="97"/>
              <w:spacing w:after="0"/>
              <w:rPr>
                <w:sz w:val="20"/>
                <w:szCs w:val="20"/>
                <w:color w:val="auto"/>
              </w:rPr>
            </w:pPr>
            <w:r>
              <w:rPr>
                <w:rFonts w:ascii="Arial" w:cs="Arial" w:eastAsia="Arial" w:hAnsi="Arial"/>
                <w:sz w:val="13"/>
                <w:szCs w:val="13"/>
                <w:color w:val="58595B"/>
              </w:rPr>
              <w:t>54,491</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8"/>
        </w:trPr>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86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3/11/2028</w:t>
            </w:r>
          </w:p>
        </w:tc>
        <w:tc>
          <w:tcPr>
            <w:tcW w:w="820" w:type="dxa"/>
            <w:vAlign w:val="bottom"/>
            <w:tcBorders>
              <w:bottom w:val="single" w:sz="8" w:color="EFEDED"/>
            </w:tcBorders>
            <w:shd w:val="clear" w:color="auto" w:fill="EFEDED"/>
          </w:tcPr>
          <w:p>
            <w:pPr>
              <w:jc w:val="right"/>
              <w:ind w:right="97"/>
              <w:spacing w:after="0"/>
              <w:rPr>
                <w:sz w:val="20"/>
                <w:szCs w:val="20"/>
                <w:color w:val="auto"/>
              </w:rPr>
            </w:pPr>
            <w:r>
              <w:rPr>
                <w:rFonts w:ascii="Arial" w:cs="Arial" w:eastAsia="Arial" w:hAnsi="Arial"/>
                <w:sz w:val="13"/>
                <w:szCs w:val="13"/>
                <w:color w:val="58595B"/>
              </w:rPr>
              <w:t>23.95</w:t>
            </w:r>
          </w:p>
        </w:tc>
        <w:tc>
          <w:tcPr>
            <w:tcW w:w="1200" w:type="dxa"/>
            <w:vAlign w:val="bottom"/>
            <w:tcBorders>
              <w:bottom w:val="single" w:sz="8" w:color="EFEDED"/>
            </w:tcBorders>
            <w:shd w:val="clear" w:color="auto" w:fill="EFEDED"/>
          </w:tcPr>
          <w:p>
            <w:pPr>
              <w:spacing w:after="0"/>
              <w:rPr>
                <w:sz w:val="15"/>
                <w:szCs w:val="15"/>
                <w:color w:val="auto"/>
              </w:rPr>
            </w:pPr>
          </w:p>
        </w:tc>
        <w:tc>
          <w:tcPr>
            <w:tcW w:w="1180" w:type="dxa"/>
            <w:vAlign w:val="bottom"/>
            <w:tcBorders>
              <w:bottom w:val="single" w:sz="8" w:color="EFEDED"/>
            </w:tcBorders>
            <w:shd w:val="clear" w:color="auto" w:fill="EFEDED"/>
          </w:tcPr>
          <w:p>
            <w:pPr>
              <w:jc w:val="right"/>
              <w:ind w:right="97"/>
              <w:spacing w:after="0"/>
              <w:rPr>
                <w:sz w:val="20"/>
                <w:szCs w:val="20"/>
                <w:color w:val="auto"/>
              </w:rPr>
            </w:pPr>
            <w:r>
              <w:rPr>
                <w:rFonts w:ascii="Arial" w:cs="Arial" w:eastAsia="Arial" w:hAnsi="Arial"/>
                <w:sz w:val="13"/>
                <w:szCs w:val="13"/>
                <w:color w:val="58595B"/>
              </w:rPr>
              <w:t>11,043</w:t>
            </w:r>
          </w:p>
        </w:tc>
        <w:tc>
          <w:tcPr>
            <w:tcW w:w="150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6,578</w:t>
            </w:r>
          </w:p>
        </w:tc>
        <w:tc>
          <w:tcPr>
            <w:tcW w:w="1500" w:type="dxa"/>
            <w:vAlign w:val="bottom"/>
            <w:tcBorders>
              <w:bottom w:val="single" w:sz="8" w:color="EFEDED"/>
            </w:tcBorders>
            <w:shd w:val="clear" w:color="auto" w:fill="EFEDED"/>
          </w:tcPr>
          <w:p>
            <w:pPr>
              <w:jc w:val="right"/>
              <w:ind w:right="57"/>
              <w:spacing w:after="0"/>
              <w:rPr>
                <w:sz w:val="20"/>
                <w:szCs w:val="20"/>
                <w:color w:val="auto"/>
              </w:rPr>
            </w:pPr>
            <w:r>
              <w:rPr>
                <w:rFonts w:ascii="Arial" w:cs="Arial" w:eastAsia="Arial" w:hAnsi="Arial"/>
                <w:sz w:val="13"/>
                <w:szCs w:val="13"/>
                <w:color w:val="58595B"/>
              </w:rPr>
              <w:t>9,783</w:t>
            </w:r>
          </w:p>
        </w:tc>
        <w:tc>
          <w:tcPr>
            <w:tcW w:w="122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5,033</w:t>
            </w:r>
          </w:p>
        </w:tc>
        <w:tc>
          <w:tcPr>
            <w:tcW w:w="1240" w:type="dxa"/>
            <w:vAlign w:val="bottom"/>
            <w:tcBorders>
              <w:bottom w:val="single" w:sz="8" w:color="EFEDED"/>
            </w:tcBorders>
            <w:shd w:val="clear" w:color="auto" w:fill="EFEDED"/>
          </w:tcPr>
          <w:p>
            <w:pPr>
              <w:spacing w:after="0"/>
              <w:rPr>
                <w:sz w:val="15"/>
                <w:szCs w:val="15"/>
                <w:color w:val="auto"/>
              </w:rPr>
            </w:pPr>
          </w:p>
        </w:tc>
      </w:tr>
      <w:tr>
        <w:trPr>
          <w:trHeight w:val="175"/>
        </w:trPr>
        <w:tc>
          <w:tcPr>
            <w:tcW w:w="1860" w:type="dxa"/>
            <w:vAlign w:val="bottom"/>
          </w:tcPr>
          <w:p>
            <w:pPr>
              <w:ind w:left="140"/>
              <w:spacing w:after="0"/>
              <w:rPr>
                <w:sz w:val="20"/>
                <w:szCs w:val="20"/>
                <w:color w:val="auto"/>
              </w:rPr>
            </w:pPr>
            <w:r>
              <w:rPr>
                <w:rFonts w:ascii="Arial" w:cs="Arial" w:eastAsia="Arial" w:hAnsi="Arial"/>
                <w:sz w:val="13"/>
                <w:szCs w:val="13"/>
                <w:color w:val="58595B"/>
              </w:rPr>
              <w:t>3/11/2028</w:t>
            </w:r>
          </w:p>
        </w:tc>
        <w:tc>
          <w:tcPr>
            <w:tcW w:w="820" w:type="dxa"/>
            <w:vAlign w:val="bottom"/>
          </w:tcPr>
          <w:p>
            <w:pPr>
              <w:jc w:val="right"/>
              <w:ind w:right="97"/>
              <w:spacing w:after="0"/>
              <w:rPr>
                <w:sz w:val="20"/>
                <w:szCs w:val="20"/>
                <w:color w:val="auto"/>
              </w:rPr>
            </w:pPr>
            <w:r>
              <w:rPr>
                <w:rFonts w:ascii="Arial" w:cs="Arial" w:eastAsia="Arial" w:hAnsi="Arial"/>
                <w:sz w:val="13"/>
                <w:szCs w:val="13"/>
                <w:color w:val="58595B"/>
              </w:rPr>
              <w:t>36.22</w:t>
            </w:r>
          </w:p>
        </w:tc>
        <w:tc>
          <w:tcPr>
            <w:tcW w:w="1200" w:type="dxa"/>
            <w:vAlign w:val="bottom"/>
          </w:tcPr>
          <w:p>
            <w:pPr>
              <w:spacing w:after="0"/>
              <w:rPr>
                <w:sz w:val="15"/>
                <w:szCs w:val="15"/>
                <w:color w:val="auto"/>
              </w:rPr>
            </w:pPr>
          </w:p>
        </w:tc>
        <w:tc>
          <w:tcPr>
            <w:tcW w:w="1180" w:type="dxa"/>
            <w:vAlign w:val="bottom"/>
          </w:tcPr>
          <w:p>
            <w:pPr>
              <w:jc w:val="right"/>
              <w:ind w:right="97"/>
              <w:spacing w:after="0"/>
              <w:rPr>
                <w:sz w:val="20"/>
                <w:szCs w:val="20"/>
                <w:color w:val="auto"/>
              </w:rPr>
            </w:pPr>
            <w:r>
              <w:rPr>
                <w:rFonts w:ascii="Arial" w:cs="Arial" w:eastAsia="Arial" w:hAnsi="Arial"/>
                <w:sz w:val="13"/>
                <w:szCs w:val="13"/>
                <w:color w:val="58595B"/>
              </w:rPr>
              <w:t>6,827</w:t>
            </w:r>
          </w:p>
        </w:tc>
        <w:tc>
          <w:tcPr>
            <w:tcW w:w="1500" w:type="dxa"/>
            <w:vAlign w:val="bottom"/>
          </w:tcPr>
          <w:p>
            <w:pPr>
              <w:jc w:val="right"/>
              <w:ind w:right="77"/>
              <w:spacing w:after="0"/>
              <w:rPr>
                <w:sz w:val="20"/>
                <w:szCs w:val="20"/>
                <w:color w:val="auto"/>
              </w:rPr>
            </w:pPr>
            <w:r>
              <w:rPr>
                <w:rFonts w:ascii="Arial" w:cs="Arial" w:eastAsia="Arial" w:hAnsi="Arial"/>
                <w:sz w:val="13"/>
                <w:szCs w:val="13"/>
                <w:color w:val="58595B"/>
              </w:rPr>
              <w:t>3,741</w:t>
            </w:r>
          </w:p>
        </w:tc>
        <w:tc>
          <w:tcPr>
            <w:tcW w:w="1500" w:type="dxa"/>
            <w:vAlign w:val="bottom"/>
          </w:tcPr>
          <w:p>
            <w:pPr>
              <w:jc w:val="right"/>
              <w:ind w:right="57"/>
              <w:spacing w:after="0"/>
              <w:rPr>
                <w:sz w:val="20"/>
                <w:szCs w:val="20"/>
                <w:color w:val="auto"/>
              </w:rPr>
            </w:pPr>
            <w:r>
              <w:rPr>
                <w:rFonts w:ascii="Arial" w:cs="Arial" w:eastAsia="Arial" w:hAnsi="Arial"/>
                <w:sz w:val="13"/>
                <w:szCs w:val="13"/>
                <w:color w:val="58595B"/>
              </w:rPr>
              <w:t>7,057</w:t>
            </w:r>
          </w:p>
        </w:tc>
        <w:tc>
          <w:tcPr>
            <w:tcW w:w="1220" w:type="dxa"/>
            <w:vAlign w:val="bottom"/>
          </w:tcPr>
          <w:p>
            <w:pPr>
              <w:jc w:val="right"/>
              <w:ind w:right="77"/>
              <w:spacing w:after="0"/>
              <w:rPr>
                <w:sz w:val="20"/>
                <w:szCs w:val="20"/>
                <w:color w:val="auto"/>
              </w:rPr>
            </w:pPr>
            <w:r>
              <w:rPr>
                <w:rFonts w:ascii="Arial" w:cs="Arial" w:eastAsia="Arial" w:hAnsi="Arial"/>
                <w:sz w:val="13"/>
                <w:szCs w:val="13"/>
                <w:color w:val="58595B"/>
              </w:rPr>
              <w:t>4,124</w:t>
            </w:r>
          </w:p>
        </w:tc>
        <w:tc>
          <w:tcPr>
            <w:tcW w:w="1240" w:type="dxa"/>
            <w:vAlign w:val="bottom"/>
          </w:tcPr>
          <w:p>
            <w:pPr>
              <w:jc w:val="right"/>
              <w:ind w:right="137"/>
              <w:spacing w:after="0"/>
              <w:rPr>
                <w:sz w:val="20"/>
                <w:szCs w:val="20"/>
                <w:color w:val="auto"/>
              </w:rPr>
            </w:pPr>
            <w:r>
              <w:rPr>
                <w:rFonts w:ascii="Arial" w:cs="Arial" w:eastAsia="Arial" w:hAnsi="Arial"/>
                <w:sz w:val="13"/>
                <w:szCs w:val="13"/>
                <w:color w:val="58595B"/>
              </w:rPr>
              <w:t>23,916</w:t>
            </w:r>
          </w:p>
        </w:tc>
      </w:tr>
      <w:tr>
        <w:trPr>
          <w:trHeight w:val="28"/>
        </w:trPr>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86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2029</w:t>
            </w:r>
          </w:p>
        </w:tc>
        <w:tc>
          <w:tcPr>
            <w:tcW w:w="820" w:type="dxa"/>
            <w:vAlign w:val="bottom"/>
            <w:tcBorders>
              <w:bottom w:val="single" w:sz="8" w:color="EFEDED"/>
            </w:tcBorders>
            <w:shd w:val="clear" w:color="auto" w:fill="EFEDED"/>
          </w:tcPr>
          <w:p>
            <w:pPr>
              <w:spacing w:after="0"/>
              <w:rPr>
                <w:sz w:val="15"/>
                <w:szCs w:val="15"/>
                <w:color w:val="auto"/>
              </w:rPr>
            </w:pPr>
          </w:p>
        </w:tc>
        <w:tc>
          <w:tcPr>
            <w:tcW w:w="1200" w:type="dxa"/>
            <w:vAlign w:val="bottom"/>
            <w:tcBorders>
              <w:bottom w:val="single" w:sz="8" w:color="EFEDED"/>
            </w:tcBorders>
            <w:shd w:val="clear" w:color="auto" w:fill="EFEDED"/>
          </w:tcPr>
          <w:p>
            <w:pPr>
              <w:spacing w:after="0"/>
              <w:rPr>
                <w:sz w:val="15"/>
                <w:szCs w:val="15"/>
                <w:color w:val="auto"/>
              </w:rPr>
            </w:pPr>
          </w:p>
        </w:tc>
        <w:tc>
          <w:tcPr>
            <w:tcW w:w="1180" w:type="dxa"/>
            <w:vAlign w:val="bottom"/>
            <w:tcBorders>
              <w:bottom w:val="single" w:sz="8" w:color="EFEDED"/>
            </w:tcBorders>
            <w:shd w:val="clear" w:color="auto" w:fill="EFEDED"/>
          </w:tcPr>
          <w:p>
            <w:pPr>
              <w:spacing w:after="0"/>
              <w:rPr>
                <w:sz w:val="15"/>
                <w:szCs w:val="15"/>
                <w:color w:val="auto"/>
              </w:rPr>
            </w:pPr>
          </w:p>
        </w:tc>
        <w:tc>
          <w:tcPr>
            <w:tcW w:w="1500" w:type="dxa"/>
            <w:vAlign w:val="bottom"/>
            <w:tcBorders>
              <w:bottom w:val="single" w:sz="8" w:color="EFEDED"/>
            </w:tcBorders>
            <w:shd w:val="clear" w:color="auto" w:fill="EFEDED"/>
          </w:tcPr>
          <w:p>
            <w:pPr>
              <w:spacing w:after="0"/>
              <w:rPr>
                <w:sz w:val="15"/>
                <w:szCs w:val="15"/>
                <w:color w:val="auto"/>
              </w:rPr>
            </w:pPr>
          </w:p>
        </w:tc>
        <w:tc>
          <w:tcPr>
            <w:tcW w:w="1500" w:type="dxa"/>
            <w:vAlign w:val="bottom"/>
            <w:tcBorders>
              <w:bottom w:val="single" w:sz="8" w:color="EFEDED"/>
            </w:tcBorders>
            <w:shd w:val="clear" w:color="auto" w:fill="EFEDED"/>
          </w:tcPr>
          <w:p>
            <w:pPr>
              <w:spacing w:after="0"/>
              <w:rPr>
                <w:sz w:val="15"/>
                <w:szCs w:val="15"/>
                <w:color w:val="auto"/>
              </w:rPr>
            </w:pPr>
          </w:p>
        </w:tc>
        <w:tc>
          <w:tcPr>
            <w:tcW w:w="1220" w:type="dxa"/>
            <w:vAlign w:val="bottom"/>
            <w:tcBorders>
              <w:bottom w:val="single" w:sz="8" w:color="EFEDED"/>
            </w:tcBorders>
            <w:shd w:val="clear" w:color="auto" w:fill="EFEDED"/>
          </w:tcPr>
          <w:p>
            <w:pPr>
              <w:spacing w:after="0"/>
              <w:rPr>
                <w:sz w:val="15"/>
                <w:szCs w:val="15"/>
                <w:color w:val="auto"/>
              </w:rPr>
            </w:pPr>
          </w:p>
        </w:tc>
        <w:tc>
          <w:tcPr>
            <w:tcW w:w="1240" w:type="dxa"/>
            <w:vAlign w:val="bottom"/>
            <w:tcBorders>
              <w:bottom w:val="single" w:sz="8" w:color="EFEDED"/>
            </w:tcBorders>
            <w:shd w:val="clear" w:color="auto" w:fill="EFEDED"/>
          </w:tcPr>
          <w:p>
            <w:pPr>
              <w:spacing w:after="0"/>
              <w:rPr>
                <w:sz w:val="15"/>
                <w:szCs w:val="15"/>
                <w:color w:val="auto"/>
              </w:rPr>
            </w:pPr>
          </w:p>
        </w:tc>
      </w:tr>
      <w:tr>
        <w:trPr>
          <w:trHeight w:val="175"/>
        </w:trPr>
        <w:tc>
          <w:tcPr>
            <w:tcW w:w="1860" w:type="dxa"/>
            <w:vAlign w:val="bottom"/>
          </w:tcPr>
          <w:p>
            <w:pPr>
              <w:ind w:left="140"/>
              <w:spacing w:after="0"/>
              <w:rPr>
                <w:sz w:val="20"/>
                <w:szCs w:val="20"/>
                <w:color w:val="auto"/>
              </w:rPr>
            </w:pPr>
            <w:r>
              <w:rPr>
                <w:rFonts w:ascii="Arial" w:cs="Arial" w:eastAsia="Arial" w:hAnsi="Arial"/>
                <w:sz w:val="13"/>
                <w:szCs w:val="13"/>
                <w:color w:val="58595B"/>
              </w:rPr>
              <w:t>1/6/2029</w:t>
            </w:r>
          </w:p>
        </w:tc>
        <w:tc>
          <w:tcPr>
            <w:tcW w:w="820" w:type="dxa"/>
            <w:vAlign w:val="bottom"/>
          </w:tcPr>
          <w:p>
            <w:pPr>
              <w:jc w:val="right"/>
              <w:ind w:right="97"/>
              <w:spacing w:after="0"/>
              <w:rPr>
                <w:sz w:val="20"/>
                <w:szCs w:val="20"/>
                <w:color w:val="auto"/>
              </w:rPr>
            </w:pPr>
            <w:r>
              <w:rPr>
                <w:rFonts w:ascii="Arial" w:cs="Arial" w:eastAsia="Arial" w:hAnsi="Arial"/>
                <w:sz w:val="13"/>
                <w:szCs w:val="13"/>
                <w:color w:val="58595B"/>
              </w:rPr>
              <w:t>21.70</w:t>
            </w:r>
          </w:p>
        </w:tc>
        <w:tc>
          <w:tcPr>
            <w:tcW w:w="1200" w:type="dxa"/>
            <w:vAlign w:val="bottom"/>
          </w:tcPr>
          <w:p>
            <w:pPr>
              <w:jc w:val="right"/>
              <w:ind w:right="97"/>
              <w:spacing w:after="0"/>
              <w:rPr>
                <w:sz w:val="20"/>
                <w:szCs w:val="20"/>
                <w:color w:val="auto"/>
              </w:rPr>
            </w:pPr>
            <w:r>
              <w:rPr>
                <w:rFonts w:ascii="Arial" w:cs="Arial" w:eastAsia="Arial" w:hAnsi="Arial"/>
                <w:sz w:val="13"/>
                <w:szCs w:val="13"/>
                <w:color w:val="58595B"/>
              </w:rPr>
              <w:t>54,491</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8"/>
        </w:trPr>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86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3/11/2029</w:t>
            </w:r>
          </w:p>
        </w:tc>
        <w:tc>
          <w:tcPr>
            <w:tcW w:w="820" w:type="dxa"/>
            <w:vAlign w:val="bottom"/>
            <w:tcBorders>
              <w:bottom w:val="single" w:sz="8" w:color="EFEDED"/>
            </w:tcBorders>
            <w:shd w:val="clear" w:color="auto" w:fill="EFEDED"/>
          </w:tcPr>
          <w:p>
            <w:pPr>
              <w:jc w:val="right"/>
              <w:ind w:right="97"/>
              <w:spacing w:after="0"/>
              <w:rPr>
                <w:sz w:val="20"/>
                <w:szCs w:val="20"/>
                <w:color w:val="auto"/>
              </w:rPr>
            </w:pPr>
            <w:r>
              <w:rPr>
                <w:rFonts w:ascii="Arial" w:cs="Arial" w:eastAsia="Arial" w:hAnsi="Arial"/>
                <w:sz w:val="13"/>
                <w:szCs w:val="13"/>
                <w:color w:val="58595B"/>
              </w:rPr>
              <w:t>23.95</w:t>
            </w:r>
          </w:p>
        </w:tc>
        <w:tc>
          <w:tcPr>
            <w:tcW w:w="1200" w:type="dxa"/>
            <w:vAlign w:val="bottom"/>
            <w:tcBorders>
              <w:bottom w:val="single" w:sz="8" w:color="EFEDED"/>
            </w:tcBorders>
            <w:shd w:val="clear" w:color="auto" w:fill="EFEDED"/>
          </w:tcPr>
          <w:p>
            <w:pPr>
              <w:spacing w:after="0"/>
              <w:rPr>
                <w:sz w:val="15"/>
                <w:szCs w:val="15"/>
                <w:color w:val="auto"/>
              </w:rPr>
            </w:pPr>
          </w:p>
        </w:tc>
        <w:tc>
          <w:tcPr>
            <w:tcW w:w="1180" w:type="dxa"/>
            <w:vAlign w:val="bottom"/>
            <w:tcBorders>
              <w:bottom w:val="single" w:sz="8" w:color="EFEDED"/>
            </w:tcBorders>
            <w:shd w:val="clear" w:color="auto" w:fill="EFEDED"/>
          </w:tcPr>
          <w:p>
            <w:pPr>
              <w:jc w:val="right"/>
              <w:ind w:right="97"/>
              <w:spacing w:after="0"/>
              <w:rPr>
                <w:sz w:val="20"/>
                <w:szCs w:val="20"/>
                <w:color w:val="auto"/>
              </w:rPr>
            </w:pPr>
            <w:r>
              <w:rPr>
                <w:rFonts w:ascii="Arial" w:cs="Arial" w:eastAsia="Arial" w:hAnsi="Arial"/>
                <w:sz w:val="13"/>
                <w:szCs w:val="13"/>
                <w:color w:val="58595B"/>
              </w:rPr>
              <w:t>11,043</w:t>
            </w:r>
          </w:p>
        </w:tc>
        <w:tc>
          <w:tcPr>
            <w:tcW w:w="150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6,578</w:t>
            </w:r>
          </w:p>
        </w:tc>
        <w:tc>
          <w:tcPr>
            <w:tcW w:w="1500" w:type="dxa"/>
            <w:vAlign w:val="bottom"/>
            <w:tcBorders>
              <w:bottom w:val="single" w:sz="8" w:color="EFEDED"/>
            </w:tcBorders>
            <w:shd w:val="clear" w:color="auto" w:fill="EFEDED"/>
          </w:tcPr>
          <w:p>
            <w:pPr>
              <w:jc w:val="right"/>
              <w:ind w:right="57"/>
              <w:spacing w:after="0"/>
              <w:rPr>
                <w:sz w:val="20"/>
                <w:szCs w:val="20"/>
                <w:color w:val="auto"/>
              </w:rPr>
            </w:pPr>
            <w:r>
              <w:rPr>
                <w:rFonts w:ascii="Arial" w:cs="Arial" w:eastAsia="Arial" w:hAnsi="Arial"/>
                <w:sz w:val="13"/>
                <w:szCs w:val="13"/>
                <w:color w:val="58595B"/>
              </w:rPr>
              <w:t>9,783</w:t>
            </w:r>
          </w:p>
        </w:tc>
        <w:tc>
          <w:tcPr>
            <w:tcW w:w="122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5,034</w:t>
            </w:r>
          </w:p>
        </w:tc>
        <w:tc>
          <w:tcPr>
            <w:tcW w:w="1240" w:type="dxa"/>
            <w:vAlign w:val="bottom"/>
            <w:tcBorders>
              <w:bottom w:val="single" w:sz="8" w:color="EFEDED"/>
            </w:tcBorders>
            <w:shd w:val="clear" w:color="auto" w:fill="EFEDED"/>
          </w:tcPr>
          <w:p>
            <w:pPr>
              <w:spacing w:after="0"/>
              <w:rPr>
                <w:sz w:val="15"/>
                <w:szCs w:val="15"/>
                <w:color w:val="auto"/>
              </w:rPr>
            </w:pPr>
          </w:p>
        </w:tc>
      </w:tr>
      <w:tr>
        <w:trPr>
          <w:trHeight w:val="20"/>
        </w:trPr>
        <w:tc>
          <w:tcPr>
            <w:tcW w:w="1860" w:type="dxa"/>
            <w:vAlign w:val="bottom"/>
            <w:shd w:val="clear" w:color="auto" w:fill="58595B"/>
          </w:tcPr>
          <w:p>
            <w:pPr>
              <w:spacing w:after="0" w:line="20" w:lineRule="exact"/>
              <w:rPr>
                <w:sz w:val="1"/>
                <w:szCs w:val="1"/>
                <w:color w:val="auto"/>
              </w:rPr>
            </w:pPr>
          </w:p>
        </w:tc>
        <w:tc>
          <w:tcPr>
            <w:tcW w:w="820" w:type="dxa"/>
            <w:vAlign w:val="bottom"/>
            <w:shd w:val="clear" w:color="auto" w:fill="58595B"/>
          </w:tcPr>
          <w:p>
            <w:pPr>
              <w:spacing w:after="0" w:line="20" w:lineRule="exact"/>
              <w:rPr>
                <w:sz w:val="1"/>
                <w:szCs w:val="1"/>
                <w:color w:val="auto"/>
              </w:rPr>
            </w:pPr>
          </w:p>
        </w:tc>
        <w:tc>
          <w:tcPr>
            <w:tcW w:w="1200" w:type="dxa"/>
            <w:vAlign w:val="bottom"/>
            <w:shd w:val="clear" w:color="auto" w:fill="58595B"/>
          </w:tcPr>
          <w:p>
            <w:pPr>
              <w:spacing w:after="0" w:line="20" w:lineRule="exact"/>
              <w:rPr>
                <w:sz w:val="1"/>
                <w:szCs w:val="1"/>
                <w:color w:val="auto"/>
              </w:rPr>
            </w:pPr>
          </w:p>
        </w:tc>
        <w:tc>
          <w:tcPr>
            <w:tcW w:w="1180" w:type="dxa"/>
            <w:vAlign w:val="bottom"/>
            <w:shd w:val="clear" w:color="auto" w:fill="58595B"/>
          </w:tcPr>
          <w:p>
            <w:pPr>
              <w:spacing w:after="0" w:line="20" w:lineRule="exact"/>
              <w:rPr>
                <w:sz w:val="1"/>
                <w:szCs w:val="1"/>
                <w:color w:val="auto"/>
              </w:rPr>
            </w:pPr>
          </w:p>
        </w:tc>
        <w:tc>
          <w:tcPr>
            <w:tcW w:w="1500" w:type="dxa"/>
            <w:vAlign w:val="bottom"/>
            <w:shd w:val="clear" w:color="auto" w:fill="58595B"/>
          </w:tcPr>
          <w:p>
            <w:pPr>
              <w:spacing w:after="0" w:line="20" w:lineRule="exact"/>
              <w:rPr>
                <w:sz w:val="1"/>
                <w:szCs w:val="1"/>
                <w:color w:val="auto"/>
              </w:rPr>
            </w:pPr>
          </w:p>
        </w:tc>
        <w:tc>
          <w:tcPr>
            <w:tcW w:w="1500" w:type="dxa"/>
            <w:vAlign w:val="bottom"/>
            <w:shd w:val="clear" w:color="auto" w:fill="58595B"/>
          </w:tcPr>
          <w:p>
            <w:pPr>
              <w:spacing w:after="0" w:line="20" w:lineRule="exact"/>
              <w:rPr>
                <w:sz w:val="1"/>
                <w:szCs w:val="1"/>
                <w:color w:val="auto"/>
              </w:rPr>
            </w:pPr>
          </w:p>
        </w:tc>
        <w:tc>
          <w:tcPr>
            <w:tcW w:w="1220" w:type="dxa"/>
            <w:vAlign w:val="bottom"/>
            <w:shd w:val="clear" w:color="auto" w:fill="58595B"/>
          </w:tcPr>
          <w:p>
            <w:pPr>
              <w:spacing w:after="0" w:line="20" w:lineRule="exact"/>
              <w:rPr>
                <w:sz w:val="1"/>
                <w:szCs w:val="1"/>
                <w:color w:val="auto"/>
              </w:rPr>
            </w:pPr>
          </w:p>
        </w:tc>
        <w:tc>
          <w:tcPr>
            <w:tcW w:w="1240" w:type="dxa"/>
            <w:vAlign w:val="bottom"/>
            <w:shd w:val="clear" w:color="auto" w:fill="58595B"/>
          </w:tcPr>
          <w:p>
            <w:pPr>
              <w:spacing w:after="0" w:line="20" w:lineRule="exact"/>
              <w:rPr>
                <w:sz w:val="1"/>
                <w:szCs w:val="1"/>
                <w:color w:val="auto"/>
              </w:rPr>
            </w:pPr>
          </w:p>
        </w:tc>
      </w:tr>
    </w:tbl>
    <w:p>
      <w:pPr>
        <w:spacing w:after="0" w:line="139" w:lineRule="exact"/>
        <w:rPr>
          <w:sz w:val="20"/>
          <w:szCs w:val="20"/>
          <w:color w:val="auto"/>
        </w:rPr>
      </w:pPr>
    </w:p>
    <w:p>
      <w:pPr>
        <w:ind w:left="340" w:right="20" w:hanging="332"/>
        <w:spacing w:after="0" w:line="284" w:lineRule="auto"/>
        <w:tabs>
          <w:tab w:leader="none" w:pos="338"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amounts in columns (g) and (h) reflect the number and market values of the outstanding restricted stock grants for Mses. Knight and Poul and Messrs. De Witte, Davis, McBreen, Singh as of December 31, 2025. Scheduled vesting of such RSUs and RSAs and the number of shares underlying such awards are described in the table below.</w:t>
      </w:r>
    </w:p>
    <w:p>
      <w:pPr>
        <w:spacing w:after="0" w:line="276"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180" w:type="dxa"/>
            <w:vAlign w:val="bottom"/>
            <w:tcBorders>
              <w:bottom w:val="single" w:sz="8" w:color="EFEDED"/>
            </w:tcBorders>
            <w:shd w:val="clear" w:color="auto" w:fill="EFEDED"/>
          </w:tcPr>
          <w:p>
            <w:pPr>
              <w:spacing w:after="0"/>
              <w:rPr>
                <w:sz w:val="17"/>
                <w:szCs w:val="17"/>
                <w:color w:val="auto"/>
              </w:rPr>
            </w:pPr>
          </w:p>
        </w:tc>
        <w:tc>
          <w:tcPr>
            <w:tcW w:w="1440" w:type="dxa"/>
            <w:vAlign w:val="bottom"/>
            <w:tcBorders>
              <w:bottom w:val="single" w:sz="8" w:color="58595B"/>
            </w:tcBorders>
            <w:shd w:val="clear" w:color="auto" w:fill="EFEDED"/>
          </w:tcPr>
          <w:p>
            <w:pPr>
              <w:spacing w:after="0"/>
              <w:rPr>
                <w:sz w:val="17"/>
                <w:szCs w:val="17"/>
                <w:color w:val="auto"/>
              </w:rPr>
            </w:pPr>
          </w:p>
        </w:tc>
        <w:tc>
          <w:tcPr>
            <w:tcW w:w="4400" w:type="dxa"/>
            <w:vAlign w:val="bottom"/>
            <w:tcBorders>
              <w:bottom w:val="single" w:sz="8" w:color="58595B"/>
            </w:tcBorders>
            <w:gridSpan w:val="3"/>
            <w:shd w:val="clear" w:color="auto" w:fill="EFEDED"/>
          </w:tcPr>
          <w:p>
            <w:pPr>
              <w:jc w:val="right"/>
              <w:spacing w:after="0"/>
              <w:rPr>
                <w:sz w:val="20"/>
                <w:szCs w:val="20"/>
                <w:color w:val="auto"/>
              </w:rPr>
            </w:pPr>
            <w:r>
              <w:rPr>
                <w:rFonts w:ascii="Arial" w:cs="Arial" w:eastAsia="Arial" w:hAnsi="Arial"/>
                <w:sz w:val="13"/>
                <w:szCs w:val="13"/>
                <w:color w:val="58595B"/>
              </w:rPr>
              <w:t>Number of Shares Underlying Outstanding RSUs and RSAs</w:t>
            </w:r>
          </w:p>
        </w:tc>
        <w:tc>
          <w:tcPr>
            <w:tcW w:w="1260" w:type="dxa"/>
            <w:vAlign w:val="bottom"/>
            <w:tcBorders>
              <w:bottom w:val="single" w:sz="8" w:color="58595B"/>
            </w:tcBorders>
            <w:shd w:val="clear" w:color="auto" w:fill="EFEDED"/>
          </w:tcPr>
          <w:p>
            <w:pPr>
              <w:spacing w:after="0"/>
              <w:rPr>
                <w:sz w:val="17"/>
                <w:szCs w:val="17"/>
                <w:color w:val="auto"/>
              </w:rPr>
            </w:pPr>
          </w:p>
        </w:tc>
        <w:tc>
          <w:tcPr>
            <w:tcW w:w="1240" w:type="dxa"/>
            <w:vAlign w:val="bottom"/>
            <w:tcBorders>
              <w:bottom w:val="single" w:sz="8" w:color="58595B"/>
            </w:tcBorders>
            <w:shd w:val="clear" w:color="auto" w:fill="EFEDED"/>
          </w:tcPr>
          <w:p>
            <w:pPr>
              <w:spacing w:after="0"/>
              <w:rPr>
                <w:sz w:val="17"/>
                <w:szCs w:val="17"/>
                <w:color w:val="auto"/>
              </w:rPr>
            </w:pPr>
          </w:p>
        </w:tc>
      </w:tr>
      <w:tr>
        <w:trPr>
          <w:trHeight w:val="183"/>
        </w:trPr>
        <w:tc>
          <w:tcPr>
            <w:tcW w:w="218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Vesting Date</w:t>
            </w:r>
          </w:p>
        </w:tc>
        <w:tc>
          <w:tcPr>
            <w:tcW w:w="1440" w:type="dxa"/>
            <w:vAlign w:val="bottom"/>
            <w:tcBorders>
              <w:bottom w:val="single" w:sz="8" w:color="EFEDED"/>
            </w:tcBorders>
            <w:shd w:val="clear" w:color="auto" w:fill="EFEDED"/>
          </w:tcPr>
          <w:p>
            <w:pPr>
              <w:jc w:val="right"/>
              <w:ind w:right="377"/>
              <w:spacing w:after="0"/>
              <w:rPr>
                <w:sz w:val="20"/>
                <w:szCs w:val="20"/>
                <w:color w:val="auto"/>
              </w:rPr>
            </w:pPr>
            <w:r>
              <w:rPr>
                <w:rFonts w:ascii="Arial" w:cs="Arial" w:eastAsia="Arial" w:hAnsi="Arial"/>
                <w:sz w:val="13"/>
                <w:szCs w:val="13"/>
                <w:color w:val="58595B"/>
              </w:rPr>
              <w:t>Mojdeh Poul</w:t>
            </w:r>
          </w:p>
        </w:tc>
        <w:tc>
          <w:tcPr>
            <w:tcW w:w="1260" w:type="dxa"/>
            <w:vAlign w:val="bottom"/>
            <w:tcBorders>
              <w:bottom w:val="single" w:sz="8" w:color="EFEDED"/>
            </w:tcBorders>
            <w:shd w:val="clear" w:color="auto" w:fill="EFEDED"/>
          </w:tcPr>
          <w:p>
            <w:pPr>
              <w:jc w:val="right"/>
              <w:ind w:right="397"/>
              <w:spacing w:after="0"/>
              <w:rPr>
                <w:sz w:val="20"/>
                <w:szCs w:val="20"/>
                <w:color w:val="auto"/>
              </w:rPr>
            </w:pPr>
            <w:r>
              <w:rPr>
                <w:rFonts w:ascii="Arial" w:cs="Arial" w:eastAsia="Arial" w:hAnsi="Arial"/>
                <w:sz w:val="13"/>
                <w:szCs w:val="13"/>
                <w:color w:val="58595B"/>
              </w:rPr>
              <w:t>Lea Knight</w:t>
            </w:r>
          </w:p>
        </w:tc>
        <w:tc>
          <w:tcPr>
            <w:tcW w:w="1540" w:type="dxa"/>
            <w:vAlign w:val="bottom"/>
            <w:tcBorders>
              <w:bottom w:val="single" w:sz="8" w:color="EFEDED"/>
            </w:tcBorders>
            <w:shd w:val="clear" w:color="auto" w:fill="EFEDED"/>
          </w:tcPr>
          <w:p>
            <w:pPr>
              <w:jc w:val="right"/>
              <w:ind w:right="297"/>
              <w:spacing w:after="0"/>
              <w:rPr>
                <w:sz w:val="20"/>
                <w:szCs w:val="20"/>
                <w:color w:val="auto"/>
              </w:rPr>
            </w:pPr>
            <w:r>
              <w:rPr>
                <w:rFonts w:ascii="Arial" w:cs="Arial" w:eastAsia="Arial" w:hAnsi="Arial"/>
                <w:sz w:val="13"/>
                <w:szCs w:val="13"/>
                <w:color w:val="58595B"/>
              </w:rPr>
              <w:t>Robert T. Davis Jr.</w:t>
            </w:r>
          </w:p>
        </w:tc>
        <w:tc>
          <w:tcPr>
            <w:tcW w:w="1600" w:type="dxa"/>
            <w:vAlign w:val="bottom"/>
            <w:tcBorders>
              <w:bottom w:val="single" w:sz="8" w:color="EFEDED"/>
            </w:tcBorders>
            <w:shd w:val="clear" w:color="auto" w:fill="EFEDED"/>
          </w:tcPr>
          <w:p>
            <w:pPr>
              <w:jc w:val="right"/>
              <w:ind w:right="277"/>
              <w:spacing w:after="0"/>
              <w:rPr>
                <w:sz w:val="20"/>
                <w:szCs w:val="20"/>
                <w:color w:val="auto"/>
              </w:rPr>
            </w:pPr>
            <w:r>
              <w:rPr>
                <w:rFonts w:ascii="Arial" w:cs="Arial" w:eastAsia="Arial" w:hAnsi="Arial"/>
                <w:sz w:val="13"/>
                <w:szCs w:val="13"/>
                <w:color w:val="58595B"/>
              </w:rPr>
              <w:t>Michael J. McBreen</w:t>
            </w:r>
          </w:p>
        </w:tc>
        <w:tc>
          <w:tcPr>
            <w:tcW w:w="1260" w:type="dxa"/>
            <w:vAlign w:val="bottom"/>
            <w:tcBorders>
              <w:bottom w:val="single" w:sz="8" w:color="EFEDED"/>
            </w:tcBorders>
            <w:shd w:val="clear" w:color="auto" w:fill="EFEDED"/>
          </w:tcPr>
          <w:p>
            <w:pPr>
              <w:jc w:val="right"/>
              <w:ind w:right="217"/>
              <w:spacing w:after="0"/>
              <w:rPr>
                <w:sz w:val="20"/>
                <w:szCs w:val="20"/>
                <w:color w:val="auto"/>
              </w:rPr>
            </w:pPr>
            <w:r>
              <w:rPr>
                <w:rFonts w:ascii="Arial" w:cs="Arial" w:eastAsia="Arial" w:hAnsi="Arial"/>
                <w:sz w:val="13"/>
                <w:szCs w:val="13"/>
                <w:color w:val="58595B"/>
              </w:rPr>
              <w:t>Harvinder Singh</w:t>
            </w:r>
          </w:p>
        </w:tc>
        <w:tc>
          <w:tcPr>
            <w:tcW w:w="1240" w:type="dxa"/>
            <w:vAlign w:val="bottom"/>
            <w:tcBorders>
              <w:bottom w:val="single" w:sz="8" w:color="EFEDED"/>
            </w:tcBorders>
            <w:shd w:val="clear" w:color="auto" w:fill="EFEDED"/>
          </w:tcPr>
          <w:p>
            <w:pPr>
              <w:jc w:val="right"/>
              <w:ind w:right="297"/>
              <w:spacing w:after="0"/>
              <w:rPr>
                <w:sz w:val="20"/>
                <w:szCs w:val="20"/>
                <w:color w:val="auto"/>
              </w:rPr>
            </w:pPr>
            <w:r>
              <w:rPr>
                <w:rFonts w:ascii="Arial" w:cs="Arial" w:eastAsia="Arial" w:hAnsi="Arial"/>
                <w:sz w:val="13"/>
                <w:szCs w:val="13"/>
                <w:color w:val="58595B"/>
              </w:rPr>
              <w:t>Jan De Witte</w:t>
            </w:r>
          </w:p>
        </w:tc>
      </w:tr>
      <w:tr>
        <w:trPr>
          <w:trHeight w:val="175"/>
        </w:trPr>
        <w:tc>
          <w:tcPr>
            <w:tcW w:w="2180" w:type="dxa"/>
            <w:vAlign w:val="bottom"/>
          </w:tcPr>
          <w:p>
            <w:pPr>
              <w:ind w:left="140"/>
              <w:spacing w:after="0"/>
              <w:rPr>
                <w:sz w:val="20"/>
                <w:szCs w:val="20"/>
                <w:color w:val="auto"/>
              </w:rPr>
            </w:pPr>
            <w:r>
              <w:rPr>
                <w:rFonts w:ascii="Arial" w:cs="Arial" w:eastAsia="Arial" w:hAnsi="Arial"/>
                <w:sz w:val="13"/>
                <w:szCs w:val="13"/>
                <w:color w:val="58595B"/>
              </w:rPr>
              <w:t>2026</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8"/>
        </w:trPr>
        <w:tc>
          <w:tcPr>
            <w:tcW w:w="2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218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1/6/2026</w:t>
            </w:r>
          </w:p>
        </w:tc>
        <w:tc>
          <w:tcPr>
            <w:tcW w:w="1440" w:type="dxa"/>
            <w:vAlign w:val="bottom"/>
            <w:tcBorders>
              <w:bottom w:val="single" w:sz="8" w:color="EFEDED"/>
            </w:tcBorders>
            <w:shd w:val="clear" w:color="auto" w:fill="EFEDED"/>
          </w:tcPr>
          <w:p>
            <w:pPr>
              <w:jc w:val="right"/>
              <w:ind w:right="137"/>
              <w:spacing w:after="0"/>
              <w:rPr>
                <w:sz w:val="20"/>
                <w:szCs w:val="20"/>
                <w:color w:val="auto"/>
              </w:rPr>
            </w:pPr>
            <w:r>
              <w:rPr>
                <w:rFonts w:ascii="Arial" w:cs="Arial" w:eastAsia="Arial" w:hAnsi="Arial"/>
                <w:sz w:val="13"/>
                <w:szCs w:val="13"/>
                <w:color w:val="58595B"/>
              </w:rPr>
              <w:t>33,173</w:t>
            </w:r>
          </w:p>
        </w:tc>
        <w:tc>
          <w:tcPr>
            <w:tcW w:w="1260" w:type="dxa"/>
            <w:vAlign w:val="bottom"/>
            <w:tcBorders>
              <w:bottom w:val="single" w:sz="8" w:color="EFEDED"/>
            </w:tcBorders>
            <w:shd w:val="clear" w:color="auto" w:fill="EFEDED"/>
          </w:tcPr>
          <w:p>
            <w:pPr>
              <w:spacing w:after="0"/>
              <w:rPr>
                <w:sz w:val="15"/>
                <w:szCs w:val="15"/>
                <w:color w:val="auto"/>
              </w:rPr>
            </w:pPr>
          </w:p>
        </w:tc>
        <w:tc>
          <w:tcPr>
            <w:tcW w:w="1540" w:type="dxa"/>
            <w:vAlign w:val="bottom"/>
            <w:tcBorders>
              <w:bottom w:val="single" w:sz="8" w:color="EFEDED"/>
            </w:tcBorders>
            <w:shd w:val="clear" w:color="auto" w:fill="EFEDED"/>
          </w:tcPr>
          <w:p>
            <w:pPr>
              <w:spacing w:after="0"/>
              <w:rPr>
                <w:sz w:val="15"/>
                <w:szCs w:val="15"/>
                <w:color w:val="auto"/>
              </w:rPr>
            </w:pPr>
          </w:p>
        </w:tc>
        <w:tc>
          <w:tcPr>
            <w:tcW w:w="1600" w:type="dxa"/>
            <w:vAlign w:val="bottom"/>
            <w:tcBorders>
              <w:bottom w:val="single" w:sz="8" w:color="EFEDED"/>
            </w:tcBorders>
            <w:shd w:val="clear" w:color="auto" w:fill="EFEDED"/>
          </w:tcPr>
          <w:p>
            <w:pPr>
              <w:spacing w:after="0"/>
              <w:rPr>
                <w:sz w:val="15"/>
                <w:szCs w:val="15"/>
                <w:color w:val="auto"/>
              </w:rPr>
            </w:pPr>
          </w:p>
        </w:tc>
        <w:tc>
          <w:tcPr>
            <w:tcW w:w="1260" w:type="dxa"/>
            <w:vAlign w:val="bottom"/>
            <w:tcBorders>
              <w:bottom w:val="single" w:sz="8" w:color="EFEDED"/>
            </w:tcBorders>
            <w:shd w:val="clear" w:color="auto" w:fill="EFEDED"/>
          </w:tcPr>
          <w:p>
            <w:pPr>
              <w:spacing w:after="0"/>
              <w:rPr>
                <w:sz w:val="15"/>
                <w:szCs w:val="15"/>
                <w:color w:val="auto"/>
              </w:rPr>
            </w:pPr>
          </w:p>
        </w:tc>
        <w:tc>
          <w:tcPr>
            <w:tcW w:w="1240" w:type="dxa"/>
            <w:vAlign w:val="bottom"/>
            <w:tcBorders>
              <w:bottom w:val="single" w:sz="8" w:color="EFEDED"/>
            </w:tcBorders>
            <w:shd w:val="clear" w:color="auto" w:fill="EFEDED"/>
          </w:tcPr>
          <w:p>
            <w:pPr>
              <w:spacing w:after="0"/>
              <w:rPr>
                <w:sz w:val="15"/>
                <w:szCs w:val="15"/>
                <w:color w:val="auto"/>
              </w:rPr>
            </w:pPr>
          </w:p>
        </w:tc>
      </w:tr>
      <w:tr>
        <w:trPr>
          <w:trHeight w:val="175"/>
        </w:trPr>
        <w:tc>
          <w:tcPr>
            <w:tcW w:w="2180" w:type="dxa"/>
            <w:vAlign w:val="bottom"/>
          </w:tcPr>
          <w:p>
            <w:pPr>
              <w:ind w:left="140"/>
              <w:spacing w:after="0"/>
              <w:rPr>
                <w:sz w:val="20"/>
                <w:szCs w:val="20"/>
                <w:color w:val="auto"/>
              </w:rPr>
            </w:pPr>
            <w:r>
              <w:rPr>
                <w:rFonts w:ascii="Arial" w:cs="Arial" w:eastAsia="Arial" w:hAnsi="Arial"/>
                <w:sz w:val="13"/>
                <w:szCs w:val="13"/>
                <w:color w:val="58595B"/>
              </w:rPr>
              <w:t>3/10/2026</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40" w:type="dxa"/>
            <w:vAlign w:val="bottom"/>
          </w:tcPr>
          <w:p>
            <w:pPr>
              <w:jc w:val="right"/>
              <w:ind w:right="77"/>
              <w:spacing w:after="0"/>
              <w:rPr>
                <w:sz w:val="20"/>
                <w:szCs w:val="20"/>
                <w:color w:val="auto"/>
              </w:rPr>
            </w:pPr>
            <w:r>
              <w:rPr>
                <w:rFonts w:ascii="Arial" w:cs="Arial" w:eastAsia="Arial" w:hAnsi="Arial"/>
                <w:sz w:val="13"/>
                <w:szCs w:val="13"/>
                <w:color w:val="58595B"/>
              </w:rPr>
              <w:t>1,438</w:t>
            </w:r>
          </w:p>
        </w:tc>
        <w:tc>
          <w:tcPr>
            <w:tcW w:w="1600" w:type="dxa"/>
            <w:vAlign w:val="bottom"/>
          </w:tcPr>
          <w:p>
            <w:pPr>
              <w:jc w:val="right"/>
              <w:ind w:right="117"/>
              <w:spacing w:after="0"/>
              <w:rPr>
                <w:sz w:val="20"/>
                <w:szCs w:val="20"/>
                <w:color w:val="auto"/>
              </w:rPr>
            </w:pPr>
            <w:r>
              <w:rPr>
                <w:rFonts w:ascii="Arial" w:cs="Arial" w:eastAsia="Arial" w:hAnsi="Arial"/>
                <w:sz w:val="13"/>
                <w:szCs w:val="13"/>
                <w:color w:val="58595B"/>
              </w:rPr>
              <w:t>5,980</w:t>
            </w:r>
          </w:p>
        </w:tc>
        <w:tc>
          <w:tcPr>
            <w:tcW w:w="1260" w:type="dxa"/>
            <w:vAlign w:val="bottom"/>
          </w:tcPr>
          <w:p>
            <w:pPr>
              <w:jc w:val="right"/>
              <w:ind w:right="77"/>
              <w:spacing w:after="0"/>
              <w:rPr>
                <w:sz w:val="20"/>
                <w:szCs w:val="20"/>
                <w:color w:val="auto"/>
              </w:rPr>
            </w:pPr>
            <w:r>
              <w:rPr>
                <w:rFonts w:ascii="Arial" w:cs="Arial" w:eastAsia="Arial" w:hAnsi="Arial"/>
                <w:sz w:val="13"/>
                <w:szCs w:val="13"/>
                <w:color w:val="58595B"/>
              </w:rPr>
              <w:t>1,216</w:t>
            </w:r>
          </w:p>
        </w:tc>
        <w:tc>
          <w:tcPr>
            <w:tcW w:w="1240" w:type="dxa"/>
            <w:vAlign w:val="bottom"/>
          </w:tcPr>
          <w:p>
            <w:pPr>
              <w:jc w:val="right"/>
              <w:ind w:right="137"/>
              <w:spacing w:after="0"/>
              <w:rPr>
                <w:sz w:val="20"/>
                <w:szCs w:val="20"/>
                <w:color w:val="auto"/>
              </w:rPr>
            </w:pPr>
            <w:r>
              <w:rPr>
                <w:rFonts w:ascii="Arial" w:cs="Arial" w:eastAsia="Arial" w:hAnsi="Arial"/>
                <w:sz w:val="13"/>
                <w:szCs w:val="13"/>
                <w:color w:val="58595B"/>
              </w:rPr>
              <w:t>8,669</w:t>
            </w:r>
          </w:p>
        </w:tc>
      </w:tr>
      <w:tr>
        <w:trPr>
          <w:trHeight w:val="28"/>
        </w:trPr>
        <w:tc>
          <w:tcPr>
            <w:tcW w:w="2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218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3/11/2026</w:t>
            </w:r>
          </w:p>
        </w:tc>
        <w:tc>
          <w:tcPr>
            <w:tcW w:w="1440" w:type="dxa"/>
            <w:vAlign w:val="bottom"/>
            <w:tcBorders>
              <w:bottom w:val="single" w:sz="8" w:color="EFEDED"/>
            </w:tcBorders>
            <w:shd w:val="clear" w:color="auto" w:fill="EFEDED"/>
          </w:tcPr>
          <w:p>
            <w:pPr>
              <w:spacing w:after="0"/>
              <w:rPr>
                <w:sz w:val="15"/>
                <w:szCs w:val="15"/>
                <w:color w:val="auto"/>
              </w:rPr>
            </w:pPr>
          </w:p>
        </w:tc>
        <w:tc>
          <w:tcPr>
            <w:tcW w:w="1260" w:type="dxa"/>
            <w:vAlign w:val="bottom"/>
            <w:tcBorders>
              <w:bottom w:val="single" w:sz="8" w:color="EFEDED"/>
            </w:tcBorders>
            <w:shd w:val="clear" w:color="auto" w:fill="EFEDED"/>
          </w:tcPr>
          <w:p>
            <w:pPr>
              <w:jc w:val="right"/>
              <w:ind w:right="117"/>
              <w:spacing w:after="0"/>
              <w:rPr>
                <w:sz w:val="20"/>
                <w:szCs w:val="20"/>
                <w:color w:val="auto"/>
              </w:rPr>
            </w:pPr>
            <w:r>
              <w:rPr>
                <w:rFonts w:ascii="Arial" w:cs="Arial" w:eastAsia="Arial" w:hAnsi="Arial"/>
                <w:sz w:val="13"/>
                <w:szCs w:val="13"/>
                <w:color w:val="58595B"/>
              </w:rPr>
              <w:t>19,067</w:t>
            </w:r>
          </w:p>
        </w:tc>
        <w:tc>
          <w:tcPr>
            <w:tcW w:w="154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20,043</w:t>
            </w:r>
          </w:p>
        </w:tc>
        <w:tc>
          <w:tcPr>
            <w:tcW w:w="1600" w:type="dxa"/>
            <w:vAlign w:val="bottom"/>
            <w:tcBorders>
              <w:bottom w:val="single" w:sz="8" w:color="EFEDED"/>
            </w:tcBorders>
            <w:shd w:val="clear" w:color="auto" w:fill="EFEDED"/>
          </w:tcPr>
          <w:p>
            <w:pPr>
              <w:jc w:val="right"/>
              <w:ind w:right="117"/>
              <w:spacing w:after="0"/>
              <w:rPr>
                <w:sz w:val="20"/>
                <w:szCs w:val="20"/>
                <w:color w:val="auto"/>
              </w:rPr>
            </w:pPr>
            <w:r>
              <w:rPr>
                <w:rFonts w:ascii="Arial" w:cs="Arial" w:eastAsia="Arial" w:hAnsi="Arial"/>
                <w:sz w:val="13"/>
                <w:szCs w:val="13"/>
                <w:color w:val="58595B"/>
              </w:rPr>
              <w:t>18,414</w:t>
            </w:r>
          </w:p>
        </w:tc>
        <w:tc>
          <w:tcPr>
            <w:tcW w:w="126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22,059</w:t>
            </w:r>
          </w:p>
        </w:tc>
        <w:tc>
          <w:tcPr>
            <w:tcW w:w="1240" w:type="dxa"/>
            <w:vAlign w:val="bottom"/>
            <w:tcBorders>
              <w:bottom w:val="single" w:sz="8" w:color="EFEDED"/>
            </w:tcBorders>
            <w:shd w:val="clear" w:color="auto" w:fill="EFEDED"/>
          </w:tcPr>
          <w:p>
            <w:pPr>
              <w:jc w:val="right"/>
              <w:ind w:right="137"/>
              <w:spacing w:after="0"/>
              <w:rPr>
                <w:sz w:val="20"/>
                <w:szCs w:val="20"/>
                <w:color w:val="auto"/>
              </w:rPr>
            </w:pPr>
            <w:r>
              <w:rPr>
                <w:rFonts w:ascii="Arial" w:cs="Arial" w:eastAsia="Arial" w:hAnsi="Arial"/>
                <w:sz w:val="13"/>
                <w:szCs w:val="13"/>
                <w:color w:val="58595B"/>
              </w:rPr>
              <w:t>13,805</w:t>
            </w:r>
          </w:p>
        </w:tc>
      </w:tr>
      <w:tr>
        <w:trPr>
          <w:trHeight w:val="175"/>
        </w:trPr>
        <w:tc>
          <w:tcPr>
            <w:tcW w:w="2180" w:type="dxa"/>
            <w:vAlign w:val="bottom"/>
          </w:tcPr>
          <w:p>
            <w:pPr>
              <w:ind w:left="140"/>
              <w:spacing w:after="0"/>
              <w:rPr>
                <w:sz w:val="20"/>
                <w:szCs w:val="20"/>
                <w:color w:val="auto"/>
              </w:rPr>
            </w:pPr>
            <w:r>
              <w:rPr>
                <w:rFonts w:ascii="Arial" w:cs="Arial" w:eastAsia="Arial" w:hAnsi="Arial"/>
                <w:sz w:val="13"/>
                <w:szCs w:val="13"/>
                <w:color w:val="58595B"/>
              </w:rPr>
              <w:t>7/3/2026</w:t>
            </w:r>
          </w:p>
        </w:tc>
        <w:tc>
          <w:tcPr>
            <w:tcW w:w="1440" w:type="dxa"/>
            <w:vAlign w:val="bottom"/>
          </w:tcPr>
          <w:p>
            <w:pPr>
              <w:spacing w:after="0"/>
              <w:rPr>
                <w:sz w:val="15"/>
                <w:szCs w:val="15"/>
                <w:color w:val="auto"/>
              </w:rPr>
            </w:pPr>
          </w:p>
        </w:tc>
        <w:tc>
          <w:tcPr>
            <w:tcW w:w="1260" w:type="dxa"/>
            <w:vAlign w:val="bottom"/>
          </w:tcPr>
          <w:p>
            <w:pPr>
              <w:jc w:val="right"/>
              <w:ind w:right="117"/>
              <w:spacing w:after="0"/>
              <w:rPr>
                <w:sz w:val="20"/>
                <w:szCs w:val="20"/>
                <w:color w:val="auto"/>
              </w:rPr>
            </w:pPr>
            <w:r>
              <w:rPr>
                <w:rFonts w:ascii="Arial" w:cs="Arial" w:eastAsia="Arial" w:hAnsi="Arial"/>
                <w:sz w:val="13"/>
                <w:szCs w:val="13"/>
                <w:color w:val="58595B"/>
              </w:rPr>
              <w:t>12,318</w:t>
            </w:r>
          </w:p>
        </w:tc>
        <w:tc>
          <w:tcPr>
            <w:tcW w:w="1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8"/>
        </w:trPr>
        <w:tc>
          <w:tcPr>
            <w:tcW w:w="2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218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2027</w:t>
            </w:r>
          </w:p>
        </w:tc>
        <w:tc>
          <w:tcPr>
            <w:tcW w:w="1440" w:type="dxa"/>
            <w:vAlign w:val="bottom"/>
            <w:tcBorders>
              <w:bottom w:val="single" w:sz="8" w:color="EFEDED"/>
            </w:tcBorders>
            <w:shd w:val="clear" w:color="auto" w:fill="EFEDED"/>
          </w:tcPr>
          <w:p>
            <w:pPr>
              <w:spacing w:after="0"/>
              <w:rPr>
                <w:sz w:val="15"/>
                <w:szCs w:val="15"/>
                <w:color w:val="auto"/>
              </w:rPr>
            </w:pPr>
          </w:p>
        </w:tc>
        <w:tc>
          <w:tcPr>
            <w:tcW w:w="1260" w:type="dxa"/>
            <w:vAlign w:val="bottom"/>
            <w:tcBorders>
              <w:bottom w:val="single" w:sz="8" w:color="EFEDED"/>
            </w:tcBorders>
            <w:shd w:val="clear" w:color="auto" w:fill="EFEDED"/>
          </w:tcPr>
          <w:p>
            <w:pPr>
              <w:spacing w:after="0"/>
              <w:rPr>
                <w:sz w:val="15"/>
                <w:szCs w:val="15"/>
                <w:color w:val="auto"/>
              </w:rPr>
            </w:pPr>
          </w:p>
        </w:tc>
        <w:tc>
          <w:tcPr>
            <w:tcW w:w="1540" w:type="dxa"/>
            <w:vAlign w:val="bottom"/>
            <w:tcBorders>
              <w:bottom w:val="single" w:sz="8" w:color="EFEDED"/>
            </w:tcBorders>
            <w:shd w:val="clear" w:color="auto" w:fill="EFEDED"/>
          </w:tcPr>
          <w:p>
            <w:pPr>
              <w:spacing w:after="0"/>
              <w:rPr>
                <w:sz w:val="15"/>
                <w:szCs w:val="15"/>
                <w:color w:val="auto"/>
              </w:rPr>
            </w:pPr>
          </w:p>
        </w:tc>
        <w:tc>
          <w:tcPr>
            <w:tcW w:w="1600" w:type="dxa"/>
            <w:vAlign w:val="bottom"/>
            <w:tcBorders>
              <w:bottom w:val="single" w:sz="8" w:color="EFEDED"/>
            </w:tcBorders>
            <w:shd w:val="clear" w:color="auto" w:fill="EFEDED"/>
          </w:tcPr>
          <w:p>
            <w:pPr>
              <w:spacing w:after="0"/>
              <w:rPr>
                <w:sz w:val="15"/>
                <w:szCs w:val="15"/>
                <w:color w:val="auto"/>
              </w:rPr>
            </w:pPr>
          </w:p>
        </w:tc>
        <w:tc>
          <w:tcPr>
            <w:tcW w:w="1260" w:type="dxa"/>
            <w:vAlign w:val="bottom"/>
            <w:tcBorders>
              <w:bottom w:val="single" w:sz="8" w:color="EFEDED"/>
            </w:tcBorders>
            <w:shd w:val="clear" w:color="auto" w:fill="EFEDED"/>
          </w:tcPr>
          <w:p>
            <w:pPr>
              <w:spacing w:after="0"/>
              <w:rPr>
                <w:sz w:val="15"/>
                <w:szCs w:val="15"/>
                <w:color w:val="auto"/>
              </w:rPr>
            </w:pPr>
          </w:p>
        </w:tc>
        <w:tc>
          <w:tcPr>
            <w:tcW w:w="1240" w:type="dxa"/>
            <w:vAlign w:val="bottom"/>
            <w:tcBorders>
              <w:bottom w:val="single" w:sz="8" w:color="EFEDED"/>
            </w:tcBorders>
            <w:shd w:val="clear" w:color="auto" w:fill="EFEDED"/>
          </w:tcPr>
          <w:p>
            <w:pPr>
              <w:spacing w:after="0"/>
              <w:rPr>
                <w:sz w:val="15"/>
                <w:szCs w:val="15"/>
                <w:color w:val="auto"/>
              </w:rPr>
            </w:pPr>
          </w:p>
        </w:tc>
      </w:tr>
      <w:tr>
        <w:trPr>
          <w:trHeight w:val="175"/>
        </w:trPr>
        <w:tc>
          <w:tcPr>
            <w:tcW w:w="2180" w:type="dxa"/>
            <w:vAlign w:val="bottom"/>
          </w:tcPr>
          <w:p>
            <w:pPr>
              <w:ind w:left="140"/>
              <w:spacing w:after="0"/>
              <w:rPr>
                <w:sz w:val="20"/>
                <w:szCs w:val="20"/>
                <w:color w:val="auto"/>
              </w:rPr>
            </w:pPr>
            <w:r>
              <w:rPr>
                <w:rFonts w:ascii="Arial" w:cs="Arial" w:eastAsia="Arial" w:hAnsi="Arial"/>
                <w:sz w:val="13"/>
                <w:szCs w:val="13"/>
                <w:color w:val="58595B"/>
              </w:rPr>
              <w:t>1/6/2027</w:t>
            </w:r>
          </w:p>
        </w:tc>
        <w:tc>
          <w:tcPr>
            <w:tcW w:w="1440" w:type="dxa"/>
            <w:vAlign w:val="bottom"/>
          </w:tcPr>
          <w:p>
            <w:pPr>
              <w:jc w:val="right"/>
              <w:ind w:right="137"/>
              <w:spacing w:after="0"/>
              <w:rPr>
                <w:sz w:val="20"/>
                <w:szCs w:val="20"/>
                <w:color w:val="auto"/>
              </w:rPr>
            </w:pPr>
            <w:r>
              <w:rPr>
                <w:rFonts w:ascii="Arial" w:cs="Arial" w:eastAsia="Arial" w:hAnsi="Arial"/>
                <w:sz w:val="13"/>
                <w:szCs w:val="13"/>
                <w:color w:val="58595B"/>
              </w:rPr>
              <w:t>34,563</w:t>
            </w:r>
          </w:p>
        </w:tc>
        <w:tc>
          <w:tcPr>
            <w:tcW w:w="1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8"/>
        </w:trPr>
        <w:tc>
          <w:tcPr>
            <w:tcW w:w="2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218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3/11/2027</w:t>
            </w:r>
          </w:p>
        </w:tc>
        <w:tc>
          <w:tcPr>
            <w:tcW w:w="1440" w:type="dxa"/>
            <w:vAlign w:val="bottom"/>
            <w:tcBorders>
              <w:bottom w:val="single" w:sz="8" w:color="EFEDED"/>
            </w:tcBorders>
            <w:shd w:val="clear" w:color="auto" w:fill="EFEDED"/>
          </w:tcPr>
          <w:p>
            <w:pPr>
              <w:spacing w:after="0"/>
              <w:rPr>
                <w:sz w:val="15"/>
                <w:szCs w:val="15"/>
                <w:color w:val="auto"/>
              </w:rPr>
            </w:pPr>
          </w:p>
        </w:tc>
        <w:tc>
          <w:tcPr>
            <w:tcW w:w="1260" w:type="dxa"/>
            <w:vAlign w:val="bottom"/>
            <w:tcBorders>
              <w:bottom w:val="single" w:sz="8" w:color="EFEDED"/>
            </w:tcBorders>
            <w:shd w:val="clear" w:color="auto" w:fill="EFEDED"/>
          </w:tcPr>
          <w:p>
            <w:pPr>
              <w:jc w:val="right"/>
              <w:ind w:right="117"/>
              <w:spacing w:after="0"/>
              <w:rPr>
                <w:sz w:val="20"/>
                <w:szCs w:val="20"/>
                <w:color w:val="auto"/>
              </w:rPr>
            </w:pPr>
            <w:r>
              <w:rPr>
                <w:rFonts w:ascii="Arial" w:cs="Arial" w:eastAsia="Arial" w:hAnsi="Arial"/>
                <w:sz w:val="13"/>
                <w:szCs w:val="13"/>
                <w:color w:val="58595B"/>
              </w:rPr>
              <w:t>10,903</w:t>
            </w:r>
          </w:p>
        </w:tc>
        <w:tc>
          <w:tcPr>
            <w:tcW w:w="154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6,303</w:t>
            </w:r>
          </w:p>
        </w:tc>
        <w:tc>
          <w:tcPr>
            <w:tcW w:w="1600" w:type="dxa"/>
            <w:vAlign w:val="bottom"/>
            <w:tcBorders>
              <w:bottom w:val="single" w:sz="8" w:color="EFEDED"/>
            </w:tcBorders>
            <w:shd w:val="clear" w:color="auto" w:fill="EFEDED"/>
          </w:tcPr>
          <w:p>
            <w:pPr>
              <w:jc w:val="right"/>
              <w:ind w:right="117"/>
              <w:spacing w:after="0"/>
              <w:rPr>
                <w:sz w:val="20"/>
                <w:szCs w:val="20"/>
                <w:color w:val="auto"/>
              </w:rPr>
            </w:pPr>
            <w:r>
              <w:rPr>
                <w:rFonts w:ascii="Arial" w:cs="Arial" w:eastAsia="Arial" w:hAnsi="Arial"/>
                <w:sz w:val="13"/>
                <w:szCs w:val="13"/>
                <w:color w:val="58595B"/>
              </w:rPr>
              <w:t>10,253</w:t>
            </w:r>
          </w:p>
        </w:tc>
        <w:tc>
          <w:tcPr>
            <w:tcW w:w="1260" w:type="dxa"/>
            <w:vAlign w:val="bottom"/>
            <w:tcBorders>
              <w:bottom w:val="single" w:sz="8" w:color="EFEDED"/>
            </w:tcBorders>
            <w:shd w:val="clear" w:color="auto" w:fill="EFEDED"/>
          </w:tcPr>
          <w:p>
            <w:pPr>
              <w:jc w:val="right"/>
              <w:ind w:right="77"/>
              <w:spacing w:after="0"/>
              <w:rPr>
                <w:sz w:val="20"/>
                <w:szCs w:val="20"/>
                <w:color w:val="auto"/>
              </w:rPr>
            </w:pPr>
            <w:r>
              <w:rPr>
                <w:rFonts w:ascii="Arial" w:cs="Arial" w:eastAsia="Arial" w:hAnsi="Arial"/>
                <w:sz w:val="13"/>
                <w:szCs w:val="13"/>
                <w:color w:val="58595B"/>
              </w:rPr>
              <w:t>5,566</w:t>
            </w:r>
          </w:p>
        </w:tc>
        <w:tc>
          <w:tcPr>
            <w:tcW w:w="1240" w:type="dxa"/>
            <w:vAlign w:val="bottom"/>
            <w:tcBorders>
              <w:bottom w:val="single" w:sz="8" w:color="EFEDED"/>
            </w:tcBorders>
            <w:shd w:val="clear" w:color="auto" w:fill="EFEDED"/>
          </w:tcPr>
          <w:p>
            <w:pPr>
              <w:jc w:val="right"/>
              <w:ind w:right="137"/>
              <w:spacing w:after="0"/>
              <w:rPr>
                <w:sz w:val="20"/>
                <w:szCs w:val="20"/>
                <w:color w:val="auto"/>
              </w:rPr>
            </w:pPr>
            <w:r>
              <w:rPr>
                <w:rFonts w:ascii="Arial" w:cs="Arial" w:eastAsia="Arial" w:hAnsi="Arial"/>
                <w:sz w:val="13"/>
                <w:szCs w:val="13"/>
                <w:color w:val="58595B"/>
              </w:rPr>
              <w:t>13,804</w:t>
            </w:r>
          </w:p>
        </w:tc>
      </w:tr>
      <w:tr>
        <w:trPr>
          <w:trHeight w:val="175"/>
        </w:trPr>
        <w:tc>
          <w:tcPr>
            <w:tcW w:w="2180" w:type="dxa"/>
            <w:vAlign w:val="bottom"/>
          </w:tcPr>
          <w:p>
            <w:pPr>
              <w:ind w:left="140"/>
              <w:spacing w:after="0"/>
              <w:rPr>
                <w:sz w:val="20"/>
                <w:szCs w:val="20"/>
                <w:color w:val="auto"/>
              </w:rPr>
            </w:pPr>
            <w:r>
              <w:rPr>
                <w:rFonts w:ascii="Arial" w:cs="Arial" w:eastAsia="Arial" w:hAnsi="Arial"/>
                <w:sz w:val="13"/>
                <w:szCs w:val="13"/>
                <w:color w:val="58595B"/>
              </w:rPr>
              <w:t>2028</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8"/>
        </w:trPr>
        <w:tc>
          <w:tcPr>
            <w:tcW w:w="2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218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1/6/2028</w:t>
            </w:r>
          </w:p>
        </w:tc>
        <w:tc>
          <w:tcPr>
            <w:tcW w:w="1440" w:type="dxa"/>
            <w:vAlign w:val="bottom"/>
            <w:tcBorders>
              <w:bottom w:val="single" w:sz="8" w:color="EFEDED"/>
            </w:tcBorders>
            <w:shd w:val="clear" w:color="auto" w:fill="EFEDED"/>
          </w:tcPr>
          <w:p>
            <w:pPr>
              <w:jc w:val="right"/>
              <w:ind w:right="137"/>
              <w:spacing w:after="0"/>
              <w:rPr>
                <w:sz w:val="20"/>
                <w:szCs w:val="20"/>
                <w:color w:val="auto"/>
              </w:rPr>
            </w:pPr>
            <w:r>
              <w:rPr>
                <w:rFonts w:ascii="Arial" w:cs="Arial" w:eastAsia="Arial" w:hAnsi="Arial"/>
                <w:sz w:val="13"/>
                <w:szCs w:val="13"/>
                <w:color w:val="58595B"/>
              </w:rPr>
              <w:t>34,562</w:t>
            </w:r>
          </w:p>
        </w:tc>
        <w:tc>
          <w:tcPr>
            <w:tcW w:w="1260" w:type="dxa"/>
            <w:vAlign w:val="bottom"/>
            <w:tcBorders>
              <w:bottom w:val="single" w:sz="8" w:color="EFEDED"/>
            </w:tcBorders>
            <w:shd w:val="clear" w:color="auto" w:fill="EFEDED"/>
          </w:tcPr>
          <w:p>
            <w:pPr>
              <w:spacing w:after="0"/>
              <w:rPr>
                <w:sz w:val="15"/>
                <w:szCs w:val="15"/>
                <w:color w:val="auto"/>
              </w:rPr>
            </w:pPr>
          </w:p>
        </w:tc>
        <w:tc>
          <w:tcPr>
            <w:tcW w:w="1540" w:type="dxa"/>
            <w:vAlign w:val="bottom"/>
            <w:tcBorders>
              <w:bottom w:val="single" w:sz="8" w:color="EFEDED"/>
            </w:tcBorders>
            <w:shd w:val="clear" w:color="auto" w:fill="EFEDED"/>
          </w:tcPr>
          <w:p>
            <w:pPr>
              <w:spacing w:after="0"/>
              <w:rPr>
                <w:sz w:val="15"/>
                <w:szCs w:val="15"/>
                <w:color w:val="auto"/>
              </w:rPr>
            </w:pPr>
          </w:p>
        </w:tc>
        <w:tc>
          <w:tcPr>
            <w:tcW w:w="1600" w:type="dxa"/>
            <w:vAlign w:val="bottom"/>
            <w:tcBorders>
              <w:bottom w:val="single" w:sz="8" w:color="EFEDED"/>
            </w:tcBorders>
            <w:shd w:val="clear" w:color="auto" w:fill="EFEDED"/>
          </w:tcPr>
          <w:p>
            <w:pPr>
              <w:spacing w:after="0"/>
              <w:rPr>
                <w:sz w:val="15"/>
                <w:szCs w:val="15"/>
                <w:color w:val="auto"/>
              </w:rPr>
            </w:pPr>
          </w:p>
        </w:tc>
        <w:tc>
          <w:tcPr>
            <w:tcW w:w="1260" w:type="dxa"/>
            <w:vAlign w:val="bottom"/>
            <w:tcBorders>
              <w:bottom w:val="single" w:sz="8" w:color="EFEDED"/>
            </w:tcBorders>
            <w:shd w:val="clear" w:color="auto" w:fill="EFEDED"/>
          </w:tcPr>
          <w:p>
            <w:pPr>
              <w:spacing w:after="0"/>
              <w:rPr>
                <w:sz w:val="15"/>
                <w:szCs w:val="15"/>
                <w:color w:val="auto"/>
              </w:rPr>
            </w:pPr>
          </w:p>
        </w:tc>
        <w:tc>
          <w:tcPr>
            <w:tcW w:w="1240" w:type="dxa"/>
            <w:vAlign w:val="bottom"/>
            <w:tcBorders>
              <w:bottom w:val="single" w:sz="8" w:color="EFEDED"/>
            </w:tcBorders>
            <w:shd w:val="clear" w:color="auto" w:fill="EFEDED"/>
          </w:tcPr>
          <w:p>
            <w:pPr>
              <w:spacing w:after="0"/>
              <w:rPr>
                <w:sz w:val="15"/>
                <w:szCs w:val="15"/>
                <w:color w:val="auto"/>
              </w:rPr>
            </w:pPr>
          </w:p>
        </w:tc>
      </w:tr>
      <w:tr>
        <w:trPr>
          <w:trHeight w:val="175"/>
        </w:trPr>
        <w:tc>
          <w:tcPr>
            <w:tcW w:w="2180" w:type="dxa"/>
            <w:vAlign w:val="bottom"/>
          </w:tcPr>
          <w:p>
            <w:pPr>
              <w:ind w:left="140"/>
              <w:spacing w:after="0"/>
              <w:rPr>
                <w:sz w:val="20"/>
                <w:szCs w:val="20"/>
                <w:color w:val="auto"/>
              </w:rPr>
            </w:pPr>
            <w:r>
              <w:rPr>
                <w:rFonts w:ascii="Arial" w:cs="Arial" w:eastAsia="Arial" w:hAnsi="Arial"/>
                <w:sz w:val="13"/>
                <w:szCs w:val="13"/>
                <w:color w:val="58595B"/>
              </w:rPr>
              <w:t>3/11/2028</w:t>
            </w:r>
          </w:p>
        </w:tc>
        <w:tc>
          <w:tcPr>
            <w:tcW w:w="1440" w:type="dxa"/>
            <w:vAlign w:val="bottom"/>
          </w:tcPr>
          <w:p>
            <w:pPr>
              <w:spacing w:after="0"/>
              <w:rPr>
                <w:sz w:val="15"/>
                <w:szCs w:val="15"/>
                <w:color w:val="auto"/>
              </w:rPr>
            </w:pPr>
          </w:p>
        </w:tc>
        <w:tc>
          <w:tcPr>
            <w:tcW w:w="1260" w:type="dxa"/>
            <w:vAlign w:val="bottom"/>
          </w:tcPr>
          <w:p>
            <w:pPr>
              <w:jc w:val="right"/>
              <w:ind w:right="117"/>
              <w:spacing w:after="0"/>
              <w:rPr>
                <w:sz w:val="20"/>
                <w:szCs w:val="20"/>
                <w:color w:val="auto"/>
              </w:rPr>
            </w:pPr>
            <w:r>
              <w:rPr>
                <w:rFonts w:ascii="Arial" w:cs="Arial" w:eastAsia="Arial" w:hAnsi="Arial"/>
                <w:sz w:val="13"/>
                <w:szCs w:val="13"/>
                <w:color w:val="58595B"/>
              </w:rPr>
              <w:t>7,093</w:t>
            </w:r>
          </w:p>
        </w:tc>
        <w:tc>
          <w:tcPr>
            <w:tcW w:w="1540" w:type="dxa"/>
            <w:vAlign w:val="bottom"/>
          </w:tcPr>
          <w:p>
            <w:pPr>
              <w:jc w:val="right"/>
              <w:ind w:right="77"/>
              <w:spacing w:after="0"/>
              <w:rPr>
                <w:sz w:val="20"/>
                <w:szCs w:val="20"/>
                <w:color w:val="auto"/>
              </w:rPr>
            </w:pPr>
            <w:r>
              <w:rPr>
                <w:rFonts w:ascii="Arial" w:cs="Arial" w:eastAsia="Arial" w:hAnsi="Arial"/>
                <w:sz w:val="13"/>
                <w:szCs w:val="13"/>
                <w:color w:val="58595B"/>
              </w:rPr>
              <w:t>4,225</w:t>
            </w:r>
          </w:p>
        </w:tc>
        <w:tc>
          <w:tcPr>
            <w:tcW w:w="1600" w:type="dxa"/>
            <w:vAlign w:val="bottom"/>
          </w:tcPr>
          <w:p>
            <w:pPr>
              <w:jc w:val="right"/>
              <w:ind w:right="117"/>
              <w:spacing w:after="0"/>
              <w:rPr>
                <w:sz w:val="20"/>
                <w:szCs w:val="20"/>
                <w:color w:val="auto"/>
              </w:rPr>
            </w:pPr>
            <w:r>
              <w:rPr>
                <w:rFonts w:ascii="Arial" w:cs="Arial" w:eastAsia="Arial" w:hAnsi="Arial"/>
                <w:sz w:val="13"/>
                <w:szCs w:val="13"/>
                <w:color w:val="58595B"/>
              </w:rPr>
              <w:t>6,284</w:t>
            </w:r>
          </w:p>
        </w:tc>
        <w:tc>
          <w:tcPr>
            <w:tcW w:w="1260" w:type="dxa"/>
            <w:vAlign w:val="bottom"/>
          </w:tcPr>
          <w:p>
            <w:pPr>
              <w:jc w:val="right"/>
              <w:ind w:right="77"/>
              <w:spacing w:after="0"/>
              <w:rPr>
                <w:sz w:val="20"/>
                <w:szCs w:val="20"/>
                <w:color w:val="auto"/>
              </w:rPr>
            </w:pPr>
            <w:r>
              <w:rPr>
                <w:rFonts w:ascii="Arial" w:cs="Arial" w:eastAsia="Arial" w:hAnsi="Arial"/>
                <w:sz w:val="13"/>
                <w:szCs w:val="13"/>
                <w:color w:val="58595B"/>
              </w:rPr>
              <w:t>3,233</w:t>
            </w:r>
          </w:p>
        </w:tc>
        <w:tc>
          <w:tcPr>
            <w:tcW w:w="1240" w:type="dxa"/>
            <w:vAlign w:val="bottom"/>
          </w:tcPr>
          <w:p>
            <w:pPr>
              <w:spacing w:after="0"/>
              <w:rPr>
                <w:sz w:val="15"/>
                <w:szCs w:val="15"/>
                <w:color w:val="auto"/>
              </w:rPr>
            </w:pPr>
          </w:p>
        </w:tc>
      </w:tr>
      <w:tr>
        <w:trPr>
          <w:trHeight w:val="28"/>
        </w:trPr>
        <w:tc>
          <w:tcPr>
            <w:tcW w:w="2180" w:type="dxa"/>
            <w:vAlign w:val="bottom"/>
            <w:tcBorders>
              <w:bottom w:val="single" w:sz="8" w:color="58595B"/>
            </w:tcBorders>
          </w:tcPr>
          <w:p>
            <w:pPr>
              <w:spacing w:after="0"/>
              <w:rPr>
                <w:sz w:val="2"/>
                <w:szCs w:val="2"/>
                <w:color w:val="auto"/>
              </w:rPr>
            </w:pPr>
          </w:p>
        </w:tc>
        <w:tc>
          <w:tcPr>
            <w:tcW w:w="1440" w:type="dxa"/>
            <w:vAlign w:val="bottom"/>
            <w:tcBorders>
              <w:bottom w:val="single" w:sz="8" w:color="58595B"/>
            </w:tcBorders>
          </w:tcPr>
          <w:p>
            <w:pPr>
              <w:spacing w:after="0"/>
              <w:rPr>
                <w:sz w:val="2"/>
                <w:szCs w:val="2"/>
                <w:color w:val="auto"/>
              </w:rPr>
            </w:pPr>
          </w:p>
        </w:tc>
        <w:tc>
          <w:tcPr>
            <w:tcW w:w="1260" w:type="dxa"/>
            <w:vAlign w:val="bottom"/>
            <w:tcBorders>
              <w:bottom w:val="single" w:sz="8" w:color="58595B"/>
            </w:tcBorders>
          </w:tcPr>
          <w:p>
            <w:pPr>
              <w:spacing w:after="0"/>
              <w:rPr>
                <w:sz w:val="2"/>
                <w:szCs w:val="2"/>
                <w:color w:val="auto"/>
              </w:rPr>
            </w:pPr>
          </w:p>
        </w:tc>
        <w:tc>
          <w:tcPr>
            <w:tcW w:w="1540" w:type="dxa"/>
            <w:vAlign w:val="bottom"/>
            <w:tcBorders>
              <w:bottom w:val="single" w:sz="8" w:color="58595B"/>
            </w:tcBorders>
          </w:tcPr>
          <w:p>
            <w:pPr>
              <w:spacing w:after="0"/>
              <w:rPr>
                <w:sz w:val="2"/>
                <w:szCs w:val="2"/>
                <w:color w:val="auto"/>
              </w:rPr>
            </w:pPr>
          </w:p>
        </w:tc>
        <w:tc>
          <w:tcPr>
            <w:tcW w:w="1600" w:type="dxa"/>
            <w:vAlign w:val="bottom"/>
            <w:tcBorders>
              <w:bottom w:val="single" w:sz="8" w:color="58595B"/>
            </w:tcBorders>
          </w:tcPr>
          <w:p>
            <w:pPr>
              <w:spacing w:after="0"/>
              <w:rPr>
                <w:sz w:val="2"/>
                <w:szCs w:val="2"/>
                <w:color w:val="auto"/>
              </w:rPr>
            </w:pPr>
          </w:p>
        </w:tc>
        <w:tc>
          <w:tcPr>
            <w:tcW w:w="1260" w:type="dxa"/>
            <w:vAlign w:val="bottom"/>
            <w:tcBorders>
              <w:bottom w:val="single" w:sz="8" w:color="58595B"/>
            </w:tcBorders>
          </w:tcPr>
          <w:p>
            <w:pPr>
              <w:spacing w:after="0"/>
              <w:rPr>
                <w:sz w:val="2"/>
                <w:szCs w:val="2"/>
                <w:color w:val="auto"/>
              </w:rPr>
            </w:pPr>
          </w:p>
        </w:tc>
        <w:tc>
          <w:tcPr>
            <w:tcW w:w="1240" w:type="dxa"/>
            <w:vAlign w:val="bottom"/>
            <w:tcBorders>
              <w:bottom w:val="single" w:sz="8" w:color="58595B"/>
            </w:tcBorders>
          </w:tcPr>
          <w:p>
            <w:pPr>
              <w:spacing w:after="0"/>
              <w:rPr>
                <w:sz w:val="2"/>
                <w:szCs w:val="2"/>
                <w:color w:val="auto"/>
              </w:rPr>
            </w:pPr>
          </w:p>
        </w:tc>
      </w:tr>
    </w:tbl>
    <w:p>
      <w:pPr>
        <w:spacing w:after="0" w:line="139" w:lineRule="exact"/>
        <w:rPr>
          <w:sz w:val="20"/>
          <w:szCs w:val="20"/>
          <w:color w:val="auto"/>
        </w:rPr>
      </w:pPr>
    </w:p>
    <w:p>
      <w:pPr>
        <w:ind w:left="340" w:hanging="332"/>
        <w:spacing w:after="0" w:line="269" w:lineRule="auto"/>
        <w:tabs>
          <w:tab w:leader="none" w:pos="338"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amounts in columns (i) and (j) reflect the number and market values of the outstanding performance stock unit awards as of December 31, 2025 for Mses. Knight and Poul and Messrs. De Witte, Davis, McBreen, and Singh. Scheduled vesting of all performance stock unit awards and the number of shares underlying such awards, subject to the satisfaction of the performance goals, are described in the table below. Amounts reported for our 2023, 2024 and 2025 awards are calculated based on 2025 performance year achievement at 0% of the target level.</w:t>
      </w:r>
    </w:p>
    <w:p>
      <w:pPr>
        <w:spacing w:after="0" w:line="111"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420" w:type="dxa"/>
            <w:vAlign w:val="bottom"/>
            <w:tcBorders>
              <w:bottom w:val="single" w:sz="8" w:color="EFEDED"/>
            </w:tcBorders>
            <w:shd w:val="clear" w:color="auto" w:fill="EFEDED"/>
          </w:tcPr>
          <w:p>
            <w:pPr>
              <w:spacing w:after="0"/>
              <w:rPr>
                <w:sz w:val="17"/>
                <w:szCs w:val="17"/>
                <w:color w:val="auto"/>
              </w:rPr>
            </w:pPr>
          </w:p>
        </w:tc>
        <w:tc>
          <w:tcPr>
            <w:tcW w:w="1620" w:type="dxa"/>
            <w:vAlign w:val="bottom"/>
            <w:tcBorders>
              <w:bottom w:val="single" w:sz="8" w:color="58595B"/>
            </w:tcBorders>
            <w:shd w:val="clear" w:color="auto" w:fill="EFEDED"/>
          </w:tcPr>
          <w:p>
            <w:pPr>
              <w:spacing w:after="0"/>
              <w:rPr>
                <w:sz w:val="17"/>
                <w:szCs w:val="17"/>
                <w:color w:val="auto"/>
              </w:rPr>
            </w:pPr>
          </w:p>
        </w:tc>
        <w:tc>
          <w:tcPr>
            <w:tcW w:w="6040" w:type="dxa"/>
            <w:vAlign w:val="bottom"/>
            <w:tcBorders>
              <w:bottom w:val="single" w:sz="8" w:color="58595B"/>
            </w:tcBorders>
            <w:gridSpan w:val="4"/>
            <w:shd w:val="clear" w:color="auto" w:fill="EFEDED"/>
          </w:tcPr>
          <w:p>
            <w:pPr>
              <w:jc w:val="right"/>
              <w:ind w:right="1137"/>
              <w:spacing w:after="0"/>
              <w:rPr>
                <w:sz w:val="20"/>
                <w:szCs w:val="20"/>
                <w:color w:val="auto"/>
              </w:rPr>
            </w:pPr>
            <w:r>
              <w:rPr>
                <w:rFonts w:ascii="Arial" w:cs="Arial" w:eastAsia="Arial" w:hAnsi="Arial"/>
                <w:sz w:val="13"/>
                <w:szCs w:val="13"/>
                <w:color w:val="58595B"/>
              </w:rPr>
              <w:t>Number of Shares Underlying Outstanding Performance Stock Awards</w:t>
            </w:r>
          </w:p>
        </w:tc>
        <w:tc>
          <w:tcPr>
            <w:tcW w:w="1440" w:type="dxa"/>
            <w:vAlign w:val="bottom"/>
            <w:tcBorders>
              <w:bottom w:val="single" w:sz="8" w:color="58595B"/>
            </w:tcBorders>
            <w:shd w:val="clear" w:color="auto" w:fill="EFEDED"/>
          </w:tcPr>
          <w:p>
            <w:pPr>
              <w:spacing w:after="0"/>
              <w:rPr>
                <w:sz w:val="17"/>
                <w:szCs w:val="17"/>
                <w:color w:val="auto"/>
              </w:rPr>
            </w:pPr>
          </w:p>
        </w:tc>
      </w:tr>
      <w:tr>
        <w:trPr>
          <w:trHeight w:val="183"/>
        </w:trPr>
        <w:tc>
          <w:tcPr>
            <w:tcW w:w="142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Vesting Date</w:t>
            </w:r>
          </w:p>
        </w:tc>
        <w:tc>
          <w:tcPr>
            <w:tcW w:w="1620" w:type="dxa"/>
            <w:vAlign w:val="bottom"/>
            <w:tcBorders>
              <w:bottom w:val="single" w:sz="8" w:color="EFEDED"/>
            </w:tcBorders>
            <w:shd w:val="clear" w:color="auto" w:fill="EFEDED"/>
          </w:tcPr>
          <w:p>
            <w:pPr>
              <w:jc w:val="right"/>
              <w:ind w:right="477"/>
              <w:spacing w:after="0"/>
              <w:rPr>
                <w:sz w:val="20"/>
                <w:szCs w:val="20"/>
                <w:color w:val="auto"/>
              </w:rPr>
            </w:pPr>
            <w:r>
              <w:rPr>
                <w:rFonts w:ascii="Arial" w:cs="Arial" w:eastAsia="Arial" w:hAnsi="Arial"/>
                <w:sz w:val="13"/>
                <w:szCs w:val="13"/>
                <w:color w:val="58595B"/>
              </w:rPr>
              <w:t>Mojdeh Poul</w:t>
            </w:r>
          </w:p>
        </w:tc>
        <w:tc>
          <w:tcPr>
            <w:tcW w:w="1380" w:type="dxa"/>
            <w:vAlign w:val="bottom"/>
            <w:tcBorders>
              <w:bottom w:val="single" w:sz="8" w:color="EFEDED"/>
            </w:tcBorders>
            <w:shd w:val="clear" w:color="auto" w:fill="EFEDED"/>
          </w:tcPr>
          <w:p>
            <w:pPr>
              <w:jc w:val="right"/>
              <w:ind w:right="457"/>
              <w:spacing w:after="0"/>
              <w:rPr>
                <w:sz w:val="20"/>
                <w:szCs w:val="20"/>
                <w:color w:val="auto"/>
              </w:rPr>
            </w:pPr>
            <w:r>
              <w:rPr>
                <w:rFonts w:ascii="Arial" w:cs="Arial" w:eastAsia="Arial" w:hAnsi="Arial"/>
                <w:sz w:val="13"/>
                <w:szCs w:val="13"/>
                <w:color w:val="58595B"/>
              </w:rPr>
              <w:t>Lea Knight</w:t>
            </w:r>
          </w:p>
        </w:tc>
        <w:tc>
          <w:tcPr>
            <w:tcW w:w="1560" w:type="dxa"/>
            <w:vAlign w:val="bottom"/>
            <w:tcBorders>
              <w:bottom w:val="single" w:sz="8" w:color="EFEDED"/>
            </w:tcBorders>
            <w:shd w:val="clear" w:color="auto" w:fill="EFEDED"/>
          </w:tcPr>
          <w:p>
            <w:pPr>
              <w:jc w:val="right"/>
              <w:ind w:right="297"/>
              <w:spacing w:after="0"/>
              <w:rPr>
                <w:sz w:val="20"/>
                <w:szCs w:val="20"/>
                <w:color w:val="auto"/>
              </w:rPr>
            </w:pPr>
            <w:r>
              <w:rPr>
                <w:rFonts w:ascii="Arial" w:cs="Arial" w:eastAsia="Arial" w:hAnsi="Arial"/>
                <w:sz w:val="13"/>
                <w:szCs w:val="13"/>
                <w:color w:val="58595B"/>
              </w:rPr>
              <w:t>Robert T. Davis Jr.</w:t>
            </w:r>
          </w:p>
        </w:tc>
        <w:tc>
          <w:tcPr>
            <w:tcW w:w="1600" w:type="dxa"/>
            <w:vAlign w:val="bottom"/>
            <w:tcBorders>
              <w:bottom w:val="single" w:sz="8" w:color="EFEDED"/>
            </w:tcBorders>
            <w:shd w:val="clear" w:color="auto" w:fill="EFEDED"/>
          </w:tcPr>
          <w:p>
            <w:pPr>
              <w:jc w:val="right"/>
              <w:ind w:right="277"/>
              <w:spacing w:after="0"/>
              <w:rPr>
                <w:sz w:val="20"/>
                <w:szCs w:val="20"/>
                <w:color w:val="auto"/>
              </w:rPr>
            </w:pPr>
            <w:r>
              <w:rPr>
                <w:rFonts w:ascii="Arial" w:cs="Arial" w:eastAsia="Arial" w:hAnsi="Arial"/>
                <w:sz w:val="13"/>
                <w:szCs w:val="13"/>
                <w:color w:val="58595B"/>
              </w:rPr>
              <w:t>Michael J. McBreen</w:t>
            </w:r>
          </w:p>
        </w:tc>
        <w:tc>
          <w:tcPr>
            <w:tcW w:w="1500" w:type="dxa"/>
            <w:vAlign w:val="bottom"/>
            <w:tcBorders>
              <w:bottom w:val="single" w:sz="8" w:color="EFEDED"/>
            </w:tcBorders>
            <w:shd w:val="clear" w:color="auto" w:fill="EFEDED"/>
          </w:tcPr>
          <w:p>
            <w:pPr>
              <w:jc w:val="right"/>
              <w:ind w:right="357"/>
              <w:spacing w:after="0"/>
              <w:rPr>
                <w:sz w:val="20"/>
                <w:szCs w:val="20"/>
                <w:color w:val="auto"/>
              </w:rPr>
            </w:pPr>
            <w:r>
              <w:rPr>
                <w:rFonts w:ascii="Arial" w:cs="Arial" w:eastAsia="Arial" w:hAnsi="Arial"/>
                <w:sz w:val="13"/>
                <w:szCs w:val="13"/>
                <w:color w:val="58595B"/>
              </w:rPr>
              <w:t>Harvinder Singh</w:t>
            </w:r>
          </w:p>
        </w:tc>
        <w:tc>
          <w:tcPr>
            <w:tcW w:w="1440" w:type="dxa"/>
            <w:vAlign w:val="bottom"/>
            <w:tcBorders>
              <w:bottom w:val="single" w:sz="8" w:color="EFEDED"/>
            </w:tcBorders>
            <w:shd w:val="clear" w:color="auto" w:fill="EFEDED"/>
          </w:tcPr>
          <w:p>
            <w:pPr>
              <w:jc w:val="right"/>
              <w:ind w:right="437"/>
              <w:spacing w:after="0"/>
              <w:rPr>
                <w:sz w:val="20"/>
                <w:szCs w:val="20"/>
                <w:color w:val="auto"/>
              </w:rPr>
            </w:pPr>
            <w:r>
              <w:rPr>
                <w:rFonts w:ascii="Arial" w:cs="Arial" w:eastAsia="Arial" w:hAnsi="Arial"/>
                <w:sz w:val="13"/>
                <w:szCs w:val="13"/>
                <w:color w:val="58595B"/>
              </w:rPr>
              <w:t>Jan De Witte</w:t>
            </w:r>
          </w:p>
        </w:tc>
      </w:tr>
      <w:tr>
        <w:trPr>
          <w:trHeight w:val="175"/>
        </w:trPr>
        <w:tc>
          <w:tcPr>
            <w:tcW w:w="1420" w:type="dxa"/>
            <w:vAlign w:val="bottom"/>
          </w:tcPr>
          <w:p>
            <w:pPr>
              <w:ind w:left="140"/>
              <w:spacing w:after="0"/>
              <w:rPr>
                <w:sz w:val="20"/>
                <w:szCs w:val="20"/>
                <w:color w:val="auto"/>
              </w:rPr>
            </w:pPr>
            <w:r>
              <w:rPr>
                <w:rFonts w:ascii="Arial" w:cs="Arial" w:eastAsia="Arial" w:hAnsi="Arial"/>
                <w:sz w:val="13"/>
                <w:szCs w:val="13"/>
                <w:color w:val="58595B"/>
              </w:rPr>
              <w:t>2026</w:t>
            </w:r>
          </w:p>
        </w:tc>
        <w:tc>
          <w:tcPr>
            <w:tcW w:w="1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8"/>
        </w:trPr>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3"/>
        </w:trPr>
        <w:tc>
          <w:tcPr>
            <w:tcW w:w="142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3/10/2026</w:t>
            </w:r>
          </w:p>
        </w:tc>
        <w:tc>
          <w:tcPr>
            <w:tcW w:w="1620" w:type="dxa"/>
            <w:vAlign w:val="bottom"/>
            <w:tcBorders>
              <w:bottom w:val="single" w:sz="8" w:color="EFEDED"/>
            </w:tcBorders>
            <w:shd w:val="clear" w:color="auto" w:fill="EFEDED"/>
          </w:tcPr>
          <w:p>
            <w:pPr>
              <w:spacing w:after="0"/>
              <w:rPr>
                <w:sz w:val="15"/>
                <w:szCs w:val="15"/>
                <w:color w:val="auto"/>
              </w:rPr>
            </w:pPr>
          </w:p>
        </w:tc>
        <w:tc>
          <w:tcPr>
            <w:tcW w:w="1380" w:type="dxa"/>
            <w:vAlign w:val="bottom"/>
            <w:tcBorders>
              <w:bottom w:val="single" w:sz="8" w:color="EFEDED"/>
            </w:tcBorders>
            <w:shd w:val="clear" w:color="auto" w:fill="EFEDED"/>
          </w:tcPr>
          <w:p>
            <w:pPr>
              <w:spacing w:after="0"/>
              <w:rPr>
                <w:sz w:val="15"/>
                <w:szCs w:val="15"/>
                <w:color w:val="auto"/>
              </w:rPr>
            </w:pPr>
          </w:p>
        </w:tc>
        <w:tc>
          <w:tcPr>
            <w:tcW w:w="1560" w:type="dxa"/>
            <w:vAlign w:val="bottom"/>
            <w:tcBorders>
              <w:bottom w:val="single" w:sz="8" w:color="EFEDED"/>
            </w:tcBorders>
            <w:shd w:val="clear" w:color="auto" w:fill="EFEDED"/>
          </w:tcPr>
          <w:p>
            <w:pPr>
              <w:jc w:val="right"/>
              <w:ind w:right="97"/>
              <w:spacing w:after="0"/>
              <w:rPr>
                <w:sz w:val="20"/>
                <w:szCs w:val="20"/>
                <w:color w:val="auto"/>
              </w:rPr>
            </w:pPr>
            <w:r>
              <w:rPr>
                <w:rFonts w:ascii="Arial" w:cs="Arial" w:eastAsia="Arial" w:hAnsi="Arial"/>
                <w:sz w:val="13"/>
                <w:szCs w:val="13"/>
                <w:color w:val="58595B"/>
              </w:rPr>
              <w:t>—</w:t>
            </w:r>
          </w:p>
        </w:tc>
        <w:tc>
          <w:tcPr>
            <w:tcW w:w="1600" w:type="dxa"/>
            <w:vAlign w:val="bottom"/>
            <w:tcBorders>
              <w:bottom w:val="single" w:sz="8" w:color="EFEDED"/>
            </w:tcBorders>
            <w:shd w:val="clear" w:color="auto" w:fill="EFEDED"/>
          </w:tcPr>
          <w:p>
            <w:pPr>
              <w:jc w:val="right"/>
              <w:ind w:right="117"/>
              <w:spacing w:after="0"/>
              <w:rPr>
                <w:sz w:val="20"/>
                <w:szCs w:val="20"/>
                <w:color w:val="auto"/>
              </w:rPr>
            </w:pPr>
            <w:r>
              <w:rPr>
                <w:rFonts w:ascii="Arial" w:cs="Arial" w:eastAsia="Arial" w:hAnsi="Arial"/>
                <w:sz w:val="13"/>
                <w:szCs w:val="13"/>
                <w:color w:val="58595B"/>
              </w:rPr>
              <w:t>—</w:t>
            </w:r>
          </w:p>
        </w:tc>
        <w:tc>
          <w:tcPr>
            <w:tcW w:w="1500" w:type="dxa"/>
            <w:vAlign w:val="bottom"/>
            <w:tcBorders>
              <w:bottom w:val="single" w:sz="8" w:color="EFEDED"/>
            </w:tcBorders>
            <w:shd w:val="clear" w:color="auto" w:fill="EFEDED"/>
          </w:tcPr>
          <w:p>
            <w:pPr>
              <w:jc w:val="right"/>
              <w:ind w:right="157"/>
              <w:spacing w:after="0"/>
              <w:rPr>
                <w:sz w:val="20"/>
                <w:szCs w:val="20"/>
                <w:color w:val="auto"/>
              </w:rPr>
            </w:pPr>
            <w:r>
              <w:rPr>
                <w:rFonts w:ascii="Arial" w:cs="Arial" w:eastAsia="Arial" w:hAnsi="Arial"/>
                <w:sz w:val="13"/>
                <w:szCs w:val="13"/>
                <w:color w:val="58595B"/>
              </w:rPr>
              <w:t>—</w:t>
            </w:r>
          </w:p>
        </w:tc>
        <w:tc>
          <w:tcPr>
            <w:tcW w:w="1440" w:type="dxa"/>
            <w:vAlign w:val="bottom"/>
            <w:tcBorders>
              <w:bottom w:val="single" w:sz="8" w:color="EFEDED"/>
            </w:tcBorders>
            <w:shd w:val="clear" w:color="auto" w:fill="EFEDED"/>
          </w:tcPr>
          <w:p>
            <w:pPr>
              <w:jc w:val="right"/>
              <w:ind w:right="137"/>
              <w:spacing w:after="0"/>
              <w:rPr>
                <w:sz w:val="20"/>
                <w:szCs w:val="20"/>
                <w:color w:val="auto"/>
              </w:rPr>
            </w:pPr>
            <w:r>
              <w:rPr>
                <w:rFonts w:ascii="Arial" w:cs="Arial" w:eastAsia="Arial" w:hAnsi="Arial"/>
                <w:sz w:val="13"/>
                <w:szCs w:val="13"/>
                <w:color w:val="58595B"/>
              </w:rPr>
              <w:t>—</w:t>
            </w:r>
          </w:p>
        </w:tc>
      </w:tr>
      <w:tr>
        <w:trPr>
          <w:trHeight w:val="175"/>
        </w:trPr>
        <w:tc>
          <w:tcPr>
            <w:tcW w:w="1420" w:type="dxa"/>
            <w:vAlign w:val="bottom"/>
          </w:tcPr>
          <w:p>
            <w:pPr>
              <w:ind w:left="140"/>
              <w:spacing w:after="0"/>
              <w:rPr>
                <w:sz w:val="20"/>
                <w:szCs w:val="20"/>
                <w:color w:val="auto"/>
              </w:rPr>
            </w:pPr>
            <w:r>
              <w:rPr>
                <w:rFonts w:ascii="Arial" w:cs="Arial" w:eastAsia="Arial" w:hAnsi="Arial"/>
                <w:sz w:val="13"/>
                <w:szCs w:val="13"/>
                <w:color w:val="58595B"/>
              </w:rPr>
              <w:t>3/11/2026</w:t>
            </w:r>
          </w:p>
        </w:tc>
        <w:tc>
          <w:tcPr>
            <w:tcW w:w="1620" w:type="dxa"/>
            <w:vAlign w:val="bottom"/>
          </w:tcPr>
          <w:p>
            <w:pPr>
              <w:jc w:val="right"/>
              <w:ind w:right="177"/>
              <w:spacing w:after="0"/>
              <w:rPr>
                <w:sz w:val="20"/>
                <w:szCs w:val="20"/>
                <w:color w:val="auto"/>
              </w:rPr>
            </w:pPr>
            <w:r>
              <w:rPr>
                <w:rFonts w:ascii="Arial" w:cs="Arial" w:eastAsia="Arial" w:hAnsi="Arial"/>
                <w:sz w:val="13"/>
                <w:szCs w:val="13"/>
                <w:color w:val="58595B"/>
              </w:rPr>
              <w:t>—</w:t>
            </w:r>
          </w:p>
        </w:tc>
        <w:tc>
          <w:tcPr>
            <w:tcW w:w="1380" w:type="dxa"/>
            <w:vAlign w:val="bottom"/>
          </w:tcPr>
          <w:p>
            <w:pPr>
              <w:jc w:val="right"/>
              <w:ind w:right="97"/>
              <w:spacing w:after="0"/>
              <w:rPr>
                <w:sz w:val="20"/>
                <w:szCs w:val="20"/>
                <w:color w:val="auto"/>
              </w:rPr>
            </w:pPr>
            <w:r>
              <w:rPr>
                <w:rFonts w:ascii="Arial" w:cs="Arial" w:eastAsia="Arial" w:hAnsi="Arial"/>
                <w:sz w:val="13"/>
                <w:szCs w:val="13"/>
                <w:color w:val="58595B"/>
              </w:rPr>
              <w:t>—</w:t>
            </w:r>
          </w:p>
        </w:tc>
        <w:tc>
          <w:tcPr>
            <w:tcW w:w="1560" w:type="dxa"/>
            <w:vAlign w:val="bottom"/>
          </w:tcPr>
          <w:p>
            <w:pPr>
              <w:jc w:val="right"/>
              <w:ind w:right="97"/>
              <w:spacing w:after="0"/>
              <w:rPr>
                <w:sz w:val="20"/>
                <w:szCs w:val="20"/>
                <w:color w:val="auto"/>
              </w:rPr>
            </w:pPr>
            <w:r>
              <w:rPr>
                <w:rFonts w:ascii="Arial" w:cs="Arial" w:eastAsia="Arial" w:hAnsi="Arial"/>
                <w:sz w:val="13"/>
                <w:szCs w:val="13"/>
                <w:color w:val="58595B"/>
              </w:rPr>
              <w:t>—</w:t>
            </w:r>
          </w:p>
        </w:tc>
        <w:tc>
          <w:tcPr>
            <w:tcW w:w="1600" w:type="dxa"/>
            <w:vAlign w:val="bottom"/>
          </w:tcPr>
          <w:p>
            <w:pPr>
              <w:jc w:val="right"/>
              <w:ind w:right="117"/>
              <w:spacing w:after="0"/>
              <w:rPr>
                <w:sz w:val="20"/>
                <w:szCs w:val="20"/>
                <w:color w:val="auto"/>
              </w:rPr>
            </w:pPr>
            <w:r>
              <w:rPr>
                <w:rFonts w:ascii="Arial" w:cs="Arial" w:eastAsia="Arial" w:hAnsi="Arial"/>
                <w:sz w:val="13"/>
                <w:szCs w:val="13"/>
                <w:color w:val="58595B"/>
              </w:rPr>
              <w:t>—</w:t>
            </w:r>
          </w:p>
        </w:tc>
        <w:tc>
          <w:tcPr>
            <w:tcW w:w="1500" w:type="dxa"/>
            <w:vAlign w:val="bottom"/>
          </w:tcPr>
          <w:p>
            <w:pPr>
              <w:jc w:val="right"/>
              <w:ind w:right="157"/>
              <w:spacing w:after="0"/>
              <w:rPr>
                <w:sz w:val="20"/>
                <w:szCs w:val="20"/>
                <w:color w:val="auto"/>
              </w:rPr>
            </w:pPr>
            <w:r>
              <w:rPr>
                <w:rFonts w:ascii="Arial" w:cs="Arial" w:eastAsia="Arial" w:hAnsi="Arial"/>
                <w:sz w:val="13"/>
                <w:szCs w:val="13"/>
                <w:color w:val="58595B"/>
              </w:rPr>
              <w:t>—</w:t>
            </w:r>
          </w:p>
        </w:tc>
        <w:tc>
          <w:tcPr>
            <w:tcW w:w="1440" w:type="dxa"/>
            <w:vAlign w:val="bottom"/>
          </w:tcPr>
          <w:p>
            <w:pPr>
              <w:jc w:val="right"/>
              <w:ind w:right="137"/>
              <w:spacing w:after="0"/>
              <w:rPr>
                <w:sz w:val="20"/>
                <w:szCs w:val="20"/>
                <w:color w:val="auto"/>
              </w:rPr>
            </w:pPr>
            <w:r>
              <w:rPr>
                <w:rFonts w:ascii="Arial" w:cs="Arial" w:eastAsia="Arial" w:hAnsi="Arial"/>
                <w:sz w:val="13"/>
                <w:szCs w:val="13"/>
                <w:color w:val="58595B"/>
              </w:rPr>
              <w:t>—</w:t>
            </w:r>
          </w:p>
        </w:tc>
      </w:tr>
      <w:tr>
        <w:trPr>
          <w:trHeight w:val="28"/>
        </w:trPr>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3"/>
        </w:trPr>
        <w:tc>
          <w:tcPr>
            <w:tcW w:w="142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2027</w:t>
            </w:r>
          </w:p>
        </w:tc>
        <w:tc>
          <w:tcPr>
            <w:tcW w:w="1620" w:type="dxa"/>
            <w:vAlign w:val="bottom"/>
            <w:tcBorders>
              <w:bottom w:val="single" w:sz="8" w:color="EFEDED"/>
            </w:tcBorders>
            <w:shd w:val="clear" w:color="auto" w:fill="EFEDED"/>
          </w:tcPr>
          <w:p>
            <w:pPr>
              <w:spacing w:after="0"/>
              <w:rPr>
                <w:sz w:val="15"/>
                <w:szCs w:val="15"/>
                <w:color w:val="auto"/>
              </w:rPr>
            </w:pPr>
          </w:p>
        </w:tc>
        <w:tc>
          <w:tcPr>
            <w:tcW w:w="1380" w:type="dxa"/>
            <w:vAlign w:val="bottom"/>
            <w:tcBorders>
              <w:bottom w:val="single" w:sz="8" w:color="EFEDED"/>
            </w:tcBorders>
            <w:shd w:val="clear" w:color="auto" w:fill="EFEDED"/>
          </w:tcPr>
          <w:p>
            <w:pPr>
              <w:spacing w:after="0"/>
              <w:rPr>
                <w:sz w:val="15"/>
                <w:szCs w:val="15"/>
                <w:color w:val="auto"/>
              </w:rPr>
            </w:pPr>
          </w:p>
        </w:tc>
        <w:tc>
          <w:tcPr>
            <w:tcW w:w="1560" w:type="dxa"/>
            <w:vAlign w:val="bottom"/>
            <w:tcBorders>
              <w:bottom w:val="single" w:sz="8" w:color="EFEDED"/>
            </w:tcBorders>
            <w:shd w:val="clear" w:color="auto" w:fill="EFEDED"/>
          </w:tcPr>
          <w:p>
            <w:pPr>
              <w:spacing w:after="0"/>
              <w:rPr>
                <w:sz w:val="15"/>
                <w:szCs w:val="15"/>
                <w:color w:val="auto"/>
              </w:rPr>
            </w:pPr>
          </w:p>
        </w:tc>
        <w:tc>
          <w:tcPr>
            <w:tcW w:w="1600" w:type="dxa"/>
            <w:vAlign w:val="bottom"/>
            <w:tcBorders>
              <w:bottom w:val="single" w:sz="8" w:color="EFEDED"/>
            </w:tcBorders>
            <w:shd w:val="clear" w:color="auto" w:fill="EFEDED"/>
          </w:tcPr>
          <w:p>
            <w:pPr>
              <w:spacing w:after="0"/>
              <w:rPr>
                <w:sz w:val="15"/>
                <w:szCs w:val="15"/>
                <w:color w:val="auto"/>
              </w:rPr>
            </w:pPr>
          </w:p>
        </w:tc>
        <w:tc>
          <w:tcPr>
            <w:tcW w:w="1500" w:type="dxa"/>
            <w:vAlign w:val="bottom"/>
            <w:tcBorders>
              <w:bottom w:val="single" w:sz="8" w:color="EFEDED"/>
            </w:tcBorders>
            <w:shd w:val="clear" w:color="auto" w:fill="EFEDED"/>
          </w:tcPr>
          <w:p>
            <w:pPr>
              <w:spacing w:after="0"/>
              <w:rPr>
                <w:sz w:val="15"/>
                <w:szCs w:val="15"/>
                <w:color w:val="auto"/>
              </w:rPr>
            </w:pPr>
          </w:p>
        </w:tc>
        <w:tc>
          <w:tcPr>
            <w:tcW w:w="1440" w:type="dxa"/>
            <w:vAlign w:val="bottom"/>
            <w:tcBorders>
              <w:bottom w:val="single" w:sz="8" w:color="EFEDED"/>
            </w:tcBorders>
            <w:shd w:val="clear" w:color="auto" w:fill="EFEDED"/>
          </w:tcPr>
          <w:p>
            <w:pPr>
              <w:spacing w:after="0"/>
              <w:rPr>
                <w:sz w:val="15"/>
                <w:szCs w:val="15"/>
                <w:color w:val="auto"/>
              </w:rPr>
            </w:pPr>
          </w:p>
        </w:tc>
      </w:tr>
      <w:tr>
        <w:trPr>
          <w:trHeight w:val="175"/>
        </w:trPr>
        <w:tc>
          <w:tcPr>
            <w:tcW w:w="1420" w:type="dxa"/>
            <w:vAlign w:val="bottom"/>
          </w:tcPr>
          <w:p>
            <w:pPr>
              <w:ind w:left="140"/>
              <w:spacing w:after="0"/>
              <w:rPr>
                <w:sz w:val="20"/>
                <w:szCs w:val="20"/>
                <w:color w:val="auto"/>
              </w:rPr>
            </w:pPr>
            <w:r>
              <w:rPr>
                <w:rFonts w:ascii="Arial" w:cs="Arial" w:eastAsia="Arial" w:hAnsi="Arial"/>
                <w:sz w:val="13"/>
                <w:szCs w:val="13"/>
                <w:color w:val="58595B"/>
              </w:rPr>
              <w:t>3/11/2027</w:t>
            </w:r>
          </w:p>
        </w:tc>
        <w:tc>
          <w:tcPr>
            <w:tcW w:w="1620" w:type="dxa"/>
            <w:vAlign w:val="bottom"/>
          </w:tcPr>
          <w:p>
            <w:pPr>
              <w:jc w:val="right"/>
              <w:ind w:right="177"/>
              <w:spacing w:after="0"/>
              <w:rPr>
                <w:sz w:val="20"/>
                <w:szCs w:val="20"/>
                <w:color w:val="auto"/>
              </w:rPr>
            </w:pPr>
            <w:r>
              <w:rPr>
                <w:rFonts w:ascii="Arial" w:cs="Arial" w:eastAsia="Arial" w:hAnsi="Arial"/>
                <w:sz w:val="13"/>
                <w:szCs w:val="13"/>
                <w:color w:val="58595B"/>
              </w:rPr>
              <w:t>41,336</w:t>
            </w:r>
          </w:p>
        </w:tc>
        <w:tc>
          <w:tcPr>
            <w:tcW w:w="1380" w:type="dxa"/>
            <w:vAlign w:val="bottom"/>
          </w:tcPr>
          <w:p>
            <w:pPr>
              <w:jc w:val="right"/>
              <w:ind w:right="97"/>
              <w:spacing w:after="0"/>
              <w:rPr>
                <w:sz w:val="20"/>
                <w:szCs w:val="20"/>
                <w:color w:val="auto"/>
              </w:rPr>
            </w:pPr>
            <w:r>
              <w:rPr>
                <w:rFonts w:ascii="Arial" w:cs="Arial" w:eastAsia="Arial" w:hAnsi="Arial"/>
                <w:sz w:val="13"/>
                <w:szCs w:val="13"/>
                <w:color w:val="58595B"/>
              </w:rPr>
              <w:t>29,608</w:t>
            </w:r>
          </w:p>
        </w:tc>
        <w:tc>
          <w:tcPr>
            <w:tcW w:w="1560" w:type="dxa"/>
            <w:vAlign w:val="bottom"/>
          </w:tcPr>
          <w:p>
            <w:pPr>
              <w:jc w:val="right"/>
              <w:ind w:right="97"/>
              <w:spacing w:after="0"/>
              <w:rPr>
                <w:sz w:val="20"/>
                <w:szCs w:val="20"/>
                <w:color w:val="auto"/>
              </w:rPr>
            </w:pPr>
            <w:r>
              <w:rPr>
                <w:rFonts w:ascii="Arial" w:cs="Arial" w:eastAsia="Arial" w:hAnsi="Arial"/>
                <w:sz w:val="13"/>
                <w:szCs w:val="13"/>
                <w:color w:val="58595B"/>
              </w:rPr>
              <w:t>16,880</w:t>
            </w:r>
          </w:p>
        </w:tc>
        <w:tc>
          <w:tcPr>
            <w:tcW w:w="1600" w:type="dxa"/>
            <w:vAlign w:val="bottom"/>
          </w:tcPr>
          <w:p>
            <w:pPr>
              <w:jc w:val="right"/>
              <w:ind w:right="117"/>
              <w:spacing w:after="0"/>
              <w:rPr>
                <w:sz w:val="20"/>
                <w:szCs w:val="20"/>
                <w:color w:val="auto"/>
              </w:rPr>
            </w:pPr>
            <w:r>
              <w:rPr>
                <w:rFonts w:ascii="Arial" w:cs="Arial" w:eastAsia="Arial" w:hAnsi="Arial"/>
                <w:sz w:val="13"/>
                <w:szCs w:val="13"/>
                <w:color w:val="58595B"/>
              </w:rPr>
              <w:t>28,570</w:t>
            </w:r>
          </w:p>
        </w:tc>
        <w:tc>
          <w:tcPr>
            <w:tcW w:w="1500" w:type="dxa"/>
            <w:vAlign w:val="bottom"/>
          </w:tcPr>
          <w:p>
            <w:pPr>
              <w:jc w:val="right"/>
              <w:ind w:right="157"/>
              <w:spacing w:after="0"/>
              <w:rPr>
                <w:sz w:val="20"/>
                <w:szCs w:val="20"/>
                <w:color w:val="auto"/>
              </w:rPr>
            </w:pPr>
            <w:r>
              <w:rPr>
                <w:rFonts w:ascii="Arial" w:cs="Arial" w:eastAsia="Arial" w:hAnsi="Arial"/>
                <w:sz w:val="13"/>
                <w:szCs w:val="13"/>
                <w:color w:val="58595B"/>
              </w:rPr>
              <w:t>15,843</w:t>
            </w:r>
          </w:p>
        </w:tc>
        <w:tc>
          <w:tcPr>
            <w:tcW w:w="1440" w:type="dxa"/>
            <w:vAlign w:val="bottom"/>
          </w:tcPr>
          <w:p>
            <w:pPr>
              <w:jc w:val="right"/>
              <w:ind w:right="137"/>
              <w:spacing w:after="0"/>
              <w:rPr>
                <w:sz w:val="20"/>
                <w:szCs w:val="20"/>
                <w:color w:val="auto"/>
              </w:rPr>
            </w:pPr>
            <w:r>
              <w:rPr>
                <w:rFonts w:ascii="Arial" w:cs="Arial" w:eastAsia="Arial" w:hAnsi="Arial"/>
                <w:sz w:val="13"/>
                <w:szCs w:val="13"/>
                <w:color w:val="58595B"/>
              </w:rPr>
              <w:t>55,495</w:t>
            </w:r>
          </w:p>
        </w:tc>
      </w:tr>
      <w:tr>
        <w:trPr>
          <w:trHeight w:val="28"/>
        </w:trPr>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3"/>
        </w:trPr>
        <w:tc>
          <w:tcPr>
            <w:tcW w:w="142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3"/>
                <w:szCs w:val="13"/>
                <w:color w:val="58595B"/>
              </w:rPr>
              <w:t>2028</w:t>
            </w:r>
          </w:p>
        </w:tc>
        <w:tc>
          <w:tcPr>
            <w:tcW w:w="1620" w:type="dxa"/>
            <w:vAlign w:val="bottom"/>
            <w:tcBorders>
              <w:bottom w:val="single" w:sz="8" w:color="EFEDED"/>
            </w:tcBorders>
            <w:shd w:val="clear" w:color="auto" w:fill="EFEDED"/>
          </w:tcPr>
          <w:p>
            <w:pPr>
              <w:spacing w:after="0"/>
              <w:rPr>
                <w:sz w:val="15"/>
                <w:szCs w:val="15"/>
                <w:color w:val="auto"/>
              </w:rPr>
            </w:pPr>
          </w:p>
        </w:tc>
        <w:tc>
          <w:tcPr>
            <w:tcW w:w="1380" w:type="dxa"/>
            <w:vAlign w:val="bottom"/>
            <w:tcBorders>
              <w:bottom w:val="single" w:sz="8" w:color="EFEDED"/>
            </w:tcBorders>
            <w:shd w:val="clear" w:color="auto" w:fill="EFEDED"/>
          </w:tcPr>
          <w:p>
            <w:pPr>
              <w:spacing w:after="0"/>
              <w:rPr>
                <w:sz w:val="15"/>
                <w:szCs w:val="15"/>
                <w:color w:val="auto"/>
              </w:rPr>
            </w:pPr>
          </w:p>
        </w:tc>
        <w:tc>
          <w:tcPr>
            <w:tcW w:w="1560" w:type="dxa"/>
            <w:vAlign w:val="bottom"/>
            <w:tcBorders>
              <w:bottom w:val="single" w:sz="8" w:color="EFEDED"/>
            </w:tcBorders>
            <w:shd w:val="clear" w:color="auto" w:fill="EFEDED"/>
          </w:tcPr>
          <w:p>
            <w:pPr>
              <w:spacing w:after="0"/>
              <w:rPr>
                <w:sz w:val="15"/>
                <w:szCs w:val="15"/>
                <w:color w:val="auto"/>
              </w:rPr>
            </w:pPr>
          </w:p>
        </w:tc>
        <w:tc>
          <w:tcPr>
            <w:tcW w:w="1600" w:type="dxa"/>
            <w:vAlign w:val="bottom"/>
            <w:tcBorders>
              <w:bottom w:val="single" w:sz="8" w:color="EFEDED"/>
            </w:tcBorders>
            <w:shd w:val="clear" w:color="auto" w:fill="EFEDED"/>
          </w:tcPr>
          <w:p>
            <w:pPr>
              <w:spacing w:after="0"/>
              <w:rPr>
                <w:sz w:val="15"/>
                <w:szCs w:val="15"/>
                <w:color w:val="auto"/>
              </w:rPr>
            </w:pPr>
          </w:p>
        </w:tc>
        <w:tc>
          <w:tcPr>
            <w:tcW w:w="1500" w:type="dxa"/>
            <w:vAlign w:val="bottom"/>
            <w:tcBorders>
              <w:bottom w:val="single" w:sz="8" w:color="EFEDED"/>
            </w:tcBorders>
            <w:shd w:val="clear" w:color="auto" w:fill="EFEDED"/>
          </w:tcPr>
          <w:p>
            <w:pPr>
              <w:spacing w:after="0"/>
              <w:rPr>
                <w:sz w:val="15"/>
                <w:szCs w:val="15"/>
                <w:color w:val="auto"/>
              </w:rPr>
            </w:pPr>
          </w:p>
        </w:tc>
        <w:tc>
          <w:tcPr>
            <w:tcW w:w="1440" w:type="dxa"/>
            <w:vAlign w:val="bottom"/>
            <w:tcBorders>
              <w:bottom w:val="single" w:sz="8" w:color="EFEDED"/>
            </w:tcBorders>
            <w:shd w:val="clear" w:color="auto" w:fill="EFEDED"/>
          </w:tcPr>
          <w:p>
            <w:pPr>
              <w:spacing w:after="0"/>
              <w:rPr>
                <w:sz w:val="15"/>
                <w:szCs w:val="15"/>
                <w:color w:val="auto"/>
              </w:rPr>
            </w:pPr>
          </w:p>
        </w:tc>
      </w:tr>
      <w:tr>
        <w:trPr>
          <w:trHeight w:val="175"/>
        </w:trPr>
        <w:tc>
          <w:tcPr>
            <w:tcW w:w="1420" w:type="dxa"/>
            <w:vAlign w:val="bottom"/>
          </w:tcPr>
          <w:p>
            <w:pPr>
              <w:ind w:left="140"/>
              <w:spacing w:after="0"/>
              <w:rPr>
                <w:sz w:val="20"/>
                <w:szCs w:val="20"/>
                <w:color w:val="auto"/>
              </w:rPr>
            </w:pPr>
            <w:r>
              <w:rPr>
                <w:rFonts w:ascii="Arial" w:cs="Arial" w:eastAsia="Arial" w:hAnsi="Arial"/>
                <w:sz w:val="13"/>
                <w:szCs w:val="13"/>
                <w:color w:val="58595B"/>
              </w:rPr>
              <w:t>3/11/2028</w:t>
            </w:r>
          </w:p>
        </w:tc>
        <w:tc>
          <w:tcPr>
            <w:tcW w:w="1620" w:type="dxa"/>
            <w:vAlign w:val="bottom"/>
          </w:tcPr>
          <w:p>
            <w:pPr>
              <w:jc w:val="right"/>
              <w:ind w:right="177"/>
              <w:spacing w:after="0"/>
              <w:rPr>
                <w:sz w:val="20"/>
                <w:szCs w:val="20"/>
                <w:color w:val="auto"/>
              </w:rPr>
            </w:pPr>
            <w:r>
              <w:rPr>
                <w:rFonts w:ascii="Arial" w:cs="Arial" w:eastAsia="Arial" w:hAnsi="Arial"/>
                <w:sz w:val="13"/>
                <w:szCs w:val="13"/>
                <w:color w:val="58595B"/>
              </w:rPr>
              <w:t>42,589</w:t>
            </w:r>
          </w:p>
        </w:tc>
        <w:tc>
          <w:tcPr>
            <w:tcW w:w="1380" w:type="dxa"/>
            <w:vAlign w:val="bottom"/>
          </w:tcPr>
          <w:p>
            <w:pPr>
              <w:jc w:val="right"/>
              <w:ind w:right="97"/>
              <w:spacing w:after="0"/>
              <w:rPr>
                <w:sz w:val="20"/>
                <w:szCs w:val="20"/>
                <w:color w:val="auto"/>
              </w:rPr>
            </w:pPr>
            <w:r>
              <w:rPr>
                <w:rFonts w:ascii="Arial" w:cs="Arial" w:eastAsia="Arial" w:hAnsi="Arial"/>
                <w:sz w:val="13"/>
                <w:szCs w:val="13"/>
                <w:color w:val="58595B"/>
              </w:rPr>
              <w:t>14,185</w:t>
            </w:r>
          </w:p>
        </w:tc>
        <w:tc>
          <w:tcPr>
            <w:tcW w:w="1560" w:type="dxa"/>
            <w:vAlign w:val="bottom"/>
          </w:tcPr>
          <w:p>
            <w:pPr>
              <w:jc w:val="right"/>
              <w:ind w:right="97"/>
              <w:spacing w:after="0"/>
              <w:rPr>
                <w:sz w:val="20"/>
                <w:szCs w:val="20"/>
                <w:color w:val="auto"/>
              </w:rPr>
            </w:pPr>
            <w:r>
              <w:rPr>
                <w:rFonts w:ascii="Arial" w:cs="Arial" w:eastAsia="Arial" w:hAnsi="Arial"/>
                <w:sz w:val="13"/>
                <w:szCs w:val="13"/>
                <w:color w:val="58595B"/>
              </w:rPr>
              <w:t>8,449</w:t>
            </w:r>
          </w:p>
        </w:tc>
        <w:tc>
          <w:tcPr>
            <w:tcW w:w="1600" w:type="dxa"/>
            <w:vAlign w:val="bottom"/>
          </w:tcPr>
          <w:p>
            <w:pPr>
              <w:jc w:val="right"/>
              <w:ind w:right="117"/>
              <w:spacing w:after="0"/>
              <w:rPr>
                <w:sz w:val="20"/>
                <w:szCs w:val="20"/>
                <w:color w:val="auto"/>
              </w:rPr>
            </w:pPr>
            <w:r>
              <w:rPr>
                <w:rFonts w:ascii="Arial" w:cs="Arial" w:eastAsia="Arial" w:hAnsi="Arial"/>
                <w:sz w:val="13"/>
                <w:szCs w:val="13"/>
                <w:color w:val="58595B"/>
              </w:rPr>
              <w:t>12,567</w:t>
            </w:r>
          </w:p>
        </w:tc>
        <w:tc>
          <w:tcPr>
            <w:tcW w:w="1500" w:type="dxa"/>
            <w:vAlign w:val="bottom"/>
          </w:tcPr>
          <w:p>
            <w:pPr>
              <w:jc w:val="right"/>
              <w:ind w:right="157"/>
              <w:spacing w:after="0"/>
              <w:rPr>
                <w:sz w:val="20"/>
                <w:szCs w:val="20"/>
                <w:color w:val="auto"/>
              </w:rPr>
            </w:pPr>
            <w:r>
              <w:rPr>
                <w:rFonts w:ascii="Arial" w:cs="Arial" w:eastAsia="Arial" w:hAnsi="Arial"/>
                <w:sz w:val="13"/>
                <w:szCs w:val="13"/>
                <w:color w:val="58595B"/>
              </w:rPr>
              <w:t>6,466</w:t>
            </w:r>
          </w:p>
        </w:tc>
        <w:tc>
          <w:tcPr>
            <w:tcW w:w="1440" w:type="dxa"/>
            <w:vAlign w:val="bottom"/>
          </w:tcPr>
          <w:p>
            <w:pPr>
              <w:spacing w:after="0"/>
              <w:rPr>
                <w:sz w:val="15"/>
                <w:szCs w:val="15"/>
                <w:color w:val="auto"/>
              </w:rPr>
            </w:pPr>
          </w:p>
        </w:tc>
      </w:tr>
      <w:tr>
        <w:trPr>
          <w:trHeight w:val="28"/>
        </w:trPr>
        <w:tc>
          <w:tcPr>
            <w:tcW w:w="1420" w:type="dxa"/>
            <w:vAlign w:val="bottom"/>
            <w:tcBorders>
              <w:bottom w:val="single" w:sz="8" w:color="58595B"/>
            </w:tcBorders>
          </w:tcPr>
          <w:p>
            <w:pPr>
              <w:spacing w:after="0"/>
              <w:rPr>
                <w:sz w:val="2"/>
                <w:szCs w:val="2"/>
                <w:color w:val="auto"/>
              </w:rPr>
            </w:pPr>
          </w:p>
        </w:tc>
        <w:tc>
          <w:tcPr>
            <w:tcW w:w="1620" w:type="dxa"/>
            <w:vAlign w:val="bottom"/>
            <w:tcBorders>
              <w:bottom w:val="single" w:sz="8" w:color="58595B"/>
            </w:tcBorders>
          </w:tcPr>
          <w:p>
            <w:pPr>
              <w:spacing w:after="0"/>
              <w:rPr>
                <w:sz w:val="2"/>
                <w:szCs w:val="2"/>
                <w:color w:val="auto"/>
              </w:rPr>
            </w:pPr>
          </w:p>
        </w:tc>
        <w:tc>
          <w:tcPr>
            <w:tcW w:w="1380" w:type="dxa"/>
            <w:vAlign w:val="bottom"/>
            <w:tcBorders>
              <w:bottom w:val="single" w:sz="8" w:color="58595B"/>
            </w:tcBorders>
          </w:tcPr>
          <w:p>
            <w:pPr>
              <w:spacing w:after="0"/>
              <w:rPr>
                <w:sz w:val="2"/>
                <w:szCs w:val="2"/>
                <w:color w:val="auto"/>
              </w:rPr>
            </w:pPr>
          </w:p>
        </w:tc>
        <w:tc>
          <w:tcPr>
            <w:tcW w:w="1560" w:type="dxa"/>
            <w:vAlign w:val="bottom"/>
            <w:tcBorders>
              <w:bottom w:val="single" w:sz="8" w:color="58595B"/>
            </w:tcBorders>
          </w:tcPr>
          <w:p>
            <w:pPr>
              <w:spacing w:after="0"/>
              <w:rPr>
                <w:sz w:val="2"/>
                <w:szCs w:val="2"/>
                <w:color w:val="auto"/>
              </w:rPr>
            </w:pPr>
          </w:p>
        </w:tc>
        <w:tc>
          <w:tcPr>
            <w:tcW w:w="1600" w:type="dxa"/>
            <w:vAlign w:val="bottom"/>
            <w:tcBorders>
              <w:bottom w:val="single" w:sz="8" w:color="58595B"/>
            </w:tcBorders>
          </w:tcPr>
          <w:p>
            <w:pPr>
              <w:spacing w:after="0"/>
              <w:rPr>
                <w:sz w:val="2"/>
                <w:szCs w:val="2"/>
                <w:color w:val="auto"/>
              </w:rPr>
            </w:pPr>
          </w:p>
        </w:tc>
        <w:tc>
          <w:tcPr>
            <w:tcW w:w="1500" w:type="dxa"/>
            <w:vAlign w:val="bottom"/>
            <w:tcBorders>
              <w:bottom w:val="single" w:sz="8" w:color="58595B"/>
            </w:tcBorders>
          </w:tcPr>
          <w:p>
            <w:pPr>
              <w:spacing w:after="0"/>
              <w:rPr>
                <w:sz w:val="2"/>
                <w:szCs w:val="2"/>
                <w:color w:val="auto"/>
              </w:rPr>
            </w:pPr>
          </w:p>
        </w:tc>
        <w:tc>
          <w:tcPr>
            <w:tcW w:w="1440" w:type="dxa"/>
            <w:vAlign w:val="bottom"/>
            <w:tcBorders>
              <w:bottom w:val="single" w:sz="8" w:color="58595B"/>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62</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Option Exercises and Stock Vested</w:t>
      </w:r>
    </w:p>
    <w:p>
      <w:pPr>
        <w:spacing w:after="0" w:line="193" w:lineRule="exact"/>
        <w:rPr>
          <w:sz w:val="20"/>
          <w:szCs w:val="20"/>
          <w:color w:val="auto"/>
        </w:rPr>
      </w:pPr>
    </w:p>
    <w:p>
      <w:pPr>
        <w:ind w:right="280"/>
        <w:spacing w:after="0" w:line="356" w:lineRule="auto"/>
        <w:rPr>
          <w:sz w:val="20"/>
          <w:szCs w:val="20"/>
          <w:color w:val="auto"/>
        </w:rPr>
      </w:pPr>
      <w:r>
        <w:rPr>
          <w:rFonts w:ascii="Arial" w:cs="Arial" w:eastAsia="Arial" w:hAnsi="Arial"/>
          <w:sz w:val="16"/>
          <w:szCs w:val="16"/>
          <w:color w:val="58595B"/>
        </w:rPr>
        <w:t>The following table presents information on stock option exercises and stock award vesting during 2025 for Mses. Knight and Poul and Messrs. De Witte, Davis, McBreen, and Singh.</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tcBorders>
              <w:bottom w:val="single" w:sz="8" w:color="EFEDED"/>
            </w:tcBorders>
            <w:shd w:val="clear" w:color="auto" w:fill="EFEDED"/>
          </w:tcPr>
          <w:p>
            <w:pPr>
              <w:spacing w:after="0"/>
              <w:rPr>
                <w:sz w:val="19"/>
                <w:szCs w:val="19"/>
                <w:color w:val="auto"/>
              </w:rPr>
            </w:pPr>
          </w:p>
        </w:tc>
        <w:tc>
          <w:tcPr>
            <w:tcW w:w="4580" w:type="dxa"/>
            <w:vAlign w:val="bottom"/>
            <w:tcBorders>
              <w:bottom w:val="single" w:sz="8" w:color="EFEDED"/>
            </w:tcBorders>
            <w:shd w:val="clear" w:color="auto" w:fill="EFEDED"/>
          </w:tcPr>
          <w:p>
            <w:pPr>
              <w:spacing w:after="0"/>
              <w:rPr>
                <w:sz w:val="19"/>
                <w:szCs w:val="19"/>
                <w:color w:val="auto"/>
              </w:rPr>
            </w:pPr>
          </w:p>
        </w:tc>
        <w:tc>
          <w:tcPr>
            <w:tcW w:w="2920" w:type="dxa"/>
            <w:vAlign w:val="bottom"/>
            <w:tcBorders>
              <w:bottom w:val="single" w:sz="8" w:color="58595B"/>
            </w:tcBorders>
            <w:gridSpan w:val="3"/>
            <w:shd w:val="clear" w:color="auto" w:fill="EFEDED"/>
          </w:tcPr>
          <w:p>
            <w:pPr>
              <w:ind w:left="1120"/>
              <w:spacing w:after="0"/>
              <w:rPr>
                <w:sz w:val="20"/>
                <w:szCs w:val="20"/>
                <w:color w:val="auto"/>
              </w:rPr>
            </w:pPr>
            <w:r>
              <w:rPr>
                <w:rFonts w:ascii="Arial" w:cs="Arial" w:eastAsia="Arial" w:hAnsi="Arial"/>
                <w:sz w:val="14"/>
                <w:szCs w:val="14"/>
                <w:color w:val="58595B"/>
              </w:rPr>
              <w:t>Option Awards</w:t>
            </w:r>
          </w:p>
        </w:tc>
        <w:tc>
          <w:tcPr>
            <w:tcW w:w="300" w:type="dxa"/>
            <w:vAlign w:val="bottom"/>
            <w:tcBorders>
              <w:bottom w:val="single" w:sz="8" w:color="58595B"/>
              <w:right w:val="single" w:sz="8" w:color="58595B"/>
            </w:tcBorders>
            <w:shd w:val="clear" w:color="auto" w:fill="EFEDED"/>
          </w:tcPr>
          <w:p>
            <w:pPr>
              <w:spacing w:after="0"/>
              <w:rPr>
                <w:sz w:val="19"/>
                <w:szCs w:val="19"/>
                <w:color w:val="auto"/>
              </w:rPr>
            </w:pPr>
          </w:p>
        </w:tc>
        <w:tc>
          <w:tcPr>
            <w:tcW w:w="3320" w:type="dxa"/>
            <w:vAlign w:val="bottom"/>
            <w:tcBorders>
              <w:bottom w:val="single" w:sz="8" w:color="58595B"/>
            </w:tcBorders>
            <w:gridSpan w:val="2"/>
            <w:shd w:val="clear" w:color="auto" w:fill="EFEDED"/>
          </w:tcPr>
          <w:p>
            <w:pPr>
              <w:jc w:val="right"/>
              <w:ind w:right="1228"/>
              <w:spacing w:after="0"/>
              <w:rPr>
                <w:sz w:val="20"/>
                <w:szCs w:val="20"/>
                <w:color w:val="auto"/>
              </w:rPr>
            </w:pPr>
            <w:r>
              <w:rPr>
                <w:rFonts w:ascii="Arial" w:cs="Arial" w:eastAsia="Arial" w:hAnsi="Arial"/>
                <w:sz w:val="14"/>
                <w:szCs w:val="14"/>
                <w:color w:val="58595B"/>
              </w:rPr>
              <w:t>Stock Awards</w:t>
            </w:r>
          </w:p>
        </w:tc>
        <w:tc>
          <w:tcPr>
            <w:tcW w:w="0" w:type="dxa"/>
            <w:vAlign w:val="bottom"/>
          </w:tcPr>
          <w:p>
            <w:pPr>
              <w:spacing w:after="0"/>
              <w:rPr>
                <w:sz w:val="1"/>
                <w:szCs w:val="1"/>
                <w:color w:val="auto"/>
              </w:rPr>
            </w:pPr>
          </w:p>
        </w:tc>
      </w:tr>
      <w:tr>
        <w:trPr>
          <w:trHeight w:val="193"/>
        </w:trPr>
        <w:tc>
          <w:tcPr>
            <w:tcW w:w="120" w:type="dxa"/>
            <w:vAlign w:val="bottom"/>
            <w:shd w:val="clear" w:color="auto" w:fill="EFEDED"/>
          </w:tcPr>
          <w:p>
            <w:pPr>
              <w:spacing w:after="0"/>
              <w:rPr>
                <w:sz w:val="16"/>
                <w:szCs w:val="16"/>
                <w:color w:val="auto"/>
              </w:rPr>
            </w:pPr>
          </w:p>
        </w:tc>
        <w:tc>
          <w:tcPr>
            <w:tcW w:w="4580" w:type="dxa"/>
            <w:vAlign w:val="bottom"/>
            <w:shd w:val="clear" w:color="auto" w:fill="EFEDED"/>
          </w:tcPr>
          <w:p>
            <w:pPr>
              <w:spacing w:after="0"/>
              <w:rPr>
                <w:sz w:val="16"/>
                <w:szCs w:val="16"/>
                <w:color w:val="auto"/>
              </w:rPr>
            </w:pPr>
          </w:p>
        </w:tc>
        <w:tc>
          <w:tcPr>
            <w:tcW w:w="1380" w:type="dxa"/>
            <w:vAlign w:val="bottom"/>
            <w:shd w:val="clear" w:color="auto" w:fill="EFEDED"/>
          </w:tcPr>
          <w:p>
            <w:pPr>
              <w:jc w:val="center"/>
              <w:ind w:left="128"/>
              <w:spacing w:after="0"/>
              <w:rPr>
                <w:sz w:val="20"/>
                <w:szCs w:val="20"/>
                <w:color w:val="auto"/>
              </w:rPr>
            </w:pPr>
            <w:r>
              <w:rPr>
                <w:rFonts w:ascii="Arial" w:cs="Arial" w:eastAsia="Arial" w:hAnsi="Arial"/>
                <w:sz w:val="14"/>
                <w:szCs w:val="14"/>
                <w:color w:val="58595B"/>
              </w:rPr>
              <w:t>Number of Shares</w:t>
            </w:r>
          </w:p>
        </w:tc>
        <w:tc>
          <w:tcPr>
            <w:tcW w:w="340" w:type="dxa"/>
            <w:vAlign w:val="bottom"/>
            <w:shd w:val="clear" w:color="auto" w:fill="EFEDED"/>
          </w:tcPr>
          <w:p>
            <w:pPr>
              <w:spacing w:after="0"/>
              <w:rPr>
                <w:sz w:val="16"/>
                <w:szCs w:val="16"/>
                <w:color w:val="auto"/>
              </w:rPr>
            </w:pPr>
          </w:p>
        </w:tc>
        <w:tc>
          <w:tcPr>
            <w:tcW w:w="1200" w:type="dxa"/>
            <w:vAlign w:val="bottom"/>
            <w:shd w:val="clear" w:color="auto" w:fill="EFEDED"/>
          </w:tcPr>
          <w:p>
            <w:pPr>
              <w:jc w:val="center"/>
              <w:ind w:left="68"/>
              <w:spacing w:after="0"/>
              <w:rPr>
                <w:sz w:val="20"/>
                <w:szCs w:val="20"/>
                <w:color w:val="auto"/>
              </w:rPr>
            </w:pPr>
            <w:r>
              <w:rPr>
                <w:rFonts w:ascii="Arial" w:cs="Arial" w:eastAsia="Arial" w:hAnsi="Arial"/>
                <w:sz w:val="14"/>
                <w:szCs w:val="14"/>
                <w:color w:val="58595B"/>
                <w:w w:val="99"/>
              </w:rPr>
              <w:t>Value Realized</w:t>
            </w:r>
          </w:p>
        </w:tc>
        <w:tc>
          <w:tcPr>
            <w:tcW w:w="300" w:type="dxa"/>
            <w:vAlign w:val="bottom"/>
            <w:tcBorders>
              <w:right w:val="single" w:sz="8" w:color="EFEDED"/>
            </w:tcBorders>
            <w:shd w:val="clear" w:color="auto" w:fill="EFEDED"/>
          </w:tcPr>
          <w:p>
            <w:pPr>
              <w:spacing w:after="0"/>
              <w:rPr>
                <w:sz w:val="16"/>
                <w:szCs w:val="16"/>
                <w:color w:val="auto"/>
              </w:rPr>
            </w:pPr>
          </w:p>
        </w:tc>
        <w:tc>
          <w:tcPr>
            <w:tcW w:w="1700" w:type="dxa"/>
            <w:vAlign w:val="bottom"/>
            <w:shd w:val="clear" w:color="auto" w:fill="EFEDED"/>
          </w:tcPr>
          <w:p>
            <w:pPr>
              <w:jc w:val="center"/>
              <w:ind w:right="68"/>
              <w:spacing w:after="0"/>
              <w:rPr>
                <w:sz w:val="20"/>
                <w:szCs w:val="20"/>
                <w:color w:val="auto"/>
              </w:rPr>
            </w:pPr>
            <w:r>
              <w:rPr>
                <w:rFonts w:ascii="Arial" w:cs="Arial" w:eastAsia="Arial" w:hAnsi="Arial"/>
                <w:sz w:val="14"/>
                <w:szCs w:val="14"/>
                <w:color w:val="58595B"/>
              </w:rPr>
              <w:t>Number of Shares</w:t>
            </w:r>
          </w:p>
        </w:tc>
        <w:tc>
          <w:tcPr>
            <w:tcW w:w="1620" w:type="dxa"/>
            <w:vAlign w:val="bottom"/>
            <w:shd w:val="clear" w:color="auto" w:fill="EFEDED"/>
          </w:tcPr>
          <w:p>
            <w:pPr>
              <w:jc w:val="center"/>
              <w:ind w:right="188"/>
              <w:spacing w:after="0"/>
              <w:rPr>
                <w:sz w:val="20"/>
                <w:szCs w:val="20"/>
                <w:color w:val="auto"/>
              </w:rPr>
            </w:pPr>
            <w:r>
              <w:rPr>
                <w:rFonts w:ascii="Arial" w:cs="Arial" w:eastAsia="Arial" w:hAnsi="Arial"/>
                <w:sz w:val="14"/>
                <w:szCs w:val="14"/>
                <w:color w:val="58595B"/>
              </w:rPr>
              <w:t>Value Realized</w:t>
            </w:r>
          </w:p>
        </w:tc>
        <w:tc>
          <w:tcPr>
            <w:tcW w:w="0" w:type="dxa"/>
            <w:vAlign w:val="bottom"/>
          </w:tcPr>
          <w:p>
            <w:pPr>
              <w:spacing w:after="0"/>
              <w:rPr>
                <w:sz w:val="1"/>
                <w:szCs w:val="1"/>
                <w:color w:val="auto"/>
              </w:rPr>
            </w:pPr>
          </w:p>
        </w:tc>
      </w:tr>
      <w:tr>
        <w:trPr>
          <w:trHeight w:val="176"/>
        </w:trPr>
        <w:tc>
          <w:tcPr>
            <w:tcW w:w="120" w:type="dxa"/>
            <w:vAlign w:val="bottom"/>
            <w:shd w:val="clear" w:color="auto" w:fill="EFEDED"/>
          </w:tcPr>
          <w:p>
            <w:pPr>
              <w:spacing w:after="0"/>
              <w:rPr>
                <w:sz w:val="15"/>
                <w:szCs w:val="15"/>
                <w:color w:val="auto"/>
              </w:rPr>
            </w:pPr>
          </w:p>
        </w:tc>
        <w:tc>
          <w:tcPr>
            <w:tcW w:w="4580" w:type="dxa"/>
            <w:vAlign w:val="bottom"/>
            <w:vMerge w:val="restart"/>
            <w:shd w:val="clear" w:color="auto" w:fill="EFEDED"/>
          </w:tcPr>
          <w:p>
            <w:pPr>
              <w:ind w:left="20"/>
              <w:spacing w:after="0"/>
              <w:rPr>
                <w:sz w:val="20"/>
                <w:szCs w:val="20"/>
                <w:color w:val="auto"/>
              </w:rPr>
            </w:pPr>
            <w:r>
              <w:rPr>
                <w:rFonts w:ascii="Arial" w:cs="Arial" w:eastAsia="Arial" w:hAnsi="Arial"/>
                <w:sz w:val="14"/>
                <w:szCs w:val="14"/>
                <w:color w:val="58595B"/>
              </w:rPr>
              <w:t>Name</w:t>
            </w:r>
          </w:p>
        </w:tc>
        <w:tc>
          <w:tcPr>
            <w:tcW w:w="1720" w:type="dxa"/>
            <w:vAlign w:val="bottom"/>
            <w:gridSpan w:val="2"/>
            <w:shd w:val="clear" w:color="auto" w:fill="EFEDED"/>
          </w:tcPr>
          <w:p>
            <w:pPr>
              <w:jc w:val="center"/>
              <w:ind w:right="88"/>
              <w:spacing w:after="0"/>
              <w:rPr>
                <w:sz w:val="20"/>
                <w:szCs w:val="20"/>
                <w:color w:val="auto"/>
              </w:rPr>
            </w:pPr>
            <w:r>
              <w:rPr>
                <w:rFonts w:ascii="Arial" w:cs="Arial" w:eastAsia="Arial" w:hAnsi="Arial"/>
                <w:sz w:val="14"/>
                <w:szCs w:val="14"/>
                <w:color w:val="58595B"/>
              </w:rPr>
              <w:t>Acquired on Exercise</w:t>
            </w:r>
          </w:p>
        </w:tc>
        <w:tc>
          <w:tcPr>
            <w:tcW w:w="1200" w:type="dxa"/>
            <w:vAlign w:val="bottom"/>
            <w:shd w:val="clear" w:color="auto" w:fill="EFEDED"/>
          </w:tcPr>
          <w:p>
            <w:pPr>
              <w:jc w:val="center"/>
              <w:ind w:left="68"/>
              <w:spacing w:after="0"/>
              <w:rPr>
                <w:sz w:val="20"/>
                <w:szCs w:val="20"/>
                <w:color w:val="auto"/>
              </w:rPr>
            </w:pPr>
            <w:r>
              <w:rPr>
                <w:rFonts w:ascii="Arial" w:cs="Arial" w:eastAsia="Arial" w:hAnsi="Arial"/>
                <w:sz w:val="14"/>
                <w:szCs w:val="14"/>
                <w:color w:val="58595B"/>
              </w:rPr>
              <w:t>on Exercise(1)</w:t>
            </w:r>
          </w:p>
        </w:tc>
        <w:tc>
          <w:tcPr>
            <w:tcW w:w="300" w:type="dxa"/>
            <w:vAlign w:val="bottom"/>
            <w:tcBorders>
              <w:right w:val="single" w:sz="8" w:color="EFEDED"/>
            </w:tcBorders>
            <w:shd w:val="clear" w:color="auto" w:fill="EFEDED"/>
          </w:tcPr>
          <w:p>
            <w:pPr>
              <w:spacing w:after="0"/>
              <w:rPr>
                <w:sz w:val="15"/>
                <w:szCs w:val="15"/>
                <w:color w:val="auto"/>
              </w:rPr>
            </w:pPr>
          </w:p>
        </w:tc>
        <w:tc>
          <w:tcPr>
            <w:tcW w:w="1700" w:type="dxa"/>
            <w:vAlign w:val="bottom"/>
            <w:shd w:val="clear" w:color="auto" w:fill="EFEDED"/>
          </w:tcPr>
          <w:p>
            <w:pPr>
              <w:jc w:val="center"/>
              <w:ind w:right="68"/>
              <w:spacing w:after="0"/>
              <w:rPr>
                <w:sz w:val="20"/>
                <w:szCs w:val="20"/>
                <w:color w:val="auto"/>
              </w:rPr>
            </w:pPr>
            <w:r>
              <w:rPr>
                <w:rFonts w:ascii="Arial" w:cs="Arial" w:eastAsia="Arial" w:hAnsi="Arial"/>
                <w:sz w:val="14"/>
                <w:szCs w:val="14"/>
                <w:color w:val="58595B"/>
              </w:rPr>
              <w:t>Acquired on Vesting</w:t>
            </w:r>
          </w:p>
        </w:tc>
        <w:tc>
          <w:tcPr>
            <w:tcW w:w="1620" w:type="dxa"/>
            <w:vAlign w:val="bottom"/>
            <w:shd w:val="clear" w:color="auto" w:fill="EFEDED"/>
          </w:tcPr>
          <w:p>
            <w:pPr>
              <w:jc w:val="center"/>
              <w:ind w:right="188"/>
              <w:spacing w:after="0"/>
              <w:rPr>
                <w:sz w:val="20"/>
                <w:szCs w:val="20"/>
                <w:color w:val="auto"/>
              </w:rPr>
            </w:pPr>
            <w:r>
              <w:rPr>
                <w:rFonts w:ascii="Arial" w:cs="Arial" w:eastAsia="Arial" w:hAnsi="Arial"/>
                <w:sz w:val="14"/>
                <w:szCs w:val="14"/>
                <w:color w:val="58595B"/>
              </w:rPr>
              <w:t>on Vesting (2)</w:t>
            </w:r>
          </w:p>
        </w:tc>
        <w:tc>
          <w:tcPr>
            <w:tcW w:w="0" w:type="dxa"/>
            <w:vAlign w:val="bottom"/>
          </w:tcPr>
          <w:p>
            <w:pPr>
              <w:spacing w:after="0"/>
              <w:rPr>
                <w:sz w:val="1"/>
                <w:szCs w:val="1"/>
                <w:color w:val="auto"/>
              </w:rPr>
            </w:pPr>
          </w:p>
        </w:tc>
      </w:tr>
      <w:tr>
        <w:trPr>
          <w:trHeight w:val="162"/>
        </w:trPr>
        <w:tc>
          <w:tcPr>
            <w:tcW w:w="120" w:type="dxa"/>
            <w:vAlign w:val="bottom"/>
            <w:shd w:val="clear" w:color="auto" w:fill="EFEDED"/>
          </w:tcPr>
          <w:p>
            <w:pPr>
              <w:spacing w:after="0"/>
              <w:rPr>
                <w:sz w:val="14"/>
                <w:szCs w:val="14"/>
                <w:color w:val="auto"/>
              </w:rPr>
            </w:pPr>
          </w:p>
        </w:tc>
        <w:tc>
          <w:tcPr>
            <w:tcW w:w="4580" w:type="dxa"/>
            <w:vAlign w:val="bottom"/>
            <w:vMerge w:val="continue"/>
            <w:shd w:val="clear" w:color="auto" w:fill="EFEDED"/>
          </w:tcPr>
          <w:p>
            <w:pPr>
              <w:spacing w:after="0"/>
              <w:rPr>
                <w:sz w:val="14"/>
                <w:szCs w:val="14"/>
                <w:color w:val="auto"/>
              </w:rPr>
            </w:pPr>
          </w:p>
        </w:tc>
        <w:tc>
          <w:tcPr>
            <w:tcW w:w="1380" w:type="dxa"/>
            <w:vAlign w:val="bottom"/>
            <w:shd w:val="clear" w:color="auto" w:fill="EFEDED"/>
          </w:tcPr>
          <w:p>
            <w:pPr>
              <w:jc w:val="center"/>
              <w:ind w:left="128"/>
              <w:spacing w:after="0"/>
              <w:rPr>
                <w:sz w:val="20"/>
                <w:szCs w:val="20"/>
                <w:color w:val="auto"/>
              </w:rPr>
            </w:pPr>
            <w:r>
              <w:rPr>
                <w:rFonts w:ascii="Arial" w:cs="Arial" w:eastAsia="Arial" w:hAnsi="Arial"/>
                <w:sz w:val="14"/>
                <w:szCs w:val="14"/>
                <w:color w:val="58595B"/>
              </w:rPr>
              <w:t>(#)</w:t>
            </w:r>
          </w:p>
        </w:tc>
        <w:tc>
          <w:tcPr>
            <w:tcW w:w="340" w:type="dxa"/>
            <w:vAlign w:val="bottom"/>
            <w:shd w:val="clear" w:color="auto" w:fill="EFEDED"/>
          </w:tcPr>
          <w:p>
            <w:pPr>
              <w:spacing w:after="0"/>
              <w:rPr>
                <w:sz w:val="14"/>
                <w:szCs w:val="14"/>
                <w:color w:val="auto"/>
              </w:rPr>
            </w:pPr>
          </w:p>
        </w:tc>
        <w:tc>
          <w:tcPr>
            <w:tcW w:w="1200" w:type="dxa"/>
            <w:vAlign w:val="bottom"/>
            <w:shd w:val="clear" w:color="auto" w:fill="EFEDED"/>
          </w:tcPr>
          <w:p>
            <w:pPr>
              <w:jc w:val="center"/>
              <w:ind w:left="68"/>
              <w:spacing w:after="0"/>
              <w:rPr>
                <w:sz w:val="20"/>
                <w:szCs w:val="20"/>
                <w:color w:val="auto"/>
              </w:rPr>
            </w:pPr>
            <w:r>
              <w:rPr>
                <w:rFonts w:ascii="Arial" w:cs="Arial" w:eastAsia="Arial" w:hAnsi="Arial"/>
                <w:sz w:val="14"/>
                <w:szCs w:val="14"/>
                <w:color w:val="58595B"/>
              </w:rPr>
              <w:t>($)</w:t>
            </w:r>
          </w:p>
        </w:tc>
        <w:tc>
          <w:tcPr>
            <w:tcW w:w="300" w:type="dxa"/>
            <w:vAlign w:val="bottom"/>
            <w:tcBorders>
              <w:right w:val="single" w:sz="8" w:color="EFEDED"/>
            </w:tcBorders>
            <w:shd w:val="clear" w:color="auto" w:fill="EFEDED"/>
          </w:tcPr>
          <w:p>
            <w:pPr>
              <w:spacing w:after="0"/>
              <w:rPr>
                <w:sz w:val="14"/>
                <w:szCs w:val="14"/>
                <w:color w:val="auto"/>
              </w:rPr>
            </w:pPr>
          </w:p>
        </w:tc>
        <w:tc>
          <w:tcPr>
            <w:tcW w:w="1700" w:type="dxa"/>
            <w:vAlign w:val="bottom"/>
            <w:shd w:val="clear" w:color="auto" w:fill="EFEDED"/>
          </w:tcPr>
          <w:p>
            <w:pPr>
              <w:jc w:val="center"/>
              <w:ind w:right="88"/>
              <w:spacing w:after="0"/>
              <w:rPr>
                <w:sz w:val="20"/>
                <w:szCs w:val="20"/>
                <w:color w:val="auto"/>
              </w:rPr>
            </w:pPr>
            <w:r>
              <w:rPr>
                <w:rFonts w:ascii="Arial" w:cs="Arial" w:eastAsia="Arial" w:hAnsi="Arial"/>
                <w:sz w:val="14"/>
                <w:szCs w:val="14"/>
                <w:color w:val="58595B"/>
              </w:rPr>
              <w:t>(#)</w:t>
            </w:r>
          </w:p>
        </w:tc>
        <w:tc>
          <w:tcPr>
            <w:tcW w:w="1620" w:type="dxa"/>
            <w:vAlign w:val="bottom"/>
            <w:shd w:val="clear" w:color="auto" w:fill="EFEDED"/>
          </w:tcPr>
          <w:p>
            <w:pPr>
              <w:jc w:val="center"/>
              <w:ind w:right="188"/>
              <w:spacing w:after="0"/>
              <w:rPr>
                <w:sz w:val="20"/>
                <w:szCs w:val="20"/>
                <w:color w:val="auto"/>
              </w:rPr>
            </w:pPr>
            <w:r>
              <w:rPr>
                <w:rFonts w:ascii="Arial" w:cs="Arial" w:eastAsia="Arial" w:hAnsi="Arial"/>
                <w:sz w:val="14"/>
                <w:szCs w:val="14"/>
                <w:color w:val="58595B"/>
                <w:w w:val="93"/>
              </w:rPr>
              <w:t>($)</w:t>
            </w:r>
          </w:p>
        </w:tc>
        <w:tc>
          <w:tcPr>
            <w:tcW w:w="0" w:type="dxa"/>
            <w:vAlign w:val="bottom"/>
          </w:tcPr>
          <w:p>
            <w:pPr>
              <w:spacing w:after="0"/>
              <w:rPr>
                <w:sz w:val="1"/>
                <w:szCs w:val="1"/>
                <w:color w:val="auto"/>
              </w:rPr>
            </w:pPr>
          </w:p>
        </w:tc>
      </w:tr>
      <w:tr>
        <w:trPr>
          <w:trHeight w:val="212"/>
        </w:trPr>
        <w:tc>
          <w:tcPr>
            <w:tcW w:w="120" w:type="dxa"/>
            <w:vAlign w:val="bottom"/>
            <w:shd w:val="clear" w:color="auto" w:fill="EFEDED"/>
          </w:tcPr>
          <w:p>
            <w:pPr>
              <w:spacing w:after="0"/>
              <w:rPr>
                <w:sz w:val="18"/>
                <w:szCs w:val="18"/>
                <w:color w:val="auto"/>
              </w:rPr>
            </w:pPr>
          </w:p>
        </w:tc>
        <w:tc>
          <w:tcPr>
            <w:tcW w:w="458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(a)</w:t>
            </w:r>
          </w:p>
        </w:tc>
        <w:tc>
          <w:tcPr>
            <w:tcW w:w="1380" w:type="dxa"/>
            <w:vAlign w:val="bottom"/>
            <w:shd w:val="clear" w:color="auto" w:fill="EFEDED"/>
          </w:tcPr>
          <w:p>
            <w:pPr>
              <w:jc w:val="center"/>
              <w:ind w:left="128"/>
              <w:spacing w:after="0"/>
              <w:rPr>
                <w:sz w:val="20"/>
                <w:szCs w:val="20"/>
                <w:color w:val="auto"/>
              </w:rPr>
            </w:pPr>
            <w:r>
              <w:rPr>
                <w:rFonts w:ascii="Arial" w:cs="Arial" w:eastAsia="Arial" w:hAnsi="Arial"/>
                <w:sz w:val="14"/>
                <w:szCs w:val="14"/>
                <w:color w:val="58595B"/>
              </w:rPr>
              <w:t>(b)</w:t>
            </w:r>
          </w:p>
        </w:tc>
        <w:tc>
          <w:tcPr>
            <w:tcW w:w="340" w:type="dxa"/>
            <w:vAlign w:val="bottom"/>
            <w:shd w:val="clear" w:color="auto" w:fill="EFEDED"/>
          </w:tcPr>
          <w:p>
            <w:pPr>
              <w:spacing w:after="0"/>
              <w:rPr>
                <w:sz w:val="18"/>
                <w:szCs w:val="18"/>
                <w:color w:val="auto"/>
              </w:rPr>
            </w:pPr>
          </w:p>
        </w:tc>
        <w:tc>
          <w:tcPr>
            <w:tcW w:w="1200" w:type="dxa"/>
            <w:vAlign w:val="bottom"/>
            <w:shd w:val="clear" w:color="auto" w:fill="EFEDED"/>
          </w:tcPr>
          <w:p>
            <w:pPr>
              <w:jc w:val="center"/>
              <w:ind w:left="68"/>
              <w:spacing w:after="0"/>
              <w:rPr>
                <w:sz w:val="20"/>
                <w:szCs w:val="20"/>
                <w:color w:val="auto"/>
              </w:rPr>
            </w:pPr>
            <w:r>
              <w:rPr>
                <w:rFonts w:ascii="Arial" w:cs="Arial" w:eastAsia="Arial" w:hAnsi="Arial"/>
                <w:sz w:val="14"/>
                <w:szCs w:val="14"/>
                <w:color w:val="58595B"/>
              </w:rPr>
              <w:t>(c)</w:t>
            </w:r>
          </w:p>
        </w:tc>
        <w:tc>
          <w:tcPr>
            <w:tcW w:w="300" w:type="dxa"/>
            <w:vAlign w:val="bottom"/>
            <w:tcBorders>
              <w:right w:val="single" w:sz="8" w:color="EFEDED"/>
            </w:tcBorders>
            <w:shd w:val="clear" w:color="auto" w:fill="EFEDED"/>
          </w:tcPr>
          <w:p>
            <w:pPr>
              <w:spacing w:after="0"/>
              <w:rPr>
                <w:sz w:val="18"/>
                <w:szCs w:val="18"/>
                <w:color w:val="auto"/>
              </w:rPr>
            </w:pPr>
          </w:p>
        </w:tc>
        <w:tc>
          <w:tcPr>
            <w:tcW w:w="1700" w:type="dxa"/>
            <w:vAlign w:val="bottom"/>
            <w:shd w:val="clear" w:color="auto" w:fill="EFEDED"/>
          </w:tcPr>
          <w:p>
            <w:pPr>
              <w:jc w:val="center"/>
              <w:ind w:right="88"/>
              <w:spacing w:after="0"/>
              <w:rPr>
                <w:sz w:val="20"/>
                <w:szCs w:val="20"/>
                <w:color w:val="auto"/>
              </w:rPr>
            </w:pPr>
            <w:r>
              <w:rPr>
                <w:rFonts w:ascii="Arial" w:cs="Arial" w:eastAsia="Arial" w:hAnsi="Arial"/>
                <w:sz w:val="14"/>
                <w:szCs w:val="14"/>
                <w:color w:val="58595B"/>
              </w:rPr>
              <w:t>(d)</w:t>
            </w:r>
          </w:p>
        </w:tc>
        <w:tc>
          <w:tcPr>
            <w:tcW w:w="1620" w:type="dxa"/>
            <w:vAlign w:val="bottom"/>
            <w:shd w:val="clear" w:color="auto" w:fill="EFEDED"/>
          </w:tcPr>
          <w:p>
            <w:pPr>
              <w:jc w:val="center"/>
              <w:ind w:right="188"/>
              <w:spacing w:after="0"/>
              <w:rPr>
                <w:sz w:val="20"/>
                <w:szCs w:val="20"/>
                <w:color w:val="auto"/>
              </w:rPr>
            </w:pPr>
            <w:r>
              <w:rPr>
                <w:rFonts w:ascii="Arial" w:cs="Arial" w:eastAsia="Arial" w:hAnsi="Arial"/>
                <w:sz w:val="14"/>
                <w:szCs w:val="14"/>
                <w:color w:val="58595B"/>
                <w:w w:val="93"/>
              </w:rPr>
              <w:t>(e)</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58595B"/>
              </w:rPr>
              <w:t>Mojdeh Poul</w:t>
            </w:r>
          </w:p>
        </w:tc>
        <w:tc>
          <w:tcPr>
            <w:tcW w:w="13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4"/>
                <w:szCs w:val="14"/>
                <w:color w:val="58595B"/>
              </w:rPr>
              <w:t>—</w:t>
            </w:r>
          </w:p>
        </w:tc>
        <w:tc>
          <w:tcPr>
            <w:tcW w:w="120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4"/>
                <w:szCs w:val="14"/>
                <w:color w:val="58595B"/>
              </w:rPr>
              <w:t>—</w:t>
            </w:r>
          </w:p>
        </w:tc>
        <w:tc>
          <w:tcPr>
            <w:tcW w:w="1700" w:type="dxa"/>
            <w:vAlign w:val="bottom"/>
          </w:tcPr>
          <w:p>
            <w:pPr>
              <w:jc w:val="right"/>
              <w:ind w:right="108"/>
              <w:spacing w:after="0"/>
              <w:rPr>
                <w:sz w:val="20"/>
                <w:szCs w:val="20"/>
                <w:color w:val="auto"/>
              </w:rPr>
            </w:pPr>
            <w:r>
              <w:rPr>
                <w:rFonts w:ascii="Arial" w:cs="Arial" w:eastAsia="Arial" w:hAnsi="Arial"/>
                <w:sz w:val="14"/>
                <w:szCs w:val="14"/>
                <w:color w:val="58595B"/>
              </w:rPr>
              <w:t>—</w:t>
            </w:r>
          </w:p>
        </w:tc>
        <w:tc>
          <w:tcPr>
            <w:tcW w:w="1620" w:type="dxa"/>
            <w:vAlign w:val="bottom"/>
          </w:tcPr>
          <w:p>
            <w:pPr>
              <w:jc w:val="right"/>
              <w:ind w:right="12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Borders>
              <w:bottom w:val="single" w:sz="8" w:color="EFEDED"/>
            </w:tcBorders>
            <w:shd w:val="clear" w:color="auto" w:fill="EFEDED"/>
          </w:tcPr>
          <w:p>
            <w:pPr>
              <w:spacing w:after="0"/>
              <w:rPr>
                <w:sz w:val="18"/>
                <w:szCs w:val="18"/>
                <w:color w:val="auto"/>
              </w:rPr>
            </w:pPr>
          </w:p>
        </w:tc>
        <w:tc>
          <w:tcPr>
            <w:tcW w:w="458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color w:val="58595B"/>
              </w:rPr>
              <w:t>Lea Knight</w:t>
            </w:r>
          </w:p>
        </w:tc>
        <w:tc>
          <w:tcPr>
            <w:tcW w:w="1380" w:type="dxa"/>
            <w:vAlign w:val="bottom"/>
            <w:tcBorders>
              <w:bottom w:val="single" w:sz="8" w:color="EFEDED"/>
            </w:tcBorders>
            <w:shd w:val="clear" w:color="auto" w:fill="EFEDED"/>
          </w:tcPr>
          <w:p>
            <w:pPr>
              <w:spacing w:after="0"/>
              <w:rPr>
                <w:sz w:val="18"/>
                <w:szCs w:val="18"/>
                <w:color w:val="auto"/>
              </w:rPr>
            </w:pPr>
          </w:p>
        </w:tc>
        <w:tc>
          <w:tcPr>
            <w:tcW w:w="340" w:type="dxa"/>
            <w:vAlign w:val="bottom"/>
            <w:tcBorders>
              <w:bottom w:val="single" w:sz="8" w:color="EFEDED"/>
            </w:tcBorders>
            <w:shd w:val="clear" w:color="auto" w:fill="EFEDED"/>
          </w:tcPr>
          <w:p>
            <w:pPr>
              <w:spacing w:after="0"/>
              <w:rPr>
                <w:sz w:val="20"/>
                <w:szCs w:val="20"/>
                <w:color w:val="auto"/>
              </w:rPr>
            </w:pPr>
            <w:r>
              <w:rPr>
                <w:rFonts w:ascii="Arial" w:cs="Arial" w:eastAsia="Arial" w:hAnsi="Arial"/>
                <w:sz w:val="14"/>
                <w:szCs w:val="14"/>
                <w:color w:val="58595B"/>
              </w:rPr>
              <w:t>—</w:t>
            </w:r>
          </w:p>
        </w:tc>
        <w:tc>
          <w:tcPr>
            <w:tcW w:w="1200" w:type="dxa"/>
            <w:vAlign w:val="bottom"/>
            <w:tcBorders>
              <w:bottom w:val="single" w:sz="8" w:color="EFEDED"/>
            </w:tcBorders>
            <w:shd w:val="clear" w:color="auto" w:fill="EFEDED"/>
          </w:tcPr>
          <w:p>
            <w:pPr>
              <w:spacing w:after="0"/>
              <w:rPr>
                <w:sz w:val="18"/>
                <w:szCs w:val="18"/>
                <w:color w:val="auto"/>
              </w:rPr>
            </w:pPr>
          </w:p>
        </w:tc>
        <w:tc>
          <w:tcPr>
            <w:tcW w:w="300" w:type="dxa"/>
            <w:vAlign w:val="bottom"/>
            <w:tcBorders>
              <w:bottom w:val="single" w:sz="8" w:color="EFEDED"/>
              <w:right w:val="single" w:sz="8" w:color="EFEDED"/>
            </w:tcBorders>
            <w:shd w:val="clear" w:color="auto" w:fill="EFEDED"/>
          </w:tcPr>
          <w:p>
            <w:pPr>
              <w:ind w:left="60"/>
              <w:spacing w:after="0"/>
              <w:rPr>
                <w:sz w:val="20"/>
                <w:szCs w:val="20"/>
                <w:color w:val="auto"/>
              </w:rPr>
            </w:pPr>
            <w:r>
              <w:rPr>
                <w:rFonts w:ascii="Arial" w:cs="Arial" w:eastAsia="Arial" w:hAnsi="Arial"/>
                <w:sz w:val="14"/>
                <w:szCs w:val="14"/>
                <w:color w:val="58595B"/>
              </w:rPr>
              <w:t>—</w:t>
            </w:r>
          </w:p>
        </w:tc>
        <w:tc>
          <w:tcPr>
            <w:tcW w:w="1700" w:type="dxa"/>
            <w:vAlign w:val="bottom"/>
            <w:tcBorders>
              <w:bottom w:val="single" w:sz="8" w:color="EFEDED"/>
            </w:tcBorders>
            <w:shd w:val="clear" w:color="auto" w:fill="EFEDED"/>
          </w:tcPr>
          <w:p>
            <w:pPr>
              <w:jc w:val="right"/>
              <w:ind w:right="108"/>
              <w:spacing w:after="0"/>
              <w:rPr>
                <w:sz w:val="20"/>
                <w:szCs w:val="20"/>
                <w:color w:val="auto"/>
              </w:rPr>
            </w:pPr>
            <w:r>
              <w:rPr>
                <w:rFonts w:ascii="Arial" w:cs="Arial" w:eastAsia="Arial" w:hAnsi="Arial"/>
                <w:sz w:val="14"/>
                <w:szCs w:val="14"/>
                <w:color w:val="58595B"/>
              </w:rPr>
              <w:t>9,938</w:t>
            </w:r>
          </w:p>
        </w:tc>
        <w:tc>
          <w:tcPr>
            <w:tcW w:w="1620" w:type="dxa"/>
            <w:vAlign w:val="bottom"/>
            <w:tcBorders>
              <w:bottom w:val="single" w:sz="8" w:color="EFEDED"/>
            </w:tcBorders>
            <w:shd w:val="clear" w:color="auto" w:fill="EFEDED"/>
          </w:tcPr>
          <w:p>
            <w:pPr>
              <w:jc w:val="right"/>
              <w:ind w:right="128"/>
              <w:spacing w:after="0"/>
              <w:rPr>
                <w:sz w:val="20"/>
                <w:szCs w:val="20"/>
                <w:color w:val="auto"/>
              </w:rPr>
            </w:pPr>
            <w:r>
              <w:rPr>
                <w:rFonts w:ascii="Arial" w:cs="Arial" w:eastAsia="Arial" w:hAnsi="Arial"/>
                <w:sz w:val="14"/>
                <w:szCs w:val="14"/>
                <w:color w:val="58595B"/>
              </w:rPr>
              <w:t>174,868</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58595B"/>
              </w:rPr>
              <w:t>Robert T. Davis Jr.</w:t>
            </w:r>
          </w:p>
        </w:tc>
        <w:tc>
          <w:tcPr>
            <w:tcW w:w="13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4"/>
                <w:szCs w:val="14"/>
                <w:color w:val="58595B"/>
              </w:rPr>
              <w:t>—</w:t>
            </w:r>
          </w:p>
        </w:tc>
        <w:tc>
          <w:tcPr>
            <w:tcW w:w="120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4"/>
                <w:szCs w:val="14"/>
                <w:color w:val="58595B"/>
              </w:rPr>
              <w:t>—</w:t>
            </w:r>
          </w:p>
        </w:tc>
        <w:tc>
          <w:tcPr>
            <w:tcW w:w="1700" w:type="dxa"/>
            <w:vAlign w:val="bottom"/>
          </w:tcPr>
          <w:p>
            <w:pPr>
              <w:jc w:val="right"/>
              <w:ind w:right="108"/>
              <w:spacing w:after="0"/>
              <w:rPr>
                <w:sz w:val="20"/>
                <w:szCs w:val="20"/>
                <w:color w:val="auto"/>
              </w:rPr>
            </w:pPr>
            <w:r>
              <w:rPr>
                <w:rFonts w:ascii="Arial" w:cs="Arial" w:eastAsia="Arial" w:hAnsi="Arial"/>
                <w:sz w:val="14"/>
                <w:szCs w:val="14"/>
                <w:color w:val="58595B"/>
              </w:rPr>
              <w:t>2,507</w:t>
            </w:r>
          </w:p>
        </w:tc>
        <w:tc>
          <w:tcPr>
            <w:tcW w:w="1620" w:type="dxa"/>
            <w:vAlign w:val="bottom"/>
          </w:tcPr>
          <w:p>
            <w:pPr>
              <w:jc w:val="right"/>
              <w:ind w:right="128"/>
              <w:spacing w:after="0"/>
              <w:rPr>
                <w:sz w:val="20"/>
                <w:szCs w:val="20"/>
                <w:color w:val="auto"/>
              </w:rPr>
            </w:pPr>
            <w:r>
              <w:rPr>
                <w:rFonts w:ascii="Arial" w:cs="Arial" w:eastAsia="Arial" w:hAnsi="Arial"/>
                <w:sz w:val="14"/>
                <w:szCs w:val="14"/>
                <w:color w:val="58595B"/>
              </w:rPr>
              <w:t>58,173</w:t>
            </w: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Borders>
              <w:bottom w:val="single" w:sz="8" w:color="EFEDED"/>
            </w:tcBorders>
            <w:shd w:val="clear" w:color="auto" w:fill="EFEDED"/>
          </w:tcPr>
          <w:p>
            <w:pPr>
              <w:spacing w:after="0"/>
              <w:rPr>
                <w:sz w:val="18"/>
                <w:szCs w:val="18"/>
                <w:color w:val="auto"/>
              </w:rPr>
            </w:pPr>
          </w:p>
        </w:tc>
        <w:tc>
          <w:tcPr>
            <w:tcW w:w="458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color w:val="58595B"/>
              </w:rPr>
              <w:t>Michael J. McBreen</w:t>
            </w:r>
          </w:p>
        </w:tc>
        <w:tc>
          <w:tcPr>
            <w:tcW w:w="1380" w:type="dxa"/>
            <w:vAlign w:val="bottom"/>
            <w:tcBorders>
              <w:bottom w:val="single" w:sz="8" w:color="EFEDED"/>
            </w:tcBorders>
            <w:shd w:val="clear" w:color="auto" w:fill="EFEDED"/>
          </w:tcPr>
          <w:p>
            <w:pPr>
              <w:spacing w:after="0"/>
              <w:rPr>
                <w:sz w:val="18"/>
                <w:szCs w:val="18"/>
                <w:color w:val="auto"/>
              </w:rPr>
            </w:pPr>
          </w:p>
        </w:tc>
        <w:tc>
          <w:tcPr>
            <w:tcW w:w="340" w:type="dxa"/>
            <w:vAlign w:val="bottom"/>
            <w:tcBorders>
              <w:bottom w:val="single" w:sz="8" w:color="EFEDED"/>
            </w:tcBorders>
            <w:shd w:val="clear" w:color="auto" w:fill="EFEDED"/>
          </w:tcPr>
          <w:p>
            <w:pPr>
              <w:spacing w:after="0"/>
              <w:rPr>
                <w:sz w:val="20"/>
                <w:szCs w:val="20"/>
                <w:color w:val="auto"/>
              </w:rPr>
            </w:pPr>
            <w:r>
              <w:rPr>
                <w:rFonts w:ascii="Arial" w:cs="Arial" w:eastAsia="Arial" w:hAnsi="Arial"/>
                <w:sz w:val="14"/>
                <w:szCs w:val="14"/>
                <w:color w:val="58595B"/>
              </w:rPr>
              <w:t>—</w:t>
            </w:r>
          </w:p>
        </w:tc>
        <w:tc>
          <w:tcPr>
            <w:tcW w:w="1200" w:type="dxa"/>
            <w:vAlign w:val="bottom"/>
            <w:tcBorders>
              <w:bottom w:val="single" w:sz="8" w:color="EFEDED"/>
            </w:tcBorders>
            <w:shd w:val="clear" w:color="auto" w:fill="EFEDED"/>
          </w:tcPr>
          <w:p>
            <w:pPr>
              <w:spacing w:after="0"/>
              <w:rPr>
                <w:sz w:val="18"/>
                <w:szCs w:val="18"/>
                <w:color w:val="auto"/>
              </w:rPr>
            </w:pPr>
          </w:p>
        </w:tc>
        <w:tc>
          <w:tcPr>
            <w:tcW w:w="300" w:type="dxa"/>
            <w:vAlign w:val="bottom"/>
            <w:tcBorders>
              <w:bottom w:val="single" w:sz="8" w:color="EFEDED"/>
              <w:right w:val="single" w:sz="8" w:color="EFEDED"/>
            </w:tcBorders>
            <w:shd w:val="clear" w:color="auto" w:fill="EFEDED"/>
          </w:tcPr>
          <w:p>
            <w:pPr>
              <w:ind w:left="60"/>
              <w:spacing w:after="0"/>
              <w:rPr>
                <w:sz w:val="20"/>
                <w:szCs w:val="20"/>
                <w:color w:val="auto"/>
              </w:rPr>
            </w:pPr>
            <w:r>
              <w:rPr>
                <w:rFonts w:ascii="Arial" w:cs="Arial" w:eastAsia="Arial" w:hAnsi="Arial"/>
                <w:sz w:val="14"/>
                <w:szCs w:val="14"/>
                <w:color w:val="58595B"/>
              </w:rPr>
              <w:t>—</w:t>
            </w:r>
          </w:p>
        </w:tc>
        <w:tc>
          <w:tcPr>
            <w:tcW w:w="1700" w:type="dxa"/>
            <w:vAlign w:val="bottom"/>
            <w:tcBorders>
              <w:bottom w:val="single" w:sz="8" w:color="EFEDED"/>
            </w:tcBorders>
            <w:shd w:val="clear" w:color="auto" w:fill="EFEDED"/>
          </w:tcPr>
          <w:p>
            <w:pPr>
              <w:jc w:val="right"/>
              <w:ind w:right="108"/>
              <w:spacing w:after="0"/>
              <w:rPr>
                <w:sz w:val="20"/>
                <w:szCs w:val="20"/>
                <w:color w:val="auto"/>
              </w:rPr>
            </w:pPr>
            <w:r>
              <w:rPr>
                <w:rFonts w:ascii="Arial" w:cs="Arial" w:eastAsia="Arial" w:hAnsi="Arial"/>
                <w:sz w:val="14"/>
                <w:szCs w:val="14"/>
                <w:color w:val="58595B"/>
              </w:rPr>
              <w:t>10,968</w:t>
            </w:r>
          </w:p>
        </w:tc>
        <w:tc>
          <w:tcPr>
            <w:tcW w:w="1620" w:type="dxa"/>
            <w:vAlign w:val="bottom"/>
            <w:tcBorders>
              <w:bottom w:val="single" w:sz="8" w:color="EFEDED"/>
            </w:tcBorders>
            <w:shd w:val="clear" w:color="auto" w:fill="EFEDED"/>
          </w:tcPr>
          <w:p>
            <w:pPr>
              <w:jc w:val="right"/>
              <w:ind w:right="128"/>
              <w:spacing w:after="0"/>
              <w:rPr>
                <w:sz w:val="20"/>
                <w:szCs w:val="20"/>
                <w:color w:val="auto"/>
              </w:rPr>
            </w:pPr>
            <w:r>
              <w:rPr>
                <w:rFonts w:ascii="Arial" w:cs="Arial" w:eastAsia="Arial" w:hAnsi="Arial"/>
                <w:sz w:val="14"/>
                <w:szCs w:val="14"/>
                <w:color w:val="58595B"/>
              </w:rPr>
              <w:t>254,908</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58595B"/>
              </w:rPr>
              <w:t>Harvinder Singh</w:t>
            </w:r>
          </w:p>
        </w:tc>
        <w:tc>
          <w:tcPr>
            <w:tcW w:w="13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4"/>
                <w:szCs w:val="14"/>
                <w:color w:val="58595B"/>
              </w:rPr>
              <w:t>—</w:t>
            </w:r>
          </w:p>
        </w:tc>
        <w:tc>
          <w:tcPr>
            <w:tcW w:w="120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4"/>
                <w:szCs w:val="14"/>
                <w:color w:val="58595B"/>
              </w:rPr>
              <w:t>—</w:t>
            </w:r>
          </w:p>
        </w:tc>
        <w:tc>
          <w:tcPr>
            <w:tcW w:w="1700" w:type="dxa"/>
            <w:vAlign w:val="bottom"/>
          </w:tcPr>
          <w:p>
            <w:pPr>
              <w:jc w:val="right"/>
              <w:ind w:right="108"/>
              <w:spacing w:after="0"/>
              <w:rPr>
                <w:sz w:val="20"/>
                <w:szCs w:val="20"/>
                <w:color w:val="auto"/>
              </w:rPr>
            </w:pPr>
            <w:r>
              <w:rPr>
                <w:rFonts w:ascii="Arial" w:cs="Arial" w:eastAsia="Arial" w:hAnsi="Arial"/>
                <w:sz w:val="14"/>
                <w:szCs w:val="14"/>
                <w:color w:val="58595B"/>
              </w:rPr>
              <w:t>15,501</w:t>
            </w:r>
          </w:p>
        </w:tc>
        <w:tc>
          <w:tcPr>
            <w:tcW w:w="1620" w:type="dxa"/>
            <w:vAlign w:val="bottom"/>
          </w:tcPr>
          <w:p>
            <w:pPr>
              <w:jc w:val="right"/>
              <w:ind w:right="128"/>
              <w:spacing w:after="0"/>
              <w:rPr>
                <w:sz w:val="20"/>
                <w:szCs w:val="20"/>
                <w:color w:val="auto"/>
              </w:rPr>
            </w:pPr>
            <w:r>
              <w:rPr>
                <w:rFonts w:ascii="Arial" w:cs="Arial" w:eastAsia="Arial" w:hAnsi="Arial"/>
                <w:sz w:val="14"/>
                <w:szCs w:val="14"/>
                <w:color w:val="58595B"/>
              </w:rPr>
              <w:t>242,719</w:t>
            </w: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Borders>
              <w:bottom w:val="single" w:sz="8" w:color="EFEDED"/>
            </w:tcBorders>
            <w:shd w:val="clear" w:color="auto" w:fill="EFEDED"/>
          </w:tcPr>
          <w:p>
            <w:pPr>
              <w:spacing w:after="0"/>
              <w:rPr>
                <w:sz w:val="18"/>
                <w:szCs w:val="18"/>
                <w:color w:val="auto"/>
              </w:rPr>
            </w:pPr>
          </w:p>
        </w:tc>
        <w:tc>
          <w:tcPr>
            <w:tcW w:w="458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color w:val="58595B"/>
              </w:rPr>
              <w:t>Jan De Witte</w:t>
            </w:r>
          </w:p>
        </w:tc>
        <w:tc>
          <w:tcPr>
            <w:tcW w:w="1380" w:type="dxa"/>
            <w:vAlign w:val="bottom"/>
            <w:tcBorders>
              <w:bottom w:val="single" w:sz="8" w:color="EFEDED"/>
            </w:tcBorders>
            <w:shd w:val="clear" w:color="auto" w:fill="EFEDED"/>
          </w:tcPr>
          <w:p>
            <w:pPr>
              <w:spacing w:after="0"/>
              <w:rPr>
                <w:sz w:val="18"/>
                <w:szCs w:val="18"/>
                <w:color w:val="auto"/>
              </w:rPr>
            </w:pPr>
          </w:p>
        </w:tc>
        <w:tc>
          <w:tcPr>
            <w:tcW w:w="340" w:type="dxa"/>
            <w:vAlign w:val="bottom"/>
            <w:tcBorders>
              <w:bottom w:val="single" w:sz="8" w:color="EFEDED"/>
            </w:tcBorders>
            <w:shd w:val="clear" w:color="auto" w:fill="EFEDED"/>
          </w:tcPr>
          <w:p>
            <w:pPr>
              <w:spacing w:after="0"/>
              <w:rPr>
                <w:sz w:val="20"/>
                <w:szCs w:val="20"/>
                <w:color w:val="auto"/>
              </w:rPr>
            </w:pPr>
            <w:r>
              <w:rPr>
                <w:rFonts w:ascii="Arial" w:cs="Arial" w:eastAsia="Arial" w:hAnsi="Arial"/>
                <w:sz w:val="14"/>
                <w:szCs w:val="14"/>
                <w:color w:val="58595B"/>
              </w:rPr>
              <w:t>—</w:t>
            </w:r>
          </w:p>
        </w:tc>
        <w:tc>
          <w:tcPr>
            <w:tcW w:w="1200" w:type="dxa"/>
            <w:vAlign w:val="bottom"/>
            <w:tcBorders>
              <w:bottom w:val="single" w:sz="8" w:color="EFEDED"/>
            </w:tcBorders>
            <w:shd w:val="clear" w:color="auto" w:fill="EFEDED"/>
          </w:tcPr>
          <w:p>
            <w:pPr>
              <w:spacing w:after="0"/>
              <w:rPr>
                <w:sz w:val="18"/>
                <w:szCs w:val="18"/>
                <w:color w:val="auto"/>
              </w:rPr>
            </w:pPr>
          </w:p>
        </w:tc>
        <w:tc>
          <w:tcPr>
            <w:tcW w:w="300" w:type="dxa"/>
            <w:vAlign w:val="bottom"/>
            <w:tcBorders>
              <w:bottom w:val="single" w:sz="8" w:color="EFEDED"/>
              <w:right w:val="single" w:sz="8" w:color="EFEDED"/>
            </w:tcBorders>
            <w:shd w:val="clear" w:color="auto" w:fill="EFEDED"/>
          </w:tcPr>
          <w:p>
            <w:pPr>
              <w:ind w:left="60"/>
              <w:spacing w:after="0"/>
              <w:rPr>
                <w:sz w:val="20"/>
                <w:szCs w:val="20"/>
                <w:color w:val="auto"/>
              </w:rPr>
            </w:pPr>
            <w:r>
              <w:rPr>
                <w:rFonts w:ascii="Arial" w:cs="Arial" w:eastAsia="Arial" w:hAnsi="Arial"/>
                <w:sz w:val="14"/>
                <w:szCs w:val="14"/>
                <w:color w:val="58595B"/>
              </w:rPr>
              <w:t>—</w:t>
            </w:r>
          </w:p>
        </w:tc>
        <w:tc>
          <w:tcPr>
            <w:tcW w:w="1700" w:type="dxa"/>
            <w:vAlign w:val="bottom"/>
            <w:tcBorders>
              <w:bottom w:val="single" w:sz="8" w:color="EFEDED"/>
            </w:tcBorders>
            <w:shd w:val="clear" w:color="auto" w:fill="EFEDED"/>
          </w:tcPr>
          <w:p>
            <w:pPr>
              <w:jc w:val="right"/>
              <w:ind w:right="108"/>
              <w:spacing w:after="0"/>
              <w:rPr>
                <w:sz w:val="20"/>
                <w:szCs w:val="20"/>
                <w:color w:val="auto"/>
              </w:rPr>
            </w:pPr>
            <w:r>
              <w:rPr>
                <w:rFonts w:ascii="Arial" w:cs="Arial" w:eastAsia="Arial" w:hAnsi="Arial"/>
                <w:sz w:val="14"/>
                <w:szCs w:val="14"/>
                <w:color w:val="58595B"/>
              </w:rPr>
              <w:t>9,813</w:t>
            </w:r>
          </w:p>
        </w:tc>
        <w:tc>
          <w:tcPr>
            <w:tcW w:w="1620" w:type="dxa"/>
            <w:vAlign w:val="bottom"/>
            <w:tcBorders>
              <w:bottom w:val="single" w:sz="8" w:color="EFEDED"/>
            </w:tcBorders>
            <w:shd w:val="clear" w:color="auto" w:fill="EFEDED"/>
          </w:tcPr>
          <w:p>
            <w:pPr>
              <w:jc w:val="right"/>
              <w:ind w:right="128"/>
              <w:spacing w:after="0"/>
              <w:rPr>
                <w:sz w:val="20"/>
                <w:szCs w:val="20"/>
                <w:color w:val="auto"/>
              </w:rPr>
            </w:pPr>
            <w:r>
              <w:rPr>
                <w:rFonts w:ascii="Arial" w:cs="Arial" w:eastAsia="Arial" w:hAnsi="Arial"/>
                <w:sz w:val="14"/>
                <w:szCs w:val="14"/>
                <w:color w:val="58595B"/>
              </w:rPr>
              <w:t>117,854</w:t>
            </w:r>
          </w:p>
        </w:tc>
        <w:tc>
          <w:tcPr>
            <w:tcW w:w="0" w:type="dxa"/>
            <w:vAlign w:val="bottom"/>
          </w:tcPr>
          <w:p>
            <w:pPr>
              <w:spacing w:after="0"/>
              <w:rPr>
                <w:sz w:val="1"/>
                <w:szCs w:val="1"/>
                <w:color w:val="auto"/>
              </w:rPr>
            </w:pPr>
          </w:p>
        </w:tc>
      </w:tr>
      <w:tr>
        <w:trPr>
          <w:trHeight w:val="20"/>
        </w:trPr>
        <w:tc>
          <w:tcPr>
            <w:tcW w:w="120" w:type="dxa"/>
            <w:vAlign w:val="bottom"/>
            <w:shd w:val="clear" w:color="auto" w:fill="58595B"/>
          </w:tcPr>
          <w:p>
            <w:pPr>
              <w:spacing w:after="0" w:line="20" w:lineRule="exact"/>
              <w:rPr>
                <w:sz w:val="1"/>
                <w:szCs w:val="1"/>
                <w:color w:val="auto"/>
              </w:rPr>
            </w:pPr>
          </w:p>
        </w:tc>
        <w:tc>
          <w:tcPr>
            <w:tcW w:w="4580" w:type="dxa"/>
            <w:vAlign w:val="bottom"/>
            <w:shd w:val="clear" w:color="auto" w:fill="58595B"/>
          </w:tcPr>
          <w:p>
            <w:pPr>
              <w:spacing w:after="0" w:line="20" w:lineRule="exact"/>
              <w:rPr>
                <w:sz w:val="1"/>
                <w:szCs w:val="1"/>
                <w:color w:val="auto"/>
              </w:rPr>
            </w:pPr>
          </w:p>
        </w:tc>
        <w:tc>
          <w:tcPr>
            <w:tcW w:w="1380" w:type="dxa"/>
            <w:vAlign w:val="bottom"/>
            <w:shd w:val="clear" w:color="auto" w:fill="58595B"/>
          </w:tcPr>
          <w:p>
            <w:pPr>
              <w:spacing w:after="0" w:line="20" w:lineRule="exact"/>
              <w:rPr>
                <w:sz w:val="1"/>
                <w:szCs w:val="1"/>
                <w:color w:val="auto"/>
              </w:rPr>
            </w:pPr>
          </w:p>
        </w:tc>
        <w:tc>
          <w:tcPr>
            <w:tcW w:w="340" w:type="dxa"/>
            <w:vAlign w:val="bottom"/>
            <w:shd w:val="clear" w:color="auto" w:fill="58595B"/>
          </w:tcPr>
          <w:p>
            <w:pPr>
              <w:spacing w:after="0" w:line="20" w:lineRule="exact"/>
              <w:rPr>
                <w:sz w:val="1"/>
                <w:szCs w:val="1"/>
                <w:color w:val="auto"/>
              </w:rPr>
            </w:pPr>
          </w:p>
        </w:tc>
        <w:tc>
          <w:tcPr>
            <w:tcW w:w="1200" w:type="dxa"/>
            <w:vAlign w:val="bottom"/>
            <w:shd w:val="clear" w:color="auto" w:fill="58595B"/>
          </w:tcPr>
          <w:p>
            <w:pPr>
              <w:spacing w:after="0" w:line="20" w:lineRule="exact"/>
              <w:rPr>
                <w:sz w:val="1"/>
                <w:szCs w:val="1"/>
                <w:color w:val="auto"/>
              </w:rPr>
            </w:pPr>
          </w:p>
        </w:tc>
        <w:tc>
          <w:tcPr>
            <w:tcW w:w="300" w:type="dxa"/>
            <w:vAlign w:val="bottom"/>
            <w:tcBorders>
              <w:right w:val="single" w:sz="8" w:color="58595B"/>
            </w:tcBorders>
            <w:shd w:val="clear" w:color="auto" w:fill="58595B"/>
          </w:tcPr>
          <w:p>
            <w:pPr>
              <w:spacing w:after="0" w:line="20" w:lineRule="exact"/>
              <w:rPr>
                <w:sz w:val="1"/>
                <w:szCs w:val="1"/>
                <w:color w:val="auto"/>
              </w:rPr>
            </w:pPr>
          </w:p>
        </w:tc>
        <w:tc>
          <w:tcPr>
            <w:tcW w:w="1700" w:type="dxa"/>
            <w:vAlign w:val="bottom"/>
            <w:shd w:val="clear" w:color="auto" w:fill="58595B"/>
          </w:tcPr>
          <w:p>
            <w:pPr>
              <w:spacing w:after="0" w:line="20" w:lineRule="exact"/>
              <w:rPr>
                <w:sz w:val="1"/>
                <w:szCs w:val="1"/>
                <w:color w:val="auto"/>
              </w:rPr>
            </w:pPr>
          </w:p>
        </w:tc>
        <w:tc>
          <w:tcPr>
            <w:tcW w:w="1620" w:type="dxa"/>
            <w:vAlign w:val="bottom"/>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right="180" w:hanging="332"/>
        <w:spacing w:after="0" w:line="291" w:lineRule="auto"/>
        <w:tabs>
          <w:tab w:leader="none" w:pos="338"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1" w:lineRule="exact"/>
        <w:rPr>
          <w:rFonts w:ascii="Arial" w:cs="Arial" w:eastAsia="Arial" w:hAnsi="Arial"/>
          <w:sz w:val="14"/>
          <w:szCs w:val="14"/>
          <w:color w:val="auto"/>
        </w:rPr>
      </w:pPr>
    </w:p>
    <w:p>
      <w:pPr>
        <w:ind w:left="340" w:right="60" w:hanging="332"/>
        <w:spacing w:after="0" w:line="305" w:lineRule="auto"/>
        <w:tabs>
          <w:tab w:leader="none" w:pos="338"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value realized is the market price of the Company’s common stock as reported by the Nasdaq Global Select Market on the date of vesting, multiplied by the number of shares of common stock underlying the stock awards.</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009845"/>
        </w:rPr>
        <w:t>Nonqualified Deferred Compensation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60" w:type="dxa"/>
            <w:vAlign w:val="bottom"/>
            <w:shd w:val="clear" w:color="auto" w:fill="EFEDED"/>
          </w:tcPr>
          <w:p>
            <w:pPr>
              <w:spacing w:after="0"/>
              <w:rPr>
                <w:sz w:val="16"/>
                <w:szCs w:val="16"/>
                <w:color w:val="auto"/>
              </w:rPr>
            </w:pPr>
          </w:p>
        </w:tc>
        <w:tc>
          <w:tcPr>
            <w:tcW w:w="2480" w:type="dxa"/>
            <w:vAlign w:val="bottom"/>
            <w:shd w:val="clear" w:color="auto" w:fill="EFEDED"/>
          </w:tcPr>
          <w:p>
            <w:pPr>
              <w:spacing w:after="0"/>
              <w:rPr>
                <w:sz w:val="16"/>
                <w:szCs w:val="16"/>
                <w:color w:val="auto"/>
              </w:rPr>
            </w:pPr>
          </w:p>
        </w:tc>
        <w:tc>
          <w:tcPr>
            <w:tcW w:w="1700" w:type="dxa"/>
            <w:vAlign w:val="bottom"/>
            <w:shd w:val="clear" w:color="auto" w:fill="EFEDED"/>
          </w:tcPr>
          <w:p>
            <w:pPr>
              <w:spacing w:after="0"/>
              <w:rPr>
                <w:sz w:val="16"/>
                <w:szCs w:val="16"/>
                <w:color w:val="auto"/>
              </w:rPr>
            </w:pPr>
          </w:p>
        </w:tc>
        <w:tc>
          <w:tcPr>
            <w:tcW w:w="1560" w:type="dxa"/>
            <w:vAlign w:val="bottom"/>
            <w:shd w:val="clear" w:color="auto" w:fill="EFEDED"/>
          </w:tcPr>
          <w:p>
            <w:pPr>
              <w:jc w:val="center"/>
              <w:ind w:right="108"/>
              <w:spacing w:after="0"/>
              <w:rPr>
                <w:sz w:val="20"/>
                <w:szCs w:val="20"/>
                <w:color w:val="auto"/>
              </w:rPr>
            </w:pPr>
            <w:r>
              <w:rPr>
                <w:rFonts w:ascii="Arial" w:cs="Arial" w:eastAsia="Arial" w:hAnsi="Arial"/>
                <w:sz w:val="14"/>
                <w:szCs w:val="14"/>
                <w:color w:val="58595B"/>
              </w:rPr>
              <w:t>Aggregate</w:t>
            </w:r>
          </w:p>
        </w:tc>
        <w:tc>
          <w:tcPr>
            <w:tcW w:w="1260" w:type="dxa"/>
            <w:vAlign w:val="bottom"/>
            <w:shd w:val="clear" w:color="auto" w:fill="EFEDED"/>
          </w:tcPr>
          <w:p>
            <w:pPr>
              <w:jc w:val="center"/>
              <w:ind w:right="128"/>
              <w:spacing w:after="0"/>
              <w:rPr>
                <w:sz w:val="20"/>
                <w:szCs w:val="20"/>
                <w:color w:val="auto"/>
              </w:rPr>
            </w:pPr>
            <w:r>
              <w:rPr>
                <w:rFonts w:ascii="Arial" w:cs="Arial" w:eastAsia="Arial" w:hAnsi="Arial"/>
                <w:sz w:val="14"/>
                <w:szCs w:val="14"/>
                <w:color w:val="58595B"/>
              </w:rPr>
              <w:t>Aggregate</w:t>
            </w:r>
          </w:p>
        </w:tc>
        <w:tc>
          <w:tcPr>
            <w:tcW w:w="1980" w:type="dxa"/>
            <w:vAlign w:val="bottom"/>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EFEDED"/>
          </w:tcPr>
          <w:p>
            <w:pPr>
              <w:spacing w:after="0"/>
              <w:rPr>
                <w:sz w:val="15"/>
                <w:szCs w:val="15"/>
                <w:color w:val="auto"/>
              </w:rPr>
            </w:pPr>
          </w:p>
        </w:tc>
        <w:tc>
          <w:tcPr>
            <w:tcW w:w="2480" w:type="dxa"/>
            <w:vAlign w:val="bottom"/>
            <w:shd w:val="clear" w:color="auto" w:fill="EFEDED"/>
          </w:tcPr>
          <w:p>
            <w:pPr>
              <w:jc w:val="center"/>
              <w:ind w:left="808"/>
              <w:spacing w:after="0"/>
              <w:rPr>
                <w:sz w:val="20"/>
                <w:szCs w:val="20"/>
                <w:color w:val="auto"/>
              </w:rPr>
            </w:pPr>
            <w:r>
              <w:rPr>
                <w:rFonts w:ascii="Arial" w:cs="Arial" w:eastAsia="Arial" w:hAnsi="Arial"/>
                <w:sz w:val="14"/>
                <w:szCs w:val="14"/>
                <w:color w:val="58595B"/>
              </w:rPr>
              <w:t>Executive Contributions</w:t>
            </w:r>
          </w:p>
        </w:tc>
        <w:tc>
          <w:tcPr>
            <w:tcW w:w="170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rPr>
              <w:t>Registrant Contributions</w:t>
            </w:r>
          </w:p>
        </w:tc>
        <w:tc>
          <w:tcPr>
            <w:tcW w:w="1560" w:type="dxa"/>
            <w:vAlign w:val="bottom"/>
            <w:shd w:val="clear" w:color="auto" w:fill="EFEDED"/>
          </w:tcPr>
          <w:p>
            <w:pPr>
              <w:jc w:val="center"/>
              <w:ind w:right="128"/>
              <w:spacing w:after="0"/>
              <w:rPr>
                <w:sz w:val="20"/>
                <w:szCs w:val="20"/>
                <w:color w:val="auto"/>
              </w:rPr>
            </w:pPr>
            <w:r>
              <w:rPr>
                <w:rFonts w:ascii="Arial" w:cs="Arial" w:eastAsia="Arial" w:hAnsi="Arial"/>
                <w:sz w:val="14"/>
                <w:szCs w:val="14"/>
                <w:color w:val="58595B"/>
              </w:rPr>
              <w:t>Earnings (Losses)</w:t>
            </w:r>
          </w:p>
        </w:tc>
        <w:tc>
          <w:tcPr>
            <w:tcW w:w="1260" w:type="dxa"/>
            <w:vAlign w:val="bottom"/>
            <w:shd w:val="clear" w:color="auto" w:fill="EFEDED"/>
          </w:tcPr>
          <w:p>
            <w:pPr>
              <w:jc w:val="center"/>
              <w:ind w:right="128"/>
              <w:spacing w:after="0"/>
              <w:rPr>
                <w:sz w:val="20"/>
                <w:szCs w:val="20"/>
                <w:color w:val="auto"/>
              </w:rPr>
            </w:pPr>
            <w:r>
              <w:rPr>
                <w:rFonts w:ascii="Arial" w:cs="Arial" w:eastAsia="Arial" w:hAnsi="Arial"/>
                <w:sz w:val="14"/>
                <w:szCs w:val="14"/>
                <w:color w:val="58595B"/>
              </w:rPr>
              <w:t>Withdrawals/</w:t>
            </w:r>
          </w:p>
        </w:tc>
        <w:tc>
          <w:tcPr>
            <w:tcW w:w="1980" w:type="dxa"/>
            <w:vAlign w:val="bottom"/>
            <w:shd w:val="clear" w:color="auto" w:fill="EFEDED"/>
          </w:tcPr>
          <w:p>
            <w:pPr>
              <w:jc w:val="center"/>
              <w:ind w:right="148"/>
              <w:spacing w:after="0"/>
              <w:rPr>
                <w:sz w:val="20"/>
                <w:szCs w:val="20"/>
                <w:color w:val="auto"/>
              </w:rPr>
            </w:pPr>
            <w:r>
              <w:rPr>
                <w:rFonts w:ascii="Arial" w:cs="Arial" w:eastAsia="Arial" w:hAnsi="Arial"/>
                <w:sz w:val="14"/>
                <w:szCs w:val="14"/>
                <w:color w:val="58595B"/>
              </w:rPr>
              <w:t>Aggregate Balance</w:t>
            </w:r>
          </w:p>
        </w:tc>
        <w:tc>
          <w:tcPr>
            <w:tcW w:w="0" w:type="dxa"/>
            <w:vAlign w:val="bottom"/>
          </w:tcPr>
          <w:p>
            <w:pPr>
              <w:spacing w:after="0"/>
              <w:rPr>
                <w:sz w:val="1"/>
                <w:szCs w:val="1"/>
                <w:color w:val="auto"/>
              </w:rPr>
            </w:pPr>
          </w:p>
        </w:tc>
      </w:tr>
      <w:tr>
        <w:trPr>
          <w:trHeight w:val="175"/>
        </w:trPr>
        <w:tc>
          <w:tcPr>
            <w:tcW w:w="2260" w:type="dxa"/>
            <w:vAlign w:val="bottom"/>
            <w:vMerge w:val="restart"/>
            <w:shd w:val="clear" w:color="auto" w:fill="EFEDED"/>
          </w:tcPr>
          <w:p>
            <w:pPr>
              <w:ind w:left="140"/>
              <w:spacing w:after="0"/>
              <w:rPr>
                <w:sz w:val="20"/>
                <w:szCs w:val="20"/>
                <w:color w:val="auto"/>
              </w:rPr>
            </w:pPr>
            <w:r>
              <w:rPr>
                <w:rFonts w:ascii="Arial" w:cs="Arial" w:eastAsia="Arial" w:hAnsi="Arial"/>
                <w:sz w:val="14"/>
                <w:szCs w:val="14"/>
                <w:color w:val="58595B"/>
              </w:rPr>
              <w:t>Name</w:t>
            </w:r>
          </w:p>
        </w:tc>
        <w:tc>
          <w:tcPr>
            <w:tcW w:w="2480" w:type="dxa"/>
            <w:vAlign w:val="bottom"/>
            <w:shd w:val="clear" w:color="auto" w:fill="EFEDED"/>
          </w:tcPr>
          <w:p>
            <w:pPr>
              <w:jc w:val="center"/>
              <w:ind w:left="808"/>
              <w:spacing w:after="0"/>
              <w:rPr>
                <w:sz w:val="20"/>
                <w:szCs w:val="20"/>
                <w:color w:val="auto"/>
              </w:rPr>
            </w:pPr>
            <w:r>
              <w:rPr>
                <w:rFonts w:ascii="Arial" w:cs="Arial" w:eastAsia="Arial" w:hAnsi="Arial"/>
                <w:sz w:val="14"/>
                <w:szCs w:val="14"/>
                <w:color w:val="58595B"/>
              </w:rPr>
              <w:t>in Last Fiscal Year</w:t>
            </w:r>
          </w:p>
        </w:tc>
        <w:tc>
          <w:tcPr>
            <w:tcW w:w="170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rPr>
              <w:t>in Last Fiscal Year</w:t>
            </w:r>
          </w:p>
        </w:tc>
        <w:tc>
          <w:tcPr>
            <w:tcW w:w="1560" w:type="dxa"/>
            <w:vAlign w:val="bottom"/>
            <w:shd w:val="clear" w:color="auto" w:fill="EFEDED"/>
          </w:tcPr>
          <w:p>
            <w:pPr>
              <w:jc w:val="center"/>
              <w:ind w:right="128"/>
              <w:spacing w:after="0"/>
              <w:rPr>
                <w:sz w:val="20"/>
                <w:szCs w:val="20"/>
                <w:color w:val="auto"/>
              </w:rPr>
            </w:pPr>
            <w:r>
              <w:rPr>
                <w:rFonts w:ascii="Arial" w:cs="Arial" w:eastAsia="Arial" w:hAnsi="Arial"/>
                <w:sz w:val="14"/>
                <w:szCs w:val="14"/>
                <w:color w:val="58595B"/>
              </w:rPr>
              <w:t>in Last Fiscal Year</w:t>
            </w:r>
          </w:p>
        </w:tc>
        <w:tc>
          <w:tcPr>
            <w:tcW w:w="1260" w:type="dxa"/>
            <w:vAlign w:val="bottom"/>
            <w:shd w:val="clear" w:color="auto" w:fill="EFEDED"/>
          </w:tcPr>
          <w:p>
            <w:pPr>
              <w:jc w:val="center"/>
              <w:ind w:right="128"/>
              <w:spacing w:after="0"/>
              <w:rPr>
                <w:sz w:val="20"/>
                <w:szCs w:val="20"/>
                <w:color w:val="auto"/>
              </w:rPr>
            </w:pPr>
            <w:r>
              <w:rPr>
                <w:rFonts w:ascii="Arial" w:cs="Arial" w:eastAsia="Arial" w:hAnsi="Arial"/>
                <w:sz w:val="14"/>
                <w:szCs w:val="14"/>
                <w:color w:val="58595B"/>
              </w:rPr>
              <w:t>Distributions</w:t>
            </w:r>
          </w:p>
        </w:tc>
        <w:tc>
          <w:tcPr>
            <w:tcW w:w="1980" w:type="dxa"/>
            <w:vAlign w:val="bottom"/>
            <w:shd w:val="clear" w:color="auto" w:fill="EFEDED"/>
          </w:tcPr>
          <w:p>
            <w:pPr>
              <w:jc w:val="center"/>
              <w:ind w:right="148"/>
              <w:spacing w:after="0"/>
              <w:rPr>
                <w:sz w:val="20"/>
                <w:szCs w:val="20"/>
                <w:color w:val="auto"/>
              </w:rPr>
            </w:pPr>
            <w:r>
              <w:rPr>
                <w:rFonts w:ascii="Arial" w:cs="Arial" w:eastAsia="Arial" w:hAnsi="Arial"/>
                <w:sz w:val="14"/>
                <w:szCs w:val="14"/>
                <w:color w:val="58595B"/>
              </w:rPr>
              <w:t>at Last Fiscal Year-End</w:t>
            </w:r>
          </w:p>
        </w:tc>
        <w:tc>
          <w:tcPr>
            <w:tcW w:w="0" w:type="dxa"/>
            <w:vAlign w:val="bottom"/>
          </w:tcPr>
          <w:p>
            <w:pPr>
              <w:spacing w:after="0"/>
              <w:rPr>
                <w:sz w:val="1"/>
                <w:szCs w:val="1"/>
                <w:color w:val="auto"/>
              </w:rPr>
            </w:pPr>
          </w:p>
        </w:tc>
      </w:tr>
      <w:tr>
        <w:trPr>
          <w:trHeight w:val="162"/>
        </w:trPr>
        <w:tc>
          <w:tcPr>
            <w:tcW w:w="2260" w:type="dxa"/>
            <w:vAlign w:val="bottom"/>
            <w:vMerge w:val="continue"/>
            <w:shd w:val="clear" w:color="auto" w:fill="EFEDED"/>
          </w:tcPr>
          <w:p>
            <w:pPr>
              <w:spacing w:after="0"/>
              <w:rPr>
                <w:sz w:val="14"/>
                <w:szCs w:val="14"/>
                <w:color w:val="auto"/>
              </w:rPr>
            </w:pPr>
          </w:p>
        </w:tc>
        <w:tc>
          <w:tcPr>
            <w:tcW w:w="2480" w:type="dxa"/>
            <w:vAlign w:val="bottom"/>
            <w:shd w:val="clear" w:color="auto" w:fill="EFEDED"/>
          </w:tcPr>
          <w:p>
            <w:pPr>
              <w:jc w:val="center"/>
              <w:ind w:left="828"/>
              <w:spacing w:after="0"/>
              <w:rPr>
                <w:sz w:val="20"/>
                <w:szCs w:val="20"/>
                <w:color w:val="auto"/>
              </w:rPr>
            </w:pPr>
            <w:r>
              <w:rPr>
                <w:rFonts w:ascii="Arial" w:cs="Arial" w:eastAsia="Arial" w:hAnsi="Arial"/>
                <w:sz w:val="14"/>
                <w:szCs w:val="14"/>
                <w:color w:val="58595B"/>
              </w:rPr>
              <w:t>($)</w:t>
            </w:r>
          </w:p>
        </w:tc>
        <w:tc>
          <w:tcPr>
            <w:tcW w:w="170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rPr>
              <w:t>($)</w:t>
            </w:r>
          </w:p>
        </w:tc>
        <w:tc>
          <w:tcPr>
            <w:tcW w:w="1560" w:type="dxa"/>
            <w:vAlign w:val="bottom"/>
            <w:shd w:val="clear" w:color="auto" w:fill="EFEDED"/>
          </w:tcPr>
          <w:p>
            <w:pPr>
              <w:jc w:val="center"/>
              <w:ind w:right="108"/>
              <w:spacing w:after="0"/>
              <w:rPr>
                <w:sz w:val="20"/>
                <w:szCs w:val="20"/>
                <w:color w:val="auto"/>
              </w:rPr>
            </w:pPr>
            <w:r>
              <w:rPr>
                <w:rFonts w:ascii="Arial" w:cs="Arial" w:eastAsia="Arial" w:hAnsi="Arial"/>
                <w:sz w:val="14"/>
                <w:szCs w:val="14"/>
                <w:color w:val="58595B"/>
              </w:rPr>
              <w:t>($)</w:t>
            </w:r>
          </w:p>
        </w:tc>
        <w:tc>
          <w:tcPr>
            <w:tcW w:w="1260" w:type="dxa"/>
            <w:vAlign w:val="bottom"/>
            <w:shd w:val="clear" w:color="auto" w:fill="EFEDED"/>
          </w:tcPr>
          <w:p>
            <w:pPr>
              <w:jc w:val="center"/>
              <w:ind w:right="128"/>
              <w:spacing w:after="0"/>
              <w:rPr>
                <w:sz w:val="20"/>
                <w:szCs w:val="20"/>
                <w:color w:val="auto"/>
              </w:rPr>
            </w:pPr>
            <w:r>
              <w:rPr>
                <w:rFonts w:ascii="Arial" w:cs="Arial" w:eastAsia="Arial" w:hAnsi="Arial"/>
                <w:sz w:val="14"/>
                <w:szCs w:val="14"/>
                <w:color w:val="58595B"/>
              </w:rPr>
              <w:t>($)</w:t>
            </w:r>
          </w:p>
        </w:tc>
        <w:tc>
          <w:tcPr>
            <w:tcW w:w="1980" w:type="dxa"/>
            <w:vAlign w:val="bottom"/>
            <w:shd w:val="clear" w:color="auto" w:fill="EFEDED"/>
          </w:tcPr>
          <w:p>
            <w:pPr>
              <w:jc w:val="center"/>
              <w:ind w:right="148"/>
              <w:spacing w:after="0"/>
              <w:rPr>
                <w:sz w:val="20"/>
                <w:szCs w:val="20"/>
                <w:color w:val="auto"/>
              </w:rPr>
            </w:pPr>
            <w:r>
              <w:rPr>
                <w:rFonts w:ascii="Arial" w:cs="Arial" w:eastAsia="Arial" w:hAnsi="Arial"/>
                <w:sz w:val="14"/>
                <w:szCs w:val="14"/>
                <w:color w:val="58595B"/>
                <w:w w:val="93"/>
              </w:rPr>
              <w:t>($)</w:t>
            </w:r>
          </w:p>
        </w:tc>
        <w:tc>
          <w:tcPr>
            <w:tcW w:w="0" w:type="dxa"/>
            <w:vAlign w:val="bottom"/>
          </w:tcPr>
          <w:p>
            <w:pPr>
              <w:spacing w:after="0"/>
              <w:rPr>
                <w:sz w:val="1"/>
                <w:szCs w:val="1"/>
                <w:color w:val="auto"/>
              </w:rPr>
            </w:pPr>
          </w:p>
        </w:tc>
      </w:tr>
      <w:tr>
        <w:trPr>
          <w:trHeight w:val="212"/>
        </w:trPr>
        <w:tc>
          <w:tcPr>
            <w:tcW w:w="2260" w:type="dxa"/>
            <w:vAlign w:val="bottom"/>
            <w:shd w:val="clear" w:color="auto" w:fill="EFEDED"/>
          </w:tcPr>
          <w:p>
            <w:pPr>
              <w:ind w:left="140"/>
              <w:spacing w:after="0"/>
              <w:rPr>
                <w:sz w:val="20"/>
                <w:szCs w:val="20"/>
                <w:color w:val="auto"/>
              </w:rPr>
            </w:pPr>
            <w:r>
              <w:rPr>
                <w:rFonts w:ascii="Arial" w:cs="Arial" w:eastAsia="Arial" w:hAnsi="Arial"/>
                <w:sz w:val="14"/>
                <w:szCs w:val="14"/>
                <w:color w:val="58595B"/>
              </w:rPr>
              <w:t>(a)</w:t>
            </w:r>
          </w:p>
        </w:tc>
        <w:tc>
          <w:tcPr>
            <w:tcW w:w="2480" w:type="dxa"/>
            <w:vAlign w:val="bottom"/>
            <w:shd w:val="clear" w:color="auto" w:fill="EFEDED"/>
          </w:tcPr>
          <w:p>
            <w:pPr>
              <w:jc w:val="center"/>
              <w:ind w:left="828"/>
              <w:spacing w:after="0"/>
              <w:rPr>
                <w:sz w:val="20"/>
                <w:szCs w:val="20"/>
                <w:color w:val="auto"/>
              </w:rPr>
            </w:pPr>
            <w:r>
              <w:rPr>
                <w:rFonts w:ascii="Arial" w:cs="Arial" w:eastAsia="Arial" w:hAnsi="Arial"/>
                <w:sz w:val="14"/>
                <w:szCs w:val="14"/>
                <w:color w:val="58595B"/>
              </w:rPr>
              <w:t>(b)</w:t>
            </w:r>
          </w:p>
        </w:tc>
        <w:tc>
          <w:tcPr>
            <w:tcW w:w="170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rPr>
              <w:t>(c)</w:t>
            </w:r>
          </w:p>
        </w:tc>
        <w:tc>
          <w:tcPr>
            <w:tcW w:w="1560" w:type="dxa"/>
            <w:vAlign w:val="bottom"/>
            <w:shd w:val="clear" w:color="auto" w:fill="EFEDED"/>
          </w:tcPr>
          <w:p>
            <w:pPr>
              <w:jc w:val="center"/>
              <w:ind w:right="108"/>
              <w:spacing w:after="0"/>
              <w:rPr>
                <w:sz w:val="20"/>
                <w:szCs w:val="20"/>
                <w:color w:val="auto"/>
              </w:rPr>
            </w:pPr>
            <w:r>
              <w:rPr>
                <w:rFonts w:ascii="Arial" w:cs="Arial" w:eastAsia="Arial" w:hAnsi="Arial"/>
                <w:sz w:val="14"/>
                <w:szCs w:val="14"/>
                <w:color w:val="58595B"/>
              </w:rPr>
              <w:t>(d)</w:t>
            </w:r>
          </w:p>
        </w:tc>
        <w:tc>
          <w:tcPr>
            <w:tcW w:w="1260" w:type="dxa"/>
            <w:vAlign w:val="bottom"/>
            <w:shd w:val="clear" w:color="auto" w:fill="EFEDED"/>
          </w:tcPr>
          <w:p>
            <w:pPr>
              <w:jc w:val="center"/>
              <w:ind w:right="128"/>
              <w:spacing w:after="0"/>
              <w:rPr>
                <w:sz w:val="20"/>
                <w:szCs w:val="20"/>
                <w:color w:val="auto"/>
              </w:rPr>
            </w:pPr>
            <w:r>
              <w:rPr>
                <w:rFonts w:ascii="Arial" w:cs="Arial" w:eastAsia="Arial" w:hAnsi="Arial"/>
                <w:sz w:val="14"/>
                <w:szCs w:val="14"/>
                <w:color w:val="58595B"/>
              </w:rPr>
              <w:t>(e)</w:t>
            </w:r>
          </w:p>
        </w:tc>
        <w:tc>
          <w:tcPr>
            <w:tcW w:w="1980" w:type="dxa"/>
            <w:vAlign w:val="bottom"/>
            <w:shd w:val="clear" w:color="auto" w:fill="EFEDED"/>
          </w:tcPr>
          <w:p>
            <w:pPr>
              <w:jc w:val="center"/>
              <w:ind w:right="148"/>
              <w:spacing w:after="0"/>
              <w:rPr>
                <w:sz w:val="20"/>
                <w:szCs w:val="20"/>
                <w:color w:val="auto"/>
              </w:rPr>
            </w:pPr>
            <w:r>
              <w:rPr>
                <w:rFonts w:ascii="Arial" w:cs="Arial" w:eastAsia="Arial" w:hAnsi="Arial"/>
                <w:sz w:val="14"/>
                <w:szCs w:val="14"/>
                <w:color w:val="58595B"/>
                <w:w w:val="90"/>
              </w:rPr>
              <w:t>(f)</w:t>
            </w:r>
          </w:p>
        </w:tc>
        <w:tc>
          <w:tcPr>
            <w:tcW w:w="0" w:type="dxa"/>
            <w:vAlign w:val="bottom"/>
          </w:tcPr>
          <w:p>
            <w:pPr>
              <w:spacing w:after="0"/>
              <w:rPr>
                <w:sz w:val="1"/>
                <w:szCs w:val="1"/>
                <w:color w:val="auto"/>
              </w:rPr>
            </w:pPr>
          </w:p>
        </w:tc>
      </w:tr>
      <w:tr>
        <w:trPr>
          <w:trHeight w:val="208"/>
        </w:trPr>
        <w:tc>
          <w:tcPr>
            <w:tcW w:w="2260" w:type="dxa"/>
            <w:vAlign w:val="bottom"/>
          </w:tcPr>
          <w:p>
            <w:pPr>
              <w:ind w:left="140"/>
              <w:spacing w:after="0"/>
              <w:rPr>
                <w:sz w:val="20"/>
                <w:szCs w:val="20"/>
                <w:color w:val="auto"/>
              </w:rPr>
            </w:pPr>
            <w:r>
              <w:rPr>
                <w:rFonts w:ascii="Arial" w:cs="Arial" w:eastAsia="Arial" w:hAnsi="Arial"/>
                <w:sz w:val="14"/>
                <w:szCs w:val="14"/>
                <w:color w:val="58595B"/>
              </w:rPr>
              <w:t>Jan De Witte</w:t>
            </w:r>
          </w:p>
        </w:tc>
        <w:tc>
          <w:tcPr>
            <w:tcW w:w="2480" w:type="dxa"/>
            <w:vAlign w:val="bottom"/>
          </w:tcPr>
          <w:p>
            <w:pPr>
              <w:jc w:val="right"/>
              <w:spacing w:after="0"/>
              <w:rPr>
                <w:sz w:val="20"/>
                <w:szCs w:val="20"/>
                <w:color w:val="auto"/>
              </w:rPr>
            </w:pPr>
            <w:r>
              <w:rPr>
                <w:rFonts w:ascii="Arial" w:cs="Arial" w:eastAsia="Arial" w:hAnsi="Arial"/>
                <w:sz w:val="14"/>
                <w:szCs w:val="14"/>
                <w:color w:val="58595B"/>
              </w:rPr>
              <w:t>—</w:t>
            </w:r>
          </w:p>
        </w:tc>
        <w:tc>
          <w:tcPr>
            <w:tcW w:w="1700" w:type="dxa"/>
            <w:vAlign w:val="bottom"/>
          </w:tcPr>
          <w:p>
            <w:pPr>
              <w:jc w:val="right"/>
              <w:ind w:right="88"/>
              <w:spacing w:after="0"/>
              <w:rPr>
                <w:sz w:val="20"/>
                <w:szCs w:val="20"/>
                <w:color w:val="auto"/>
              </w:rPr>
            </w:pPr>
            <w:r>
              <w:rPr>
                <w:rFonts w:ascii="Arial" w:cs="Arial" w:eastAsia="Arial" w:hAnsi="Arial"/>
                <w:sz w:val="14"/>
                <w:szCs w:val="14"/>
                <w:color w:val="58595B"/>
              </w:rPr>
              <w:t>847,752</w:t>
            </w:r>
          </w:p>
        </w:tc>
        <w:tc>
          <w:tcPr>
            <w:tcW w:w="1560" w:type="dxa"/>
            <w:vAlign w:val="bottom"/>
          </w:tcPr>
          <w:p>
            <w:pPr>
              <w:jc w:val="right"/>
              <w:ind w:right="68"/>
              <w:spacing w:after="0"/>
              <w:rPr>
                <w:sz w:val="20"/>
                <w:szCs w:val="20"/>
                <w:color w:val="auto"/>
              </w:rPr>
            </w:pPr>
            <w:r>
              <w:rPr>
                <w:rFonts w:ascii="Arial" w:cs="Arial" w:eastAsia="Arial" w:hAnsi="Arial"/>
                <w:sz w:val="14"/>
                <w:szCs w:val="14"/>
                <w:color w:val="58595B"/>
              </w:rPr>
              <w:t>(970,370)</w:t>
            </w:r>
          </w:p>
        </w:tc>
        <w:tc>
          <w:tcPr>
            <w:tcW w:w="1260" w:type="dxa"/>
            <w:vAlign w:val="bottom"/>
          </w:tcPr>
          <w:p>
            <w:pPr>
              <w:ind w:left="960"/>
              <w:spacing w:after="0"/>
              <w:rPr>
                <w:sz w:val="20"/>
                <w:szCs w:val="20"/>
                <w:color w:val="auto"/>
              </w:rPr>
            </w:pPr>
            <w:r>
              <w:rPr>
                <w:rFonts w:ascii="Arial" w:cs="Arial" w:eastAsia="Arial" w:hAnsi="Arial"/>
                <w:sz w:val="14"/>
                <w:szCs w:val="14"/>
                <w:color w:val="58595B"/>
              </w:rPr>
              <w:t>—</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902,971</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4"/>
                <w:szCs w:val="14"/>
                <w:color w:val="58595B"/>
              </w:rPr>
              <w:t>Robert T. Davis Jr.</w:t>
            </w:r>
          </w:p>
        </w:tc>
        <w:tc>
          <w:tcPr>
            <w:tcW w:w="24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215,244</w:t>
            </w:r>
          </w:p>
        </w:tc>
        <w:tc>
          <w:tcPr>
            <w:tcW w:w="1700" w:type="dxa"/>
            <w:vAlign w:val="bottom"/>
            <w:tcBorders>
              <w:bottom w:val="single" w:sz="8" w:color="EFEDED"/>
            </w:tcBorders>
            <w:shd w:val="clear" w:color="auto" w:fill="EFEDED"/>
          </w:tcPr>
          <w:p>
            <w:pPr>
              <w:jc w:val="right"/>
              <w:ind w:right="88"/>
              <w:spacing w:after="0"/>
              <w:rPr>
                <w:sz w:val="20"/>
                <w:szCs w:val="20"/>
                <w:color w:val="auto"/>
              </w:rPr>
            </w:pPr>
            <w:r>
              <w:rPr>
                <w:rFonts w:ascii="Arial" w:cs="Arial" w:eastAsia="Arial" w:hAnsi="Arial"/>
                <w:sz w:val="14"/>
                <w:szCs w:val="14"/>
                <w:color w:val="58595B"/>
              </w:rPr>
              <w:t>—</w:t>
            </w:r>
          </w:p>
        </w:tc>
        <w:tc>
          <w:tcPr>
            <w:tcW w:w="1560" w:type="dxa"/>
            <w:vAlign w:val="bottom"/>
            <w:tcBorders>
              <w:bottom w:val="single" w:sz="8" w:color="EFEDED"/>
            </w:tcBorders>
            <w:shd w:val="clear" w:color="auto" w:fill="EFEDED"/>
          </w:tcPr>
          <w:p>
            <w:pPr>
              <w:jc w:val="right"/>
              <w:ind w:right="108"/>
              <w:spacing w:after="0"/>
              <w:rPr>
                <w:sz w:val="20"/>
                <w:szCs w:val="20"/>
                <w:color w:val="auto"/>
              </w:rPr>
            </w:pPr>
            <w:r>
              <w:rPr>
                <w:rFonts w:ascii="Arial" w:cs="Arial" w:eastAsia="Arial" w:hAnsi="Arial"/>
                <w:sz w:val="14"/>
                <w:szCs w:val="14"/>
                <w:color w:val="58595B"/>
              </w:rPr>
              <w:t>171,239</w:t>
            </w:r>
          </w:p>
        </w:tc>
        <w:tc>
          <w:tcPr>
            <w:tcW w:w="1260" w:type="dxa"/>
            <w:vAlign w:val="bottom"/>
            <w:tcBorders>
              <w:bottom w:val="single" w:sz="8" w:color="EFEDED"/>
            </w:tcBorders>
            <w:shd w:val="clear" w:color="auto" w:fill="EFEDED"/>
          </w:tcPr>
          <w:p>
            <w:pPr>
              <w:ind w:left="960"/>
              <w:spacing w:after="0"/>
              <w:rPr>
                <w:sz w:val="20"/>
                <w:szCs w:val="20"/>
                <w:color w:val="auto"/>
              </w:rPr>
            </w:pPr>
            <w:r>
              <w:rPr>
                <w:rFonts w:ascii="Arial" w:cs="Arial" w:eastAsia="Arial" w:hAnsi="Arial"/>
                <w:sz w:val="14"/>
                <w:szCs w:val="14"/>
                <w:color w:val="58595B"/>
              </w:rPr>
              <w:t>—</w:t>
            </w:r>
          </w:p>
        </w:tc>
        <w:tc>
          <w:tcPr>
            <w:tcW w:w="1980" w:type="dxa"/>
            <w:vAlign w:val="bottom"/>
            <w:tcBorders>
              <w:bottom w:val="single" w:sz="8" w:color="EFEDED"/>
            </w:tcBorders>
            <w:shd w:val="clear" w:color="auto" w:fill="EFEDED"/>
          </w:tcPr>
          <w:p>
            <w:pPr>
              <w:jc w:val="right"/>
              <w:ind w:right="128"/>
              <w:spacing w:after="0"/>
              <w:rPr>
                <w:sz w:val="20"/>
                <w:szCs w:val="20"/>
                <w:color w:val="auto"/>
              </w:rPr>
            </w:pPr>
            <w:r>
              <w:rPr>
                <w:rFonts w:ascii="Arial" w:cs="Arial" w:eastAsia="Arial" w:hAnsi="Arial"/>
                <w:sz w:val="14"/>
                <w:szCs w:val="14"/>
                <w:color w:val="58595B"/>
              </w:rPr>
              <w:t>1,402,303</w:t>
            </w:r>
          </w:p>
        </w:tc>
        <w:tc>
          <w:tcPr>
            <w:tcW w:w="0" w:type="dxa"/>
            <w:vAlign w:val="bottom"/>
          </w:tcPr>
          <w:p>
            <w:pPr>
              <w:spacing w:after="0"/>
              <w:rPr>
                <w:sz w:val="1"/>
                <w:szCs w:val="1"/>
                <w:color w:val="auto"/>
              </w:rPr>
            </w:pPr>
          </w:p>
        </w:tc>
      </w:tr>
      <w:tr>
        <w:trPr>
          <w:trHeight w:val="20"/>
        </w:trPr>
        <w:tc>
          <w:tcPr>
            <w:tcW w:w="2260" w:type="dxa"/>
            <w:vAlign w:val="bottom"/>
            <w:shd w:val="clear" w:color="auto" w:fill="58595B"/>
          </w:tcPr>
          <w:p>
            <w:pPr>
              <w:spacing w:after="0" w:line="20" w:lineRule="exact"/>
              <w:rPr>
                <w:sz w:val="1"/>
                <w:szCs w:val="1"/>
                <w:color w:val="auto"/>
              </w:rPr>
            </w:pPr>
          </w:p>
        </w:tc>
        <w:tc>
          <w:tcPr>
            <w:tcW w:w="2480" w:type="dxa"/>
            <w:vAlign w:val="bottom"/>
            <w:shd w:val="clear" w:color="auto" w:fill="58595B"/>
          </w:tcPr>
          <w:p>
            <w:pPr>
              <w:spacing w:after="0" w:line="20" w:lineRule="exact"/>
              <w:rPr>
                <w:sz w:val="1"/>
                <w:szCs w:val="1"/>
                <w:color w:val="auto"/>
              </w:rPr>
            </w:pPr>
          </w:p>
        </w:tc>
        <w:tc>
          <w:tcPr>
            <w:tcW w:w="1700" w:type="dxa"/>
            <w:vAlign w:val="bottom"/>
            <w:shd w:val="clear" w:color="auto" w:fill="58595B"/>
          </w:tcPr>
          <w:p>
            <w:pPr>
              <w:spacing w:after="0" w:line="20" w:lineRule="exact"/>
              <w:rPr>
                <w:sz w:val="1"/>
                <w:szCs w:val="1"/>
                <w:color w:val="auto"/>
              </w:rPr>
            </w:pPr>
          </w:p>
        </w:tc>
        <w:tc>
          <w:tcPr>
            <w:tcW w:w="1560" w:type="dxa"/>
            <w:vAlign w:val="bottom"/>
            <w:shd w:val="clear" w:color="auto" w:fill="58595B"/>
          </w:tcPr>
          <w:p>
            <w:pPr>
              <w:spacing w:after="0" w:line="20" w:lineRule="exact"/>
              <w:rPr>
                <w:sz w:val="1"/>
                <w:szCs w:val="1"/>
                <w:color w:val="auto"/>
              </w:rPr>
            </w:pPr>
          </w:p>
        </w:tc>
        <w:tc>
          <w:tcPr>
            <w:tcW w:w="1260" w:type="dxa"/>
            <w:vAlign w:val="bottom"/>
            <w:shd w:val="clear" w:color="auto" w:fill="58595B"/>
          </w:tcPr>
          <w:p>
            <w:pPr>
              <w:spacing w:after="0" w:line="20" w:lineRule="exact"/>
              <w:rPr>
                <w:sz w:val="1"/>
                <w:szCs w:val="1"/>
                <w:color w:val="auto"/>
              </w:rPr>
            </w:pPr>
          </w:p>
        </w:tc>
        <w:tc>
          <w:tcPr>
            <w:tcW w:w="1980" w:type="dxa"/>
            <w:vAlign w:val="bottom"/>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right="120" w:hanging="332"/>
        <w:spacing w:after="0" w:line="267" w:lineRule="auto"/>
        <w:tabs>
          <w:tab w:leader="none" w:pos="338"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maintain a nonqualified deferred compensation plan ("NQDC") to provide additional retirement benefits for all employees who meet the IRS annual compensation limit of IRC Section 401(a)(17). Employees may defer up to 75% of base salary and up to 100% of performance based cash bonus on a pre-tax basis. Values shown represent base salary and annual cash bonus amounts that the named executive officers elected to defer in 2025. These amounts represent compensation earned by the named executive officers in 2025 and are also reported in Salary for contributions from base salary and in Non-Equity Incentive Plan Compensation for contributions from annual cash bonus in the Summary Compensation Table above.</w:t>
      </w:r>
    </w:p>
    <w:p>
      <w:pPr>
        <w:spacing w:after="0" w:line="22" w:lineRule="exact"/>
        <w:rPr>
          <w:rFonts w:ascii="Arial" w:cs="Arial" w:eastAsia="Arial" w:hAnsi="Arial"/>
          <w:sz w:val="14"/>
          <w:szCs w:val="14"/>
          <w:color w:val="auto"/>
        </w:rPr>
      </w:pPr>
    </w:p>
    <w:p>
      <w:pPr>
        <w:ind w:left="340" w:right="220" w:hanging="332"/>
        <w:spacing w:after="0" w:line="301" w:lineRule="auto"/>
        <w:tabs>
          <w:tab w:leader="none" w:pos="338"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Amounts represent earnings on the executive’s NQDC balances for the fiscal year. The NQDC provides for investment options generally aligned to those provided in our 401(k) Savings Plan. Deferrals are credited with gains or losses based on the performance of the investment options selected by the employee.</w:t>
      </w:r>
    </w:p>
    <w:p>
      <w:pPr>
        <w:spacing w:after="0" w:line="1" w:lineRule="exact"/>
        <w:rPr>
          <w:rFonts w:ascii="Arial" w:cs="Arial" w:eastAsia="Arial" w:hAnsi="Arial"/>
          <w:sz w:val="14"/>
          <w:szCs w:val="14"/>
          <w:color w:val="auto"/>
        </w:rPr>
      </w:pPr>
    </w:p>
    <w:p>
      <w:pPr>
        <w:ind w:left="340" w:right="160" w:hanging="332"/>
        <w:spacing w:after="0" w:line="285" w:lineRule="auto"/>
        <w:tabs>
          <w:tab w:leader="none" w:pos="338"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Investment elections may not be revoked, changed, or modified except as permitted under the NQDC, and subject to applicable law. No actual investments will be held in the employee’s accounts and employees will at all times remain unsecured creditors of the Company with respect to their account balances.</w:t>
      </w:r>
    </w:p>
    <w:p>
      <w:pPr>
        <w:spacing w:after="0" w:line="9" w:lineRule="exact"/>
        <w:rPr>
          <w:rFonts w:ascii="Arial" w:cs="Arial" w:eastAsia="Arial" w:hAnsi="Arial"/>
          <w:sz w:val="14"/>
          <w:szCs w:val="14"/>
          <w:color w:val="auto"/>
        </w:rPr>
      </w:pPr>
    </w:p>
    <w:p>
      <w:pPr>
        <w:ind w:left="340" w:right="60" w:hanging="332"/>
        <w:spacing w:after="0" w:line="301" w:lineRule="auto"/>
        <w:tabs>
          <w:tab w:leader="none" w:pos="338" w:val="left"/>
        </w:tabs>
        <w:numPr>
          <w:ilvl w:val="0"/>
          <w:numId w:val="49"/>
        </w:numPr>
        <w:rPr>
          <w:rFonts w:ascii="Arial" w:cs="Arial" w:eastAsia="Arial" w:hAnsi="Arial"/>
          <w:sz w:val="14"/>
          <w:szCs w:val="14"/>
          <w:color w:val="auto"/>
        </w:rPr>
      </w:pPr>
      <w:r>
        <w:rPr>
          <w:rFonts w:ascii="Arial" w:cs="Arial" w:eastAsia="Arial" w:hAnsi="Arial"/>
          <w:sz w:val="14"/>
          <w:szCs w:val="14"/>
          <w:color w:val="auto"/>
        </w:rPr>
        <w:t>Employees may elect deferred amounts to be paid either in the form of a lump sum or in up to 15 annual installments upon either separation from service, a specified date, or death.</w:t>
      </w:r>
    </w:p>
    <w:p>
      <w:pPr>
        <w:spacing w:after="0" w:line="1" w:lineRule="exact"/>
        <w:rPr>
          <w:rFonts w:ascii="Arial" w:cs="Arial" w:eastAsia="Arial" w:hAnsi="Arial"/>
          <w:sz w:val="14"/>
          <w:szCs w:val="14"/>
          <w:color w:val="auto"/>
        </w:rPr>
      </w:pPr>
    </w:p>
    <w:p>
      <w:pPr>
        <w:jc w:val="both"/>
        <w:ind w:left="340" w:right="100" w:hanging="332"/>
        <w:spacing w:after="0" w:line="273" w:lineRule="auto"/>
        <w:tabs>
          <w:tab w:leader="none" w:pos="338"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amounts reflect the aggregate amounts that were reported as compensation in the appropriate columns of the Summary Compensation Table of this proxy statement and previous proxy statements to the extent that the executive was a NEO for the applicable year: $1,108,560 for Mr. Davis. Mses. Knight and Poul and Messrs. De Witte, McBreen and Singh did not elect to defer compensation included in the Summary Compensation Table and, as such, they are not listed in the table above.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63</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Potential Payments Upon Termination or Change in Control</w:t>
      </w:r>
    </w:p>
    <w:p>
      <w:pPr>
        <w:spacing w:after="0" w:line="193"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58595B"/>
        </w:rPr>
        <w:t>The following agreements provide for certain payments and benefits upon any of several events of termination of employment, including termination of employment in connection with a change in control: (i) Ms. Poul's Employment Agreement, and (ii) the Change in Control Severance Agreements, effective January 1, 2025, between the Company and each of Lea Knight, Robert Davis, Jr., Michael McBreen, and Harvinder Singh (Ms. Poul's Employment Agreement and the Change in Control Severance Agreements are collectively referred to in this section as the “Agreements”). Please refer to "Compensation Discussion and Analysis—Employment and Post-Employment Arrangements—Change-in-Control Severance Agreements for Other Named Executive Officers" above for additional information regarding the Change in Control Severance Agreements.</w:t>
      </w:r>
    </w:p>
    <w:p>
      <w:pPr>
        <w:spacing w:after="0" w:line="135"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58595B"/>
        </w:rPr>
        <w:t>This section describes these payments and benefits, with amounts calculated based on the assumption that a named executive officer's termination of employment with the Company occurred on December 31, 2025. The last trading day of the fiscal year ended December 31, 2025, the Company’s common stock had a closing sale price on the Nasdaq Global Select Market of $12.42. Actual amounts payable would vary based on the date of the named executive officer’s termination of employment and can only be finally determined at that time. Unless specified otherwise, the information in this section is based upon the terms of the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Benefits for Ms. Poul</w:t>
      </w:r>
    </w:p>
    <w:p>
      <w:pPr>
        <w:spacing w:after="0" w:line="81" w:lineRule="exact"/>
        <w:rPr>
          <w:sz w:val="20"/>
          <w:szCs w:val="20"/>
          <w:color w:val="auto"/>
        </w:rPr>
      </w:pPr>
    </w:p>
    <w:p>
      <w:pPr>
        <w:ind w:right="360"/>
        <w:spacing w:after="0" w:line="319" w:lineRule="auto"/>
        <w:rPr>
          <w:sz w:val="20"/>
          <w:szCs w:val="20"/>
          <w:color w:val="auto"/>
        </w:rPr>
      </w:pPr>
      <w:r>
        <w:rPr>
          <w:rFonts w:ascii="Arial" w:cs="Arial" w:eastAsia="Arial" w:hAnsi="Arial"/>
          <w:sz w:val="16"/>
          <w:szCs w:val="16"/>
          <w:color w:val="58595B"/>
        </w:rPr>
        <w:t>The Company is party to an employment agreement with Ms. Poul, dated as of November 4, 2024. Under Ms. Poul's Employment Agreement, upon Ms. Poul's termination of employment, she may be entitled to certain benefits as described in more detail under "Compensation Discussion and Analysis— Employment and Post-Employment Arrangements—CEO Agreements: Ms. Poul"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Retirement Benefits for Mr. De Witte</w:t>
      </w:r>
    </w:p>
    <w:p>
      <w:pPr>
        <w:spacing w:after="0" w:line="81" w:lineRule="exact"/>
        <w:rPr>
          <w:sz w:val="20"/>
          <w:szCs w:val="20"/>
          <w:color w:val="auto"/>
        </w:rPr>
      </w:pPr>
    </w:p>
    <w:p>
      <w:pPr>
        <w:ind w:right="500"/>
        <w:spacing w:after="0" w:line="318" w:lineRule="auto"/>
        <w:rPr>
          <w:sz w:val="20"/>
          <w:szCs w:val="20"/>
          <w:color w:val="auto"/>
        </w:rPr>
      </w:pPr>
      <w:r>
        <w:rPr>
          <w:rFonts w:ascii="Arial" w:cs="Arial" w:eastAsia="Arial" w:hAnsi="Arial"/>
          <w:sz w:val="16"/>
          <w:szCs w:val="16"/>
          <w:color w:val="58595B"/>
        </w:rPr>
        <w:t>The Company was party to an employment agreement, subsequently modified by the De Witte Letter Agreement, with Mr. De Witte during 2024. In connection with his retirement on January 6, 2025, Mr. De Witte’s employment with the Company terminated and he and the Company entered into a consulting relationship pursuant to the terms of the De Witte Consulting Agreement (as described in more detail under "Compensation Discussion and Analysis—Employment and Post-Employment Arrangements—CEO Agreements: Mr. De Witte" above).</w:t>
      </w:r>
    </w:p>
    <w:p>
      <w:pPr>
        <w:spacing w:after="0" w:line="118" w:lineRule="exact"/>
        <w:rPr>
          <w:sz w:val="20"/>
          <w:szCs w:val="20"/>
          <w:color w:val="auto"/>
        </w:rPr>
      </w:pPr>
    </w:p>
    <w:p>
      <w:pPr>
        <w:spacing w:after="0" w:line="328" w:lineRule="auto"/>
        <w:rPr>
          <w:sz w:val="20"/>
          <w:szCs w:val="20"/>
          <w:color w:val="auto"/>
        </w:rPr>
      </w:pPr>
      <w:r>
        <w:rPr>
          <w:rFonts w:ascii="Arial" w:cs="Arial" w:eastAsia="Arial" w:hAnsi="Arial"/>
          <w:sz w:val="16"/>
          <w:szCs w:val="16"/>
          <w:color w:val="58595B"/>
        </w:rPr>
        <w:t>Pursuant to the terms of the De Witte Letter Agreement and the De Witte Consulting Agreement, Mr. De Witte is entitled to certain payments and other benefits, as described in more detail under "Compensation Discussion and Analysis—Employment and Post-Employment Arrangements—CEO Agreements: Mr. De Witte" above. The table below reflects actual payments made in 2025 in connection with Mr. De Witte's retirement.</w:t>
      </w:r>
    </w:p>
    <w:p>
      <w:pPr>
        <w:spacing w:after="0" w:line="105"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b w:val="1"/>
          <w:bCs w:val="1"/>
          <w:color w:val="009845"/>
        </w:rPr>
        <w:t>Payments upon Termination by the Company without Cause or by the Executive for Good Reason Outside the Context of a Change in Control</w:t>
      </w:r>
    </w:p>
    <w:p>
      <w:pPr>
        <w:spacing w:after="0" w:line="1" w:lineRule="exact"/>
        <w:rPr>
          <w:sz w:val="20"/>
          <w:szCs w:val="20"/>
          <w:color w:val="auto"/>
        </w:rPr>
      </w:pPr>
    </w:p>
    <w:p>
      <w:pPr>
        <w:ind w:right="120"/>
        <w:spacing w:after="0" w:line="313" w:lineRule="auto"/>
        <w:rPr>
          <w:sz w:val="20"/>
          <w:szCs w:val="20"/>
          <w:color w:val="auto"/>
        </w:rPr>
      </w:pPr>
      <w:r>
        <w:rPr>
          <w:rFonts w:ascii="Arial" w:cs="Arial" w:eastAsia="Arial" w:hAnsi="Arial"/>
          <w:sz w:val="16"/>
          <w:szCs w:val="16"/>
          <w:color w:val="58595B"/>
        </w:rPr>
        <w:t>Ms. Poul's Employment Agreement provides for the following severance payments and benefits upon termination of employment by the Company without “Cause” or by Ms. Poul for “Good Reason” (each as defined in the Employment Agreement) outside the context of a change in control of the Company (as described more fully in the Employment Agreement): (i) a cash severance payment equal to 2.0 times her then-current annual base salary payable over the two-year period following such termination in accordance with the Company's customary payroll practices; and (ii) a monthly cash payment equal to Ms. Poul's monthly COBRA premium for up to 18 months following such termination.</w:t>
      </w:r>
    </w:p>
    <w:p>
      <w:pPr>
        <w:spacing w:after="0" w:line="137"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58595B"/>
        </w:rPr>
        <w:t>The De Witte Agreement provided for the following severance payments and benefits upon termination of employment by the Company without “Cause” or by Mr. De Witte for “Good Reason” (each as defined in the De Witte Agreement) outside the context of a change in control of the Company (as described more fully in the De Witte Agreement): (i) a cash severance payment equal to 2.0 times his then-current annual base salary payable over the two-year period following such termination in accordance with the Company's customary payroll practices; (ii) a monthly cash payment equal to Mr. De Witte's monthly COBRA premium cost for family health coverage for up to 18 months following such termination; and (iii) full accelerated vesting of the initial equity award.</w:t>
      </w:r>
    </w:p>
    <w:p>
      <w:pPr>
        <w:spacing w:after="0" w:line="137" w:lineRule="exact"/>
        <w:rPr>
          <w:sz w:val="20"/>
          <w:szCs w:val="20"/>
          <w:color w:val="auto"/>
        </w:rPr>
      </w:pPr>
    </w:p>
    <w:p>
      <w:pPr>
        <w:ind w:right="480"/>
        <w:spacing w:after="0" w:line="319" w:lineRule="auto"/>
        <w:rPr>
          <w:sz w:val="20"/>
          <w:szCs w:val="20"/>
          <w:color w:val="auto"/>
        </w:rPr>
      </w:pPr>
      <w:r>
        <w:rPr>
          <w:rFonts w:ascii="Arial" w:cs="Arial" w:eastAsia="Arial" w:hAnsi="Arial"/>
          <w:sz w:val="16"/>
          <w:szCs w:val="16"/>
          <w:color w:val="58595B"/>
        </w:rPr>
        <w:t>None of the unvested equity awards held by Ms. Knight and Messrs. Davis, McBreen and Singh will vest upon the termination of such individual by the Company without “Cause” or by the individual for “Good Reason” (as defined in the Agreements) nor does the terms of such Agreements entitle the individual to any additional payments or benefits.</w:t>
      </w: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64</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upon Termination for Cause or by Executive without Good Reason</w:t>
      </w:r>
    </w:p>
    <w:p>
      <w:pPr>
        <w:spacing w:after="0" w:line="81" w:lineRule="exact"/>
        <w:rPr>
          <w:sz w:val="20"/>
          <w:szCs w:val="20"/>
          <w:color w:val="auto"/>
        </w:rPr>
      </w:pPr>
    </w:p>
    <w:p>
      <w:pPr>
        <w:jc w:val="both"/>
        <w:ind w:right="40"/>
        <w:spacing w:after="0" w:line="328" w:lineRule="auto"/>
        <w:rPr>
          <w:sz w:val="20"/>
          <w:szCs w:val="20"/>
          <w:color w:val="auto"/>
        </w:rPr>
      </w:pPr>
      <w:r>
        <w:rPr>
          <w:rFonts w:ascii="Arial" w:cs="Arial" w:eastAsia="Arial" w:hAnsi="Arial"/>
          <w:sz w:val="16"/>
          <w:szCs w:val="16"/>
          <w:color w:val="58595B"/>
        </w:rPr>
        <w:t>The Employment Agreement and the Agreements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Upon Death</w:t>
      </w:r>
    </w:p>
    <w:p>
      <w:pPr>
        <w:spacing w:after="0" w:line="81" w:lineRule="exact"/>
        <w:rPr>
          <w:sz w:val="20"/>
          <w:szCs w:val="20"/>
          <w:color w:val="auto"/>
        </w:rPr>
      </w:pPr>
    </w:p>
    <w:p>
      <w:pPr>
        <w:ind w:right="400"/>
        <w:spacing w:after="0" w:line="356" w:lineRule="auto"/>
        <w:rPr>
          <w:sz w:val="20"/>
          <w:szCs w:val="20"/>
          <w:color w:val="auto"/>
        </w:rPr>
      </w:pPr>
      <w:r>
        <w:rPr>
          <w:rFonts w:ascii="Arial" w:cs="Arial" w:eastAsia="Arial" w:hAnsi="Arial"/>
          <w:sz w:val="16"/>
          <w:szCs w:val="16"/>
          <w:color w:val="58595B"/>
        </w:rPr>
        <w:t>All of Mses. Knight's and Poul's and Messrs. Davis’, McBreen’s and Mr. Singh's unvested equity awards will vest in the event of death other than their respective outstanding performance stock grants, which would remain outstanding and subject to the achievement of the respective performance goals.</w:t>
      </w:r>
    </w:p>
    <w:p>
      <w:pPr>
        <w:spacing w:after="0" w:line="89"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58595B"/>
        </w:rPr>
        <w:t>If Ms. Poul’s employment is terminated due to her death, then her estate will receive (i) a lump sum cash payment equal to Ms. Poul’s annual base salary, and (ii) a monthly cash payment equal to Ms. Poul's monthly family COBRA premium for up to 12 months after her death.</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Upon Disability</w:t>
      </w:r>
    </w:p>
    <w:p>
      <w:pPr>
        <w:spacing w:after="0" w:line="81"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color w:val="58595B"/>
        </w:rPr>
        <w:t>None of the Change in Control Severance Agreements provide for cash severance payments upon the executive’s termination of employment on account of their disability. In addition, each of the executive officers’ unvested equity awards will vest in the event of such executive officer’s disability in the same manner as they would in the event of death as stated above.</w:t>
      </w:r>
    </w:p>
    <w:p>
      <w:pPr>
        <w:spacing w:after="0" w:line="110" w:lineRule="exact"/>
        <w:rPr>
          <w:sz w:val="20"/>
          <w:szCs w:val="20"/>
          <w:color w:val="auto"/>
        </w:rPr>
      </w:pPr>
    </w:p>
    <w:p>
      <w:pPr>
        <w:ind w:right="860"/>
        <w:spacing w:after="0" w:line="339" w:lineRule="auto"/>
        <w:rPr>
          <w:sz w:val="20"/>
          <w:szCs w:val="20"/>
          <w:color w:val="auto"/>
        </w:rPr>
      </w:pPr>
      <w:r>
        <w:rPr>
          <w:rFonts w:ascii="Arial" w:cs="Arial" w:eastAsia="Arial" w:hAnsi="Arial"/>
          <w:sz w:val="16"/>
          <w:szCs w:val="16"/>
          <w:color w:val="58595B"/>
        </w:rPr>
        <w:t>Under the Agreements, disability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in Connection with a Change in Control</w:t>
      </w:r>
    </w:p>
    <w:p>
      <w:pPr>
        <w:spacing w:after="0" w:line="81"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color w:val="58595B"/>
        </w:rPr>
        <w:t>The Agreements provide each of the applicable NEOs with severance payments and benefits upon termination of their employment in connection with or following a change in control.</w:t>
      </w:r>
    </w:p>
    <w:p>
      <w:pPr>
        <w:spacing w:after="0" w:line="101" w:lineRule="exact"/>
        <w:rPr>
          <w:sz w:val="20"/>
          <w:szCs w:val="20"/>
          <w:color w:val="auto"/>
        </w:rPr>
      </w:pPr>
    </w:p>
    <w:p>
      <w:pPr>
        <w:jc w:val="both"/>
        <w:ind w:right="140"/>
        <w:spacing w:after="0" w:line="308" w:lineRule="auto"/>
        <w:rPr>
          <w:sz w:val="20"/>
          <w:szCs w:val="20"/>
          <w:color w:val="auto"/>
        </w:rPr>
      </w:pPr>
      <w:r>
        <w:rPr>
          <w:rFonts w:ascii="Arial" w:cs="Arial" w:eastAsia="Arial" w:hAnsi="Arial"/>
          <w:sz w:val="16"/>
          <w:szCs w:val="16"/>
          <w:color w:val="58595B"/>
        </w:rPr>
        <w:t>Ms. Poul's Employment Agreement provides that if, within 24 months following a "change in control" of the Company, Ms. Poul terminates her employment for “good reason,” or her employment is terminated by the Company for a reason other than death, disability, or “cause,” Ms. Poul will be eligible to receive:</w:t>
      </w:r>
    </w:p>
    <w:p>
      <w:pPr>
        <w:ind w:left="200" w:hanging="192"/>
        <w:spacing w:after="0"/>
        <w:tabs>
          <w:tab w:leader="none" w:pos="200" w:val="left"/>
        </w:tabs>
        <w:numPr>
          <w:ilvl w:val="0"/>
          <w:numId w:val="50"/>
        </w:numPr>
        <w:rPr>
          <w:rFonts w:ascii="Arial" w:cs="Arial" w:eastAsia="Arial" w:hAnsi="Arial"/>
          <w:sz w:val="16"/>
          <w:szCs w:val="16"/>
          <w:color w:val="58595B"/>
        </w:rPr>
      </w:pPr>
      <w:r>
        <w:rPr>
          <w:rFonts w:ascii="Arial" w:cs="Arial" w:eastAsia="Arial" w:hAnsi="Arial"/>
          <w:sz w:val="16"/>
          <w:szCs w:val="16"/>
          <w:color w:val="58595B"/>
        </w:rPr>
        <w:t>a single lump sum severance amount equal to 2.99 times the sum of Ms. Poul’s annual base salary and Target Bonus, (ii) a monthly cash payment equal</w:t>
      </w:r>
    </w:p>
    <w:p>
      <w:pPr>
        <w:spacing w:after="0" w:line="59" w:lineRule="exact"/>
        <w:rPr>
          <w:rFonts w:ascii="Arial" w:cs="Arial" w:eastAsia="Arial" w:hAnsi="Arial"/>
          <w:sz w:val="16"/>
          <w:szCs w:val="16"/>
          <w:color w:val="58595B"/>
        </w:rPr>
      </w:pPr>
    </w:p>
    <w:p>
      <w:pPr>
        <w:ind w:right="60"/>
        <w:spacing w:after="0" w:line="318" w:lineRule="auto"/>
        <w:rPr>
          <w:rFonts w:ascii="Arial" w:cs="Arial" w:eastAsia="Arial" w:hAnsi="Arial"/>
          <w:sz w:val="16"/>
          <w:szCs w:val="16"/>
          <w:color w:val="58595B"/>
        </w:rPr>
      </w:pPr>
      <w:r>
        <w:rPr>
          <w:rFonts w:ascii="Arial" w:cs="Arial" w:eastAsia="Arial" w:hAnsi="Arial"/>
          <w:sz w:val="16"/>
          <w:szCs w:val="16"/>
          <w:color w:val="58595B"/>
        </w:rPr>
        <w:t>to Ms. Poul’s monthly COBRA premium for up to 18 months following such termination, (iii) a single lump sum equal to the pro rata portion of Ms. Poul’s annual bonus for the year in which the termination occurs, and (iv) full accelerated vesting of all outstanding equity awards granted to Ms. Poul and, to the extent any outstanding equity award is a Company stock option, such option will remain exercisable until the earlier of the first anniversary of the termination date and the expiration date set forth in the option agreement evidencing such option.</w:t>
      </w:r>
    </w:p>
    <w:p>
      <w:pPr>
        <w:spacing w:after="0" w:line="118"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58595B"/>
        </w:rPr>
        <w:t>The Change in Control Severance Agreements for Ms. Knight and Messrs. Davis, McBreen and Singh provide that, if any applicable named executive officer’s employment with the Company is terminated by the Company without cause or by such named executive officer for good reason within twenty-four months following a change in control, then so long as such change of control occurs on or before December 31, 2025, the Company will pay the following to such named executive officer: (i) a lump-sum cash payment equal to a multiple of 1.5 times (or 2 times for Ms. Knight) the sum of the named executive officer’s base salary and target cash bonus, (ii) a lump sum payment equal to a pro rata portion of such named executive officer’s target bonus for the partial fiscal year in which the termination occurs, (iii) the monthly premium for COBRA family coverage under the Company’s group health plan for up to eighteen months after the termination date, and (iv) Company paid outplacement services for up to twelve months following the termination date.</w:t>
      </w:r>
    </w:p>
    <w:p>
      <w:pPr>
        <w:spacing w:after="0" w:line="124"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58595B"/>
        </w:rPr>
        <w:t>The Company’s equity plans provide for the acceleration of vesting and/or delivery of all equity compensation awards granted since January 1, 2013 for all of the NEOs, if a change in control occurs and the NEOs incur a qualifying termination on or within twelve months (or on or within twenty-four months pursuant to Ms. Poul's Employment Agreement) following the date of such change in control. For performance stock unit award agreements granted to NEOs, any outstanding shares shall vest if such NEO incurs (i) a qualifying termination or (ii) a termination due to death or disability, in either case, on or following a change of control and prior to or on the last day of the performance period. The NEOs will receive payment of common stock underlying such grants of RSAs, stock</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65</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color w:val="58595B"/>
        </w:rPr>
        <w:t>options, and PSUs in such event. In addition, Ms. Poul will receive deferred payment of common stock underlying such grants of RSUs on the date that represents six months after the date of her termination of employment.</w:t>
      </w:r>
    </w:p>
    <w:p>
      <w:pPr>
        <w:spacing w:after="0" w:line="115"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58595B"/>
        </w:rPr>
        <w:t>Under the Agreements, subject to the exceptions and further details set forth therein, a change in control would be deemed to have occurred: (i) if the beneficial ownership of securities representing more than fifty percent of the combined voting power of the voting securities of the Company is acquired by any individual, entity or group; (ii) if the individuals who, as of the date of the Agreement, constitute the Board cease for any reason during any period of at least twenty-four months to constitute at least a majority of the Board; (iii) upon consummation of a reorganization, merger or consolidation or sale or other disposition of all or substantially all of the assets of the Company or the acquisition of assets or stock of another entity; or (iv) upon approval by the stockholders of a complete liquidation or dissolution of the Company.</w:t>
      </w:r>
    </w:p>
    <w:p>
      <w:pPr>
        <w:spacing w:after="0" w:line="122"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58595B"/>
        </w:rPr>
        <w:t>Under the Change in Control Severance Agreements as well as the equity award agreements for the NEOs, a qualifying termination would be deemed to have occurred for the following reasons: (i) if the Company terminates the individual without cause or (ii) if the individual, who is a party to an employment, severance or applicable award agreement containing the definition of “Good Reason,” terminates his or her employment with the Company for good reason.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Restrictive Covenants and Other Conditions</w:t>
      </w:r>
    </w:p>
    <w:p>
      <w:pPr>
        <w:spacing w:after="0" w:line="81"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Ms. Poul’s right to receive the severance payments and benefits pursuant to Ms. Poul's Employment Agreement (other than upon her death) is contingent on Ms. Poul’s execution and non-revocation of a general release of claims in favor of the Company. In addition, to the extent that any payment or benefit received in connection with a change in control would be subject to an excise tax under Section 4999 of the Internal Revenue Code, such payments and/or benefits will be subject to a “best pay cap” reduction if such reduction would result in a greater net after-tax benefit to Ms. Poul than receiving the full amount of such payments.</w:t>
      </w:r>
    </w:p>
    <w:p>
      <w:pPr>
        <w:spacing w:after="0" w:line="118"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58595B"/>
        </w:rPr>
        <w:t>For each of the Agreements, the foregoing severance benefits are conditioned on each executive’s execution of a mutual release. In addition, for all of the other applicable NEOs, such benefits are consideration for the restrictive covenants set forth in their respective Agreements. Specifically, during the term of their employment with the Company and the one-year period thereafter, all of such NEOs generally may not compete against the Company or solicit employees and customers of the Company.</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66</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ind w:left="9080"/>
        <w:spacing w:after="0"/>
        <w:rPr>
          <w:sz w:val="20"/>
          <w:szCs w:val="20"/>
          <w:color w:val="auto"/>
        </w:rPr>
      </w:pPr>
      <w:r>
        <w:rPr>
          <w:rFonts w:ascii="Arial" w:cs="Arial" w:eastAsia="Arial" w:hAnsi="Arial"/>
          <w:sz w:val="12"/>
          <w:szCs w:val="12"/>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Summary of Potential Payments</w:t>
      </w:r>
    </w:p>
    <w:p>
      <w:pPr>
        <w:spacing w:after="0" w:line="81" w:lineRule="exact"/>
        <w:rPr>
          <w:sz w:val="20"/>
          <w:szCs w:val="20"/>
          <w:color w:val="auto"/>
        </w:rPr>
      </w:pPr>
    </w:p>
    <w:p>
      <w:pPr>
        <w:ind w:right="200"/>
        <w:spacing w:after="0" w:line="318" w:lineRule="auto"/>
        <w:rPr>
          <w:sz w:val="20"/>
          <w:szCs w:val="20"/>
          <w:color w:val="auto"/>
        </w:rPr>
      </w:pPr>
      <w:r>
        <w:rPr>
          <w:rFonts w:ascii="Arial" w:cs="Arial" w:eastAsia="Arial" w:hAnsi="Arial"/>
          <w:sz w:val="16"/>
          <w:szCs w:val="16"/>
          <w:color w:val="58595B"/>
        </w:rPr>
        <w:t>The following table summarizes the payments that would be made by the Company to our NEOs (other than Mr. De Witte, whose amounts reflect what the Company has actually paid in 2025 in connection with his retirement as described above under "Retirement Benefits for Mr. De Witte") upon the events discussed above, assuming their termination of employment with the Company occurred on December 31, 2025 or a change in control of the Company occurred on December 31, 2025, as applicable.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00" w:type="dxa"/>
            <w:vAlign w:val="bottom"/>
            <w:shd w:val="clear" w:color="auto" w:fill="EFEDED"/>
          </w:tcPr>
          <w:p>
            <w:pPr>
              <w:spacing w:after="0"/>
              <w:rPr>
                <w:sz w:val="15"/>
                <w:szCs w:val="15"/>
                <w:color w:val="auto"/>
              </w:rPr>
            </w:pPr>
          </w:p>
        </w:tc>
        <w:tc>
          <w:tcPr>
            <w:tcW w:w="100" w:type="dxa"/>
            <w:vAlign w:val="bottom"/>
            <w:shd w:val="clear" w:color="auto" w:fill="EFEDED"/>
          </w:tcPr>
          <w:p>
            <w:pPr>
              <w:spacing w:after="0"/>
              <w:rPr>
                <w:sz w:val="15"/>
                <w:szCs w:val="15"/>
                <w:color w:val="auto"/>
              </w:rPr>
            </w:pPr>
          </w:p>
        </w:tc>
        <w:tc>
          <w:tcPr>
            <w:tcW w:w="1520" w:type="dxa"/>
            <w:vAlign w:val="bottom"/>
            <w:gridSpan w:val="2"/>
            <w:shd w:val="clear" w:color="auto" w:fill="EFEDED"/>
          </w:tcPr>
          <w:p>
            <w:pPr>
              <w:jc w:val="right"/>
              <w:spacing w:after="0"/>
              <w:rPr>
                <w:sz w:val="20"/>
                <w:szCs w:val="20"/>
                <w:color w:val="auto"/>
              </w:rPr>
            </w:pPr>
            <w:r>
              <w:rPr>
                <w:rFonts w:ascii="Arial" w:cs="Arial" w:eastAsia="Arial" w:hAnsi="Arial"/>
                <w:sz w:val="14"/>
                <w:szCs w:val="14"/>
                <w:color w:val="58595B"/>
              </w:rPr>
              <w:t>Termination</w:t>
            </w:r>
          </w:p>
        </w:tc>
        <w:tc>
          <w:tcPr>
            <w:tcW w:w="580" w:type="dxa"/>
            <w:vAlign w:val="bottom"/>
            <w:shd w:val="clear" w:color="auto" w:fill="EFEDED"/>
          </w:tcPr>
          <w:p>
            <w:pPr>
              <w:spacing w:after="0"/>
              <w:rPr>
                <w:sz w:val="15"/>
                <w:szCs w:val="15"/>
                <w:color w:val="auto"/>
              </w:rPr>
            </w:pPr>
          </w:p>
        </w:tc>
        <w:tc>
          <w:tcPr>
            <w:tcW w:w="1220" w:type="dxa"/>
            <w:vAlign w:val="bottom"/>
            <w:shd w:val="clear" w:color="auto" w:fill="EFEDED"/>
          </w:tcPr>
          <w:p>
            <w:pPr>
              <w:spacing w:after="0"/>
              <w:rPr>
                <w:sz w:val="15"/>
                <w:szCs w:val="15"/>
                <w:color w:val="auto"/>
              </w:rPr>
            </w:pPr>
          </w:p>
        </w:tc>
        <w:tc>
          <w:tcPr>
            <w:tcW w:w="600" w:type="dxa"/>
            <w:vAlign w:val="bottom"/>
            <w:shd w:val="clear" w:color="auto" w:fill="EFEDED"/>
          </w:tcPr>
          <w:p>
            <w:pPr>
              <w:spacing w:after="0"/>
              <w:rPr>
                <w:sz w:val="15"/>
                <w:szCs w:val="15"/>
                <w:color w:val="auto"/>
              </w:rPr>
            </w:pPr>
          </w:p>
        </w:tc>
        <w:tc>
          <w:tcPr>
            <w:tcW w:w="1200" w:type="dxa"/>
            <w:vAlign w:val="bottom"/>
            <w:shd w:val="clear" w:color="auto" w:fill="EFEDED"/>
          </w:tcPr>
          <w:p>
            <w:pPr>
              <w:spacing w:after="0"/>
              <w:rPr>
                <w:sz w:val="15"/>
                <w:szCs w:val="15"/>
                <w:color w:val="auto"/>
              </w:rPr>
            </w:pPr>
          </w:p>
        </w:tc>
        <w:tc>
          <w:tcPr>
            <w:tcW w:w="140" w:type="dxa"/>
            <w:vAlign w:val="bottom"/>
            <w:shd w:val="clear" w:color="auto" w:fill="EFEDED"/>
          </w:tcPr>
          <w:p>
            <w:pPr>
              <w:spacing w:after="0"/>
              <w:rPr>
                <w:sz w:val="15"/>
                <w:szCs w:val="15"/>
                <w:color w:val="auto"/>
              </w:rPr>
            </w:pPr>
          </w:p>
        </w:tc>
        <w:tc>
          <w:tcPr>
            <w:tcW w:w="1980" w:type="dxa"/>
            <w:vAlign w:val="bottom"/>
            <w:shd w:val="clear" w:color="auto" w:fill="EFEDED"/>
          </w:tcPr>
          <w:p>
            <w:pPr>
              <w:jc w:val="right"/>
              <w:ind w:right="88"/>
              <w:spacing w:after="0"/>
              <w:rPr>
                <w:sz w:val="20"/>
                <w:szCs w:val="20"/>
                <w:color w:val="auto"/>
              </w:rPr>
            </w:pPr>
            <w:r>
              <w:rPr>
                <w:rFonts w:ascii="Arial" w:cs="Arial" w:eastAsia="Arial" w:hAnsi="Arial"/>
                <w:sz w:val="14"/>
                <w:szCs w:val="14"/>
                <w:color w:val="58595B"/>
              </w:rPr>
              <w:t>Termination Without Cause,</w:t>
            </w:r>
          </w:p>
        </w:tc>
      </w:tr>
      <w:tr>
        <w:trPr>
          <w:trHeight w:val="176"/>
        </w:trPr>
        <w:tc>
          <w:tcPr>
            <w:tcW w:w="3900" w:type="dxa"/>
            <w:vAlign w:val="bottom"/>
            <w:shd w:val="clear" w:color="auto" w:fill="EFEDED"/>
          </w:tcPr>
          <w:p>
            <w:pPr>
              <w:spacing w:after="0"/>
              <w:rPr>
                <w:sz w:val="15"/>
                <w:szCs w:val="15"/>
                <w:color w:val="auto"/>
              </w:rPr>
            </w:pPr>
          </w:p>
        </w:tc>
        <w:tc>
          <w:tcPr>
            <w:tcW w:w="100" w:type="dxa"/>
            <w:vAlign w:val="bottom"/>
            <w:shd w:val="clear" w:color="auto" w:fill="EFEDED"/>
          </w:tcPr>
          <w:p>
            <w:pPr>
              <w:spacing w:after="0"/>
              <w:rPr>
                <w:sz w:val="15"/>
                <w:szCs w:val="15"/>
                <w:color w:val="auto"/>
              </w:rPr>
            </w:pPr>
          </w:p>
        </w:tc>
        <w:tc>
          <w:tcPr>
            <w:tcW w:w="1520" w:type="dxa"/>
            <w:vAlign w:val="bottom"/>
            <w:gridSpan w:val="2"/>
            <w:shd w:val="clear" w:color="auto" w:fill="EFEDED"/>
          </w:tcPr>
          <w:p>
            <w:pPr>
              <w:jc w:val="right"/>
              <w:spacing w:after="0"/>
              <w:rPr>
                <w:sz w:val="20"/>
                <w:szCs w:val="20"/>
                <w:color w:val="auto"/>
              </w:rPr>
            </w:pPr>
            <w:r>
              <w:rPr>
                <w:rFonts w:ascii="Arial" w:cs="Arial" w:eastAsia="Arial" w:hAnsi="Arial"/>
                <w:sz w:val="14"/>
                <w:szCs w:val="14"/>
                <w:color w:val="58595B"/>
              </w:rPr>
              <w:t>Without Cause</w:t>
            </w:r>
          </w:p>
        </w:tc>
        <w:tc>
          <w:tcPr>
            <w:tcW w:w="580" w:type="dxa"/>
            <w:vAlign w:val="bottom"/>
            <w:shd w:val="clear" w:color="auto" w:fill="EFEDED"/>
          </w:tcPr>
          <w:p>
            <w:pPr>
              <w:spacing w:after="0"/>
              <w:rPr>
                <w:sz w:val="15"/>
                <w:szCs w:val="15"/>
                <w:color w:val="auto"/>
              </w:rPr>
            </w:pPr>
          </w:p>
        </w:tc>
        <w:tc>
          <w:tcPr>
            <w:tcW w:w="1220" w:type="dxa"/>
            <w:vAlign w:val="bottom"/>
            <w:shd w:val="clear" w:color="auto" w:fill="EFEDED"/>
          </w:tcPr>
          <w:p>
            <w:pPr>
              <w:spacing w:after="0"/>
              <w:rPr>
                <w:sz w:val="15"/>
                <w:szCs w:val="15"/>
                <w:color w:val="auto"/>
              </w:rPr>
            </w:pPr>
          </w:p>
        </w:tc>
        <w:tc>
          <w:tcPr>
            <w:tcW w:w="600" w:type="dxa"/>
            <w:vAlign w:val="bottom"/>
            <w:shd w:val="clear" w:color="auto" w:fill="EFEDED"/>
          </w:tcPr>
          <w:p>
            <w:pPr>
              <w:spacing w:after="0"/>
              <w:rPr>
                <w:sz w:val="15"/>
                <w:szCs w:val="15"/>
                <w:color w:val="auto"/>
              </w:rPr>
            </w:pPr>
          </w:p>
        </w:tc>
        <w:tc>
          <w:tcPr>
            <w:tcW w:w="1200" w:type="dxa"/>
            <w:vAlign w:val="bottom"/>
            <w:shd w:val="clear" w:color="auto" w:fill="EFEDED"/>
          </w:tcPr>
          <w:p>
            <w:pPr>
              <w:spacing w:after="0"/>
              <w:rPr>
                <w:sz w:val="15"/>
                <w:szCs w:val="15"/>
                <w:color w:val="auto"/>
              </w:rPr>
            </w:pPr>
          </w:p>
        </w:tc>
        <w:tc>
          <w:tcPr>
            <w:tcW w:w="140" w:type="dxa"/>
            <w:vAlign w:val="bottom"/>
            <w:shd w:val="clear" w:color="auto" w:fill="EFEDED"/>
          </w:tcPr>
          <w:p>
            <w:pPr>
              <w:spacing w:after="0"/>
              <w:rPr>
                <w:sz w:val="15"/>
                <w:szCs w:val="15"/>
                <w:color w:val="auto"/>
              </w:rPr>
            </w:pPr>
          </w:p>
        </w:tc>
        <w:tc>
          <w:tcPr>
            <w:tcW w:w="1980" w:type="dxa"/>
            <w:vAlign w:val="bottom"/>
            <w:shd w:val="clear" w:color="auto" w:fill="EFEDED"/>
          </w:tcPr>
          <w:p>
            <w:pPr>
              <w:jc w:val="right"/>
              <w:ind w:right="88"/>
              <w:spacing w:after="0"/>
              <w:rPr>
                <w:sz w:val="20"/>
                <w:szCs w:val="20"/>
                <w:color w:val="auto"/>
              </w:rPr>
            </w:pPr>
            <w:r>
              <w:rPr>
                <w:rFonts w:ascii="Arial" w:cs="Arial" w:eastAsia="Arial" w:hAnsi="Arial"/>
                <w:sz w:val="14"/>
                <w:szCs w:val="14"/>
                <w:color w:val="58595B"/>
              </w:rPr>
              <w:t>With Good Reason</w:t>
            </w:r>
          </w:p>
        </w:tc>
      </w:tr>
      <w:tr>
        <w:trPr>
          <w:trHeight w:val="175"/>
        </w:trPr>
        <w:tc>
          <w:tcPr>
            <w:tcW w:w="3900" w:type="dxa"/>
            <w:vAlign w:val="bottom"/>
            <w:shd w:val="clear" w:color="auto" w:fill="EFEDED"/>
          </w:tcPr>
          <w:p>
            <w:pPr>
              <w:spacing w:after="0"/>
              <w:rPr>
                <w:sz w:val="15"/>
                <w:szCs w:val="15"/>
                <w:color w:val="auto"/>
              </w:rPr>
            </w:pPr>
          </w:p>
        </w:tc>
        <w:tc>
          <w:tcPr>
            <w:tcW w:w="100" w:type="dxa"/>
            <w:vAlign w:val="bottom"/>
            <w:shd w:val="clear" w:color="auto" w:fill="EFEDED"/>
          </w:tcPr>
          <w:p>
            <w:pPr>
              <w:spacing w:after="0"/>
              <w:rPr>
                <w:sz w:val="15"/>
                <w:szCs w:val="15"/>
                <w:color w:val="auto"/>
              </w:rPr>
            </w:pPr>
          </w:p>
        </w:tc>
        <w:tc>
          <w:tcPr>
            <w:tcW w:w="1520" w:type="dxa"/>
            <w:vAlign w:val="bottom"/>
            <w:gridSpan w:val="2"/>
            <w:shd w:val="clear" w:color="auto" w:fill="EFEDED"/>
          </w:tcPr>
          <w:p>
            <w:pPr>
              <w:jc w:val="right"/>
              <w:spacing w:after="0"/>
              <w:rPr>
                <w:sz w:val="20"/>
                <w:szCs w:val="20"/>
                <w:color w:val="auto"/>
              </w:rPr>
            </w:pPr>
            <w:r>
              <w:rPr>
                <w:rFonts w:ascii="Arial" w:cs="Arial" w:eastAsia="Arial" w:hAnsi="Arial"/>
                <w:sz w:val="14"/>
                <w:szCs w:val="14"/>
                <w:color w:val="58595B"/>
              </w:rPr>
              <w:t>or With Good</w:t>
            </w:r>
          </w:p>
        </w:tc>
        <w:tc>
          <w:tcPr>
            <w:tcW w:w="580" w:type="dxa"/>
            <w:vAlign w:val="bottom"/>
            <w:shd w:val="clear" w:color="auto" w:fill="EFEDED"/>
          </w:tcPr>
          <w:p>
            <w:pPr>
              <w:spacing w:after="0"/>
              <w:rPr>
                <w:sz w:val="15"/>
                <w:szCs w:val="15"/>
                <w:color w:val="auto"/>
              </w:rPr>
            </w:pPr>
          </w:p>
        </w:tc>
        <w:tc>
          <w:tcPr>
            <w:tcW w:w="1220" w:type="dxa"/>
            <w:vAlign w:val="bottom"/>
            <w:shd w:val="clear" w:color="auto" w:fill="EFEDED"/>
          </w:tcPr>
          <w:p>
            <w:pPr>
              <w:spacing w:after="0"/>
              <w:rPr>
                <w:sz w:val="15"/>
                <w:szCs w:val="15"/>
                <w:color w:val="auto"/>
              </w:rPr>
            </w:pPr>
          </w:p>
        </w:tc>
        <w:tc>
          <w:tcPr>
            <w:tcW w:w="600" w:type="dxa"/>
            <w:vAlign w:val="bottom"/>
            <w:shd w:val="clear" w:color="auto" w:fill="EFEDED"/>
          </w:tcPr>
          <w:p>
            <w:pPr>
              <w:spacing w:after="0"/>
              <w:rPr>
                <w:sz w:val="15"/>
                <w:szCs w:val="15"/>
                <w:color w:val="auto"/>
              </w:rPr>
            </w:pPr>
          </w:p>
        </w:tc>
        <w:tc>
          <w:tcPr>
            <w:tcW w:w="1200" w:type="dxa"/>
            <w:vAlign w:val="bottom"/>
            <w:shd w:val="clear" w:color="auto" w:fill="EFEDED"/>
          </w:tcPr>
          <w:p>
            <w:pPr>
              <w:spacing w:after="0"/>
              <w:rPr>
                <w:sz w:val="15"/>
                <w:szCs w:val="15"/>
                <w:color w:val="auto"/>
              </w:rPr>
            </w:pPr>
          </w:p>
        </w:tc>
        <w:tc>
          <w:tcPr>
            <w:tcW w:w="140" w:type="dxa"/>
            <w:vAlign w:val="bottom"/>
            <w:shd w:val="clear" w:color="auto" w:fill="EFEDED"/>
          </w:tcPr>
          <w:p>
            <w:pPr>
              <w:spacing w:after="0"/>
              <w:rPr>
                <w:sz w:val="15"/>
                <w:szCs w:val="15"/>
                <w:color w:val="auto"/>
              </w:rPr>
            </w:pPr>
          </w:p>
        </w:tc>
        <w:tc>
          <w:tcPr>
            <w:tcW w:w="1980" w:type="dxa"/>
            <w:vAlign w:val="bottom"/>
            <w:shd w:val="clear" w:color="auto" w:fill="EFEDED"/>
          </w:tcPr>
          <w:p>
            <w:pPr>
              <w:jc w:val="right"/>
              <w:ind w:right="88"/>
              <w:spacing w:after="0"/>
              <w:rPr>
                <w:sz w:val="20"/>
                <w:szCs w:val="20"/>
                <w:color w:val="auto"/>
              </w:rPr>
            </w:pPr>
            <w:r>
              <w:rPr>
                <w:rFonts w:ascii="Arial" w:cs="Arial" w:eastAsia="Arial" w:hAnsi="Arial"/>
                <w:sz w:val="14"/>
                <w:szCs w:val="14"/>
                <w:color w:val="58595B"/>
              </w:rPr>
              <w:t>Death or Disability</w:t>
            </w:r>
          </w:p>
        </w:tc>
      </w:tr>
      <w:tr>
        <w:trPr>
          <w:trHeight w:val="176"/>
        </w:trPr>
        <w:tc>
          <w:tcPr>
            <w:tcW w:w="3900" w:type="dxa"/>
            <w:vAlign w:val="bottom"/>
            <w:shd w:val="clear" w:color="auto" w:fill="EFEDED"/>
          </w:tcPr>
          <w:p>
            <w:pPr>
              <w:spacing w:after="0"/>
              <w:rPr>
                <w:sz w:val="15"/>
                <w:szCs w:val="15"/>
                <w:color w:val="auto"/>
              </w:rPr>
            </w:pPr>
          </w:p>
        </w:tc>
        <w:tc>
          <w:tcPr>
            <w:tcW w:w="100" w:type="dxa"/>
            <w:vAlign w:val="bottom"/>
            <w:shd w:val="clear" w:color="auto" w:fill="EFEDED"/>
          </w:tcPr>
          <w:p>
            <w:pPr>
              <w:spacing w:after="0"/>
              <w:rPr>
                <w:sz w:val="15"/>
                <w:szCs w:val="15"/>
                <w:color w:val="auto"/>
              </w:rPr>
            </w:pPr>
          </w:p>
        </w:tc>
        <w:tc>
          <w:tcPr>
            <w:tcW w:w="1520" w:type="dxa"/>
            <w:vAlign w:val="bottom"/>
            <w:gridSpan w:val="2"/>
            <w:shd w:val="clear" w:color="auto" w:fill="EFEDED"/>
          </w:tcPr>
          <w:p>
            <w:pPr>
              <w:jc w:val="right"/>
              <w:spacing w:after="0"/>
              <w:rPr>
                <w:sz w:val="20"/>
                <w:szCs w:val="20"/>
                <w:color w:val="auto"/>
              </w:rPr>
            </w:pPr>
            <w:r>
              <w:rPr>
                <w:rFonts w:ascii="Arial" w:cs="Arial" w:eastAsia="Arial" w:hAnsi="Arial"/>
                <w:sz w:val="14"/>
                <w:szCs w:val="14"/>
                <w:color w:val="58595B"/>
              </w:rPr>
              <w:t>Reason (Before</w:t>
            </w:r>
          </w:p>
        </w:tc>
        <w:tc>
          <w:tcPr>
            <w:tcW w:w="580" w:type="dxa"/>
            <w:vAlign w:val="bottom"/>
            <w:shd w:val="clear" w:color="auto" w:fill="EFEDED"/>
          </w:tcPr>
          <w:p>
            <w:pPr>
              <w:spacing w:after="0"/>
              <w:rPr>
                <w:sz w:val="15"/>
                <w:szCs w:val="15"/>
                <w:color w:val="auto"/>
              </w:rPr>
            </w:pPr>
          </w:p>
        </w:tc>
        <w:tc>
          <w:tcPr>
            <w:tcW w:w="1220" w:type="dxa"/>
            <w:vAlign w:val="bottom"/>
            <w:shd w:val="clear" w:color="auto" w:fill="EFEDED"/>
          </w:tcPr>
          <w:p>
            <w:pPr>
              <w:spacing w:after="0"/>
              <w:rPr>
                <w:sz w:val="15"/>
                <w:szCs w:val="15"/>
                <w:color w:val="auto"/>
              </w:rPr>
            </w:pPr>
          </w:p>
        </w:tc>
        <w:tc>
          <w:tcPr>
            <w:tcW w:w="600" w:type="dxa"/>
            <w:vAlign w:val="bottom"/>
            <w:shd w:val="clear" w:color="auto" w:fill="EFEDED"/>
          </w:tcPr>
          <w:p>
            <w:pPr>
              <w:spacing w:after="0"/>
              <w:rPr>
                <w:sz w:val="15"/>
                <w:szCs w:val="15"/>
                <w:color w:val="auto"/>
              </w:rPr>
            </w:pPr>
          </w:p>
        </w:tc>
        <w:tc>
          <w:tcPr>
            <w:tcW w:w="1200" w:type="dxa"/>
            <w:vAlign w:val="bottom"/>
            <w:shd w:val="clear" w:color="auto" w:fill="EFEDED"/>
          </w:tcPr>
          <w:p>
            <w:pPr>
              <w:spacing w:after="0"/>
              <w:rPr>
                <w:sz w:val="15"/>
                <w:szCs w:val="15"/>
                <w:color w:val="auto"/>
              </w:rPr>
            </w:pPr>
          </w:p>
        </w:tc>
        <w:tc>
          <w:tcPr>
            <w:tcW w:w="140" w:type="dxa"/>
            <w:vAlign w:val="bottom"/>
            <w:shd w:val="clear" w:color="auto" w:fill="EFEDED"/>
          </w:tcPr>
          <w:p>
            <w:pPr>
              <w:spacing w:after="0"/>
              <w:rPr>
                <w:sz w:val="15"/>
                <w:szCs w:val="15"/>
                <w:color w:val="auto"/>
              </w:rPr>
            </w:pPr>
          </w:p>
        </w:tc>
        <w:tc>
          <w:tcPr>
            <w:tcW w:w="1980" w:type="dxa"/>
            <w:vAlign w:val="bottom"/>
            <w:shd w:val="clear" w:color="auto" w:fill="EFEDED"/>
          </w:tcPr>
          <w:p>
            <w:pPr>
              <w:jc w:val="right"/>
              <w:ind w:right="88"/>
              <w:spacing w:after="0"/>
              <w:rPr>
                <w:sz w:val="20"/>
                <w:szCs w:val="20"/>
                <w:color w:val="auto"/>
              </w:rPr>
            </w:pPr>
            <w:r>
              <w:rPr>
                <w:rFonts w:ascii="Arial" w:cs="Arial" w:eastAsia="Arial" w:hAnsi="Arial"/>
                <w:sz w:val="14"/>
                <w:szCs w:val="14"/>
                <w:color w:val="58595B"/>
              </w:rPr>
              <w:t>(“Double trigger”</w:t>
            </w:r>
          </w:p>
        </w:tc>
      </w:tr>
      <w:tr>
        <w:trPr>
          <w:trHeight w:val="192"/>
        </w:trPr>
        <w:tc>
          <w:tcPr>
            <w:tcW w:w="3900" w:type="dxa"/>
            <w:vAlign w:val="bottom"/>
            <w:tcBorders>
              <w:bottom w:val="single" w:sz="8" w:color="EFEDED"/>
            </w:tcBorders>
            <w:shd w:val="clear" w:color="auto" w:fill="EFEDED"/>
          </w:tcPr>
          <w:p>
            <w:pPr>
              <w:ind w:left="140"/>
              <w:spacing w:after="0"/>
              <w:rPr>
                <w:sz w:val="20"/>
                <w:szCs w:val="20"/>
                <w:color w:val="auto"/>
              </w:rPr>
            </w:pPr>
            <w:r>
              <w:rPr>
                <w:rFonts w:ascii="Arial" w:cs="Arial" w:eastAsia="Arial" w:hAnsi="Arial"/>
                <w:sz w:val="14"/>
                <w:szCs w:val="14"/>
                <w:color w:val="58595B"/>
              </w:rPr>
              <w:t>Named Executive Officer</w:t>
            </w:r>
          </w:p>
        </w:tc>
        <w:tc>
          <w:tcPr>
            <w:tcW w:w="100" w:type="dxa"/>
            <w:vAlign w:val="bottom"/>
            <w:tcBorders>
              <w:bottom w:val="single" w:sz="8" w:color="EFEDED"/>
            </w:tcBorders>
            <w:shd w:val="clear" w:color="auto" w:fill="EFEDED"/>
          </w:tcPr>
          <w:p>
            <w:pPr>
              <w:spacing w:after="0"/>
              <w:rPr>
                <w:sz w:val="16"/>
                <w:szCs w:val="16"/>
                <w:color w:val="auto"/>
              </w:rPr>
            </w:pPr>
          </w:p>
        </w:tc>
        <w:tc>
          <w:tcPr>
            <w:tcW w:w="1520" w:type="dxa"/>
            <w:vAlign w:val="bottom"/>
            <w:tcBorders>
              <w:bottom w:val="single" w:sz="8" w:color="EFEDED"/>
            </w:tcBorders>
            <w:gridSpan w:val="2"/>
            <w:shd w:val="clear" w:color="auto" w:fill="EFEDED"/>
          </w:tcPr>
          <w:p>
            <w:pPr>
              <w:jc w:val="right"/>
              <w:spacing w:after="0"/>
              <w:rPr>
                <w:sz w:val="20"/>
                <w:szCs w:val="20"/>
                <w:color w:val="auto"/>
              </w:rPr>
            </w:pPr>
            <w:r>
              <w:rPr>
                <w:rFonts w:ascii="Arial" w:cs="Arial" w:eastAsia="Arial" w:hAnsi="Arial"/>
                <w:sz w:val="14"/>
                <w:szCs w:val="14"/>
                <w:color w:val="58595B"/>
              </w:rPr>
              <w:t>a Change In Control)</w:t>
            </w:r>
          </w:p>
        </w:tc>
        <w:tc>
          <w:tcPr>
            <w:tcW w:w="580" w:type="dxa"/>
            <w:vAlign w:val="bottom"/>
            <w:tcBorders>
              <w:bottom w:val="single" w:sz="8" w:color="EFEDED"/>
            </w:tcBorders>
            <w:shd w:val="clear" w:color="auto" w:fill="EFEDED"/>
          </w:tcPr>
          <w:p>
            <w:pPr>
              <w:spacing w:after="0"/>
              <w:rPr>
                <w:sz w:val="16"/>
                <w:szCs w:val="16"/>
                <w:color w:val="auto"/>
              </w:rPr>
            </w:pPr>
          </w:p>
        </w:tc>
        <w:tc>
          <w:tcPr>
            <w:tcW w:w="122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Death</w:t>
            </w:r>
          </w:p>
        </w:tc>
        <w:tc>
          <w:tcPr>
            <w:tcW w:w="600" w:type="dxa"/>
            <w:vAlign w:val="bottom"/>
            <w:tcBorders>
              <w:bottom w:val="single" w:sz="8" w:color="EFEDED"/>
            </w:tcBorders>
            <w:shd w:val="clear" w:color="auto" w:fill="EFEDED"/>
          </w:tcPr>
          <w:p>
            <w:pPr>
              <w:spacing w:after="0"/>
              <w:rPr>
                <w:sz w:val="16"/>
                <w:szCs w:val="16"/>
                <w:color w:val="auto"/>
              </w:rPr>
            </w:pPr>
          </w:p>
        </w:tc>
        <w:tc>
          <w:tcPr>
            <w:tcW w:w="12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Disability</w:t>
            </w:r>
          </w:p>
        </w:tc>
        <w:tc>
          <w:tcPr>
            <w:tcW w:w="140" w:type="dxa"/>
            <w:vAlign w:val="bottom"/>
            <w:tcBorders>
              <w:bottom w:val="single" w:sz="8" w:color="EFEDED"/>
            </w:tcBorders>
            <w:shd w:val="clear" w:color="auto" w:fill="EFEDED"/>
          </w:tcPr>
          <w:p>
            <w:pPr>
              <w:spacing w:after="0"/>
              <w:rPr>
                <w:sz w:val="16"/>
                <w:szCs w:val="16"/>
                <w:color w:val="auto"/>
              </w:rPr>
            </w:pPr>
          </w:p>
        </w:tc>
        <w:tc>
          <w:tcPr>
            <w:tcW w:w="1980" w:type="dxa"/>
            <w:vAlign w:val="bottom"/>
            <w:tcBorders>
              <w:bottom w:val="single" w:sz="8" w:color="EFEDED"/>
            </w:tcBorders>
            <w:shd w:val="clear" w:color="auto" w:fill="EFEDED"/>
          </w:tcPr>
          <w:p>
            <w:pPr>
              <w:jc w:val="right"/>
              <w:ind w:right="88"/>
              <w:spacing w:after="0"/>
              <w:rPr>
                <w:sz w:val="20"/>
                <w:szCs w:val="20"/>
                <w:color w:val="auto"/>
              </w:rPr>
            </w:pPr>
            <w:r>
              <w:rPr>
                <w:rFonts w:ascii="Arial" w:cs="Arial" w:eastAsia="Arial" w:hAnsi="Arial"/>
                <w:sz w:val="14"/>
                <w:szCs w:val="14"/>
                <w:color w:val="58595B"/>
              </w:rPr>
              <w:t>after a Change in Control)</w:t>
            </w:r>
          </w:p>
        </w:tc>
      </w:tr>
      <w:tr>
        <w:trPr>
          <w:trHeight w:val="208"/>
        </w:trPr>
        <w:tc>
          <w:tcPr>
            <w:tcW w:w="3900" w:type="dxa"/>
            <w:vAlign w:val="bottom"/>
          </w:tcPr>
          <w:p>
            <w:pPr>
              <w:ind w:left="140"/>
              <w:spacing w:after="0"/>
              <w:rPr>
                <w:sz w:val="20"/>
                <w:szCs w:val="20"/>
                <w:color w:val="auto"/>
              </w:rPr>
            </w:pPr>
            <w:r>
              <w:rPr>
                <w:rFonts w:ascii="Arial" w:cs="Arial" w:eastAsia="Arial" w:hAnsi="Arial"/>
                <w:sz w:val="14"/>
                <w:szCs w:val="14"/>
                <w:color w:val="58595B"/>
              </w:rPr>
              <w:t>Mojdeh Poul</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9"/>
        </w:trPr>
        <w:tc>
          <w:tcPr>
            <w:tcW w:w="3900" w:type="dxa"/>
            <w:vAlign w:val="bottom"/>
          </w:tcPr>
          <w:p>
            <w:pPr>
              <w:ind w:left="260"/>
              <w:spacing w:after="0"/>
              <w:rPr>
                <w:sz w:val="20"/>
                <w:szCs w:val="20"/>
                <w:color w:val="auto"/>
              </w:rPr>
            </w:pPr>
            <w:r>
              <w:rPr>
                <w:rFonts w:ascii="Arial" w:cs="Arial" w:eastAsia="Arial" w:hAnsi="Arial"/>
                <w:sz w:val="14"/>
                <w:szCs w:val="14"/>
                <w:color w:val="58595B"/>
              </w:rPr>
              <w:t>Cash Severance</w:t>
            </w:r>
          </w:p>
        </w:tc>
        <w:tc>
          <w:tcPr>
            <w:tcW w:w="100" w:type="dxa"/>
            <w:vAlign w:val="bottom"/>
          </w:tcPr>
          <w:p>
            <w:pPr>
              <w:jc w:val="right"/>
              <w:spacing w:after="0"/>
              <w:rPr>
                <w:sz w:val="20"/>
                <w:szCs w:val="20"/>
                <w:color w:val="auto"/>
              </w:rPr>
            </w:pPr>
            <w:r>
              <w:rPr>
                <w:rFonts w:ascii="Arial" w:cs="Arial" w:eastAsia="Arial" w:hAnsi="Arial"/>
                <w:sz w:val="14"/>
                <w:szCs w:val="14"/>
                <w:color w:val="58595B"/>
              </w:rPr>
              <w:t>$</w:t>
            </w:r>
          </w:p>
        </w:tc>
        <w:tc>
          <w:tcPr>
            <w:tcW w:w="1480" w:type="dxa"/>
            <w:vAlign w:val="bottom"/>
          </w:tcPr>
          <w:p>
            <w:pPr>
              <w:jc w:val="right"/>
              <w:spacing w:after="0"/>
              <w:rPr>
                <w:sz w:val="20"/>
                <w:szCs w:val="20"/>
                <w:color w:val="auto"/>
              </w:rPr>
            </w:pPr>
            <w:r>
              <w:rPr>
                <w:rFonts w:ascii="Arial" w:cs="Arial" w:eastAsia="Arial" w:hAnsi="Arial"/>
                <w:sz w:val="14"/>
                <w:szCs w:val="14"/>
                <w:color w:val="58595B"/>
              </w:rPr>
              <w:t>2,100,000</w:t>
            </w:r>
          </w:p>
        </w:tc>
        <w:tc>
          <w:tcPr>
            <w:tcW w:w="40" w:type="dxa"/>
            <w:vAlign w:val="bottom"/>
          </w:tcPr>
          <w:p>
            <w:pPr>
              <w:spacing w:after="0"/>
              <w:rPr>
                <w:sz w:val="19"/>
                <w:szCs w:val="19"/>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58595B"/>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58595B"/>
              </w:rPr>
              <w:t>1,050,000</w:t>
            </w:r>
          </w:p>
        </w:tc>
        <w:tc>
          <w:tcPr>
            <w:tcW w:w="600" w:type="dxa"/>
            <w:vAlign w:val="bottom"/>
          </w:tcPr>
          <w:p>
            <w:pPr>
              <w:jc w:val="right"/>
              <w:ind w:right="448"/>
              <w:spacing w:after="0"/>
              <w:rPr>
                <w:sz w:val="20"/>
                <w:szCs w:val="20"/>
                <w:color w:val="auto"/>
              </w:rPr>
            </w:pPr>
            <w:r>
              <w:rPr>
                <w:rFonts w:ascii="Arial" w:cs="Arial" w:eastAsia="Arial" w:hAnsi="Arial"/>
                <w:sz w:val="14"/>
                <w:szCs w:val="14"/>
                <w:color w:val="58595B"/>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58595B"/>
              </w:rPr>
              <w:t>—</w:t>
            </w:r>
          </w:p>
        </w:tc>
        <w:tc>
          <w:tcPr>
            <w:tcW w:w="140" w:type="dxa"/>
            <w:vAlign w:val="bottom"/>
          </w:tcPr>
          <w:p>
            <w:pPr>
              <w:jc w:val="right"/>
              <w:spacing w:after="0"/>
              <w:rPr>
                <w:sz w:val="20"/>
                <w:szCs w:val="20"/>
                <w:color w:val="auto"/>
              </w:rPr>
            </w:pPr>
            <w:r>
              <w:rPr>
                <w:rFonts w:ascii="Arial" w:cs="Arial" w:eastAsia="Arial" w:hAnsi="Arial"/>
                <w:sz w:val="14"/>
                <w:szCs w:val="14"/>
                <w:color w:val="58595B"/>
              </w:rPr>
              <w:t>$</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7,588,875</w:t>
            </w:r>
          </w:p>
        </w:tc>
      </w:tr>
      <w:tr>
        <w:trPr>
          <w:trHeight w:val="229"/>
        </w:trPr>
        <w:tc>
          <w:tcPr>
            <w:tcW w:w="3900" w:type="dxa"/>
            <w:vAlign w:val="bottom"/>
          </w:tcPr>
          <w:p>
            <w:pPr>
              <w:ind w:left="260"/>
              <w:spacing w:after="0"/>
              <w:rPr>
                <w:sz w:val="20"/>
                <w:szCs w:val="20"/>
                <w:color w:val="auto"/>
              </w:rPr>
            </w:pPr>
            <w:r>
              <w:rPr>
                <w:rFonts w:ascii="Arial" w:cs="Arial" w:eastAsia="Arial" w:hAnsi="Arial"/>
                <w:sz w:val="14"/>
                <w:szCs w:val="14"/>
                <w:color w:val="58595B"/>
              </w:rPr>
              <w:t>Continued Health &amp; Other Benefits(1)</w:t>
            </w:r>
          </w:p>
        </w:tc>
        <w:tc>
          <w:tcPr>
            <w:tcW w:w="100" w:type="dxa"/>
            <w:vAlign w:val="bottom"/>
          </w:tcPr>
          <w:p>
            <w:pPr>
              <w:jc w:val="right"/>
              <w:spacing w:after="0"/>
              <w:rPr>
                <w:sz w:val="20"/>
                <w:szCs w:val="20"/>
                <w:color w:val="auto"/>
              </w:rPr>
            </w:pPr>
            <w:r>
              <w:rPr>
                <w:rFonts w:ascii="Arial" w:cs="Arial" w:eastAsia="Arial" w:hAnsi="Arial"/>
                <w:sz w:val="14"/>
                <w:szCs w:val="14"/>
                <w:color w:val="58595B"/>
              </w:rPr>
              <w:t>$</w:t>
            </w:r>
          </w:p>
        </w:tc>
        <w:tc>
          <w:tcPr>
            <w:tcW w:w="2100" w:type="dxa"/>
            <w:vAlign w:val="bottom"/>
            <w:gridSpan w:val="3"/>
          </w:tcPr>
          <w:p>
            <w:pPr>
              <w:jc w:val="right"/>
              <w:ind w:right="408"/>
              <w:spacing w:after="0"/>
              <w:rPr>
                <w:sz w:val="20"/>
                <w:szCs w:val="20"/>
                <w:color w:val="auto"/>
              </w:rPr>
            </w:pPr>
            <w:r>
              <w:rPr>
                <w:rFonts w:ascii="Arial" w:cs="Arial" w:eastAsia="Arial" w:hAnsi="Arial"/>
                <w:sz w:val="14"/>
                <w:szCs w:val="14"/>
                <w:color w:val="58595B"/>
              </w:rPr>
              <w:t>— $</w:t>
            </w:r>
          </w:p>
        </w:tc>
        <w:tc>
          <w:tcPr>
            <w:tcW w:w="1820" w:type="dxa"/>
            <w:vAlign w:val="bottom"/>
            <w:gridSpan w:val="2"/>
          </w:tcPr>
          <w:p>
            <w:pPr>
              <w:jc w:val="right"/>
              <w:ind w:right="448"/>
              <w:spacing w:after="0"/>
              <w:rPr>
                <w:sz w:val="20"/>
                <w:szCs w:val="20"/>
                <w:color w:val="auto"/>
              </w:rPr>
            </w:pPr>
            <w:r>
              <w:rPr>
                <w:rFonts w:ascii="Arial" w:cs="Arial" w:eastAsia="Arial" w:hAnsi="Arial"/>
                <w:sz w:val="14"/>
                <w:szCs w:val="14"/>
                <w:color w:val="58595B"/>
              </w:rPr>
              <w:t>— $</w:t>
            </w:r>
          </w:p>
        </w:tc>
        <w:tc>
          <w:tcPr>
            <w:tcW w:w="1340" w:type="dxa"/>
            <w:vAlign w:val="bottom"/>
            <w:gridSpan w:val="2"/>
          </w:tcPr>
          <w:p>
            <w:pPr>
              <w:jc w:val="right"/>
              <w:spacing w:after="0"/>
              <w:rPr>
                <w:sz w:val="20"/>
                <w:szCs w:val="20"/>
                <w:color w:val="auto"/>
              </w:rPr>
            </w:pPr>
            <w:r>
              <w:rPr>
                <w:rFonts w:ascii="Arial" w:cs="Arial" w:eastAsia="Arial" w:hAnsi="Arial"/>
                <w:sz w:val="14"/>
                <w:szCs w:val="14"/>
                <w:color w:val="58595B"/>
              </w:rPr>
              <w:t>— $</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w:t>
            </w:r>
          </w:p>
        </w:tc>
      </w:tr>
      <w:tr>
        <w:trPr>
          <w:trHeight w:val="230"/>
        </w:trPr>
        <w:tc>
          <w:tcPr>
            <w:tcW w:w="3900" w:type="dxa"/>
            <w:vAlign w:val="bottom"/>
          </w:tcPr>
          <w:p>
            <w:pPr>
              <w:ind w:left="260"/>
              <w:spacing w:after="0"/>
              <w:rPr>
                <w:sz w:val="20"/>
                <w:szCs w:val="20"/>
                <w:color w:val="auto"/>
              </w:rPr>
            </w:pPr>
            <w:r>
              <w:rPr>
                <w:rFonts w:ascii="Arial" w:cs="Arial" w:eastAsia="Arial" w:hAnsi="Arial"/>
                <w:sz w:val="14"/>
                <w:szCs w:val="14"/>
                <w:color w:val="58595B"/>
              </w:rPr>
              <w:t>Acceleration of Stock Options</w:t>
            </w:r>
          </w:p>
        </w:tc>
        <w:tc>
          <w:tcPr>
            <w:tcW w:w="100" w:type="dxa"/>
            <w:vAlign w:val="bottom"/>
          </w:tcPr>
          <w:p>
            <w:pPr>
              <w:jc w:val="right"/>
              <w:spacing w:after="0"/>
              <w:rPr>
                <w:sz w:val="20"/>
                <w:szCs w:val="20"/>
                <w:color w:val="auto"/>
              </w:rPr>
            </w:pPr>
            <w:r>
              <w:rPr>
                <w:rFonts w:ascii="Arial" w:cs="Arial" w:eastAsia="Arial" w:hAnsi="Arial"/>
                <w:sz w:val="14"/>
                <w:szCs w:val="14"/>
                <w:color w:val="58595B"/>
              </w:rPr>
              <w:t>$</w:t>
            </w:r>
          </w:p>
        </w:tc>
        <w:tc>
          <w:tcPr>
            <w:tcW w:w="2100" w:type="dxa"/>
            <w:vAlign w:val="bottom"/>
            <w:gridSpan w:val="3"/>
          </w:tcPr>
          <w:p>
            <w:pPr>
              <w:jc w:val="right"/>
              <w:ind w:right="408"/>
              <w:spacing w:after="0"/>
              <w:rPr>
                <w:sz w:val="20"/>
                <w:szCs w:val="20"/>
                <w:color w:val="auto"/>
              </w:rPr>
            </w:pPr>
            <w:r>
              <w:rPr>
                <w:rFonts w:ascii="Arial" w:cs="Arial" w:eastAsia="Arial" w:hAnsi="Arial"/>
                <w:sz w:val="14"/>
                <w:szCs w:val="14"/>
                <w:color w:val="58595B"/>
              </w:rPr>
              <w:t>— $</w:t>
            </w:r>
          </w:p>
        </w:tc>
        <w:tc>
          <w:tcPr>
            <w:tcW w:w="1820" w:type="dxa"/>
            <w:vAlign w:val="bottom"/>
            <w:gridSpan w:val="2"/>
          </w:tcPr>
          <w:p>
            <w:pPr>
              <w:jc w:val="right"/>
              <w:ind w:right="448"/>
              <w:spacing w:after="0"/>
              <w:rPr>
                <w:sz w:val="20"/>
                <w:szCs w:val="20"/>
                <w:color w:val="auto"/>
              </w:rPr>
            </w:pPr>
            <w:r>
              <w:rPr>
                <w:rFonts w:ascii="Arial" w:cs="Arial" w:eastAsia="Arial" w:hAnsi="Arial"/>
                <w:sz w:val="14"/>
                <w:szCs w:val="14"/>
                <w:color w:val="58595B"/>
              </w:rPr>
              <w:t>— $</w:t>
            </w:r>
          </w:p>
        </w:tc>
        <w:tc>
          <w:tcPr>
            <w:tcW w:w="1340" w:type="dxa"/>
            <w:vAlign w:val="bottom"/>
            <w:gridSpan w:val="2"/>
          </w:tcPr>
          <w:p>
            <w:pPr>
              <w:jc w:val="right"/>
              <w:spacing w:after="0"/>
              <w:rPr>
                <w:sz w:val="20"/>
                <w:szCs w:val="20"/>
                <w:color w:val="auto"/>
              </w:rPr>
            </w:pPr>
            <w:r>
              <w:rPr>
                <w:rFonts w:ascii="Arial" w:cs="Arial" w:eastAsia="Arial" w:hAnsi="Arial"/>
                <w:sz w:val="14"/>
                <w:szCs w:val="14"/>
                <w:color w:val="58595B"/>
              </w:rPr>
              <w:t>— $</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w:t>
            </w:r>
          </w:p>
        </w:tc>
      </w:tr>
      <w:tr>
        <w:trPr>
          <w:trHeight w:val="229"/>
        </w:trPr>
        <w:tc>
          <w:tcPr>
            <w:tcW w:w="3900" w:type="dxa"/>
            <w:vAlign w:val="bottom"/>
          </w:tcPr>
          <w:p>
            <w:pPr>
              <w:ind w:left="260"/>
              <w:spacing w:after="0"/>
              <w:rPr>
                <w:sz w:val="20"/>
                <w:szCs w:val="20"/>
                <w:color w:val="auto"/>
              </w:rPr>
            </w:pPr>
            <w:r>
              <w:rPr>
                <w:rFonts w:ascii="Arial" w:cs="Arial" w:eastAsia="Arial" w:hAnsi="Arial"/>
                <w:sz w:val="14"/>
                <w:szCs w:val="14"/>
                <w:color w:val="58595B"/>
              </w:rPr>
              <w:t>Acceleration of Other Grants</w:t>
            </w:r>
          </w:p>
        </w:tc>
        <w:tc>
          <w:tcPr>
            <w:tcW w:w="100" w:type="dxa"/>
            <w:vAlign w:val="bottom"/>
          </w:tcPr>
          <w:p>
            <w:pPr>
              <w:jc w:val="right"/>
              <w:spacing w:after="0"/>
              <w:rPr>
                <w:sz w:val="20"/>
                <w:szCs w:val="20"/>
                <w:color w:val="auto"/>
              </w:rPr>
            </w:pPr>
            <w:r>
              <w:rPr>
                <w:rFonts w:ascii="Arial" w:cs="Arial" w:eastAsia="Arial" w:hAnsi="Arial"/>
                <w:sz w:val="14"/>
                <w:szCs w:val="14"/>
                <w:color w:val="58595B"/>
              </w:rPr>
              <w:t>$</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58595B"/>
              </w:rPr>
              <w:t>—</w:t>
            </w:r>
          </w:p>
        </w:tc>
        <w:tc>
          <w:tcPr>
            <w:tcW w:w="580" w:type="dxa"/>
            <w:vAlign w:val="bottom"/>
          </w:tcPr>
          <w:p>
            <w:pPr>
              <w:jc w:val="right"/>
              <w:ind w:right="408"/>
              <w:spacing w:after="0"/>
              <w:rPr>
                <w:sz w:val="20"/>
                <w:szCs w:val="20"/>
                <w:color w:val="auto"/>
              </w:rPr>
            </w:pPr>
            <w:r>
              <w:rPr>
                <w:rFonts w:ascii="Arial" w:cs="Arial" w:eastAsia="Arial" w:hAnsi="Arial"/>
                <w:sz w:val="14"/>
                <w:szCs w:val="14"/>
                <w:color w:val="58595B"/>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58595B"/>
              </w:rPr>
              <w:t>1,270,541</w:t>
            </w:r>
          </w:p>
        </w:tc>
        <w:tc>
          <w:tcPr>
            <w:tcW w:w="600" w:type="dxa"/>
            <w:vAlign w:val="bottom"/>
          </w:tcPr>
          <w:p>
            <w:pPr>
              <w:jc w:val="right"/>
              <w:ind w:right="448"/>
              <w:spacing w:after="0"/>
              <w:rPr>
                <w:sz w:val="20"/>
                <w:szCs w:val="20"/>
                <w:color w:val="auto"/>
              </w:rPr>
            </w:pPr>
            <w:r>
              <w:rPr>
                <w:rFonts w:ascii="Arial" w:cs="Arial" w:eastAsia="Arial" w:hAnsi="Arial"/>
                <w:sz w:val="14"/>
                <w:szCs w:val="14"/>
                <w:color w:val="58595B"/>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58595B"/>
              </w:rPr>
              <w:t>1,270,541</w:t>
            </w:r>
          </w:p>
        </w:tc>
        <w:tc>
          <w:tcPr>
            <w:tcW w:w="140" w:type="dxa"/>
            <w:vAlign w:val="bottom"/>
          </w:tcPr>
          <w:p>
            <w:pPr>
              <w:jc w:val="right"/>
              <w:spacing w:after="0"/>
              <w:rPr>
                <w:sz w:val="20"/>
                <w:szCs w:val="20"/>
                <w:color w:val="auto"/>
              </w:rPr>
            </w:pPr>
            <w:r>
              <w:rPr>
                <w:rFonts w:ascii="Arial" w:cs="Arial" w:eastAsia="Arial" w:hAnsi="Arial"/>
                <w:sz w:val="14"/>
                <w:szCs w:val="14"/>
                <w:color w:val="58595B"/>
              </w:rPr>
              <w:t>$</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2,826,295</w:t>
            </w:r>
          </w:p>
        </w:tc>
      </w:tr>
      <w:tr>
        <w:trPr>
          <w:trHeight w:val="229"/>
        </w:trPr>
        <w:tc>
          <w:tcPr>
            <w:tcW w:w="3900" w:type="dxa"/>
            <w:vAlign w:val="bottom"/>
          </w:tcPr>
          <w:p>
            <w:pPr>
              <w:ind w:left="260"/>
              <w:spacing w:after="0"/>
              <w:rPr>
                <w:sz w:val="20"/>
                <w:szCs w:val="20"/>
                <w:color w:val="auto"/>
              </w:rPr>
            </w:pPr>
            <w:r>
              <w:rPr>
                <w:rFonts w:ascii="Arial" w:cs="Arial" w:eastAsia="Arial" w:hAnsi="Arial"/>
                <w:sz w:val="14"/>
                <w:szCs w:val="14"/>
                <w:color w:val="58595B"/>
              </w:rPr>
              <w:t>Total</w:t>
            </w:r>
          </w:p>
        </w:tc>
        <w:tc>
          <w:tcPr>
            <w:tcW w:w="100" w:type="dxa"/>
            <w:vAlign w:val="bottom"/>
          </w:tcPr>
          <w:p>
            <w:pPr>
              <w:jc w:val="right"/>
              <w:spacing w:after="0"/>
              <w:rPr>
                <w:sz w:val="20"/>
                <w:szCs w:val="20"/>
                <w:color w:val="auto"/>
              </w:rPr>
            </w:pPr>
            <w:r>
              <w:rPr>
                <w:rFonts w:ascii="Arial" w:cs="Arial" w:eastAsia="Arial" w:hAnsi="Arial"/>
                <w:sz w:val="14"/>
                <w:szCs w:val="14"/>
                <w:color w:val="58595B"/>
              </w:rPr>
              <w:t>$</w:t>
            </w:r>
          </w:p>
        </w:tc>
        <w:tc>
          <w:tcPr>
            <w:tcW w:w="1480" w:type="dxa"/>
            <w:vAlign w:val="bottom"/>
          </w:tcPr>
          <w:p>
            <w:pPr>
              <w:jc w:val="right"/>
              <w:spacing w:after="0"/>
              <w:rPr>
                <w:sz w:val="20"/>
                <w:szCs w:val="20"/>
                <w:color w:val="auto"/>
              </w:rPr>
            </w:pPr>
            <w:r>
              <w:rPr>
                <w:rFonts w:ascii="Arial" w:cs="Arial" w:eastAsia="Arial" w:hAnsi="Arial"/>
                <w:sz w:val="14"/>
                <w:szCs w:val="14"/>
                <w:color w:val="58595B"/>
              </w:rPr>
              <w:t>2,100,000</w:t>
            </w:r>
          </w:p>
        </w:tc>
        <w:tc>
          <w:tcPr>
            <w:tcW w:w="40" w:type="dxa"/>
            <w:vAlign w:val="bottom"/>
          </w:tcPr>
          <w:p>
            <w:pPr>
              <w:spacing w:after="0"/>
              <w:rPr>
                <w:sz w:val="19"/>
                <w:szCs w:val="19"/>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58595B"/>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58595B"/>
              </w:rPr>
              <w:t>2,320,541</w:t>
            </w:r>
          </w:p>
        </w:tc>
        <w:tc>
          <w:tcPr>
            <w:tcW w:w="600" w:type="dxa"/>
            <w:vAlign w:val="bottom"/>
          </w:tcPr>
          <w:p>
            <w:pPr>
              <w:jc w:val="right"/>
              <w:ind w:right="448"/>
              <w:spacing w:after="0"/>
              <w:rPr>
                <w:sz w:val="20"/>
                <w:szCs w:val="20"/>
                <w:color w:val="auto"/>
              </w:rPr>
            </w:pPr>
            <w:r>
              <w:rPr>
                <w:rFonts w:ascii="Arial" w:cs="Arial" w:eastAsia="Arial" w:hAnsi="Arial"/>
                <w:sz w:val="14"/>
                <w:szCs w:val="14"/>
                <w:color w:val="58595B"/>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58595B"/>
              </w:rPr>
              <w:t>1,270,541</w:t>
            </w:r>
          </w:p>
        </w:tc>
        <w:tc>
          <w:tcPr>
            <w:tcW w:w="140" w:type="dxa"/>
            <w:vAlign w:val="bottom"/>
          </w:tcPr>
          <w:p>
            <w:pPr>
              <w:jc w:val="right"/>
              <w:spacing w:after="0"/>
              <w:rPr>
                <w:sz w:val="20"/>
                <w:szCs w:val="20"/>
                <w:color w:val="auto"/>
              </w:rPr>
            </w:pPr>
            <w:r>
              <w:rPr>
                <w:rFonts w:ascii="Arial" w:cs="Arial" w:eastAsia="Arial" w:hAnsi="Arial"/>
                <w:sz w:val="14"/>
                <w:szCs w:val="14"/>
                <w:color w:val="58595B"/>
              </w:rPr>
              <w:t>$</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10,415,170</w:t>
            </w:r>
          </w:p>
        </w:tc>
      </w:tr>
      <w:tr>
        <w:trPr>
          <w:trHeight w:val="22"/>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8"/>
        </w:trPr>
        <w:tc>
          <w:tcPr>
            <w:tcW w:w="3900" w:type="dxa"/>
            <w:vAlign w:val="bottom"/>
            <w:shd w:val="clear" w:color="auto" w:fill="EFEDED"/>
          </w:tcPr>
          <w:p>
            <w:pPr>
              <w:ind w:left="140"/>
              <w:spacing w:after="0"/>
              <w:rPr>
                <w:sz w:val="20"/>
                <w:szCs w:val="20"/>
                <w:color w:val="auto"/>
              </w:rPr>
            </w:pPr>
            <w:r>
              <w:rPr>
                <w:rFonts w:ascii="Arial" w:cs="Arial" w:eastAsia="Arial" w:hAnsi="Arial"/>
                <w:sz w:val="14"/>
                <w:szCs w:val="14"/>
                <w:color w:val="58595B"/>
              </w:rPr>
              <w:t>Lea Knight</w:t>
            </w:r>
          </w:p>
        </w:tc>
        <w:tc>
          <w:tcPr>
            <w:tcW w:w="100" w:type="dxa"/>
            <w:vAlign w:val="bottom"/>
            <w:shd w:val="clear" w:color="auto" w:fill="EFEDED"/>
          </w:tcPr>
          <w:p>
            <w:pPr>
              <w:spacing w:after="0"/>
              <w:rPr>
                <w:sz w:val="18"/>
                <w:szCs w:val="18"/>
                <w:color w:val="auto"/>
              </w:rPr>
            </w:pPr>
          </w:p>
        </w:tc>
        <w:tc>
          <w:tcPr>
            <w:tcW w:w="1480" w:type="dxa"/>
            <w:vAlign w:val="bottom"/>
            <w:shd w:val="clear" w:color="auto" w:fill="EFEDED"/>
          </w:tcPr>
          <w:p>
            <w:pPr>
              <w:spacing w:after="0"/>
              <w:rPr>
                <w:sz w:val="18"/>
                <w:szCs w:val="18"/>
                <w:color w:val="auto"/>
              </w:rPr>
            </w:pPr>
          </w:p>
        </w:tc>
        <w:tc>
          <w:tcPr>
            <w:tcW w:w="40" w:type="dxa"/>
            <w:vAlign w:val="bottom"/>
            <w:shd w:val="clear" w:color="auto" w:fill="EFEDED"/>
          </w:tcPr>
          <w:p>
            <w:pPr>
              <w:spacing w:after="0"/>
              <w:rPr>
                <w:sz w:val="18"/>
                <w:szCs w:val="18"/>
                <w:color w:val="auto"/>
              </w:rPr>
            </w:pPr>
          </w:p>
        </w:tc>
        <w:tc>
          <w:tcPr>
            <w:tcW w:w="580" w:type="dxa"/>
            <w:vAlign w:val="bottom"/>
            <w:shd w:val="clear" w:color="auto" w:fill="EFEDED"/>
          </w:tcPr>
          <w:p>
            <w:pPr>
              <w:spacing w:after="0"/>
              <w:rPr>
                <w:sz w:val="18"/>
                <w:szCs w:val="18"/>
                <w:color w:val="auto"/>
              </w:rPr>
            </w:pPr>
          </w:p>
        </w:tc>
        <w:tc>
          <w:tcPr>
            <w:tcW w:w="1220" w:type="dxa"/>
            <w:vAlign w:val="bottom"/>
            <w:shd w:val="clear" w:color="auto" w:fill="EFEDED"/>
          </w:tcPr>
          <w:p>
            <w:pPr>
              <w:spacing w:after="0"/>
              <w:rPr>
                <w:sz w:val="18"/>
                <w:szCs w:val="18"/>
                <w:color w:val="auto"/>
              </w:rPr>
            </w:pPr>
          </w:p>
        </w:tc>
        <w:tc>
          <w:tcPr>
            <w:tcW w:w="600" w:type="dxa"/>
            <w:vAlign w:val="bottom"/>
            <w:shd w:val="clear" w:color="auto" w:fill="EFEDED"/>
          </w:tcPr>
          <w:p>
            <w:pPr>
              <w:spacing w:after="0"/>
              <w:rPr>
                <w:sz w:val="18"/>
                <w:szCs w:val="18"/>
                <w:color w:val="auto"/>
              </w:rPr>
            </w:pPr>
          </w:p>
        </w:tc>
        <w:tc>
          <w:tcPr>
            <w:tcW w:w="1200" w:type="dxa"/>
            <w:vAlign w:val="bottom"/>
            <w:shd w:val="clear" w:color="auto" w:fill="EFEDED"/>
          </w:tcPr>
          <w:p>
            <w:pPr>
              <w:spacing w:after="0"/>
              <w:rPr>
                <w:sz w:val="18"/>
                <w:szCs w:val="18"/>
                <w:color w:val="auto"/>
              </w:rPr>
            </w:pPr>
          </w:p>
        </w:tc>
        <w:tc>
          <w:tcPr>
            <w:tcW w:w="140" w:type="dxa"/>
            <w:vAlign w:val="bottom"/>
            <w:shd w:val="clear" w:color="auto" w:fill="EFEDED"/>
          </w:tcPr>
          <w:p>
            <w:pPr>
              <w:spacing w:after="0"/>
              <w:rPr>
                <w:sz w:val="18"/>
                <w:szCs w:val="18"/>
                <w:color w:val="auto"/>
              </w:rPr>
            </w:pPr>
          </w:p>
        </w:tc>
        <w:tc>
          <w:tcPr>
            <w:tcW w:w="1980" w:type="dxa"/>
            <w:vAlign w:val="bottom"/>
            <w:shd w:val="clear" w:color="auto" w:fill="EFEDED"/>
          </w:tcPr>
          <w:p>
            <w:pPr>
              <w:spacing w:after="0"/>
              <w:rPr>
                <w:sz w:val="18"/>
                <w:szCs w:val="18"/>
                <w:color w:val="auto"/>
              </w:rPr>
            </w:pPr>
          </w:p>
        </w:tc>
      </w:tr>
      <w:tr>
        <w:trPr>
          <w:trHeight w:val="229"/>
        </w:trPr>
        <w:tc>
          <w:tcPr>
            <w:tcW w:w="3900" w:type="dxa"/>
            <w:vAlign w:val="bottom"/>
            <w:shd w:val="clear" w:color="auto" w:fill="EFEDED"/>
          </w:tcPr>
          <w:p>
            <w:pPr>
              <w:ind w:left="260"/>
              <w:spacing w:after="0"/>
              <w:rPr>
                <w:sz w:val="20"/>
                <w:szCs w:val="20"/>
                <w:color w:val="auto"/>
              </w:rPr>
            </w:pPr>
            <w:r>
              <w:rPr>
                <w:rFonts w:ascii="Arial" w:cs="Arial" w:eastAsia="Arial" w:hAnsi="Arial"/>
                <w:sz w:val="14"/>
                <w:szCs w:val="14"/>
                <w:color w:val="58595B"/>
              </w:rPr>
              <w:t>Cash Severance</w:t>
            </w:r>
          </w:p>
        </w:tc>
        <w:tc>
          <w:tcPr>
            <w:tcW w:w="1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2100" w:type="dxa"/>
            <w:vAlign w:val="bottom"/>
            <w:gridSpan w:val="3"/>
            <w:shd w:val="clear" w:color="auto" w:fill="EFEDED"/>
          </w:tcPr>
          <w:p>
            <w:pPr>
              <w:jc w:val="right"/>
              <w:ind w:right="408"/>
              <w:spacing w:after="0"/>
              <w:rPr>
                <w:sz w:val="20"/>
                <w:szCs w:val="20"/>
                <w:color w:val="auto"/>
              </w:rPr>
            </w:pPr>
            <w:r>
              <w:rPr>
                <w:rFonts w:ascii="Arial" w:cs="Arial" w:eastAsia="Arial" w:hAnsi="Arial"/>
                <w:sz w:val="14"/>
                <w:szCs w:val="14"/>
                <w:color w:val="58595B"/>
              </w:rPr>
              <w:t>— $</w:t>
            </w:r>
          </w:p>
        </w:tc>
        <w:tc>
          <w:tcPr>
            <w:tcW w:w="1820" w:type="dxa"/>
            <w:vAlign w:val="bottom"/>
            <w:gridSpan w:val="2"/>
            <w:shd w:val="clear" w:color="auto" w:fill="EFEDED"/>
          </w:tcPr>
          <w:p>
            <w:pPr>
              <w:jc w:val="right"/>
              <w:ind w:right="448"/>
              <w:spacing w:after="0"/>
              <w:rPr>
                <w:sz w:val="20"/>
                <w:szCs w:val="20"/>
                <w:color w:val="auto"/>
              </w:rPr>
            </w:pPr>
            <w:r>
              <w:rPr>
                <w:rFonts w:ascii="Arial" w:cs="Arial" w:eastAsia="Arial" w:hAnsi="Arial"/>
                <w:sz w:val="14"/>
                <w:szCs w:val="14"/>
                <w:color w:val="58595B"/>
              </w:rPr>
              <w:t>— $</w:t>
            </w:r>
          </w:p>
        </w:tc>
        <w:tc>
          <w:tcPr>
            <w:tcW w:w="1340" w:type="dxa"/>
            <w:vAlign w:val="bottom"/>
            <w:gridSpan w:val="2"/>
            <w:shd w:val="clear" w:color="auto" w:fill="EFEDED"/>
          </w:tcPr>
          <w:p>
            <w:pPr>
              <w:jc w:val="right"/>
              <w:spacing w:after="0"/>
              <w:rPr>
                <w:sz w:val="20"/>
                <w:szCs w:val="20"/>
                <w:color w:val="auto"/>
              </w:rPr>
            </w:pPr>
            <w:r>
              <w:rPr>
                <w:rFonts w:ascii="Arial" w:cs="Arial" w:eastAsia="Arial" w:hAnsi="Arial"/>
                <w:sz w:val="14"/>
                <w:szCs w:val="14"/>
                <w:color w:val="58595B"/>
              </w:rPr>
              <w:t>— $</w:t>
            </w:r>
          </w:p>
        </w:tc>
        <w:tc>
          <w:tcPr>
            <w:tcW w:w="1980" w:type="dxa"/>
            <w:vAlign w:val="bottom"/>
            <w:shd w:val="clear" w:color="auto" w:fill="EFEDED"/>
          </w:tcPr>
          <w:p>
            <w:pPr>
              <w:jc w:val="right"/>
              <w:ind w:right="128"/>
              <w:spacing w:after="0"/>
              <w:rPr>
                <w:sz w:val="20"/>
                <w:szCs w:val="20"/>
                <w:color w:val="auto"/>
              </w:rPr>
            </w:pPr>
            <w:r>
              <w:rPr>
                <w:rFonts w:ascii="Arial" w:cs="Arial" w:eastAsia="Arial" w:hAnsi="Arial"/>
                <w:sz w:val="14"/>
                <w:szCs w:val="14"/>
                <w:color w:val="58595B"/>
              </w:rPr>
              <w:t>3,029,611</w:t>
            </w:r>
          </w:p>
        </w:tc>
      </w:tr>
      <w:tr>
        <w:trPr>
          <w:trHeight w:val="230"/>
        </w:trPr>
        <w:tc>
          <w:tcPr>
            <w:tcW w:w="3900" w:type="dxa"/>
            <w:vAlign w:val="bottom"/>
            <w:shd w:val="clear" w:color="auto" w:fill="EFEDED"/>
          </w:tcPr>
          <w:p>
            <w:pPr>
              <w:ind w:left="260"/>
              <w:spacing w:after="0"/>
              <w:rPr>
                <w:sz w:val="20"/>
                <w:szCs w:val="20"/>
                <w:color w:val="auto"/>
              </w:rPr>
            </w:pPr>
            <w:r>
              <w:rPr>
                <w:rFonts w:ascii="Arial" w:cs="Arial" w:eastAsia="Arial" w:hAnsi="Arial"/>
                <w:sz w:val="14"/>
                <w:szCs w:val="14"/>
                <w:color w:val="58595B"/>
              </w:rPr>
              <w:t>Continued Health &amp; Other Benefits(1)</w:t>
            </w:r>
          </w:p>
        </w:tc>
        <w:tc>
          <w:tcPr>
            <w:tcW w:w="1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2100" w:type="dxa"/>
            <w:vAlign w:val="bottom"/>
            <w:gridSpan w:val="3"/>
            <w:shd w:val="clear" w:color="auto" w:fill="EFEDED"/>
          </w:tcPr>
          <w:p>
            <w:pPr>
              <w:jc w:val="right"/>
              <w:ind w:right="408"/>
              <w:spacing w:after="0"/>
              <w:rPr>
                <w:sz w:val="20"/>
                <w:szCs w:val="20"/>
                <w:color w:val="auto"/>
              </w:rPr>
            </w:pPr>
            <w:r>
              <w:rPr>
                <w:rFonts w:ascii="Arial" w:cs="Arial" w:eastAsia="Arial" w:hAnsi="Arial"/>
                <w:sz w:val="14"/>
                <w:szCs w:val="14"/>
                <w:color w:val="58595B"/>
              </w:rPr>
              <w:t>— $</w:t>
            </w:r>
          </w:p>
        </w:tc>
        <w:tc>
          <w:tcPr>
            <w:tcW w:w="1820" w:type="dxa"/>
            <w:vAlign w:val="bottom"/>
            <w:gridSpan w:val="2"/>
            <w:shd w:val="clear" w:color="auto" w:fill="EFEDED"/>
          </w:tcPr>
          <w:p>
            <w:pPr>
              <w:jc w:val="right"/>
              <w:ind w:right="448"/>
              <w:spacing w:after="0"/>
              <w:rPr>
                <w:sz w:val="20"/>
                <w:szCs w:val="20"/>
                <w:color w:val="auto"/>
              </w:rPr>
            </w:pPr>
            <w:r>
              <w:rPr>
                <w:rFonts w:ascii="Arial" w:cs="Arial" w:eastAsia="Arial" w:hAnsi="Arial"/>
                <w:sz w:val="14"/>
                <w:szCs w:val="14"/>
                <w:color w:val="58595B"/>
              </w:rPr>
              <w:t>— $</w:t>
            </w:r>
          </w:p>
        </w:tc>
        <w:tc>
          <w:tcPr>
            <w:tcW w:w="1340" w:type="dxa"/>
            <w:vAlign w:val="bottom"/>
            <w:gridSpan w:val="2"/>
            <w:shd w:val="clear" w:color="auto" w:fill="EFEDED"/>
          </w:tcPr>
          <w:p>
            <w:pPr>
              <w:jc w:val="right"/>
              <w:spacing w:after="0"/>
              <w:rPr>
                <w:sz w:val="20"/>
                <w:szCs w:val="20"/>
                <w:color w:val="auto"/>
              </w:rPr>
            </w:pPr>
            <w:r>
              <w:rPr>
                <w:rFonts w:ascii="Arial" w:cs="Arial" w:eastAsia="Arial" w:hAnsi="Arial"/>
                <w:sz w:val="14"/>
                <w:szCs w:val="14"/>
                <w:color w:val="58595B"/>
              </w:rPr>
              <w:t>— $</w:t>
            </w:r>
          </w:p>
        </w:tc>
        <w:tc>
          <w:tcPr>
            <w:tcW w:w="1980" w:type="dxa"/>
            <w:vAlign w:val="bottom"/>
            <w:shd w:val="clear" w:color="auto" w:fill="EFEDED"/>
          </w:tcPr>
          <w:p>
            <w:pPr>
              <w:jc w:val="right"/>
              <w:ind w:right="128"/>
              <w:spacing w:after="0"/>
              <w:rPr>
                <w:sz w:val="20"/>
                <w:szCs w:val="20"/>
                <w:color w:val="auto"/>
              </w:rPr>
            </w:pPr>
            <w:r>
              <w:rPr>
                <w:rFonts w:ascii="Arial" w:cs="Arial" w:eastAsia="Arial" w:hAnsi="Arial"/>
                <w:sz w:val="14"/>
                <w:szCs w:val="14"/>
                <w:color w:val="58595B"/>
              </w:rPr>
              <w:t>—</w:t>
            </w:r>
          </w:p>
        </w:tc>
      </w:tr>
      <w:tr>
        <w:trPr>
          <w:trHeight w:val="229"/>
        </w:trPr>
        <w:tc>
          <w:tcPr>
            <w:tcW w:w="3900" w:type="dxa"/>
            <w:vAlign w:val="bottom"/>
            <w:shd w:val="clear" w:color="auto" w:fill="EFEDED"/>
          </w:tcPr>
          <w:p>
            <w:pPr>
              <w:ind w:left="260"/>
              <w:spacing w:after="0"/>
              <w:rPr>
                <w:sz w:val="20"/>
                <w:szCs w:val="20"/>
                <w:color w:val="auto"/>
              </w:rPr>
            </w:pPr>
            <w:r>
              <w:rPr>
                <w:rFonts w:ascii="Arial" w:cs="Arial" w:eastAsia="Arial" w:hAnsi="Arial"/>
                <w:sz w:val="14"/>
                <w:szCs w:val="14"/>
                <w:color w:val="58595B"/>
              </w:rPr>
              <w:t>Acceleration of Stock Options</w:t>
            </w:r>
          </w:p>
        </w:tc>
        <w:tc>
          <w:tcPr>
            <w:tcW w:w="1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48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620" w:type="dxa"/>
            <w:vAlign w:val="bottom"/>
            <w:gridSpan w:val="2"/>
            <w:shd w:val="clear" w:color="auto" w:fill="EFEDED"/>
          </w:tcPr>
          <w:p>
            <w:pPr>
              <w:jc w:val="right"/>
              <w:ind w:right="408"/>
              <w:spacing w:after="0"/>
              <w:rPr>
                <w:sz w:val="20"/>
                <w:szCs w:val="20"/>
                <w:color w:val="auto"/>
              </w:rPr>
            </w:pPr>
            <w:r>
              <w:rPr>
                <w:rFonts w:ascii="Arial" w:cs="Arial" w:eastAsia="Arial" w:hAnsi="Arial"/>
                <w:sz w:val="14"/>
                <w:szCs w:val="14"/>
                <w:color w:val="58595B"/>
              </w:rPr>
              <w:t>$</w:t>
            </w:r>
          </w:p>
        </w:tc>
        <w:tc>
          <w:tcPr>
            <w:tcW w:w="1820" w:type="dxa"/>
            <w:vAlign w:val="bottom"/>
            <w:gridSpan w:val="2"/>
            <w:shd w:val="clear" w:color="auto" w:fill="EFEDED"/>
          </w:tcPr>
          <w:p>
            <w:pPr>
              <w:jc w:val="right"/>
              <w:ind w:right="448"/>
              <w:spacing w:after="0"/>
              <w:rPr>
                <w:sz w:val="20"/>
                <w:szCs w:val="20"/>
                <w:color w:val="auto"/>
              </w:rPr>
            </w:pPr>
            <w:r>
              <w:rPr>
                <w:rFonts w:ascii="Arial" w:cs="Arial" w:eastAsia="Arial" w:hAnsi="Arial"/>
                <w:sz w:val="14"/>
                <w:szCs w:val="14"/>
                <w:color w:val="58595B"/>
              </w:rPr>
              <w:t>— $</w:t>
            </w:r>
          </w:p>
        </w:tc>
        <w:tc>
          <w:tcPr>
            <w:tcW w:w="1340" w:type="dxa"/>
            <w:vAlign w:val="bottom"/>
            <w:gridSpan w:val="2"/>
            <w:shd w:val="clear" w:color="auto" w:fill="EFEDED"/>
          </w:tcPr>
          <w:p>
            <w:pPr>
              <w:jc w:val="right"/>
              <w:spacing w:after="0"/>
              <w:rPr>
                <w:sz w:val="20"/>
                <w:szCs w:val="20"/>
                <w:color w:val="auto"/>
              </w:rPr>
            </w:pPr>
            <w:r>
              <w:rPr>
                <w:rFonts w:ascii="Arial" w:cs="Arial" w:eastAsia="Arial" w:hAnsi="Arial"/>
                <w:sz w:val="14"/>
                <w:szCs w:val="14"/>
                <w:color w:val="58595B"/>
              </w:rPr>
              <w:t>— $</w:t>
            </w:r>
          </w:p>
        </w:tc>
        <w:tc>
          <w:tcPr>
            <w:tcW w:w="1980" w:type="dxa"/>
            <w:vAlign w:val="bottom"/>
            <w:shd w:val="clear" w:color="auto" w:fill="EFEDED"/>
          </w:tcPr>
          <w:p>
            <w:pPr>
              <w:jc w:val="right"/>
              <w:ind w:right="128"/>
              <w:spacing w:after="0"/>
              <w:rPr>
                <w:sz w:val="20"/>
                <w:szCs w:val="20"/>
                <w:color w:val="auto"/>
              </w:rPr>
            </w:pPr>
            <w:r>
              <w:rPr>
                <w:rFonts w:ascii="Arial" w:cs="Arial" w:eastAsia="Arial" w:hAnsi="Arial"/>
                <w:sz w:val="14"/>
                <w:szCs w:val="14"/>
                <w:color w:val="58595B"/>
              </w:rPr>
              <w:t>—</w:t>
            </w:r>
          </w:p>
        </w:tc>
      </w:tr>
      <w:tr>
        <w:trPr>
          <w:trHeight w:val="229"/>
        </w:trPr>
        <w:tc>
          <w:tcPr>
            <w:tcW w:w="3900" w:type="dxa"/>
            <w:vAlign w:val="bottom"/>
            <w:shd w:val="clear" w:color="auto" w:fill="EFEDED"/>
          </w:tcPr>
          <w:p>
            <w:pPr>
              <w:ind w:left="260"/>
              <w:spacing w:after="0"/>
              <w:rPr>
                <w:sz w:val="20"/>
                <w:szCs w:val="20"/>
                <w:color w:val="auto"/>
              </w:rPr>
            </w:pPr>
            <w:r>
              <w:rPr>
                <w:rFonts w:ascii="Arial" w:cs="Arial" w:eastAsia="Arial" w:hAnsi="Arial"/>
                <w:sz w:val="14"/>
                <w:szCs w:val="14"/>
                <w:color w:val="58595B"/>
              </w:rPr>
              <w:t>Acceleration of Other Grants</w:t>
            </w:r>
          </w:p>
        </w:tc>
        <w:tc>
          <w:tcPr>
            <w:tcW w:w="1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48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40" w:type="dxa"/>
            <w:vAlign w:val="bottom"/>
            <w:shd w:val="clear" w:color="auto" w:fill="EFEDED"/>
          </w:tcPr>
          <w:p>
            <w:pPr>
              <w:spacing w:after="0"/>
              <w:rPr>
                <w:sz w:val="19"/>
                <w:szCs w:val="19"/>
                <w:color w:val="auto"/>
              </w:rPr>
            </w:pPr>
          </w:p>
        </w:tc>
        <w:tc>
          <w:tcPr>
            <w:tcW w:w="580" w:type="dxa"/>
            <w:vAlign w:val="bottom"/>
            <w:shd w:val="clear" w:color="auto" w:fill="EFEDED"/>
          </w:tcPr>
          <w:p>
            <w:pPr>
              <w:jc w:val="right"/>
              <w:ind w:right="408"/>
              <w:spacing w:after="0"/>
              <w:rPr>
                <w:sz w:val="20"/>
                <w:szCs w:val="20"/>
                <w:color w:val="auto"/>
              </w:rPr>
            </w:pPr>
            <w:r>
              <w:rPr>
                <w:rFonts w:ascii="Arial" w:cs="Arial" w:eastAsia="Arial" w:hAnsi="Arial"/>
                <w:sz w:val="14"/>
                <w:szCs w:val="14"/>
                <w:color w:val="58595B"/>
              </w:rPr>
              <w:t>$</w:t>
            </w:r>
          </w:p>
        </w:tc>
        <w:tc>
          <w:tcPr>
            <w:tcW w:w="122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613,312</w:t>
            </w:r>
          </w:p>
        </w:tc>
        <w:tc>
          <w:tcPr>
            <w:tcW w:w="600" w:type="dxa"/>
            <w:vAlign w:val="bottom"/>
            <w:shd w:val="clear" w:color="auto" w:fill="EFEDED"/>
          </w:tcPr>
          <w:p>
            <w:pPr>
              <w:jc w:val="right"/>
              <w:ind w:right="448"/>
              <w:spacing w:after="0"/>
              <w:rPr>
                <w:sz w:val="20"/>
                <w:szCs w:val="20"/>
                <w:color w:val="auto"/>
              </w:rPr>
            </w:pPr>
            <w:r>
              <w:rPr>
                <w:rFonts w:ascii="Arial" w:cs="Arial" w:eastAsia="Arial" w:hAnsi="Arial"/>
                <w:sz w:val="14"/>
                <w:szCs w:val="14"/>
                <w:color w:val="58595B"/>
                <w:w w:val="76"/>
              </w:rPr>
              <w:t>$</w:t>
            </w:r>
          </w:p>
        </w:tc>
        <w:tc>
          <w:tcPr>
            <w:tcW w:w="12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613,312</w:t>
            </w:r>
          </w:p>
        </w:tc>
        <w:tc>
          <w:tcPr>
            <w:tcW w:w="14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980" w:type="dxa"/>
            <w:vAlign w:val="bottom"/>
            <w:shd w:val="clear" w:color="auto" w:fill="EFEDED"/>
          </w:tcPr>
          <w:p>
            <w:pPr>
              <w:jc w:val="right"/>
              <w:ind w:right="128"/>
              <w:spacing w:after="0"/>
              <w:rPr>
                <w:sz w:val="20"/>
                <w:szCs w:val="20"/>
                <w:color w:val="auto"/>
              </w:rPr>
            </w:pPr>
            <w:r>
              <w:rPr>
                <w:rFonts w:ascii="Arial" w:cs="Arial" w:eastAsia="Arial" w:hAnsi="Arial"/>
                <w:sz w:val="14"/>
                <w:szCs w:val="14"/>
                <w:color w:val="58595B"/>
              </w:rPr>
              <w:t>1,328,207</w:t>
            </w:r>
          </w:p>
        </w:tc>
      </w:tr>
      <w:tr>
        <w:trPr>
          <w:trHeight w:val="231"/>
        </w:trPr>
        <w:tc>
          <w:tcPr>
            <w:tcW w:w="390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4"/>
                <w:szCs w:val="14"/>
                <w:color w:val="58595B"/>
              </w:rPr>
              <w:t>Total</w:t>
            </w:r>
          </w:p>
        </w:tc>
        <w:tc>
          <w:tcPr>
            <w:tcW w:w="1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4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40" w:type="dxa"/>
            <w:vAlign w:val="bottom"/>
            <w:tcBorders>
              <w:bottom w:val="single" w:sz="8" w:color="EFEDED"/>
            </w:tcBorders>
            <w:shd w:val="clear" w:color="auto" w:fill="EFEDED"/>
          </w:tcPr>
          <w:p>
            <w:pPr>
              <w:spacing w:after="0"/>
              <w:rPr>
                <w:sz w:val="20"/>
                <w:szCs w:val="20"/>
                <w:color w:val="auto"/>
              </w:rPr>
            </w:pPr>
          </w:p>
        </w:tc>
        <w:tc>
          <w:tcPr>
            <w:tcW w:w="580" w:type="dxa"/>
            <w:vAlign w:val="bottom"/>
            <w:tcBorders>
              <w:bottom w:val="single" w:sz="8" w:color="EFEDED"/>
            </w:tcBorders>
            <w:shd w:val="clear" w:color="auto" w:fill="EFEDED"/>
          </w:tcPr>
          <w:p>
            <w:pPr>
              <w:jc w:val="right"/>
              <w:ind w:right="408"/>
              <w:spacing w:after="0"/>
              <w:rPr>
                <w:sz w:val="20"/>
                <w:szCs w:val="20"/>
                <w:color w:val="auto"/>
              </w:rPr>
            </w:pPr>
            <w:r>
              <w:rPr>
                <w:rFonts w:ascii="Arial" w:cs="Arial" w:eastAsia="Arial" w:hAnsi="Arial"/>
                <w:sz w:val="14"/>
                <w:szCs w:val="14"/>
                <w:color w:val="58595B"/>
              </w:rPr>
              <w:t>$</w:t>
            </w:r>
          </w:p>
        </w:tc>
        <w:tc>
          <w:tcPr>
            <w:tcW w:w="122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613,312</w:t>
            </w:r>
          </w:p>
        </w:tc>
        <w:tc>
          <w:tcPr>
            <w:tcW w:w="600" w:type="dxa"/>
            <w:vAlign w:val="bottom"/>
            <w:tcBorders>
              <w:bottom w:val="single" w:sz="8" w:color="EFEDED"/>
            </w:tcBorders>
            <w:shd w:val="clear" w:color="auto" w:fill="EFEDED"/>
          </w:tcPr>
          <w:p>
            <w:pPr>
              <w:jc w:val="right"/>
              <w:ind w:right="448"/>
              <w:spacing w:after="0"/>
              <w:rPr>
                <w:sz w:val="20"/>
                <w:szCs w:val="20"/>
                <w:color w:val="auto"/>
              </w:rPr>
            </w:pPr>
            <w:r>
              <w:rPr>
                <w:rFonts w:ascii="Arial" w:cs="Arial" w:eastAsia="Arial" w:hAnsi="Arial"/>
                <w:sz w:val="14"/>
                <w:szCs w:val="14"/>
                <w:color w:val="58595B"/>
                <w:w w:val="76"/>
              </w:rPr>
              <w:t>$</w:t>
            </w:r>
          </w:p>
        </w:tc>
        <w:tc>
          <w:tcPr>
            <w:tcW w:w="12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613,312</w:t>
            </w:r>
          </w:p>
        </w:tc>
        <w:tc>
          <w:tcPr>
            <w:tcW w:w="1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980" w:type="dxa"/>
            <w:vAlign w:val="bottom"/>
            <w:tcBorders>
              <w:bottom w:val="single" w:sz="8" w:color="EFEDED"/>
            </w:tcBorders>
            <w:shd w:val="clear" w:color="auto" w:fill="EFEDED"/>
          </w:tcPr>
          <w:p>
            <w:pPr>
              <w:jc w:val="right"/>
              <w:ind w:right="128"/>
              <w:spacing w:after="0"/>
              <w:rPr>
                <w:sz w:val="20"/>
                <w:szCs w:val="20"/>
                <w:color w:val="auto"/>
              </w:rPr>
            </w:pPr>
            <w:r>
              <w:rPr>
                <w:rFonts w:ascii="Arial" w:cs="Arial" w:eastAsia="Arial" w:hAnsi="Arial"/>
                <w:sz w:val="14"/>
                <w:szCs w:val="14"/>
                <w:color w:val="58595B"/>
              </w:rPr>
              <w:t>4,357,818</w:t>
            </w:r>
          </w:p>
        </w:tc>
      </w:tr>
      <w:tr>
        <w:trPr>
          <w:trHeight w:val="208"/>
        </w:trPr>
        <w:tc>
          <w:tcPr>
            <w:tcW w:w="3900" w:type="dxa"/>
            <w:vAlign w:val="bottom"/>
          </w:tcPr>
          <w:p>
            <w:pPr>
              <w:ind w:left="140"/>
              <w:spacing w:after="0"/>
              <w:rPr>
                <w:sz w:val="20"/>
                <w:szCs w:val="20"/>
                <w:color w:val="auto"/>
              </w:rPr>
            </w:pPr>
            <w:r>
              <w:rPr>
                <w:rFonts w:ascii="Arial" w:cs="Arial" w:eastAsia="Arial" w:hAnsi="Arial"/>
                <w:sz w:val="14"/>
                <w:szCs w:val="14"/>
                <w:color w:val="58595B"/>
              </w:rPr>
              <w:t>Robert T. Davis, Jr.</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4"/>
                <w:szCs w:val="14"/>
                <w:color w:val="58595B"/>
              </w:rPr>
              <w:t>Cash Severance</w:t>
            </w:r>
          </w:p>
        </w:tc>
        <w:tc>
          <w:tcPr>
            <w:tcW w:w="100" w:type="dxa"/>
            <w:vAlign w:val="bottom"/>
          </w:tcPr>
          <w:p>
            <w:pPr>
              <w:jc w:val="right"/>
              <w:spacing w:after="0"/>
              <w:rPr>
                <w:sz w:val="20"/>
                <w:szCs w:val="20"/>
                <w:color w:val="auto"/>
              </w:rPr>
            </w:pPr>
            <w:r>
              <w:rPr>
                <w:rFonts w:ascii="Arial" w:cs="Arial" w:eastAsia="Arial" w:hAnsi="Arial"/>
                <w:sz w:val="14"/>
                <w:szCs w:val="14"/>
                <w:color w:val="58595B"/>
              </w:rPr>
              <w:t>$</w:t>
            </w:r>
          </w:p>
        </w:tc>
        <w:tc>
          <w:tcPr>
            <w:tcW w:w="2100" w:type="dxa"/>
            <w:vAlign w:val="bottom"/>
            <w:gridSpan w:val="3"/>
          </w:tcPr>
          <w:p>
            <w:pPr>
              <w:jc w:val="right"/>
              <w:ind w:right="408"/>
              <w:spacing w:after="0"/>
              <w:rPr>
                <w:sz w:val="20"/>
                <w:szCs w:val="20"/>
                <w:color w:val="auto"/>
              </w:rPr>
            </w:pPr>
            <w:r>
              <w:rPr>
                <w:rFonts w:ascii="Arial" w:cs="Arial" w:eastAsia="Arial" w:hAnsi="Arial"/>
                <w:sz w:val="14"/>
                <w:szCs w:val="14"/>
                <w:color w:val="58595B"/>
              </w:rPr>
              <w:t>— $</w:t>
            </w:r>
          </w:p>
        </w:tc>
        <w:tc>
          <w:tcPr>
            <w:tcW w:w="1820" w:type="dxa"/>
            <w:vAlign w:val="bottom"/>
            <w:gridSpan w:val="2"/>
          </w:tcPr>
          <w:p>
            <w:pPr>
              <w:jc w:val="right"/>
              <w:ind w:right="448"/>
              <w:spacing w:after="0"/>
              <w:rPr>
                <w:sz w:val="20"/>
                <w:szCs w:val="20"/>
                <w:color w:val="auto"/>
              </w:rPr>
            </w:pPr>
            <w:r>
              <w:rPr>
                <w:rFonts w:ascii="Arial" w:cs="Arial" w:eastAsia="Arial" w:hAnsi="Arial"/>
                <w:sz w:val="14"/>
                <w:szCs w:val="14"/>
                <w:color w:val="58595B"/>
              </w:rPr>
              <w:t>— $</w:t>
            </w:r>
          </w:p>
        </w:tc>
        <w:tc>
          <w:tcPr>
            <w:tcW w:w="1340" w:type="dxa"/>
            <w:vAlign w:val="bottom"/>
            <w:gridSpan w:val="2"/>
          </w:tcPr>
          <w:p>
            <w:pPr>
              <w:jc w:val="right"/>
              <w:spacing w:after="0"/>
              <w:rPr>
                <w:sz w:val="20"/>
                <w:szCs w:val="20"/>
                <w:color w:val="auto"/>
              </w:rPr>
            </w:pPr>
            <w:r>
              <w:rPr>
                <w:rFonts w:ascii="Arial" w:cs="Arial" w:eastAsia="Arial" w:hAnsi="Arial"/>
                <w:sz w:val="14"/>
                <w:szCs w:val="14"/>
                <w:color w:val="58595B"/>
              </w:rPr>
              <w:t>— $</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1,934,156</w:t>
            </w:r>
          </w:p>
        </w:tc>
      </w:tr>
      <w:tr>
        <w:trPr>
          <w:trHeight w:val="230"/>
        </w:trPr>
        <w:tc>
          <w:tcPr>
            <w:tcW w:w="3900" w:type="dxa"/>
            <w:vAlign w:val="bottom"/>
          </w:tcPr>
          <w:p>
            <w:pPr>
              <w:ind w:left="260"/>
              <w:spacing w:after="0"/>
              <w:rPr>
                <w:sz w:val="20"/>
                <w:szCs w:val="20"/>
                <w:color w:val="auto"/>
              </w:rPr>
            </w:pPr>
            <w:r>
              <w:rPr>
                <w:rFonts w:ascii="Arial" w:cs="Arial" w:eastAsia="Arial" w:hAnsi="Arial"/>
                <w:sz w:val="14"/>
                <w:szCs w:val="14"/>
                <w:color w:val="58595B"/>
              </w:rPr>
              <w:t>Continued Health &amp; Other Benefits(1)</w:t>
            </w:r>
          </w:p>
        </w:tc>
        <w:tc>
          <w:tcPr>
            <w:tcW w:w="100" w:type="dxa"/>
            <w:vAlign w:val="bottom"/>
          </w:tcPr>
          <w:p>
            <w:pPr>
              <w:jc w:val="right"/>
              <w:spacing w:after="0"/>
              <w:rPr>
                <w:sz w:val="20"/>
                <w:szCs w:val="20"/>
                <w:color w:val="auto"/>
              </w:rPr>
            </w:pPr>
            <w:r>
              <w:rPr>
                <w:rFonts w:ascii="Arial" w:cs="Arial" w:eastAsia="Arial" w:hAnsi="Arial"/>
                <w:sz w:val="14"/>
                <w:szCs w:val="14"/>
                <w:color w:val="58595B"/>
              </w:rPr>
              <w:t>$</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58595B"/>
              </w:rPr>
              <w:t>—</w:t>
            </w:r>
          </w:p>
        </w:tc>
        <w:tc>
          <w:tcPr>
            <w:tcW w:w="580" w:type="dxa"/>
            <w:vAlign w:val="bottom"/>
          </w:tcPr>
          <w:p>
            <w:pPr>
              <w:jc w:val="right"/>
              <w:ind w:right="408"/>
              <w:spacing w:after="0"/>
              <w:rPr>
                <w:sz w:val="20"/>
                <w:szCs w:val="20"/>
                <w:color w:val="auto"/>
              </w:rPr>
            </w:pPr>
            <w:r>
              <w:rPr>
                <w:rFonts w:ascii="Arial" w:cs="Arial" w:eastAsia="Arial" w:hAnsi="Arial"/>
                <w:sz w:val="14"/>
                <w:szCs w:val="14"/>
                <w:color w:val="58595B"/>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58595B"/>
              </w:rPr>
              <w:t>—</w:t>
            </w:r>
          </w:p>
        </w:tc>
        <w:tc>
          <w:tcPr>
            <w:tcW w:w="600" w:type="dxa"/>
            <w:vAlign w:val="bottom"/>
          </w:tcPr>
          <w:p>
            <w:pPr>
              <w:jc w:val="right"/>
              <w:ind w:right="448"/>
              <w:spacing w:after="0"/>
              <w:rPr>
                <w:sz w:val="20"/>
                <w:szCs w:val="20"/>
                <w:color w:val="auto"/>
              </w:rPr>
            </w:pPr>
            <w:r>
              <w:rPr>
                <w:rFonts w:ascii="Arial" w:cs="Arial" w:eastAsia="Arial" w:hAnsi="Arial"/>
                <w:sz w:val="14"/>
                <w:szCs w:val="14"/>
                <w:color w:val="58595B"/>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58595B"/>
              </w:rPr>
              <w:t>—</w:t>
            </w:r>
          </w:p>
        </w:tc>
        <w:tc>
          <w:tcPr>
            <w:tcW w:w="140" w:type="dxa"/>
            <w:vAlign w:val="bottom"/>
          </w:tcPr>
          <w:p>
            <w:pPr>
              <w:jc w:val="right"/>
              <w:spacing w:after="0"/>
              <w:rPr>
                <w:sz w:val="20"/>
                <w:szCs w:val="20"/>
                <w:color w:val="auto"/>
              </w:rPr>
            </w:pPr>
            <w:r>
              <w:rPr>
                <w:rFonts w:ascii="Arial" w:cs="Arial" w:eastAsia="Arial" w:hAnsi="Arial"/>
                <w:sz w:val="14"/>
                <w:szCs w:val="14"/>
                <w:color w:val="58595B"/>
              </w:rPr>
              <w:t>$</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21,586</w:t>
            </w:r>
          </w:p>
        </w:tc>
      </w:tr>
      <w:tr>
        <w:trPr>
          <w:trHeight w:val="229"/>
        </w:trPr>
        <w:tc>
          <w:tcPr>
            <w:tcW w:w="3900" w:type="dxa"/>
            <w:vAlign w:val="bottom"/>
          </w:tcPr>
          <w:p>
            <w:pPr>
              <w:ind w:left="260"/>
              <w:spacing w:after="0"/>
              <w:rPr>
                <w:sz w:val="20"/>
                <w:szCs w:val="20"/>
                <w:color w:val="auto"/>
              </w:rPr>
            </w:pPr>
            <w:r>
              <w:rPr>
                <w:rFonts w:ascii="Arial" w:cs="Arial" w:eastAsia="Arial" w:hAnsi="Arial"/>
                <w:sz w:val="14"/>
                <w:szCs w:val="14"/>
                <w:color w:val="58595B"/>
              </w:rPr>
              <w:t>Acceleration of Stock Options</w:t>
            </w:r>
          </w:p>
        </w:tc>
        <w:tc>
          <w:tcPr>
            <w:tcW w:w="100" w:type="dxa"/>
            <w:vAlign w:val="bottom"/>
          </w:tcPr>
          <w:p>
            <w:pPr>
              <w:jc w:val="right"/>
              <w:spacing w:after="0"/>
              <w:rPr>
                <w:sz w:val="20"/>
                <w:szCs w:val="20"/>
                <w:color w:val="auto"/>
              </w:rPr>
            </w:pPr>
            <w:r>
              <w:rPr>
                <w:rFonts w:ascii="Arial" w:cs="Arial" w:eastAsia="Arial" w:hAnsi="Arial"/>
                <w:sz w:val="14"/>
                <w:szCs w:val="14"/>
                <w:color w:val="58595B"/>
              </w:rPr>
              <w:t>$</w:t>
            </w:r>
          </w:p>
        </w:tc>
        <w:tc>
          <w:tcPr>
            <w:tcW w:w="2100" w:type="dxa"/>
            <w:vAlign w:val="bottom"/>
            <w:gridSpan w:val="3"/>
          </w:tcPr>
          <w:p>
            <w:pPr>
              <w:jc w:val="right"/>
              <w:ind w:right="408"/>
              <w:spacing w:after="0"/>
              <w:rPr>
                <w:sz w:val="20"/>
                <w:szCs w:val="20"/>
                <w:color w:val="auto"/>
              </w:rPr>
            </w:pPr>
            <w:r>
              <w:rPr>
                <w:rFonts w:ascii="Arial" w:cs="Arial" w:eastAsia="Arial" w:hAnsi="Arial"/>
                <w:sz w:val="14"/>
                <w:szCs w:val="14"/>
                <w:color w:val="58595B"/>
              </w:rPr>
              <w:t>— $</w:t>
            </w:r>
          </w:p>
        </w:tc>
        <w:tc>
          <w:tcPr>
            <w:tcW w:w="1820" w:type="dxa"/>
            <w:vAlign w:val="bottom"/>
            <w:gridSpan w:val="2"/>
          </w:tcPr>
          <w:p>
            <w:pPr>
              <w:jc w:val="right"/>
              <w:ind w:right="448"/>
              <w:spacing w:after="0"/>
              <w:rPr>
                <w:sz w:val="20"/>
                <w:szCs w:val="20"/>
                <w:color w:val="auto"/>
              </w:rPr>
            </w:pPr>
            <w:r>
              <w:rPr>
                <w:rFonts w:ascii="Arial" w:cs="Arial" w:eastAsia="Arial" w:hAnsi="Arial"/>
                <w:sz w:val="14"/>
                <w:szCs w:val="14"/>
                <w:color w:val="58595B"/>
              </w:rPr>
              <w:t>— $</w:t>
            </w:r>
          </w:p>
        </w:tc>
        <w:tc>
          <w:tcPr>
            <w:tcW w:w="1340" w:type="dxa"/>
            <w:vAlign w:val="bottom"/>
            <w:gridSpan w:val="2"/>
          </w:tcPr>
          <w:p>
            <w:pPr>
              <w:jc w:val="right"/>
              <w:spacing w:after="0"/>
              <w:rPr>
                <w:sz w:val="20"/>
                <w:szCs w:val="20"/>
                <w:color w:val="auto"/>
              </w:rPr>
            </w:pPr>
            <w:r>
              <w:rPr>
                <w:rFonts w:ascii="Arial" w:cs="Arial" w:eastAsia="Arial" w:hAnsi="Arial"/>
                <w:sz w:val="14"/>
                <w:szCs w:val="14"/>
                <w:color w:val="58595B"/>
              </w:rPr>
              <w:t>— $</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w:t>
            </w:r>
          </w:p>
        </w:tc>
      </w:tr>
      <w:tr>
        <w:trPr>
          <w:trHeight w:val="230"/>
        </w:trPr>
        <w:tc>
          <w:tcPr>
            <w:tcW w:w="3900" w:type="dxa"/>
            <w:vAlign w:val="bottom"/>
          </w:tcPr>
          <w:p>
            <w:pPr>
              <w:ind w:left="260"/>
              <w:spacing w:after="0"/>
              <w:rPr>
                <w:sz w:val="20"/>
                <w:szCs w:val="20"/>
                <w:color w:val="auto"/>
              </w:rPr>
            </w:pPr>
            <w:r>
              <w:rPr>
                <w:rFonts w:ascii="Arial" w:cs="Arial" w:eastAsia="Arial" w:hAnsi="Arial"/>
                <w:sz w:val="14"/>
                <w:szCs w:val="14"/>
                <w:color w:val="58595B"/>
              </w:rPr>
              <w:t>Acceleration of Other Grants</w:t>
            </w:r>
          </w:p>
        </w:tc>
        <w:tc>
          <w:tcPr>
            <w:tcW w:w="100" w:type="dxa"/>
            <w:vAlign w:val="bottom"/>
          </w:tcPr>
          <w:p>
            <w:pPr>
              <w:jc w:val="right"/>
              <w:spacing w:after="0"/>
              <w:rPr>
                <w:sz w:val="20"/>
                <w:szCs w:val="20"/>
                <w:color w:val="auto"/>
              </w:rPr>
            </w:pPr>
            <w:r>
              <w:rPr>
                <w:rFonts w:ascii="Arial" w:cs="Arial" w:eastAsia="Arial" w:hAnsi="Arial"/>
                <w:sz w:val="14"/>
                <w:szCs w:val="14"/>
                <w:color w:val="58595B"/>
              </w:rPr>
              <w:t>$</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58595B"/>
              </w:rPr>
              <w:t>—</w:t>
            </w:r>
          </w:p>
        </w:tc>
        <w:tc>
          <w:tcPr>
            <w:tcW w:w="580" w:type="dxa"/>
            <w:vAlign w:val="bottom"/>
          </w:tcPr>
          <w:p>
            <w:pPr>
              <w:jc w:val="right"/>
              <w:ind w:right="408"/>
              <w:spacing w:after="0"/>
              <w:rPr>
                <w:sz w:val="20"/>
                <w:szCs w:val="20"/>
                <w:color w:val="auto"/>
              </w:rPr>
            </w:pPr>
            <w:r>
              <w:rPr>
                <w:rFonts w:ascii="Arial" w:cs="Arial" w:eastAsia="Arial" w:hAnsi="Arial"/>
                <w:sz w:val="14"/>
                <w:szCs w:val="14"/>
                <w:color w:val="58595B"/>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58595B"/>
              </w:rPr>
              <w:t>397,552</w:t>
            </w:r>
          </w:p>
        </w:tc>
        <w:tc>
          <w:tcPr>
            <w:tcW w:w="600" w:type="dxa"/>
            <w:vAlign w:val="bottom"/>
          </w:tcPr>
          <w:p>
            <w:pPr>
              <w:jc w:val="right"/>
              <w:ind w:right="448"/>
              <w:spacing w:after="0"/>
              <w:rPr>
                <w:sz w:val="20"/>
                <w:szCs w:val="20"/>
                <w:color w:val="auto"/>
              </w:rPr>
            </w:pPr>
            <w:r>
              <w:rPr>
                <w:rFonts w:ascii="Arial" w:cs="Arial" w:eastAsia="Arial" w:hAnsi="Arial"/>
                <w:sz w:val="14"/>
                <w:szCs w:val="14"/>
                <w:color w:val="58595B"/>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58595B"/>
              </w:rPr>
              <w:t>397,552</w:t>
            </w:r>
          </w:p>
        </w:tc>
        <w:tc>
          <w:tcPr>
            <w:tcW w:w="140" w:type="dxa"/>
            <w:vAlign w:val="bottom"/>
          </w:tcPr>
          <w:p>
            <w:pPr>
              <w:jc w:val="right"/>
              <w:spacing w:after="0"/>
              <w:rPr>
                <w:sz w:val="20"/>
                <w:szCs w:val="20"/>
                <w:color w:val="auto"/>
              </w:rPr>
            </w:pPr>
            <w:r>
              <w:rPr>
                <w:rFonts w:ascii="Arial" w:cs="Arial" w:eastAsia="Arial" w:hAnsi="Arial"/>
                <w:sz w:val="14"/>
                <w:szCs w:val="14"/>
                <w:color w:val="58595B"/>
              </w:rPr>
              <w:t>$</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849,689</w:t>
            </w:r>
          </w:p>
        </w:tc>
      </w:tr>
      <w:tr>
        <w:trPr>
          <w:trHeight w:val="230"/>
        </w:trPr>
        <w:tc>
          <w:tcPr>
            <w:tcW w:w="3900" w:type="dxa"/>
            <w:vAlign w:val="bottom"/>
          </w:tcPr>
          <w:p>
            <w:pPr>
              <w:ind w:left="260"/>
              <w:spacing w:after="0"/>
              <w:rPr>
                <w:sz w:val="20"/>
                <w:szCs w:val="20"/>
                <w:color w:val="auto"/>
              </w:rPr>
            </w:pPr>
            <w:r>
              <w:rPr>
                <w:rFonts w:ascii="Arial" w:cs="Arial" w:eastAsia="Arial" w:hAnsi="Arial"/>
                <w:sz w:val="14"/>
                <w:szCs w:val="14"/>
                <w:color w:val="58595B"/>
              </w:rPr>
              <w:t>Total</w:t>
            </w:r>
          </w:p>
        </w:tc>
        <w:tc>
          <w:tcPr>
            <w:tcW w:w="100" w:type="dxa"/>
            <w:vAlign w:val="bottom"/>
          </w:tcPr>
          <w:p>
            <w:pPr>
              <w:jc w:val="right"/>
              <w:spacing w:after="0"/>
              <w:rPr>
                <w:sz w:val="20"/>
                <w:szCs w:val="20"/>
                <w:color w:val="auto"/>
              </w:rPr>
            </w:pPr>
            <w:r>
              <w:rPr>
                <w:rFonts w:ascii="Arial" w:cs="Arial" w:eastAsia="Arial" w:hAnsi="Arial"/>
                <w:sz w:val="14"/>
                <w:szCs w:val="14"/>
                <w:color w:val="58595B"/>
              </w:rPr>
              <w:t>$</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58595B"/>
              </w:rPr>
              <w:t>—</w:t>
            </w:r>
          </w:p>
        </w:tc>
        <w:tc>
          <w:tcPr>
            <w:tcW w:w="580" w:type="dxa"/>
            <w:vAlign w:val="bottom"/>
          </w:tcPr>
          <w:p>
            <w:pPr>
              <w:jc w:val="right"/>
              <w:ind w:right="408"/>
              <w:spacing w:after="0"/>
              <w:rPr>
                <w:sz w:val="20"/>
                <w:szCs w:val="20"/>
                <w:color w:val="auto"/>
              </w:rPr>
            </w:pPr>
            <w:r>
              <w:rPr>
                <w:rFonts w:ascii="Arial" w:cs="Arial" w:eastAsia="Arial" w:hAnsi="Arial"/>
                <w:sz w:val="14"/>
                <w:szCs w:val="14"/>
                <w:color w:val="58595B"/>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58595B"/>
              </w:rPr>
              <w:t>397,552</w:t>
            </w:r>
          </w:p>
        </w:tc>
        <w:tc>
          <w:tcPr>
            <w:tcW w:w="600" w:type="dxa"/>
            <w:vAlign w:val="bottom"/>
          </w:tcPr>
          <w:p>
            <w:pPr>
              <w:jc w:val="right"/>
              <w:ind w:right="448"/>
              <w:spacing w:after="0"/>
              <w:rPr>
                <w:sz w:val="20"/>
                <w:szCs w:val="20"/>
                <w:color w:val="auto"/>
              </w:rPr>
            </w:pPr>
            <w:r>
              <w:rPr>
                <w:rFonts w:ascii="Arial" w:cs="Arial" w:eastAsia="Arial" w:hAnsi="Arial"/>
                <w:sz w:val="14"/>
                <w:szCs w:val="14"/>
                <w:color w:val="58595B"/>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58595B"/>
              </w:rPr>
              <w:t>397,552</w:t>
            </w:r>
          </w:p>
        </w:tc>
        <w:tc>
          <w:tcPr>
            <w:tcW w:w="140" w:type="dxa"/>
            <w:vAlign w:val="bottom"/>
          </w:tcPr>
          <w:p>
            <w:pPr>
              <w:jc w:val="right"/>
              <w:spacing w:after="0"/>
              <w:rPr>
                <w:sz w:val="20"/>
                <w:szCs w:val="20"/>
                <w:color w:val="auto"/>
              </w:rPr>
            </w:pPr>
            <w:r>
              <w:rPr>
                <w:rFonts w:ascii="Arial" w:cs="Arial" w:eastAsia="Arial" w:hAnsi="Arial"/>
                <w:sz w:val="14"/>
                <w:szCs w:val="14"/>
                <w:color w:val="58595B"/>
              </w:rPr>
              <w:t>$</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2,805,432</w:t>
            </w:r>
          </w:p>
        </w:tc>
      </w:tr>
      <w:tr>
        <w:trPr>
          <w:trHeight w:val="22"/>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8"/>
        </w:trPr>
        <w:tc>
          <w:tcPr>
            <w:tcW w:w="3900" w:type="dxa"/>
            <w:vAlign w:val="bottom"/>
            <w:shd w:val="clear" w:color="auto" w:fill="EFEDED"/>
          </w:tcPr>
          <w:p>
            <w:pPr>
              <w:ind w:left="140"/>
              <w:spacing w:after="0"/>
              <w:rPr>
                <w:sz w:val="20"/>
                <w:szCs w:val="20"/>
                <w:color w:val="auto"/>
              </w:rPr>
            </w:pPr>
            <w:r>
              <w:rPr>
                <w:rFonts w:ascii="Arial" w:cs="Arial" w:eastAsia="Arial" w:hAnsi="Arial"/>
                <w:sz w:val="14"/>
                <w:szCs w:val="14"/>
                <w:color w:val="58595B"/>
              </w:rPr>
              <w:t>Michael J. McBreen</w:t>
            </w:r>
          </w:p>
        </w:tc>
        <w:tc>
          <w:tcPr>
            <w:tcW w:w="100" w:type="dxa"/>
            <w:vAlign w:val="bottom"/>
            <w:shd w:val="clear" w:color="auto" w:fill="EFEDED"/>
          </w:tcPr>
          <w:p>
            <w:pPr>
              <w:spacing w:after="0"/>
              <w:rPr>
                <w:sz w:val="18"/>
                <w:szCs w:val="18"/>
                <w:color w:val="auto"/>
              </w:rPr>
            </w:pPr>
          </w:p>
        </w:tc>
        <w:tc>
          <w:tcPr>
            <w:tcW w:w="1480" w:type="dxa"/>
            <w:vAlign w:val="bottom"/>
            <w:shd w:val="clear" w:color="auto" w:fill="EFEDED"/>
          </w:tcPr>
          <w:p>
            <w:pPr>
              <w:spacing w:after="0"/>
              <w:rPr>
                <w:sz w:val="18"/>
                <w:szCs w:val="18"/>
                <w:color w:val="auto"/>
              </w:rPr>
            </w:pPr>
          </w:p>
        </w:tc>
        <w:tc>
          <w:tcPr>
            <w:tcW w:w="40" w:type="dxa"/>
            <w:vAlign w:val="bottom"/>
            <w:shd w:val="clear" w:color="auto" w:fill="EFEDED"/>
          </w:tcPr>
          <w:p>
            <w:pPr>
              <w:spacing w:after="0"/>
              <w:rPr>
                <w:sz w:val="18"/>
                <w:szCs w:val="18"/>
                <w:color w:val="auto"/>
              </w:rPr>
            </w:pPr>
          </w:p>
        </w:tc>
        <w:tc>
          <w:tcPr>
            <w:tcW w:w="580" w:type="dxa"/>
            <w:vAlign w:val="bottom"/>
            <w:shd w:val="clear" w:color="auto" w:fill="EFEDED"/>
          </w:tcPr>
          <w:p>
            <w:pPr>
              <w:spacing w:after="0"/>
              <w:rPr>
                <w:sz w:val="18"/>
                <w:szCs w:val="18"/>
                <w:color w:val="auto"/>
              </w:rPr>
            </w:pPr>
          </w:p>
        </w:tc>
        <w:tc>
          <w:tcPr>
            <w:tcW w:w="1220" w:type="dxa"/>
            <w:vAlign w:val="bottom"/>
            <w:shd w:val="clear" w:color="auto" w:fill="EFEDED"/>
          </w:tcPr>
          <w:p>
            <w:pPr>
              <w:spacing w:after="0"/>
              <w:rPr>
                <w:sz w:val="18"/>
                <w:szCs w:val="18"/>
                <w:color w:val="auto"/>
              </w:rPr>
            </w:pPr>
          </w:p>
        </w:tc>
        <w:tc>
          <w:tcPr>
            <w:tcW w:w="600" w:type="dxa"/>
            <w:vAlign w:val="bottom"/>
            <w:shd w:val="clear" w:color="auto" w:fill="EFEDED"/>
          </w:tcPr>
          <w:p>
            <w:pPr>
              <w:spacing w:after="0"/>
              <w:rPr>
                <w:sz w:val="18"/>
                <w:szCs w:val="18"/>
                <w:color w:val="auto"/>
              </w:rPr>
            </w:pPr>
          </w:p>
        </w:tc>
        <w:tc>
          <w:tcPr>
            <w:tcW w:w="1200" w:type="dxa"/>
            <w:vAlign w:val="bottom"/>
            <w:shd w:val="clear" w:color="auto" w:fill="EFEDED"/>
          </w:tcPr>
          <w:p>
            <w:pPr>
              <w:spacing w:after="0"/>
              <w:rPr>
                <w:sz w:val="18"/>
                <w:szCs w:val="18"/>
                <w:color w:val="auto"/>
              </w:rPr>
            </w:pPr>
          </w:p>
        </w:tc>
        <w:tc>
          <w:tcPr>
            <w:tcW w:w="140" w:type="dxa"/>
            <w:vAlign w:val="bottom"/>
            <w:shd w:val="clear" w:color="auto" w:fill="EFEDED"/>
          </w:tcPr>
          <w:p>
            <w:pPr>
              <w:spacing w:after="0"/>
              <w:rPr>
                <w:sz w:val="18"/>
                <w:szCs w:val="18"/>
                <w:color w:val="auto"/>
              </w:rPr>
            </w:pPr>
          </w:p>
        </w:tc>
        <w:tc>
          <w:tcPr>
            <w:tcW w:w="1980" w:type="dxa"/>
            <w:vAlign w:val="bottom"/>
            <w:shd w:val="clear" w:color="auto" w:fill="EFEDED"/>
          </w:tcPr>
          <w:p>
            <w:pPr>
              <w:spacing w:after="0"/>
              <w:rPr>
                <w:sz w:val="18"/>
                <w:szCs w:val="18"/>
                <w:color w:val="auto"/>
              </w:rPr>
            </w:pPr>
          </w:p>
        </w:tc>
      </w:tr>
      <w:tr>
        <w:trPr>
          <w:trHeight w:val="229"/>
        </w:trPr>
        <w:tc>
          <w:tcPr>
            <w:tcW w:w="3900" w:type="dxa"/>
            <w:vAlign w:val="bottom"/>
            <w:shd w:val="clear" w:color="auto" w:fill="EFEDED"/>
          </w:tcPr>
          <w:p>
            <w:pPr>
              <w:ind w:left="260"/>
              <w:spacing w:after="0"/>
              <w:rPr>
                <w:sz w:val="20"/>
                <w:szCs w:val="20"/>
                <w:color w:val="auto"/>
              </w:rPr>
            </w:pPr>
            <w:r>
              <w:rPr>
                <w:rFonts w:ascii="Arial" w:cs="Arial" w:eastAsia="Arial" w:hAnsi="Arial"/>
                <w:sz w:val="14"/>
                <w:szCs w:val="14"/>
                <w:color w:val="58595B"/>
              </w:rPr>
              <w:t>Cash Severance</w:t>
            </w:r>
          </w:p>
        </w:tc>
        <w:tc>
          <w:tcPr>
            <w:tcW w:w="1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2100" w:type="dxa"/>
            <w:vAlign w:val="bottom"/>
            <w:gridSpan w:val="3"/>
            <w:shd w:val="clear" w:color="auto" w:fill="EFEDED"/>
          </w:tcPr>
          <w:p>
            <w:pPr>
              <w:jc w:val="right"/>
              <w:ind w:right="408"/>
              <w:spacing w:after="0"/>
              <w:rPr>
                <w:sz w:val="20"/>
                <w:szCs w:val="20"/>
                <w:color w:val="auto"/>
              </w:rPr>
            </w:pPr>
            <w:r>
              <w:rPr>
                <w:rFonts w:ascii="Arial" w:cs="Arial" w:eastAsia="Arial" w:hAnsi="Arial"/>
                <w:sz w:val="14"/>
                <w:szCs w:val="14"/>
                <w:color w:val="58595B"/>
              </w:rPr>
              <w:t>— $</w:t>
            </w:r>
          </w:p>
        </w:tc>
        <w:tc>
          <w:tcPr>
            <w:tcW w:w="1820" w:type="dxa"/>
            <w:vAlign w:val="bottom"/>
            <w:gridSpan w:val="2"/>
            <w:shd w:val="clear" w:color="auto" w:fill="EFEDED"/>
          </w:tcPr>
          <w:p>
            <w:pPr>
              <w:jc w:val="right"/>
              <w:ind w:right="448"/>
              <w:spacing w:after="0"/>
              <w:rPr>
                <w:sz w:val="20"/>
                <w:szCs w:val="20"/>
                <w:color w:val="auto"/>
              </w:rPr>
            </w:pPr>
            <w:r>
              <w:rPr>
                <w:rFonts w:ascii="Arial" w:cs="Arial" w:eastAsia="Arial" w:hAnsi="Arial"/>
                <w:sz w:val="14"/>
                <w:szCs w:val="14"/>
                <w:color w:val="58595B"/>
              </w:rPr>
              <w:t>— $</w:t>
            </w:r>
          </w:p>
        </w:tc>
        <w:tc>
          <w:tcPr>
            <w:tcW w:w="1340" w:type="dxa"/>
            <w:vAlign w:val="bottom"/>
            <w:gridSpan w:val="2"/>
            <w:shd w:val="clear" w:color="auto" w:fill="EFEDED"/>
          </w:tcPr>
          <w:p>
            <w:pPr>
              <w:jc w:val="right"/>
              <w:spacing w:after="0"/>
              <w:rPr>
                <w:sz w:val="20"/>
                <w:szCs w:val="20"/>
                <w:color w:val="auto"/>
              </w:rPr>
            </w:pPr>
            <w:r>
              <w:rPr>
                <w:rFonts w:ascii="Arial" w:cs="Arial" w:eastAsia="Arial" w:hAnsi="Arial"/>
                <w:sz w:val="14"/>
                <w:szCs w:val="14"/>
                <w:color w:val="58595B"/>
              </w:rPr>
              <w:t>— $</w:t>
            </w:r>
          </w:p>
        </w:tc>
        <w:tc>
          <w:tcPr>
            <w:tcW w:w="1980" w:type="dxa"/>
            <w:vAlign w:val="bottom"/>
            <w:shd w:val="clear" w:color="auto" w:fill="EFEDED"/>
          </w:tcPr>
          <w:p>
            <w:pPr>
              <w:jc w:val="right"/>
              <w:ind w:right="128"/>
              <w:spacing w:after="0"/>
              <w:rPr>
                <w:sz w:val="20"/>
                <w:szCs w:val="20"/>
                <w:color w:val="auto"/>
              </w:rPr>
            </w:pPr>
            <w:r>
              <w:rPr>
                <w:rFonts w:ascii="Arial" w:cs="Arial" w:eastAsia="Arial" w:hAnsi="Arial"/>
                <w:sz w:val="14"/>
                <w:szCs w:val="14"/>
                <w:color w:val="58595B"/>
              </w:rPr>
              <w:t>2,333,594</w:t>
            </w:r>
          </w:p>
        </w:tc>
      </w:tr>
      <w:tr>
        <w:trPr>
          <w:trHeight w:val="230"/>
        </w:trPr>
        <w:tc>
          <w:tcPr>
            <w:tcW w:w="3900" w:type="dxa"/>
            <w:vAlign w:val="bottom"/>
            <w:shd w:val="clear" w:color="auto" w:fill="EFEDED"/>
          </w:tcPr>
          <w:p>
            <w:pPr>
              <w:ind w:left="260"/>
              <w:spacing w:after="0"/>
              <w:rPr>
                <w:sz w:val="20"/>
                <w:szCs w:val="20"/>
                <w:color w:val="auto"/>
              </w:rPr>
            </w:pPr>
            <w:r>
              <w:rPr>
                <w:rFonts w:ascii="Arial" w:cs="Arial" w:eastAsia="Arial" w:hAnsi="Arial"/>
                <w:sz w:val="14"/>
                <w:szCs w:val="14"/>
                <w:color w:val="58595B"/>
              </w:rPr>
              <w:t>Continued Health &amp; Other Benefits(1)</w:t>
            </w:r>
          </w:p>
        </w:tc>
        <w:tc>
          <w:tcPr>
            <w:tcW w:w="1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520" w:type="dxa"/>
            <w:vAlign w:val="bottom"/>
            <w:gridSpan w:val="2"/>
            <w:shd w:val="clear" w:color="auto" w:fill="EFEDED"/>
          </w:tcPr>
          <w:p>
            <w:pPr>
              <w:jc w:val="right"/>
              <w:ind w:right="8"/>
              <w:spacing w:after="0"/>
              <w:rPr>
                <w:sz w:val="20"/>
                <w:szCs w:val="20"/>
                <w:color w:val="auto"/>
              </w:rPr>
            </w:pPr>
            <w:r>
              <w:rPr>
                <w:rFonts w:ascii="Arial" w:cs="Arial" w:eastAsia="Arial" w:hAnsi="Arial"/>
                <w:sz w:val="14"/>
                <w:szCs w:val="14"/>
                <w:color w:val="58595B"/>
              </w:rPr>
              <w:t>—</w:t>
            </w:r>
          </w:p>
        </w:tc>
        <w:tc>
          <w:tcPr>
            <w:tcW w:w="580" w:type="dxa"/>
            <w:vAlign w:val="bottom"/>
            <w:shd w:val="clear" w:color="auto" w:fill="EFEDED"/>
          </w:tcPr>
          <w:p>
            <w:pPr>
              <w:jc w:val="right"/>
              <w:ind w:right="408"/>
              <w:spacing w:after="0"/>
              <w:rPr>
                <w:sz w:val="20"/>
                <w:szCs w:val="20"/>
                <w:color w:val="auto"/>
              </w:rPr>
            </w:pPr>
            <w:r>
              <w:rPr>
                <w:rFonts w:ascii="Arial" w:cs="Arial" w:eastAsia="Arial" w:hAnsi="Arial"/>
                <w:sz w:val="14"/>
                <w:szCs w:val="14"/>
                <w:color w:val="58595B"/>
              </w:rPr>
              <w:t>$</w:t>
            </w:r>
          </w:p>
        </w:tc>
        <w:tc>
          <w:tcPr>
            <w:tcW w:w="122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w:t>
            </w:r>
          </w:p>
        </w:tc>
        <w:tc>
          <w:tcPr>
            <w:tcW w:w="600" w:type="dxa"/>
            <w:vAlign w:val="bottom"/>
            <w:shd w:val="clear" w:color="auto" w:fill="EFEDED"/>
          </w:tcPr>
          <w:p>
            <w:pPr>
              <w:jc w:val="right"/>
              <w:ind w:right="448"/>
              <w:spacing w:after="0"/>
              <w:rPr>
                <w:sz w:val="20"/>
                <w:szCs w:val="20"/>
                <w:color w:val="auto"/>
              </w:rPr>
            </w:pPr>
            <w:r>
              <w:rPr>
                <w:rFonts w:ascii="Arial" w:cs="Arial" w:eastAsia="Arial" w:hAnsi="Arial"/>
                <w:sz w:val="14"/>
                <w:szCs w:val="14"/>
                <w:color w:val="58595B"/>
                <w:w w:val="76"/>
              </w:rPr>
              <w:t>$</w:t>
            </w:r>
          </w:p>
        </w:tc>
        <w:tc>
          <w:tcPr>
            <w:tcW w:w="12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980" w:type="dxa"/>
            <w:vAlign w:val="bottom"/>
            <w:shd w:val="clear" w:color="auto" w:fill="EFEDED"/>
          </w:tcPr>
          <w:p>
            <w:pPr>
              <w:jc w:val="right"/>
              <w:ind w:right="128"/>
              <w:spacing w:after="0"/>
              <w:rPr>
                <w:sz w:val="20"/>
                <w:szCs w:val="20"/>
                <w:color w:val="auto"/>
              </w:rPr>
            </w:pPr>
            <w:r>
              <w:rPr>
                <w:rFonts w:ascii="Arial" w:cs="Arial" w:eastAsia="Arial" w:hAnsi="Arial"/>
                <w:sz w:val="14"/>
                <w:szCs w:val="14"/>
                <w:color w:val="58595B"/>
              </w:rPr>
              <w:t>889</w:t>
            </w:r>
          </w:p>
        </w:tc>
      </w:tr>
      <w:tr>
        <w:trPr>
          <w:trHeight w:val="230"/>
        </w:trPr>
        <w:tc>
          <w:tcPr>
            <w:tcW w:w="3900" w:type="dxa"/>
            <w:vAlign w:val="bottom"/>
            <w:shd w:val="clear" w:color="auto" w:fill="EFEDED"/>
          </w:tcPr>
          <w:p>
            <w:pPr>
              <w:ind w:left="260"/>
              <w:spacing w:after="0"/>
              <w:rPr>
                <w:sz w:val="20"/>
                <w:szCs w:val="20"/>
                <w:color w:val="auto"/>
              </w:rPr>
            </w:pPr>
            <w:r>
              <w:rPr>
                <w:rFonts w:ascii="Arial" w:cs="Arial" w:eastAsia="Arial" w:hAnsi="Arial"/>
                <w:sz w:val="14"/>
                <w:szCs w:val="14"/>
                <w:color w:val="58595B"/>
              </w:rPr>
              <w:t>Acceleration of Stock Options</w:t>
            </w:r>
          </w:p>
        </w:tc>
        <w:tc>
          <w:tcPr>
            <w:tcW w:w="1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48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620" w:type="dxa"/>
            <w:vAlign w:val="bottom"/>
            <w:gridSpan w:val="2"/>
            <w:shd w:val="clear" w:color="auto" w:fill="EFEDED"/>
          </w:tcPr>
          <w:p>
            <w:pPr>
              <w:jc w:val="right"/>
              <w:ind w:right="408"/>
              <w:spacing w:after="0"/>
              <w:rPr>
                <w:sz w:val="20"/>
                <w:szCs w:val="20"/>
                <w:color w:val="auto"/>
              </w:rPr>
            </w:pPr>
            <w:r>
              <w:rPr>
                <w:rFonts w:ascii="Arial" w:cs="Arial" w:eastAsia="Arial" w:hAnsi="Arial"/>
                <w:sz w:val="14"/>
                <w:szCs w:val="14"/>
                <w:color w:val="58595B"/>
              </w:rPr>
              <w:t>$</w:t>
            </w:r>
          </w:p>
        </w:tc>
        <w:tc>
          <w:tcPr>
            <w:tcW w:w="1820" w:type="dxa"/>
            <w:vAlign w:val="bottom"/>
            <w:gridSpan w:val="2"/>
            <w:shd w:val="clear" w:color="auto" w:fill="EFEDED"/>
          </w:tcPr>
          <w:p>
            <w:pPr>
              <w:jc w:val="right"/>
              <w:ind w:right="448"/>
              <w:spacing w:after="0"/>
              <w:rPr>
                <w:sz w:val="20"/>
                <w:szCs w:val="20"/>
                <w:color w:val="auto"/>
              </w:rPr>
            </w:pPr>
            <w:r>
              <w:rPr>
                <w:rFonts w:ascii="Arial" w:cs="Arial" w:eastAsia="Arial" w:hAnsi="Arial"/>
                <w:sz w:val="14"/>
                <w:szCs w:val="14"/>
                <w:color w:val="58595B"/>
              </w:rPr>
              <w:t>— $</w:t>
            </w:r>
          </w:p>
        </w:tc>
        <w:tc>
          <w:tcPr>
            <w:tcW w:w="1340" w:type="dxa"/>
            <w:vAlign w:val="bottom"/>
            <w:gridSpan w:val="2"/>
            <w:shd w:val="clear" w:color="auto" w:fill="EFEDED"/>
          </w:tcPr>
          <w:p>
            <w:pPr>
              <w:jc w:val="right"/>
              <w:spacing w:after="0"/>
              <w:rPr>
                <w:sz w:val="20"/>
                <w:szCs w:val="20"/>
                <w:color w:val="auto"/>
              </w:rPr>
            </w:pPr>
            <w:r>
              <w:rPr>
                <w:rFonts w:ascii="Arial" w:cs="Arial" w:eastAsia="Arial" w:hAnsi="Arial"/>
                <w:sz w:val="14"/>
                <w:szCs w:val="14"/>
                <w:color w:val="58595B"/>
              </w:rPr>
              <w:t>— $</w:t>
            </w:r>
          </w:p>
        </w:tc>
        <w:tc>
          <w:tcPr>
            <w:tcW w:w="1980" w:type="dxa"/>
            <w:vAlign w:val="bottom"/>
            <w:shd w:val="clear" w:color="auto" w:fill="EFEDED"/>
          </w:tcPr>
          <w:p>
            <w:pPr>
              <w:jc w:val="right"/>
              <w:ind w:right="128"/>
              <w:spacing w:after="0"/>
              <w:rPr>
                <w:sz w:val="20"/>
                <w:szCs w:val="20"/>
                <w:color w:val="auto"/>
              </w:rPr>
            </w:pPr>
            <w:r>
              <w:rPr>
                <w:rFonts w:ascii="Arial" w:cs="Arial" w:eastAsia="Arial" w:hAnsi="Arial"/>
                <w:sz w:val="14"/>
                <w:szCs w:val="14"/>
                <w:color w:val="58595B"/>
              </w:rPr>
              <w:t>—</w:t>
            </w:r>
          </w:p>
        </w:tc>
      </w:tr>
      <w:tr>
        <w:trPr>
          <w:trHeight w:val="230"/>
        </w:trPr>
        <w:tc>
          <w:tcPr>
            <w:tcW w:w="3900" w:type="dxa"/>
            <w:vAlign w:val="bottom"/>
            <w:shd w:val="clear" w:color="auto" w:fill="EFEDED"/>
          </w:tcPr>
          <w:p>
            <w:pPr>
              <w:ind w:left="260"/>
              <w:spacing w:after="0"/>
              <w:rPr>
                <w:sz w:val="20"/>
                <w:szCs w:val="20"/>
                <w:color w:val="auto"/>
              </w:rPr>
            </w:pPr>
            <w:r>
              <w:rPr>
                <w:rFonts w:ascii="Arial" w:cs="Arial" w:eastAsia="Arial" w:hAnsi="Arial"/>
                <w:sz w:val="14"/>
                <w:szCs w:val="14"/>
                <w:color w:val="58595B"/>
              </w:rPr>
              <w:t>Acceleration of Other Grants</w:t>
            </w:r>
          </w:p>
        </w:tc>
        <w:tc>
          <w:tcPr>
            <w:tcW w:w="1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48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40" w:type="dxa"/>
            <w:vAlign w:val="bottom"/>
            <w:shd w:val="clear" w:color="auto" w:fill="EFEDED"/>
          </w:tcPr>
          <w:p>
            <w:pPr>
              <w:spacing w:after="0"/>
              <w:rPr>
                <w:sz w:val="19"/>
                <w:szCs w:val="19"/>
                <w:color w:val="auto"/>
              </w:rPr>
            </w:pPr>
          </w:p>
        </w:tc>
        <w:tc>
          <w:tcPr>
            <w:tcW w:w="580" w:type="dxa"/>
            <w:vAlign w:val="bottom"/>
            <w:shd w:val="clear" w:color="auto" w:fill="EFEDED"/>
          </w:tcPr>
          <w:p>
            <w:pPr>
              <w:jc w:val="right"/>
              <w:ind w:right="408"/>
              <w:spacing w:after="0"/>
              <w:rPr>
                <w:sz w:val="20"/>
                <w:szCs w:val="20"/>
                <w:color w:val="auto"/>
              </w:rPr>
            </w:pPr>
            <w:r>
              <w:rPr>
                <w:rFonts w:ascii="Arial" w:cs="Arial" w:eastAsia="Arial" w:hAnsi="Arial"/>
                <w:sz w:val="14"/>
                <w:szCs w:val="14"/>
                <w:color w:val="58595B"/>
              </w:rPr>
              <w:t>$</w:t>
            </w:r>
          </w:p>
        </w:tc>
        <w:tc>
          <w:tcPr>
            <w:tcW w:w="122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508,363</w:t>
            </w:r>
          </w:p>
        </w:tc>
        <w:tc>
          <w:tcPr>
            <w:tcW w:w="600" w:type="dxa"/>
            <w:vAlign w:val="bottom"/>
            <w:shd w:val="clear" w:color="auto" w:fill="EFEDED"/>
          </w:tcPr>
          <w:p>
            <w:pPr>
              <w:jc w:val="right"/>
              <w:ind w:right="448"/>
              <w:spacing w:after="0"/>
              <w:rPr>
                <w:sz w:val="20"/>
                <w:szCs w:val="20"/>
                <w:color w:val="auto"/>
              </w:rPr>
            </w:pPr>
            <w:r>
              <w:rPr>
                <w:rFonts w:ascii="Arial" w:cs="Arial" w:eastAsia="Arial" w:hAnsi="Arial"/>
                <w:sz w:val="14"/>
                <w:szCs w:val="14"/>
                <w:color w:val="58595B"/>
                <w:w w:val="76"/>
              </w:rPr>
              <w:t>$</w:t>
            </w:r>
          </w:p>
        </w:tc>
        <w:tc>
          <w:tcPr>
            <w:tcW w:w="12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508,363</w:t>
            </w:r>
          </w:p>
        </w:tc>
        <w:tc>
          <w:tcPr>
            <w:tcW w:w="14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980" w:type="dxa"/>
            <w:vAlign w:val="bottom"/>
            <w:shd w:val="clear" w:color="auto" w:fill="EFEDED"/>
          </w:tcPr>
          <w:p>
            <w:pPr>
              <w:jc w:val="right"/>
              <w:ind w:right="128"/>
              <w:spacing w:after="0"/>
              <w:rPr>
                <w:sz w:val="20"/>
                <w:szCs w:val="20"/>
                <w:color w:val="auto"/>
              </w:rPr>
            </w:pPr>
            <w:r>
              <w:rPr>
                <w:rFonts w:ascii="Arial" w:cs="Arial" w:eastAsia="Arial" w:hAnsi="Arial"/>
                <w:sz w:val="14"/>
                <w:szCs w:val="14"/>
                <w:color w:val="58595B"/>
              </w:rPr>
              <w:t>1,239,441</w:t>
            </w:r>
          </w:p>
        </w:tc>
      </w:tr>
      <w:tr>
        <w:trPr>
          <w:trHeight w:val="231"/>
        </w:trPr>
        <w:tc>
          <w:tcPr>
            <w:tcW w:w="390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4"/>
                <w:szCs w:val="14"/>
                <w:color w:val="58595B"/>
              </w:rPr>
              <w:t>Total</w:t>
            </w:r>
          </w:p>
        </w:tc>
        <w:tc>
          <w:tcPr>
            <w:tcW w:w="1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4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40" w:type="dxa"/>
            <w:vAlign w:val="bottom"/>
            <w:tcBorders>
              <w:bottom w:val="single" w:sz="8" w:color="EFEDED"/>
            </w:tcBorders>
            <w:shd w:val="clear" w:color="auto" w:fill="EFEDED"/>
          </w:tcPr>
          <w:p>
            <w:pPr>
              <w:spacing w:after="0"/>
              <w:rPr>
                <w:sz w:val="20"/>
                <w:szCs w:val="20"/>
                <w:color w:val="auto"/>
              </w:rPr>
            </w:pPr>
          </w:p>
        </w:tc>
        <w:tc>
          <w:tcPr>
            <w:tcW w:w="580" w:type="dxa"/>
            <w:vAlign w:val="bottom"/>
            <w:tcBorders>
              <w:bottom w:val="single" w:sz="8" w:color="EFEDED"/>
            </w:tcBorders>
            <w:shd w:val="clear" w:color="auto" w:fill="EFEDED"/>
          </w:tcPr>
          <w:p>
            <w:pPr>
              <w:jc w:val="right"/>
              <w:ind w:right="408"/>
              <w:spacing w:after="0"/>
              <w:rPr>
                <w:sz w:val="20"/>
                <w:szCs w:val="20"/>
                <w:color w:val="auto"/>
              </w:rPr>
            </w:pPr>
            <w:r>
              <w:rPr>
                <w:rFonts w:ascii="Arial" w:cs="Arial" w:eastAsia="Arial" w:hAnsi="Arial"/>
                <w:sz w:val="14"/>
                <w:szCs w:val="14"/>
                <w:color w:val="58595B"/>
              </w:rPr>
              <w:t>$</w:t>
            </w:r>
          </w:p>
        </w:tc>
        <w:tc>
          <w:tcPr>
            <w:tcW w:w="1220" w:type="dxa"/>
            <w:vAlign w:val="bottom"/>
            <w:tcBorders>
              <w:bottom w:val="single" w:sz="8" w:color="EFEDED"/>
            </w:tcBorders>
            <w:shd w:val="clear" w:color="auto" w:fill="EFEDED"/>
          </w:tcPr>
          <w:p>
            <w:pPr>
              <w:jc w:val="right"/>
              <w:ind w:right="8"/>
              <w:spacing w:after="0"/>
              <w:rPr>
                <w:sz w:val="20"/>
                <w:szCs w:val="20"/>
                <w:color w:val="auto"/>
              </w:rPr>
            </w:pPr>
            <w:r>
              <w:rPr>
                <w:rFonts w:ascii="Arial" w:cs="Arial" w:eastAsia="Arial" w:hAnsi="Arial"/>
                <w:sz w:val="14"/>
                <w:szCs w:val="14"/>
                <w:color w:val="58595B"/>
              </w:rPr>
              <w:t>508,363</w:t>
            </w:r>
          </w:p>
        </w:tc>
        <w:tc>
          <w:tcPr>
            <w:tcW w:w="600" w:type="dxa"/>
            <w:vAlign w:val="bottom"/>
            <w:tcBorders>
              <w:bottom w:val="single" w:sz="8" w:color="EFEDED"/>
            </w:tcBorders>
            <w:shd w:val="clear" w:color="auto" w:fill="EFEDED"/>
          </w:tcPr>
          <w:p>
            <w:pPr>
              <w:jc w:val="right"/>
              <w:ind w:right="448"/>
              <w:spacing w:after="0"/>
              <w:rPr>
                <w:sz w:val="20"/>
                <w:szCs w:val="20"/>
                <w:color w:val="auto"/>
              </w:rPr>
            </w:pPr>
            <w:r>
              <w:rPr>
                <w:rFonts w:ascii="Arial" w:cs="Arial" w:eastAsia="Arial" w:hAnsi="Arial"/>
                <w:sz w:val="14"/>
                <w:szCs w:val="14"/>
                <w:color w:val="58595B"/>
                <w:w w:val="76"/>
              </w:rPr>
              <w:t>$</w:t>
            </w:r>
          </w:p>
        </w:tc>
        <w:tc>
          <w:tcPr>
            <w:tcW w:w="12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508,363</w:t>
            </w:r>
          </w:p>
        </w:tc>
        <w:tc>
          <w:tcPr>
            <w:tcW w:w="1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980" w:type="dxa"/>
            <w:vAlign w:val="bottom"/>
            <w:tcBorders>
              <w:bottom w:val="single" w:sz="8" w:color="EFEDED"/>
            </w:tcBorders>
            <w:shd w:val="clear" w:color="auto" w:fill="EFEDED"/>
          </w:tcPr>
          <w:p>
            <w:pPr>
              <w:jc w:val="right"/>
              <w:ind w:right="128"/>
              <w:spacing w:after="0"/>
              <w:rPr>
                <w:sz w:val="20"/>
                <w:szCs w:val="20"/>
                <w:color w:val="auto"/>
              </w:rPr>
            </w:pPr>
            <w:r>
              <w:rPr>
                <w:rFonts w:ascii="Arial" w:cs="Arial" w:eastAsia="Arial" w:hAnsi="Arial"/>
                <w:sz w:val="14"/>
                <w:szCs w:val="14"/>
                <w:color w:val="58595B"/>
              </w:rPr>
              <w:t>3,573,925</w:t>
            </w:r>
          </w:p>
        </w:tc>
      </w:tr>
      <w:tr>
        <w:trPr>
          <w:trHeight w:val="208"/>
        </w:trPr>
        <w:tc>
          <w:tcPr>
            <w:tcW w:w="3900" w:type="dxa"/>
            <w:vAlign w:val="bottom"/>
          </w:tcPr>
          <w:p>
            <w:pPr>
              <w:ind w:left="140"/>
              <w:spacing w:after="0"/>
              <w:rPr>
                <w:sz w:val="20"/>
                <w:szCs w:val="20"/>
                <w:color w:val="auto"/>
              </w:rPr>
            </w:pPr>
            <w:r>
              <w:rPr>
                <w:rFonts w:ascii="Arial" w:cs="Arial" w:eastAsia="Arial" w:hAnsi="Arial"/>
                <w:sz w:val="14"/>
                <w:szCs w:val="14"/>
                <w:color w:val="58595B"/>
              </w:rPr>
              <w:t>Harvinder Singh</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4"/>
                <w:szCs w:val="14"/>
                <w:color w:val="58595B"/>
              </w:rPr>
              <w:t>Cash Severance</w:t>
            </w:r>
          </w:p>
        </w:tc>
        <w:tc>
          <w:tcPr>
            <w:tcW w:w="100" w:type="dxa"/>
            <w:vAlign w:val="bottom"/>
          </w:tcPr>
          <w:p>
            <w:pPr>
              <w:jc w:val="right"/>
              <w:spacing w:after="0"/>
              <w:rPr>
                <w:sz w:val="20"/>
                <w:szCs w:val="20"/>
                <w:color w:val="auto"/>
              </w:rPr>
            </w:pPr>
            <w:r>
              <w:rPr>
                <w:rFonts w:ascii="Arial" w:cs="Arial" w:eastAsia="Arial" w:hAnsi="Arial"/>
                <w:sz w:val="14"/>
                <w:szCs w:val="14"/>
                <w:color w:val="58595B"/>
              </w:rPr>
              <w:t>$</w:t>
            </w:r>
          </w:p>
        </w:tc>
        <w:tc>
          <w:tcPr>
            <w:tcW w:w="2100" w:type="dxa"/>
            <w:vAlign w:val="bottom"/>
            <w:gridSpan w:val="3"/>
          </w:tcPr>
          <w:p>
            <w:pPr>
              <w:jc w:val="right"/>
              <w:ind w:right="408"/>
              <w:spacing w:after="0"/>
              <w:rPr>
                <w:sz w:val="20"/>
                <w:szCs w:val="20"/>
                <w:color w:val="auto"/>
              </w:rPr>
            </w:pPr>
            <w:r>
              <w:rPr>
                <w:rFonts w:ascii="Arial" w:cs="Arial" w:eastAsia="Arial" w:hAnsi="Arial"/>
                <w:sz w:val="14"/>
                <w:szCs w:val="14"/>
                <w:color w:val="58595B"/>
              </w:rPr>
              <w:t>— $</w:t>
            </w:r>
          </w:p>
        </w:tc>
        <w:tc>
          <w:tcPr>
            <w:tcW w:w="1820" w:type="dxa"/>
            <w:vAlign w:val="bottom"/>
            <w:gridSpan w:val="2"/>
          </w:tcPr>
          <w:p>
            <w:pPr>
              <w:jc w:val="right"/>
              <w:ind w:right="448"/>
              <w:spacing w:after="0"/>
              <w:rPr>
                <w:sz w:val="20"/>
                <w:szCs w:val="20"/>
                <w:color w:val="auto"/>
              </w:rPr>
            </w:pPr>
            <w:r>
              <w:rPr>
                <w:rFonts w:ascii="Arial" w:cs="Arial" w:eastAsia="Arial" w:hAnsi="Arial"/>
                <w:sz w:val="14"/>
                <w:szCs w:val="14"/>
                <w:color w:val="58595B"/>
              </w:rPr>
              <w:t>— $</w:t>
            </w:r>
          </w:p>
        </w:tc>
        <w:tc>
          <w:tcPr>
            <w:tcW w:w="1340" w:type="dxa"/>
            <w:vAlign w:val="bottom"/>
            <w:gridSpan w:val="2"/>
          </w:tcPr>
          <w:p>
            <w:pPr>
              <w:jc w:val="right"/>
              <w:spacing w:after="0"/>
              <w:rPr>
                <w:sz w:val="20"/>
                <w:szCs w:val="20"/>
                <w:color w:val="auto"/>
              </w:rPr>
            </w:pPr>
            <w:r>
              <w:rPr>
                <w:rFonts w:ascii="Arial" w:cs="Arial" w:eastAsia="Arial" w:hAnsi="Arial"/>
                <w:sz w:val="14"/>
                <w:szCs w:val="14"/>
                <w:color w:val="58595B"/>
              </w:rPr>
              <w:t>— $</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1,707,750</w:t>
            </w:r>
          </w:p>
        </w:tc>
      </w:tr>
      <w:tr>
        <w:trPr>
          <w:trHeight w:val="230"/>
        </w:trPr>
        <w:tc>
          <w:tcPr>
            <w:tcW w:w="3900" w:type="dxa"/>
            <w:vAlign w:val="bottom"/>
          </w:tcPr>
          <w:p>
            <w:pPr>
              <w:ind w:left="260"/>
              <w:spacing w:after="0"/>
              <w:rPr>
                <w:sz w:val="20"/>
                <w:szCs w:val="20"/>
                <w:color w:val="auto"/>
              </w:rPr>
            </w:pPr>
            <w:r>
              <w:rPr>
                <w:rFonts w:ascii="Arial" w:cs="Arial" w:eastAsia="Arial" w:hAnsi="Arial"/>
                <w:sz w:val="14"/>
                <w:szCs w:val="14"/>
                <w:color w:val="58595B"/>
              </w:rPr>
              <w:t>Continued Health &amp; Other Benefits(1)</w:t>
            </w:r>
          </w:p>
        </w:tc>
        <w:tc>
          <w:tcPr>
            <w:tcW w:w="100" w:type="dxa"/>
            <w:vAlign w:val="bottom"/>
          </w:tcPr>
          <w:p>
            <w:pPr>
              <w:jc w:val="right"/>
              <w:spacing w:after="0"/>
              <w:rPr>
                <w:sz w:val="20"/>
                <w:szCs w:val="20"/>
                <w:color w:val="auto"/>
              </w:rPr>
            </w:pPr>
            <w:r>
              <w:rPr>
                <w:rFonts w:ascii="Arial" w:cs="Arial" w:eastAsia="Arial" w:hAnsi="Arial"/>
                <w:sz w:val="14"/>
                <w:szCs w:val="14"/>
                <w:color w:val="58595B"/>
              </w:rPr>
              <w:t>$</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58595B"/>
              </w:rPr>
              <w:t>—</w:t>
            </w:r>
          </w:p>
        </w:tc>
        <w:tc>
          <w:tcPr>
            <w:tcW w:w="580" w:type="dxa"/>
            <w:vAlign w:val="bottom"/>
          </w:tcPr>
          <w:p>
            <w:pPr>
              <w:jc w:val="right"/>
              <w:ind w:right="408"/>
              <w:spacing w:after="0"/>
              <w:rPr>
                <w:sz w:val="20"/>
                <w:szCs w:val="20"/>
                <w:color w:val="auto"/>
              </w:rPr>
            </w:pPr>
            <w:r>
              <w:rPr>
                <w:rFonts w:ascii="Arial" w:cs="Arial" w:eastAsia="Arial" w:hAnsi="Arial"/>
                <w:sz w:val="14"/>
                <w:szCs w:val="14"/>
                <w:color w:val="58595B"/>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58595B"/>
              </w:rPr>
              <w:t>—</w:t>
            </w:r>
          </w:p>
        </w:tc>
        <w:tc>
          <w:tcPr>
            <w:tcW w:w="600" w:type="dxa"/>
            <w:vAlign w:val="bottom"/>
          </w:tcPr>
          <w:p>
            <w:pPr>
              <w:jc w:val="right"/>
              <w:ind w:right="448"/>
              <w:spacing w:after="0"/>
              <w:rPr>
                <w:sz w:val="20"/>
                <w:szCs w:val="20"/>
                <w:color w:val="auto"/>
              </w:rPr>
            </w:pPr>
            <w:r>
              <w:rPr>
                <w:rFonts w:ascii="Arial" w:cs="Arial" w:eastAsia="Arial" w:hAnsi="Arial"/>
                <w:sz w:val="14"/>
                <w:szCs w:val="14"/>
                <w:color w:val="58595B"/>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58595B"/>
              </w:rPr>
              <w:t>—</w:t>
            </w:r>
          </w:p>
        </w:tc>
        <w:tc>
          <w:tcPr>
            <w:tcW w:w="140" w:type="dxa"/>
            <w:vAlign w:val="bottom"/>
          </w:tcPr>
          <w:p>
            <w:pPr>
              <w:jc w:val="right"/>
              <w:spacing w:after="0"/>
              <w:rPr>
                <w:sz w:val="20"/>
                <w:szCs w:val="20"/>
                <w:color w:val="auto"/>
              </w:rPr>
            </w:pPr>
            <w:r>
              <w:rPr>
                <w:rFonts w:ascii="Arial" w:cs="Arial" w:eastAsia="Arial" w:hAnsi="Arial"/>
                <w:sz w:val="14"/>
                <w:szCs w:val="14"/>
                <w:color w:val="58595B"/>
              </w:rPr>
              <w:t>$</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34,475</w:t>
            </w:r>
          </w:p>
        </w:tc>
      </w:tr>
      <w:tr>
        <w:trPr>
          <w:trHeight w:val="230"/>
        </w:trPr>
        <w:tc>
          <w:tcPr>
            <w:tcW w:w="3900" w:type="dxa"/>
            <w:vAlign w:val="bottom"/>
          </w:tcPr>
          <w:p>
            <w:pPr>
              <w:ind w:left="260"/>
              <w:spacing w:after="0"/>
              <w:rPr>
                <w:sz w:val="20"/>
                <w:szCs w:val="20"/>
                <w:color w:val="auto"/>
              </w:rPr>
            </w:pPr>
            <w:r>
              <w:rPr>
                <w:rFonts w:ascii="Arial" w:cs="Arial" w:eastAsia="Arial" w:hAnsi="Arial"/>
                <w:sz w:val="14"/>
                <w:szCs w:val="14"/>
                <w:color w:val="58595B"/>
              </w:rPr>
              <w:t>Acceleration of Stock Options</w:t>
            </w:r>
          </w:p>
        </w:tc>
        <w:tc>
          <w:tcPr>
            <w:tcW w:w="100" w:type="dxa"/>
            <w:vAlign w:val="bottom"/>
          </w:tcPr>
          <w:p>
            <w:pPr>
              <w:jc w:val="right"/>
              <w:spacing w:after="0"/>
              <w:rPr>
                <w:sz w:val="20"/>
                <w:szCs w:val="20"/>
                <w:color w:val="auto"/>
              </w:rPr>
            </w:pPr>
            <w:r>
              <w:rPr>
                <w:rFonts w:ascii="Arial" w:cs="Arial" w:eastAsia="Arial" w:hAnsi="Arial"/>
                <w:sz w:val="14"/>
                <w:szCs w:val="14"/>
                <w:color w:val="58595B"/>
              </w:rPr>
              <w:t>$</w:t>
            </w:r>
          </w:p>
        </w:tc>
        <w:tc>
          <w:tcPr>
            <w:tcW w:w="2100" w:type="dxa"/>
            <w:vAlign w:val="bottom"/>
            <w:gridSpan w:val="3"/>
          </w:tcPr>
          <w:p>
            <w:pPr>
              <w:jc w:val="right"/>
              <w:ind w:right="408"/>
              <w:spacing w:after="0"/>
              <w:rPr>
                <w:sz w:val="20"/>
                <w:szCs w:val="20"/>
                <w:color w:val="auto"/>
              </w:rPr>
            </w:pPr>
            <w:r>
              <w:rPr>
                <w:rFonts w:ascii="Arial" w:cs="Arial" w:eastAsia="Arial" w:hAnsi="Arial"/>
                <w:sz w:val="14"/>
                <w:szCs w:val="14"/>
                <w:color w:val="58595B"/>
              </w:rPr>
              <w:t>— $</w:t>
            </w:r>
          </w:p>
        </w:tc>
        <w:tc>
          <w:tcPr>
            <w:tcW w:w="1820" w:type="dxa"/>
            <w:vAlign w:val="bottom"/>
            <w:gridSpan w:val="2"/>
          </w:tcPr>
          <w:p>
            <w:pPr>
              <w:jc w:val="right"/>
              <w:ind w:right="448"/>
              <w:spacing w:after="0"/>
              <w:rPr>
                <w:sz w:val="20"/>
                <w:szCs w:val="20"/>
                <w:color w:val="auto"/>
              </w:rPr>
            </w:pPr>
            <w:r>
              <w:rPr>
                <w:rFonts w:ascii="Arial" w:cs="Arial" w:eastAsia="Arial" w:hAnsi="Arial"/>
                <w:sz w:val="14"/>
                <w:szCs w:val="14"/>
                <w:color w:val="58595B"/>
              </w:rPr>
              <w:t>— $</w:t>
            </w:r>
          </w:p>
        </w:tc>
        <w:tc>
          <w:tcPr>
            <w:tcW w:w="1340" w:type="dxa"/>
            <w:vAlign w:val="bottom"/>
            <w:gridSpan w:val="2"/>
          </w:tcPr>
          <w:p>
            <w:pPr>
              <w:jc w:val="right"/>
              <w:spacing w:after="0"/>
              <w:rPr>
                <w:sz w:val="20"/>
                <w:szCs w:val="20"/>
                <w:color w:val="auto"/>
              </w:rPr>
            </w:pPr>
            <w:r>
              <w:rPr>
                <w:rFonts w:ascii="Arial" w:cs="Arial" w:eastAsia="Arial" w:hAnsi="Arial"/>
                <w:sz w:val="14"/>
                <w:szCs w:val="14"/>
                <w:color w:val="58595B"/>
              </w:rPr>
              <w:t>— $</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w:t>
            </w:r>
          </w:p>
        </w:tc>
      </w:tr>
      <w:tr>
        <w:trPr>
          <w:trHeight w:val="229"/>
        </w:trPr>
        <w:tc>
          <w:tcPr>
            <w:tcW w:w="3900" w:type="dxa"/>
            <w:vAlign w:val="bottom"/>
          </w:tcPr>
          <w:p>
            <w:pPr>
              <w:ind w:left="260"/>
              <w:spacing w:after="0"/>
              <w:rPr>
                <w:sz w:val="20"/>
                <w:szCs w:val="20"/>
                <w:color w:val="auto"/>
              </w:rPr>
            </w:pPr>
            <w:r>
              <w:rPr>
                <w:rFonts w:ascii="Arial" w:cs="Arial" w:eastAsia="Arial" w:hAnsi="Arial"/>
                <w:sz w:val="14"/>
                <w:szCs w:val="14"/>
                <w:color w:val="58595B"/>
              </w:rPr>
              <w:t>Acceleration of Other Grants</w:t>
            </w:r>
          </w:p>
        </w:tc>
        <w:tc>
          <w:tcPr>
            <w:tcW w:w="100" w:type="dxa"/>
            <w:vAlign w:val="bottom"/>
          </w:tcPr>
          <w:p>
            <w:pPr>
              <w:jc w:val="right"/>
              <w:spacing w:after="0"/>
              <w:rPr>
                <w:sz w:val="20"/>
                <w:szCs w:val="20"/>
                <w:color w:val="auto"/>
              </w:rPr>
            </w:pPr>
            <w:r>
              <w:rPr>
                <w:rFonts w:ascii="Arial" w:cs="Arial" w:eastAsia="Arial" w:hAnsi="Arial"/>
                <w:sz w:val="14"/>
                <w:szCs w:val="14"/>
                <w:color w:val="58595B"/>
              </w:rPr>
              <w:t>$</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58595B"/>
              </w:rPr>
              <w:t>—</w:t>
            </w:r>
          </w:p>
        </w:tc>
        <w:tc>
          <w:tcPr>
            <w:tcW w:w="580" w:type="dxa"/>
            <w:vAlign w:val="bottom"/>
          </w:tcPr>
          <w:p>
            <w:pPr>
              <w:jc w:val="right"/>
              <w:ind w:right="408"/>
              <w:spacing w:after="0"/>
              <w:rPr>
                <w:sz w:val="20"/>
                <w:szCs w:val="20"/>
                <w:color w:val="auto"/>
              </w:rPr>
            </w:pPr>
            <w:r>
              <w:rPr>
                <w:rFonts w:ascii="Arial" w:cs="Arial" w:eastAsia="Arial" w:hAnsi="Arial"/>
                <w:sz w:val="14"/>
                <w:szCs w:val="14"/>
                <w:color w:val="58595B"/>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58595B"/>
              </w:rPr>
              <w:t>398,359</w:t>
            </w:r>
          </w:p>
        </w:tc>
        <w:tc>
          <w:tcPr>
            <w:tcW w:w="600" w:type="dxa"/>
            <w:vAlign w:val="bottom"/>
          </w:tcPr>
          <w:p>
            <w:pPr>
              <w:jc w:val="right"/>
              <w:ind w:right="448"/>
              <w:spacing w:after="0"/>
              <w:rPr>
                <w:sz w:val="20"/>
                <w:szCs w:val="20"/>
                <w:color w:val="auto"/>
              </w:rPr>
            </w:pPr>
            <w:r>
              <w:rPr>
                <w:rFonts w:ascii="Arial" w:cs="Arial" w:eastAsia="Arial" w:hAnsi="Arial"/>
                <w:sz w:val="14"/>
                <w:szCs w:val="14"/>
                <w:color w:val="58595B"/>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58595B"/>
              </w:rPr>
              <w:t>398,359</w:t>
            </w:r>
          </w:p>
        </w:tc>
        <w:tc>
          <w:tcPr>
            <w:tcW w:w="140" w:type="dxa"/>
            <w:vAlign w:val="bottom"/>
          </w:tcPr>
          <w:p>
            <w:pPr>
              <w:jc w:val="right"/>
              <w:spacing w:after="0"/>
              <w:rPr>
                <w:sz w:val="20"/>
                <w:szCs w:val="20"/>
                <w:color w:val="auto"/>
              </w:rPr>
            </w:pPr>
            <w:r>
              <w:rPr>
                <w:rFonts w:ascii="Arial" w:cs="Arial" w:eastAsia="Arial" w:hAnsi="Arial"/>
                <w:sz w:val="14"/>
                <w:szCs w:val="14"/>
                <w:color w:val="58595B"/>
              </w:rPr>
              <w:t>$</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783,541</w:t>
            </w:r>
          </w:p>
        </w:tc>
      </w:tr>
      <w:tr>
        <w:trPr>
          <w:trHeight w:val="230"/>
        </w:trPr>
        <w:tc>
          <w:tcPr>
            <w:tcW w:w="3900" w:type="dxa"/>
            <w:vAlign w:val="bottom"/>
          </w:tcPr>
          <w:p>
            <w:pPr>
              <w:ind w:left="260"/>
              <w:spacing w:after="0"/>
              <w:rPr>
                <w:sz w:val="20"/>
                <w:szCs w:val="20"/>
                <w:color w:val="auto"/>
              </w:rPr>
            </w:pPr>
            <w:r>
              <w:rPr>
                <w:rFonts w:ascii="Arial" w:cs="Arial" w:eastAsia="Arial" w:hAnsi="Arial"/>
                <w:sz w:val="14"/>
                <w:szCs w:val="14"/>
                <w:color w:val="58595B"/>
              </w:rPr>
              <w:t>Total</w:t>
            </w:r>
          </w:p>
        </w:tc>
        <w:tc>
          <w:tcPr>
            <w:tcW w:w="100" w:type="dxa"/>
            <w:vAlign w:val="bottom"/>
          </w:tcPr>
          <w:p>
            <w:pPr>
              <w:jc w:val="right"/>
              <w:spacing w:after="0"/>
              <w:rPr>
                <w:sz w:val="20"/>
                <w:szCs w:val="20"/>
                <w:color w:val="auto"/>
              </w:rPr>
            </w:pPr>
            <w:r>
              <w:rPr>
                <w:rFonts w:ascii="Arial" w:cs="Arial" w:eastAsia="Arial" w:hAnsi="Arial"/>
                <w:sz w:val="14"/>
                <w:szCs w:val="14"/>
                <w:color w:val="58595B"/>
              </w:rPr>
              <w:t>$</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58595B"/>
              </w:rPr>
              <w:t>—</w:t>
            </w:r>
          </w:p>
        </w:tc>
        <w:tc>
          <w:tcPr>
            <w:tcW w:w="580" w:type="dxa"/>
            <w:vAlign w:val="bottom"/>
          </w:tcPr>
          <w:p>
            <w:pPr>
              <w:jc w:val="right"/>
              <w:ind w:right="408"/>
              <w:spacing w:after="0"/>
              <w:rPr>
                <w:sz w:val="20"/>
                <w:szCs w:val="20"/>
                <w:color w:val="auto"/>
              </w:rPr>
            </w:pPr>
            <w:r>
              <w:rPr>
                <w:rFonts w:ascii="Arial" w:cs="Arial" w:eastAsia="Arial" w:hAnsi="Arial"/>
                <w:sz w:val="14"/>
                <w:szCs w:val="14"/>
                <w:color w:val="58595B"/>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58595B"/>
              </w:rPr>
              <w:t>398,359</w:t>
            </w:r>
          </w:p>
        </w:tc>
        <w:tc>
          <w:tcPr>
            <w:tcW w:w="600" w:type="dxa"/>
            <w:vAlign w:val="bottom"/>
          </w:tcPr>
          <w:p>
            <w:pPr>
              <w:jc w:val="right"/>
              <w:ind w:right="448"/>
              <w:spacing w:after="0"/>
              <w:rPr>
                <w:sz w:val="20"/>
                <w:szCs w:val="20"/>
                <w:color w:val="auto"/>
              </w:rPr>
            </w:pPr>
            <w:r>
              <w:rPr>
                <w:rFonts w:ascii="Arial" w:cs="Arial" w:eastAsia="Arial" w:hAnsi="Arial"/>
                <w:sz w:val="14"/>
                <w:szCs w:val="14"/>
                <w:color w:val="58595B"/>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58595B"/>
              </w:rPr>
              <w:t>398,359</w:t>
            </w:r>
          </w:p>
        </w:tc>
        <w:tc>
          <w:tcPr>
            <w:tcW w:w="140" w:type="dxa"/>
            <w:vAlign w:val="bottom"/>
          </w:tcPr>
          <w:p>
            <w:pPr>
              <w:jc w:val="right"/>
              <w:spacing w:after="0"/>
              <w:rPr>
                <w:sz w:val="20"/>
                <w:szCs w:val="20"/>
                <w:color w:val="auto"/>
              </w:rPr>
            </w:pPr>
            <w:r>
              <w:rPr>
                <w:rFonts w:ascii="Arial" w:cs="Arial" w:eastAsia="Arial" w:hAnsi="Arial"/>
                <w:sz w:val="14"/>
                <w:szCs w:val="14"/>
                <w:color w:val="58595B"/>
              </w:rPr>
              <w:t>$</w:t>
            </w:r>
          </w:p>
        </w:tc>
        <w:tc>
          <w:tcPr>
            <w:tcW w:w="1980" w:type="dxa"/>
            <w:vAlign w:val="bottom"/>
          </w:tcPr>
          <w:p>
            <w:pPr>
              <w:jc w:val="right"/>
              <w:ind w:right="128"/>
              <w:spacing w:after="0"/>
              <w:rPr>
                <w:sz w:val="20"/>
                <w:szCs w:val="20"/>
                <w:color w:val="auto"/>
              </w:rPr>
            </w:pPr>
            <w:r>
              <w:rPr>
                <w:rFonts w:ascii="Arial" w:cs="Arial" w:eastAsia="Arial" w:hAnsi="Arial"/>
                <w:sz w:val="14"/>
                <w:szCs w:val="14"/>
                <w:color w:val="58595B"/>
              </w:rPr>
              <w:t>2,525,765</w:t>
            </w:r>
          </w:p>
        </w:tc>
      </w:tr>
      <w:tr>
        <w:trPr>
          <w:trHeight w:val="22"/>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8"/>
        </w:trPr>
        <w:tc>
          <w:tcPr>
            <w:tcW w:w="3900" w:type="dxa"/>
            <w:vAlign w:val="bottom"/>
            <w:shd w:val="clear" w:color="auto" w:fill="EFEDED"/>
          </w:tcPr>
          <w:p>
            <w:pPr>
              <w:ind w:left="140"/>
              <w:spacing w:after="0"/>
              <w:rPr>
                <w:sz w:val="20"/>
                <w:szCs w:val="20"/>
                <w:color w:val="auto"/>
              </w:rPr>
            </w:pPr>
            <w:r>
              <w:rPr>
                <w:rFonts w:ascii="Arial" w:cs="Arial" w:eastAsia="Arial" w:hAnsi="Arial"/>
                <w:sz w:val="14"/>
                <w:szCs w:val="14"/>
                <w:color w:val="58595B"/>
              </w:rPr>
              <w:t>Jan De Witte</w:t>
            </w:r>
          </w:p>
        </w:tc>
        <w:tc>
          <w:tcPr>
            <w:tcW w:w="100" w:type="dxa"/>
            <w:vAlign w:val="bottom"/>
            <w:shd w:val="clear" w:color="auto" w:fill="EFEDED"/>
          </w:tcPr>
          <w:p>
            <w:pPr>
              <w:spacing w:after="0"/>
              <w:rPr>
                <w:sz w:val="18"/>
                <w:szCs w:val="18"/>
                <w:color w:val="auto"/>
              </w:rPr>
            </w:pPr>
          </w:p>
        </w:tc>
        <w:tc>
          <w:tcPr>
            <w:tcW w:w="1480" w:type="dxa"/>
            <w:vAlign w:val="bottom"/>
            <w:shd w:val="clear" w:color="auto" w:fill="EFEDED"/>
          </w:tcPr>
          <w:p>
            <w:pPr>
              <w:spacing w:after="0"/>
              <w:rPr>
                <w:sz w:val="18"/>
                <w:szCs w:val="18"/>
                <w:color w:val="auto"/>
              </w:rPr>
            </w:pPr>
          </w:p>
        </w:tc>
        <w:tc>
          <w:tcPr>
            <w:tcW w:w="40" w:type="dxa"/>
            <w:vAlign w:val="bottom"/>
            <w:shd w:val="clear" w:color="auto" w:fill="EFEDED"/>
          </w:tcPr>
          <w:p>
            <w:pPr>
              <w:spacing w:after="0"/>
              <w:rPr>
                <w:sz w:val="18"/>
                <w:szCs w:val="18"/>
                <w:color w:val="auto"/>
              </w:rPr>
            </w:pPr>
          </w:p>
        </w:tc>
        <w:tc>
          <w:tcPr>
            <w:tcW w:w="580" w:type="dxa"/>
            <w:vAlign w:val="bottom"/>
            <w:shd w:val="clear" w:color="auto" w:fill="EFEDED"/>
          </w:tcPr>
          <w:p>
            <w:pPr>
              <w:spacing w:after="0"/>
              <w:rPr>
                <w:sz w:val="18"/>
                <w:szCs w:val="18"/>
                <w:color w:val="auto"/>
              </w:rPr>
            </w:pPr>
          </w:p>
        </w:tc>
        <w:tc>
          <w:tcPr>
            <w:tcW w:w="1220" w:type="dxa"/>
            <w:vAlign w:val="bottom"/>
            <w:shd w:val="clear" w:color="auto" w:fill="EFEDED"/>
          </w:tcPr>
          <w:p>
            <w:pPr>
              <w:spacing w:after="0"/>
              <w:rPr>
                <w:sz w:val="18"/>
                <w:szCs w:val="18"/>
                <w:color w:val="auto"/>
              </w:rPr>
            </w:pPr>
          </w:p>
        </w:tc>
        <w:tc>
          <w:tcPr>
            <w:tcW w:w="600" w:type="dxa"/>
            <w:vAlign w:val="bottom"/>
            <w:shd w:val="clear" w:color="auto" w:fill="EFEDED"/>
          </w:tcPr>
          <w:p>
            <w:pPr>
              <w:spacing w:after="0"/>
              <w:rPr>
                <w:sz w:val="18"/>
                <w:szCs w:val="18"/>
                <w:color w:val="auto"/>
              </w:rPr>
            </w:pPr>
          </w:p>
        </w:tc>
        <w:tc>
          <w:tcPr>
            <w:tcW w:w="1200" w:type="dxa"/>
            <w:vAlign w:val="bottom"/>
            <w:shd w:val="clear" w:color="auto" w:fill="EFEDED"/>
          </w:tcPr>
          <w:p>
            <w:pPr>
              <w:spacing w:after="0"/>
              <w:rPr>
                <w:sz w:val="18"/>
                <w:szCs w:val="18"/>
                <w:color w:val="auto"/>
              </w:rPr>
            </w:pPr>
          </w:p>
        </w:tc>
        <w:tc>
          <w:tcPr>
            <w:tcW w:w="140" w:type="dxa"/>
            <w:vAlign w:val="bottom"/>
            <w:shd w:val="clear" w:color="auto" w:fill="EFEDED"/>
          </w:tcPr>
          <w:p>
            <w:pPr>
              <w:spacing w:after="0"/>
              <w:rPr>
                <w:sz w:val="18"/>
                <w:szCs w:val="18"/>
                <w:color w:val="auto"/>
              </w:rPr>
            </w:pPr>
          </w:p>
        </w:tc>
        <w:tc>
          <w:tcPr>
            <w:tcW w:w="1980" w:type="dxa"/>
            <w:vAlign w:val="bottom"/>
            <w:shd w:val="clear" w:color="auto" w:fill="EFEDED"/>
          </w:tcPr>
          <w:p>
            <w:pPr>
              <w:spacing w:after="0"/>
              <w:rPr>
                <w:sz w:val="18"/>
                <w:szCs w:val="18"/>
                <w:color w:val="auto"/>
              </w:rPr>
            </w:pPr>
          </w:p>
        </w:tc>
      </w:tr>
      <w:tr>
        <w:trPr>
          <w:trHeight w:val="230"/>
        </w:trPr>
        <w:tc>
          <w:tcPr>
            <w:tcW w:w="3900" w:type="dxa"/>
            <w:vAlign w:val="bottom"/>
            <w:shd w:val="clear" w:color="auto" w:fill="EFEDED"/>
          </w:tcPr>
          <w:p>
            <w:pPr>
              <w:ind w:left="260"/>
              <w:spacing w:after="0"/>
              <w:rPr>
                <w:sz w:val="20"/>
                <w:szCs w:val="20"/>
                <w:color w:val="auto"/>
              </w:rPr>
            </w:pPr>
            <w:r>
              <w:rPr>
                <w:rFonts w:ascii="Arial" w:cs="Arial" w:eastAsia="Arial" w:hAnsi="Arial"/>
                <w:sz w:val="14"/>
                <w:szCs w:val="14"/>
                <w:color w:val="58595B"/>
              </w:rPr>
              <w:t>Cash Severance</w:t>
            </w:r>
          </w:p>
        </w:tc>
        <w:tc>
          <w:tcPr>
            <w:tcW w:w="1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48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282,679</w:t>
            </w:r>
          </w:p>
        </w:tc>
        <w:tc>
          <w:tcPr>
            <w:tcW w:w="40" w:type="dxa"/>
            <w:vAlign w:val="bottom"/>
            <w:shd w:val="clear" w:color="auto" w:fill="EFEDED"/>
          </w:tcPr>
          <w:p>
            <w:pPr>
              <w:spacing w:after="0"/>
              <w:rPr>
                <w:sz w:val="19"/>
                <w:szCs w:val="19"/>
                <w:color w:val="auto"/>
              </w:rPr>
            </w:pPr>
          </w:p>
        </w:tc>
        <w:tc>
          <w:tcPr>
            <w:tcW w:w="580" w:type="dxa"/>
            <w:vAlign w:val="bottom"/>
            <w:shd w:val="clear" w:color="auto" w:fill="EFEDED"/>
          </w:tcPr>
          <w:p>
            <w:pPr>
              <w:jc w:val="right"/>
              <w:ind w:right="408"/>
              <w:spacing w:after="0"/>
              <w:rPr>
                <w:sz w:val="20"/>
                <w:szCs w:val="20"/>
                <w:color w:val="auto"/>
              </w:rPr>
            </w:pPr>
            <w:r>
              <w:rPr>
                <w:rFonts w:ascii="Arial" w:cs="Arial" w:eastAsia="Arial" w:hAnsi="Arial"/>
                <w:sz w:val="14"/>
                <w:szCs w:val="14"/>
                <w:color w:val="58595B"/>
              </w:rPr>
              <w:t>$</w:t>
            </w:r>
          </w:p>
        </w:tc>
        <w:tc>
          <w:tcPr>
            <w:tcW w:w="1820" w:type="dxa"/>
            <w:vAlign w:val="bottom"/>
            <w:gridSpan w:val="2"/>
            <w:shd w:val="clear" w:color="auto" w:fill="EFEDED"/>
          </w:tcPr>
          <w:p>
            <w:pPr>
              <w:jc w:val="right"/>
              <w:ind w:right="448"/>
              <w:spacing w:after="0"/>
              <w:rPr>
                <w:sz w:val="20"/>
                <w:szCs w:val="20"/>
                <w:color w:val="auto"/>
              </w:rPr>
            </w:pPr>
            <w:r>
              <w:rPr>
                <w:rFonts w:ascii="Arial" w:cs="Arial" w:eastAsia="Arial" w:hAnsi="Arial"/>
                <w:sz w:val="14"/>
                <w:szCs w:val="14"/>
                <w:color w:val="58595B"/>
              </w:rPr>
              <w:t>— $</w:t>
            </w:r>
          </w:p>
        </w:tc>
        <w:tc>
          <w:tcPr>
            <w:tcW w:w="1340" w:type="dxa"/>
            <w:vAlign w:val="bottom"/>
            <w:gridSpan w:val="2"/>
            <w:shd w:val="clear" w:color="auto" w:fill="EFEDED"/>
          </w:tcPr>
          <w:p>
            <w:pPr>
              <w:jc w:val="right"/>
              <w:spacing w:after="0"/>
              <w:rPr>
                <w:sz w:val="20"/>
                <w:szCs w:val="20"/>
                <w:color w:val="auto"/>
              </w:rPr>
            </w:pPr>
            <w:r>
              <w:rPr>
                <w:rFonts w:ascii="Arial" w:cs="Arial" w:eastAsia="Arial" w:hAnsi="Arial"/>
                <w:sz w:val="14"/>
                <w:szCs w:val="14"/>
                <w:color w:val="58595B"/>
              </w:rPr>
              <w:t>— $</w:t>
            </w:r>
          </w:p>
        </w:tc>
        <w:tc>
          <w:tcPr>
            <w:tcW w:w="1980" w:type="dxa"/>
            <w:vAlign w:val="bottom"/>
            <w:shd w:val="clear" w:color="auto" w:fill="EFEDED"/>
          </w:tcPr>
          <w:p>
            <w:pPr>
              <w:jc w:val="right"/>
              <w:ind w:right="128"/>
              <w:spacing w:after="0"/>
              <w:rPr>
                <w:sz w:val="20"/>
                <w:szCs w:val="20"/>
                <w:color w:val="auto"/>
              </w:rPr>
            </w:pPr>
            <w:r>
              <w:rPr>
                <w:rFonts w:ascii="Arial" w:cs="Arial" w:eastAsia="Arial" w:hAnsi="Arial"/>
                <w:sz w:val="14"/>
                <w:szCs w:val="14"/>
                <w:color w:val="58595B"/>
              </w:rPr>
              <w:t>—</w:t>
            </w:r>
          </w:p>
        </w:tc>
      </w:tr>
      <w:tr>
        <w:trPr>
          <w:trHeight w:val="229"/>
        </w:trPr>
        <w:tc>
          <w:tcPr>
            <w:tcW w:w="3900" w:type="dxa"/>
            <w:vAlign w:val="bottom"/>
            <w:shd w:val="clear" w:color="auto" w:fill="EFEDED"/>
          </w:tcPr>
          <w:p>
            <w:pPr>
              <w:ind w:left="260"/>
              <w:spacing w:after="0"/>
              <w:rPr>
                <w:sz w:val="20"/>
                <w:szCs w:val="20"/>
                <w:color w:val="auto"/>
              </w:rPr>
            </w:pPr>
            <w:r>
              <w:rPr>
                <w:rFonts w:ascii="Arial" w:cs="Arial" w:eastAsia="Arial" w:hAnsi="Arial"/>
                <w:sz w:val="14"/>
                <w:szCs w:val="14"/>
                <w:color w:val="58595B"/>
              </w:rPr>
              <w:t>Continued Health &amp; Other Benefits(2)</w:t>
            </w:r>
          </w:p>
        </w:tc>
        <w:tc>
          <w:tcPr>
            <w:tcW w:w="1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2100" w:type="dxa"/>
            <w:vAlign w:val="bottom"/>
            <w:gridSpan w:val="3"/>
            <w:shd w:val="clear" w:color="auto" w:fill="EFEDED"/>
          </w:tcPr>
          <w:p>
            <w:pPr>
              <w:jc w:val="right"/>
              <w:ind w:right="408"/>
              <w:spacing w:after="0"/>
              <w:rPr>
                <w:sz w:val="20"/>
                <w:szCs w:val="20"/>
                <w:color w:val="auto"/>
              </w:rPr>
            </w:pPr>
            <w:r>
              <w:rPr>
                <w:rFonts w:ascii="Arial" w:cs="Arial" w:eastAsia="Arial" w:hAnsi="Arial"/>
                <w:sz w:val="14"/>
                <w:szCs w:val="14"/>
                <w:color w:val="58595B"/>
              </w:rPr>
              <w:t>— $</w:t>
            </w:r>
          </w:p>
        </w:tc>
        <w:tc>
          <w:tcPr>
            <w:tcW w:w="1820" w:type="dxa"/>
            <w:vAlign w:val="bottom"/>
            <w:gridSpan w:val="2"/>
            <w:shd w:val="clear" w:color="auto" w:fill="EFEDED"/>
          </w:tcPr>
          <w:p>
            <w:pPr>
              <w:jc w:val="right"/>
              <w:ind w:right="448"/>
              <w:spacing w:after="0"/>
              <w:rPr>
                <w:sz w:val="20"/>
                <w:szCs w:val="20"/>
                <w:color w:val="auto"/>
              </w:rPr>
            </w:pPr>
            <w:r>
              <w:rPr>
                <w:rFonts w:ascii="Arial" w:cs="Arial" w:eastAsia="Arial" w:hAnsi="Arial"/>
                <w:sz w:val="14"/>
                <w:szCs w:val="14"/>
                <w:color w:val="58595B"/>
              </w:rPr>
              <w:t>— $</w:t>
            </w:r>
          </w:p>
        </w:tc>
        <w:tc>
          <w:tcPr>
            <w:tcW w:w="1340" w:type="dxa"/>
            <w:vAlign w:val="bottom"/>
            <w:gridSpan w:val="2"/>
            <w:shd w:val="clear" w:color="auto" w:fill="EFEDED"/>
          </w:tcPr>
          <w:p>
            <w:pPr>
              <w:jc w:val="right"/>
              <w:spacing w:after="0"/>
              <w:rPr>
                <w:sz w:val="20"/>
                <w:szCs w:val="20"/>
                <w:color w:val="auto"/>
              </w:rPr>
            </w:pPr>
            <w:r>
              <w:rPr>
                <w:rFonts w:ascii="Arial" w:cs="Arial" w:eastAsia="Arial" w:hAnsi="Arial"/>
                <w:sz w:val="14"/>
                <w:szCs w:val="14"/>
                <w:color w:val="58595B"/>
              </w:rPr>
              <w:t>— $</w:t>
            </w:r>
          </w:p>
        </w:tc>
        <w:tc>
          <w:tcPr>
            <w:tcW w:w="1980" w:type="dxa"/>
            <w:vAlign w:val="bottom"/>
            <w:shd w:val="clear" w:color="auto" w:fill="EFEDED"/>
          </w:tcPr>
          <w:p>
            <w:pPr>
              <w:jc w:val="right"/>
              <w:ind w:right="128"/>
              <w:spacing w:after="0"/>
              <w:rPr>
                <w:sz w:val="20"/>
                <w:szCs w:val="20"/>
                <w:color w:val="auto"/>
              </w:rPr>
            </w:pPr>
            <w:r>
              <w:rPr>
                <w:rFonts w:ascii="Arial" w:cs="Arial" w:eastAsia="Arial" w:hAnsi="Arial"/>
                <w:sz w:val="14"/>
                <w:szCs w:val="14"/>
                <w:color w:val="58595B"/>
              </w:rPr>
              <w:t>—</w:t>
            </w:r>
          </w:p>
        </w:tc>
      </w:tr>
      <w:tr>
        <w:trPr>
          <w:trHeight w:val="230"/>
        </w:trPr>
        <w:tc>
          <w:tcPr>
            <w:tcW w:w="3900" w:type="dxa"/>
            <w:vAlign w:val="bottom"/>
            <w:shd w:val="clear" w:color="auto" w:fill="EFEDED"/>
          </w:tcPr>
          <w:p>
            <w:pPr>
              <w:ind w:left="260"/>
              <w:spacing w:after="0"/>
              <w:rPr>
                <w:sz w:val="20"/>
                <w:szCs w:val="20"/>
                <w:color w:val="auto"/>
              </w:rPr>
            </w:pPr>
            <w:r>
              <w:rPr>
                <w:rFonts w:ascii="Arial" w:cs="Arial" w:eastAsia="Arial" w:hAnsi="Arial"/>
                <w:sz w:val="14"/>
                <w:szCs w:val="14"/>
                <w:color w:val="58595B"/>
              </w:rPr>
              <w:t>Acceleration of Stock Options</w:t>
            </w:r>
          </w:p>
        </w:tc>
        <w:tc>
          <w:tcPr>
            <w:tcW w:w="1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48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620" w:type="dxa"/>
            <w:vAlign w:val="bottom"/>
            <w:gridSpan w:val="2"/>
            <w:shd w:val="clear" w:color="auto" w:fill="EFEDED"/>
          </w:tcPr>
          <w:p>
            <w:pPr>
              <w:jc w:val="right"/>
              <w:ind w:right="408"/>
              <w:spacing w:after="0"/>
              <w:rPr>
                <w:sz w:val="20"/>
                <w:szCs w:val="20"/>
                <w:color w:val="auto"/>
              </w:rPr>
            </w:pPr>
            <w:r>
              <w:rPr>
                <w:rFonts w:ascii="Arial" w:cs="Arial" w:eastAsia="Arial" w:hAnsi="Arial"/>
                <w:sz w:val="14"/>
                <w:szCs w:val="14"/>
                <w:color w:val="58595B"/>
              </w:rPr>
              <w:t>$</w:t>
            </w:r>
          </w:p>
        </w:tc>
        <w:tc>
          <w:tcPr>
            <w:tcW w:w="1820" w:type="dxa"/>
            <w:vAlign w:val="bottom"/>
            <w:gridSpan w:val="2"/>
            <w:shd w:val="clear" w:color="auto" w:fill="EFEDED"/>
          </w:tcPr>
          <w:p>
            <w:pPr>
              <w:jc w:val="right"/>
              <w:ind w:right="448"/>
              <w:spacing w:after="0"/>
              <w:rPr>
                <w:sz w:val="20"/>
                <w:szCs w:val="20"/>
                <w:color w:val="auto"/>
              </w:rPr>
            </w:pPr>
            <w:r>
              <w:rPr>
                <w:rFonts w:ascii="Arial" w:cs="Arial" w:eastAsia="Arial" w:hAnsi="Arial"/>
                <w:sz w:val="14"/>
                <w:szCs w:val="14"/>
                <w:color w:val="58595B"/>
              </w:rPr>
              <w:t>— $</w:t>
            </w:r>
          </w:p>
        </w:tc>
        <w:tc>
          <w:tcPr>
            <w:tcW w:w="1340" w:type="dxa"/>
            <w:vAlign w:val="bottom"/>
            <w:gridSpan w:val="2"/>
            <w:shd w:val="clear" w:color="auto" w:fill="EFEDED"/>
          </w:tcPr>
          <w:p>
            <w:pPr>
              <w:jc w:val="right"/>
              <w:spacing w:after="0"/>
              <w:rPr>
                <w:sz w:val="20"/>
                <w:szCs w:val="20"/>
                <w:color w:val="auto"/>
              </w:rPr>
            </w:pPr>
            <w:r>
              <w:rPr>
                <w:rFonts w:ascii="Arial" w:cs="Arial" w:eastAsia="Arial" w:hAnsi="Arial"/>
                <w:sz w:val="14"/>
                <w:szCs w:val="14"/>
                <w:color w:val="58595B"/>
              </w:rPr>
              <w:t>— $</w:t>
            </w:r>
          </w:p>
        </w:tc>
        <w:tc>
          <w:tcPr>
            <w:tcW w:w="1980" w:type="dxa"/>
            <w:vAlign w:val="bottom"/>
            <w:shd w:val="clear" w:color="auto" w:fill="EFEDED"/>
          </w:tcPr>
          <w:p>
            <w:pPr>
              <w:jc w:val="right"/>
              <w:ind w:right="128"/>
              <w:spacing w:after="0"/>
              <w:rPr>
                <w:sz w:val="20"/>
                <w:szCs w:val="20"/>
                <w:color w:val="auto"/>
              </w:rPr>
            </w:pPr>
            <w:r>
              <w:rPr>
                <w:rFonts w:ascii="Arial" w:cs="Arial" w:eastAsia="Arial" w:hAnsi="Arial"/>
                <w:sz w:val="14"/>
                <w:szCs w:val="14"/>
                <w:color w:val="58595B"/>
              </w:rPr>
              <w:t>—</w:t>
            </w:r>
          </w:p>
        </w:tc>
      </w:tr>
      <w:tr>
        <w:trPr>
          <w:trHeight w:val="230"/>
        </w:trPr>
        <w:tc>
          <w:tcPr>
            <w:tcW w:w="3900" w:type="dxa"/>
            <w:vAlign w:val="bottom"/>
            <w:shd w:val="clear" w:color="auto" w:fill="EFEDED"/>
          </w:tcPr>
          <w:p>
            <w:pPr>
              <w:ind w:left="260"/>
              <w:spacing w:after="0"/>
              <w:rPr>
                <w:sz w:val="20"/>
                <w:szCs w:val="20"/>
                <w:color w:val="auto"/>
              </w:rPr>
            </w:pPr>
            <w:r>
              <w:rPr>
                <w:rFonts w:ascii="Arial" w:cs="Arial" w:eastAsia="Arial" w:hAnsi="Arial"/>
                <w:sz w:val="14"/>
                <w:szCs w:val="14"/>
                <w:color w:val="58595B"/>
              </w:rPr>
              <w:t>Acceleration of Other Grants(2)</w:t>
            </w:r>
          </w:p>
        </w:tc>
        <w:tc>
          <w:tcPr>
            <w:tcW w:w="1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48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40" w:type="dxa"/>
            <w:vAlign w:val="bottom"/>
            <w:shd w:val="clear" w:color="auto" w:fill="EFEDED"/>
          </w:tcPr>
          <w:p>
            <w:pPr>
              <w:spacing w:after="0"/>
              <w:rPr>
                <w:sz w:val="19"/>
                <w:szCs w:val="19"/>
                <w:color w:val="auto"/>
              </w:rPr>
            </w:pPr>
          </w:p>
        </w:tc>
        <w:tc>
          <w:tcPr>
            <w:tcW w:w="580" w:type="dxa"/>
            <w:vAlign w:val="bottom"/>
            <w:shd w:val="clear" w:color="auto" w:fill="EFEDED"/>
          </w:tcPr>
          <w:p>
            <w:pPr>
              <w:jc w:val="right"/>
              <w:ind w:right="408"/>
              <w:spacing w:after="0"/>
              <w:rPr>
                <w:sz w:val="20"/>
                <w:szCs w:val="20"/>
                <w:color w:val="auto"/>
              </w:rPr>
            </w:pPr>
            <w:r>
              <w:rPr>
                <w:rFonts w:ascii="Arial" w:cs="Arial" w:eastAsia="Arial" w:hAnsi="Arial"/>
                <w:sz w:val="14"/>
                <w:szCs w:val="14"/>
                <w:color w:val="58595B"/>
              </w:rPr>
              <w:t>$</w:t>
            </w:r>
          </w:p>
        </w:tc>
        <w:tc>
          <w:tcPr>
            <w:tcW w:w="122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w:t>
            </w:r>
          </w:p>
        </w:tc>
        <w:tc>
          <w:tcPr>
            <w:tcW w:w="600" w:type="dxa"/>
            <w:vAlign w:val="bottom"/>
            <w:shd w:val="clear" w:color="auto" w:fill="EFEDED"/>
          </w:tcPr>
          <w:p>
            <w:pPr>
              <w:jc w:val="right"/>
              <w:ind w:right="448"/>
              <w:spacing w:after="0"/>
              <w:rPr>
                <w:sz w:val="20"/>
                <w:szCs w:val="20"/>
                <w:color w:val="auto"/>
              </w:rPr>
            </w:pPr>
            <w:r>
              <w:rPr>
                <w:rFonts w:ascii="Arial" w:cs="Arial" w:eastAsia="Arial" w:hAnsi="Arial"/>
                <w:sz w:val="14"/>
                <w:szCs w:val="14"/>
                <w:color w:val="58595B"/>
                <w:w w:val="76"/>
              </w:rPr>
              <w:t>$</w:t>
            </w:r>
          </w:p>
        </w:tc>
        <w:tc>
          <w:tcPr>
            <w:tcW w:w="12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980" w:type="dxa"/>
            <w:vAlign w:val="bottom"/>
            <w:shd w:val="clear" w:color="auto" w:fill="EFEDED"/>
          </w:tcPr>
          <w:p>
            <w:pPr>
              <w:jc w:val="right"/>
              <w:ind w:right="128"/>
              <w:spacing w:after="0"/>
              <w:rPr>
                <w:sz w:val="20"/>
                <w:szCs w:val="20"/>
                <w:color w:val="auto"/>
              </w:rPr>
            </w:pPr>
            <w:r>
              <w:rPr>
                <w:rFonts w:ascii="Arial" w:cs="Arial" w:eastAsia="Arial" w:hAnsi="Arial"/>
                <w:sz w:val="14"/>
                <w:szCs w:val="14"/>
                <w:color w:val="58595B"/>
              </w:rPr>
              <w:t>—</w:t>
            </w:r>
          </w:p>
        </w:tc>
      </w:tr>
      <w:tr>
        <w:trPr>
          <w:trHeight w:val="231"/>
        </w:trPr>
        <w:tc>
          <w:tcPr>
            <w:tcW w:w="390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4"/>
                <w:szCs w:val="14"/>
                <w:color w:val="58595B"/>
              </w:rPr>
              <w:t>Total</w:t>
            </w:r>
          </w:p>
        </w:tc>
        <w:tc>
          <w:tcPr>
            <w:tcW w:w="1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4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282,679</w:t>
            </w:r>
          </w:p>
        </w:tc>
        <w:tc>
          <w:tcPr>
            <w:tcW w:w="40" w:type="dxa"/>
            <w:vAlign w:val="bottom"/>
            <w:tcBorders>
              <w:bottom w:val="single" w:sz="8" w:color="EFEDED"/>
            </w:tcBorders>
            <w:shd w:val="clear" w:color="auto" w:fill="EFEDED"/>
          </w:tcPr>
          <w:p>
            <w:pPr>
              <w:spacing w:after="0"/>
              <w:rPr>
                <w:sz w:val="20"/>
                <w:szCs w:val="20"/>
                <w:color w:val="auto"/>
              </w:rPr>
            </w:pPr>
          </w:p>
        </w:tc>
        <w:tc>
          <w:tcPr>
            <w:tcW w:w="580" w:type="dxa"/>
            <w:vAlign w:val="bottom"/>
            <w:tcBorders>
              <w:bottom w:val="single" w:sz="8" w:color="EFEDED"/>
            </w:tcBorders>
            <w:shd w:val="clear" w:color="auto" w:fill="EFEDED"/>
          </w:tcPr>
          <w:p>
            <w:pPr>
              <w:jc w:val="right"/>
              <w:ind w:right="408"/>
              <w:spacing w:after="0"/>
              <w:rPr>
                <w:sz w:val="20"/>
                <w:szCs w:val="20"/>
                <w:color w:val="auto"/>
              </w:rPr>
            </w:pPr>
            <w:r>
              <w:rPr>
                <w:rFonts w:ascii="Arial" w:cs="Arial" w:eastAsia="Arial" w:hAnsi="Arial"/>
                <w:sz w:val="14"/>
                <w:szCs w:val="14"/>
                <w:color w:val="58595B"/>
              </w:rPr>
              <w:t>$</w:t>
            </w:r>
          </w:p>
        </w:tc>
        <w:tc>
          <w:tcPr>
            <w:tcW w:w="1820" w:type="dxa"/>
            <w:vAlign w:val="bottom"/>
            <w:tcBorders>
              <w:bottom w:val="single" w:sz="8" w:color="EFEDED"/>
            </w:tcBorders>
            <w:gridSpan w:val="2"/>
            <w:shd w:val="clear" w:color="auto" w:fill="EFEDED"/>
          </w:tcPr>
          <w:p>
            <w:pPr>
              <w:jc w:val="right"/>
              <w:ind w:right="448"/>
              <w:spacing w:after="0"/>
              <w:rPr>
                <w:sz w:val="20"/>
                <w:szCs w:val="20"/>
                <w:color w:val="auto"/>
              </w:rPr>
            </w:pPr>
            <w:r>
              <w:rPr>
                <w:rFonts w:ascii="Arial" w:cs="Arial" w:eastAsia="Arial" w:hAnsi="Arial"/>
                <w:sz w:val="14"/>
                <w:szCs w:val="14"/>
                <w:color w:val="58595B"/>
              </w:rPr>
              <w:t>— $</w:t>
            </w:r>
          </w:p>
        </w:tc>
        <w:tc>
          <w:tcPr>
            <w:tcW w:w="1340" w:type="dxa"/>
            <w:vAlign w:val="bottom"/>
            <w:tcBorders>
              <w:bottom w:val="single" w:sz="8" w:color="EFEDED"/>
            </w:tcBorders>
            <w:gridSpan w:val="2"/>
            <w:shd w:val="clear" w:color="auto" w:fill="EFEDED"/>
          </w:tcPr>
          <w:p>
            <w:pPr>
              <w:jc w:val="right"/>
              <w:spacing w:after="0"/>
              <w:rPr>
                <w:sz w:val="20"/>
                <w:szCs w:val="20"/>
                <w:color w:val="auto"/>
              </w:rPr>
            </w:pPr>
            <w:r>
              <w:rPr>
                <w:rFonts w:ascii="Arial" w:cs="Arial" w:eastAsia="Arial" w:hAnsi="Arial"/>
                <w:sz w:val="14"/>
                <w:szCs w:val="14"/>
                <w:color w:val="58595B"/>
              </w:rPr>
              <w:t>— $</w:t>
            </w:r>
          </w:p>
        </w:tc>
        <w:tc>
          <w:tcPr>
            <w:tcW w:w="1980" w:type="dxa"/>
            <w:vAlign w:val="bottom"/>
            <w:tcBorders>
              <w:bottom w:val="single" w:sz="8" w:color="EFEDED"/>
            </w:tcBorders>
            <w:shd w:val="clear" w:color="auto" w:fill="EFEDED"/>
          </w:tcPr>
          <w:p>
            <w:pPr>
              <w:jc w:val="right"/>
              <w:ind w:right="128"/>
              <w:spacing w:after="0"/>
              <w:rPr>
                <w:sz w:val="20"/>
                <w:szCs w:val="20"/>
                <w:color w:val="auto"/>
              </w:rPr>
            </w:pPr>
            <w:r>
              <w:rPr>
                <w:rFonts w:ascii="Arial" w:cs="Arial" w:eastAsia="Arial" w:hAnsi="Arial"/>
                <w:sz w:val="14"/>
                <w:szCs w:val="14"/>
                <w:color w:val="58595B"/>
              </w:rPr>
              <w:t>—</w:t>
            </w:r>
          </w:p>
        </w:tc>
      </w:tr>
      <w:tr>
        <w:trPr>
          <w:trHeight w:val="20"/>
        </w:trPr>
        <w:tc>
          <w:tcPr>
            <w:tcW w:w="3900" w:type="dxa"/>
            <w:vAlign w:val="bottom"/>
            <w:shd w:val="clear" w:color="auto" w:fill="58595B"/>
          </w:tcPr>
          <w:p>
            <w:pPr>
              <w:spacing w:after="0" w:line="20" w:lineRule="exact"/>
              <w:rPr>
                <w:sz w:val="1"/>
                <w:szCs w:val="1"/>
                <w:color w:val="auto"/>
              </w:rPr>
            </w:pPr>
          </w:p>
        </w:tc>
        <w:tc>
          <w:tcPr>
            <w:tcW w:w="100" w:type="dxa"/>
            <w:vAlign w:val="bottom"/>
            <w:shd w:val="clear" w:color="auto" w:fill="58595B"/>
          </w:tcPr>
          <w:p>
            <w:pPr>
              <w:spacing w:after="0" w:line="20" w:lineRule="exact"/>
              <w:rPr>
                <w:sz w:val="1"/>
                <w:szCs w:val="1"/>
                <w:color w:val="auto"/>
              </w:rPr>
            </w:pPr>
          </w:p>
        </w:tc>
        <w:tc>
          <w:tcPr>
            <w:tcW w:w="1480" w:type="dxa"/>
            <w:vAlign w:val="bottom"/>
            <w:shd w:val="clear" w:color="auto" w:fill="58595B"/>
          </w:tcPr>
          <w:p>
            <w:pPr>
              <w:spacing w:after="0" w:line="20" w:lineRule="exact"/>
              <w:rPr>
                <w:sz w:val="1"/>
                <w:szCs w:val="1"/>
                <w:color w:val="auto"/>
              </w:rPr>
            </w:pPr>
          </w:p>
        </w:tc>
        <w:tc>
          <w:tcPr>
            <w:tcW w:w="40" w:type="dxa"/>
            <w:vAlign w:val="bottom"/>
            <w:shd w:val="clear" w:color="auto" w:fill="58595B"/>
          </w:tcPr>
          <w:p>
            <w:pPr>
              <w:spacing w:after="0" w:line="20" w:lineRule="exact"/>
              <w:rPr>
                <w:sz w:val="1"/>
                <w:szCs w:val="1"/>
                <w:color w:val="auto"/>
              </w:rPr>
            </w:pPr>
          </w:p>
        </w:tc>
        <w:tc>
          <w:tcPr>
            <w:tcW w:w="580" w:type="dxa"/>
            <w:vAlign w:val="bottom"/>
            <w:shd w:val="clear" w:color="auto" w:fill="58595B"/>
          </w:tcPr>
          <w:p>
            <w:pPr>
              <w:spacing w:after="0" w:line="20" w:lineRule="exact"/>
              <w:rPr>
                <w:sz w:val="1"/>
                <w:szCs w:val="1"/>
                <w:color w:val="auto"/>
              </w:rPr>
            </w:pPr>
          </w:p>
        </w:tc>
        <w:tc>
          <w:tcPr>
            <w:tcW w:w="1220" w:type="dxa"/>
            <w:vAlign w:val="bottom"/>
            <w:shd w:val="clear" w:color="auto" w:fill="58595B"/>
          </w:tcPr>
          <w:p>
            <w:pPr>
              <w:spacing w:after="0" w:line="20" w:lineRule="exact"/>
              <w:rPr>
                <w:sz w:val="1"/>
                <w:szCs w:val="1"/>
                <w:color w:val="auto"/>
              </w:rPr>
            </w:pPr>
          </w:p>
        </w:tc>
        <w:tc>
          <w:tcPr>
            <w:tcW w:w="600" w:type="dxa"/>
            <w:vAlign w:val="bottom"/>
            <w:shd w:val="clear" w:color="auto" w:fill="58595B"/>
          </w:tcPr>
          <w:p>
            <w:pPr>
              <w:spacing w:after="0" w:line="20" w:lineRule="exact"/>
              <w:rPr>
                <w:sz w:val="1"/>
                <w:szCs w:val="1"/>
                <w:color w:val="auto"/>
              </w:rPr>
            </w:pPr>
          </w:p>
        </w:tc>
        <w:tc>
          <w:tcPr>
            <w:tcW w:w="1200" w:type="dxa"/>
            <w:vAlign w:val="bottom"/>
            <w:shd w:val="clear" w:color="auto" w:fill="58595B"/>
          </w:tcPr>
          <w:p>
            <w:pPr>
              <w:spacing w:after="0" w:line="20" w:lineRule="exact"/>
              <w:rPr>
                <w:sz w:val="1"/>
                <w:szCs w:val="1"/>
                <w:color w:val="auto"/>
              </w:rPr>
            </w:pPr>
          </w:p>
        </w:tc>
        <w:tc>
          <w:tcPr>
            <w:tcW w:w="140" w:type="dxa"/>
            <w:vAlign w:val="bottom"/>
            <w:shd w:val="clear" w:color="auto" w:fill="58595B"/>
          </w:tcPr>
          <w:p>
            <w:pPr>
              <w:spacing w:after="0" w:line="20" w:lineRule="exact"/>
              <w:rPr>
                <w:sz w:val="1"/>
                <w:szCs w:val="1"/>
                <w:color w:val="auto"/>
              </w:rPr>
            </w:pPr>
          </w:p>
        </w:tc>
        <w:tc>
          <w:tcPr>
            <w:tcW w:w="1980" w:type="dxa"/>
            <w:vAlign w:val="bottom"/>
            <w:shd w:val="clear" w:color="auto" w:fill="58595B"/>
          </w:tcPr>
          <w:p>
            <w:pPr>
              <w:spacing w:after="0" w:line="20" w:lineRule="exact"/>
              <w:rPr>
                <w:sz w:val="1"/>
                <w:szCs w:val="1"/>
                <w:color w:val="auto"/>
              </w:rPr>
            </w:pPr>
          </w:p>
        </w:tc>
      </w:tr>
    </w:tbl>
    <w:p>
      <w:pPr>
        <w:spacing w:after="0" w:line="126" w:lineRule="exact"/>
        <w:rPr>
          <w:sz w:val="20"/>
          <w:szCs w:val="20"/>
          <w:color w:val="auto"/>
        </w:rPr>
      </w:pPr>
    </w:p>
    <w:p>
      <w:pPr>
        <w:ind w:left="340" w:right="260" w:hanging="332"/>
        <w:spacing w:after="0" w:line="283" w:lineRule="auto"/>
        <w:tabs>
          <w:tab w:leader="none" w:pos="338" w:val="left"/>
        </w:tabs>
        <w:numPr>
          <w:ilvl w:val="0"/>
          <w:numId w:val="51"/>
        </w:numPr>
        <w:rPr>
          <w:rFonts w:ascii="Arial" w:cs="Arial" w:eastAsia="Arial" w:hAnsi="Arial"/>
          <w:sz w:val="14"/>
          <w:szCs w:val="14"/>
          <w:color w:val="58595B"/>
        </w:rPr>
      </w:pPr>
      <w:r>
        <w:rPr>
          <w:rFonts w:ascii="Arial" w:cs="Arial" w:eastAsia="Arial" w:hAnsi="Arial"/>
          <w:sz w:val="14"/>
          <w:szCs w:val="14"/>
          <w:color w:val="58595B"/>
        </w:rPr>
        <w:t>The Company will pay Messrs. Davis, McBreen and Singh the difference between the monthly premium cost of COBRA health insurance and such executives’ personal monthly health insurance contributions that were in effect prior to such executives’ termination for up to 18 months following such executives’ termination date. Mses. Knight and Poul declined health, dental, and vision coverage in 2025.</w:t>
      </w:r>
    </w:p>
    <w:p>
      <w:pPr>
        <w:spacing w:after="0" w:line="10" w:lineRule="exact"/>
        <w:rPr>
          <w:rFonts w:ascii="Arial" w:cs="Arial" w:eastAsia="Arial" w:hAnsi="Arial"/>
          <w:sz w:val="14"/>
          <w:szCs w:val="14"/>
          <w:color w:val="58595B"/>
        </w:rPr>
      </w:pPr>
    </w:p>
    <w:p>
      <w:pPr>
        <w:ind w:left="340" w:right="260" w:hanging="332"/>
        <w:spacing w:after="0" w:line="285" w:lineRule="auto"/>
        <w:tabs>
          <w:tab w:leader="none" w:pos="338" w:val="left"/>
        </w:tabs>
        <w:numPr>
          <w:ilvl w:val="0"/>
          <w:numId w:val="51"/>
        </w:numPr>
        <w:rPr>
          <w:rFonts w:ascii="Arial" w:cs="Arial" w:eastAsia="Arial" w:hAnsi="Arial"/>
          <w:sz w:val="14"/>
          <w:szCs w:val="14"/>
          <w:color w:val="58595B"/>
        </w:rPr>
      </w:pPr>
      <w:r>
        <w:rPr>
          <w:rFonts w:ascii="Arial" w:cs="Arial" w:eastAsia="Arial" w:hAnsi="Arial"/>
          <w:sz w:val="14"/>
          <w:szCs w:val="14"/>
          <w:color w:val="58595B"/>
        </w:rPr>
        <w:t>Mr. De Witte declined to continue his health, dental, and vision insurance coverage during the Consulting Period. For information on vested and deferred RSUs, see the Nonqualified Deferred Compensation table. The value of vested awards is not included in this table.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67</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CEO Pay Ratio Disclosure</w:t>
      </w:r>
    </w:p>
    <w:p>
      <w:pPr>
        <w:spacing w:after="0" w:line="193" w:lineRule="exact"/>
        <w:rPr>
          <w:sz w:val="20"/>
          <w:szCs w:val="20"/>
          <w:color w:val="auto"/>
        </w:rPr>
      </w:pPr>
    </w:p>
    <w:p>
      <w:pPr>
        <w:jc w:val="both"/>
        <w:ind w:right="100"/>
        <w:spacing w:after="0" w:line="328" w:lineRule="auto"/>
        <w:rPr>
          <w:sz w:val="20"/>
          <w:szCs w:val="20"/>
          <w:color w:val="auto"/>
        </w:rPr>
      </w:pPr>
      <w:r>
        <w:rPr>
          <w:rFonts w:ascii="Arial" w:cs="Arial" w:eastAsia="Arial" w:hAnsi="Arial"/>
          <w:sz w:val="16"/>
          <w:szCs w:val="16"/>
          <w:color w:val="58595B"/>
        </w:rPr>
        <w:t>We are required by SEC rules and regulations to disclose the annual total compensation for our CEO, an estimate of the median annual total compensation for our worldwide employee population excluding our CEO, and the ratio of annual total compensation for our CEO to the annual total compensation for our median employee.</w:t>
      </w:r>
    </w:p>
    <w:p>
      <w:pPr>
        <w:spacing w:after="0" w:line="123" w:lineRule="exact"/>
        <w:rPr>
          <w:sz w:val="20"/>
          <w:szCs w:val="20"/>
          <w:color w:val="auto"/>
        </w:rPr>
      </w:pPr>
    </w:p>
    <w:p>
      <w:pPr>
        <w:ind w:right="100"/>
        <w:spacing w:after="0" w:line="313" w:lineRule="auto"/>
        <w:rPr>
          <w:sz w:val="20"/>
          <w:szCs w:val="20"/>
          <w:color w:val="auto"/>
        </w:rPr>
      </w:pPr>
      <w:r>
        <w:rPr>
          <w:rFonts w:ascii="Arial" w:cs="Arial" w:eastAsia="Arial" w:hAnsi="Arial"/>
          <w:sz w:val="16"/>
          <w:szCs w:val="16"/>
          <w:color w:val="58595B"/>
        </w:rPr>
        <w:t>As is permitted under the SEC rules, we identified a new estimated median employee because we reasonably believe the continued transformation of the Company would result in a significant change in our pay ratio disclosure for 2025. For the fiscal year ended December 31, 2025, the annual total compensation for our CEO was $9,375,551 as reported in the Summary Compensation Table and the annual total compensation for our median employee was $86,747 calculated in accordance with the rules applicable to the Summary Compensation Table. For the year ended December 31, 2025, we estimate the annual total compensation for our CEO was one hundred and ten (110) times that of our median employee.</w:t>
      </w:r>
    </w:p>
    <w:p>
      <w:pPr>
        <w:spacing w:after="0" w:line="137"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58595B"/>
        </w:rPr>
        <w:t>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our pay ratio disclosure is a reasonable estimate. In addition, the pay ratio reported by other companies in our peer group may not be comparable to the pay ratio reported above, as these other companies may have different employment and compensation practices and may utilize different methodologies, exclusions, estimates and assumptions in calculating their own pay ratios.</w:t>
      </w:r>
    </w:p>
    <w:p>
      <w:pPr>
        <w:spacing w:after="0" w:line="12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58595B"/>
        </w:rPr>
        <w:t>For purposes of identifying our median employee, we used our worldwide employee population as of October 1, 2025. As permitted by SEC rules and regulations, we excluded all of our employees in China (159 employees), India (27) and in the Republic of Korea (9 employees) because they account for 5% or less of Integra’s total U.S. and non-U.S. employee population. By excluding these employees, we reduced the total number of our U.S. and non-U.S. employees considered in determining the median employee from 4,397 to 4,202. We used income (full year actual 2025 base pay earnings, bonus, commission and overtime) as reported for federal income tax purposes for employees employed in the United States and an equivalent measure for employees employed in foreign jurisdictions for the 12-month period ending December 31, 2025 as our consistently applied compensation measure, and we annualized this amount for employees who commenced employment during that period. We applied this methodology to our worldwide employee population and did not use any form of statistical sampling.</w:t>
      </w: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68</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4" w:name="page75"/>
    <w:bookmarkEnd w:id="74"/>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Pay Versus Performance Disclosure</w:t>
      </w:r>
    </w:p>
    <w:p>
      <w:pPr>
        <w:spacing w:after="0" w:line="193"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58595B"/>
        </w:rPr>
        <w:t>As described in more detail in the CD&amp;A section of this proxy statement, our executive compensation programs reflect a pay-for-performance philosophy with the majority of the President and CEO and other NEOs total compensation opportunity being "at-risk". We generally seek to incentivize long-term performance and do not specifically align annual performance measures with “compensation actually paid” (as computed in accordance with Item 402(v) of Regulation S-K) for a particular year.</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2025 Pay Versus Performance Table</w:t>
      </w:r>
    </w:p>
    <w:p>
      <w:pPr>
        <w:spacing w:after="0" w:line="72"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The following table (the "PvP Table") reports the compensation of our Principal Executive Officer ("PEO") and the average compensation of the other Named Executive Officers ("Non-PEO NEOs") as reported in the Summary Compensation Table for the past five fiscal years, as well as their "compensation actually paid," as calculated pursuant to the recently adopted SEC rules and certain performance measures required by the rules. The disclosure in this section is not incorporated by reference to Part III of the Company's Annual Report on Form 10-K for the year ended December 31, 2025. The Compensation Committee did not consider the pay versus performance data presented below in making its pay decisions for any of the years shown.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 w:type="dxa"/>
            <w:vAlign w:val="bottom"/>
            <w:shd w:val="clear" w:color="auto" w:fill="EFEDED"/>
          </w:tcPr>
          <w:p>
            <w:pPr>
              <w:spacing w:after="0"/>
              <w:rPr>
                <w:sz w:val="12"/>
                <w:szCs w:val="12"/>
                <w:color w:val="auto"/>
              </w:rPr>
            </w:pPr>
          </w:p>
        </w:tc>
        <w:tc>
          <w:tcPr>
            <w:tcW w:w="980" w:type="dxa"/>
            <w:vAlign w:val="bottom"/>
            <w:shd w:val="clear" w:color="auto" w:fill="EFEDED"/>
          </w:tcPr>
          <w:p>
            <w:pPr>
              <w:spacing w:after="0"/>
              <w:rPr>
                <w:sz w:val="12"/>
                <w:szCs w:val="12"/>
                <w:color w:val="auto"/>
              </w:rPr>
            </w:pPr>
          </w:p>
        </w:tc>
        <w:tc>
          <w:tcPr>
            <w:tcW w:w="940" w:type="dxa"/>
            <w:vAlign w:val="bottom"/>
            <w:shd w:val="clear" w:color="auto" w:fill="EFEDED"/>
          </w:tcPr>
          <w:p>
            <w:pPr>
              <w:spacing w:after="0"/>
              <w:rPr>
                <w:sz w:val="12"/>
                <w:szCs w:val="12"/>
                <w:color w:val="auto"/>
              </w:rPr>
            </w:pPr>
          </w:p>
        </w:tc>
        <w:tc>
          <w:tcPr>
            <w:tcW w:w="960" w:type="dxa"/>
            <w:vAlign w:val="bottom"/>
            <w:shd w:val="clear" w:color="auto" w:fill="EFEDED"/>
          </w:tcPr>
          <w:p>
            <w:pPr>
              <w:spacing w:after="0"/>
              <w:rPr>
                <w:sz w:val="12"/>
                <w:szCs w:val="12"/>
                <w:color w:val="auto"/>
              </w:rPr>
            </w:pPr>
          </w:p>
        </w:tc>
        <w:tc>
          <w:tcPr>
            <w:tcW w:w="1020" w:type="dxa"/>
            <w:vAlign w:val="bottom"/>
            <w:shd w:val="clear" w:color="auto" w:fill="EFEDED"/>
          </w:tcPr>
          <w:p>
            <w:pPr>
              <w:spacing w:after="0"/>
              <w:rPr>
                <w:sz w:val="12"/>
                <w:szCs w:val="12"/>
                <w:color w:val="auto"/>
              </w:rPr>
            </w:pPr>
          </w:p>
        </w:tc>
        <w:tc>
          <w:tcPr>
            <w:tcW w:w="960" w:type="dxa"/>
            <w:vAlign w:val="bottom"/>
            <w:shd w:val="clear" w:color="auto" w:fill="EFEDED"/>
          </w:tcPr>
          <w:p>
            <w:pPr>
              <w:spacing w:after="0"/>
              <w:rPr>
                <w:sz w:val="12"/>
                <w:szCs w:val="12"/>
                <w:color w:val="auto"/>
              </w:rPr>
            </w:pPr>
          </w:p>
        </w:tc>
        <w:tc>
          <w:tcPr>
            <w:tcW w:w="980" w:type="dxa"/>
            <w:vAlign w:val="bottom"/>
            <w:shd w:val="clear" w:color="auto" w:fill="EFEDED"/>
          </w:tcPr>
          <w:p>
            <w:pPr>
              <w:spacing w:after="0"/>
              <w:rPr>
                <w:sz w:val="12"/>
                <w:szCs w:val="12"/>
                <w:color w:val="auto"/>
              </w:rPr>
            </w:pPr>
          </w:p>
        </w:tc>
        <w:tc>
          <w:tcPr>
            <w:tcW w:w="940" w:type="dxa"/>
            <w:vAlign w:val="bottom"/>
            <w:shd w:val="clear" w:color="auto" w:fill="EFEDED"/>
          </w:tcPr>
          <w:p>
            <w:pPr>
              <w:spacing w:after="0"/>
              <w:rPr>
                <w:sz w:val="12"/>
                <w:szCs w:val="12"/>
                <w:color w:val="auto"/>
              </w:rPr>
            </w:pPr>
          </w:p>
        </w:tc>
        <w:tc>
          <w:tcPr>
            <w:tcW w:w="96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800" w:type="dxa"/>
            <w:vAlign w:val="bottom"/>
            <w:shd w:val="clear" w:color="auto" w:fill="EFEDED"/>
          </w:tcPr>
          <w:p>
            <w:pPr>
              <w:spacing w:after="0"/>
              <w:rPr>
                <w:sz w:val="12"/>
                <w:szCs w:val="12"/>
                <w:color w:val="auto"/>
              </w:rPr>
            </w:pPr>
          </w:p>
        </w:tc>
        <w:tc>
          <w:tcPr>
            <w:tcW w:w="180" w:type="dxa"/>
            <w:vAlign w:val="bottom"/>
            <w:shd w:val="clear" w:color="auto" w:fill="EFEDED"/>
          </w:tcPr>
          <w:p>
            <w:pPr>
              <w:spacing w:after="0"/>
              <w:rPr>
                <w:sz w:val="12"/>
                <w:szCs w:val="12"/>
                <w:color w:val="auto"/>
              </w:rPr>
            </w:pPr>
          </w:p>
        </w:tc>
        <w:tc>
          <w:tcPr>
            <w:tcW w:w="480" w:type="dxa"/>
            <w:vAlign w:val="bottom"/>
            <w:shd w:val="clear" w:color="auto" w:fill="EFEDED"/>
          </w:tcPr>
          <w:p>
            <w:pPr>
              <w:spacing w:after="0"/>
              <w:rPr>
                <w:sz w:val="12"/>
                <w:szCs w:val="12"/>
                <w:color w:val="auto"/>
              </w:rPr>
            </w:pPr>
          </w:p>
        </w:tc>
        <w:tc>
          <w:tcPr>
            <w:tcW w:w="100" w:type="dxa"/>
            <w:vAlign w:val="bottom"/>
            <w:shd w:val="clear" w:color="auto" w:fill="EFEDED"/>
          </w:tcPr>
          <w:p>
            <w:pPr>
              <w:spacing w:after="0"/>
              <w:rPr>
                <w:sz w:val="12"/>
                <w:szCs w:val="12"/>
                <w:color w:val="auto"/>
              </w:rPr>
            </w:pPr>
          </w:p>
        </w:tc>
        <w:tc>
          <w:tcPr>
            <w:tcW w:w="600" w:type="dxa"/>
            <w:vAlign w:val="bottom"/>
            <w:shd w:val="clear" w:color="auto" w:fill="EFEDED"/>
          </w:tcPr>
          <w:p>
            <w:pPr>
              <w:jc w:val="center"/>
              <w:ind w:right="44"/>
              <w:spacing w:after="0"/>
              <w:rPr>
                <w:sz w:val="20"/>
                <w:szCs w:val="20"/>
                <w:color w:val="auto"/>
              </w:rPr>
            </w:pPr>
            <w:r>
              <w:rPr>
                <w:rFonts w:ascii="Arial" w:cs="Arial" w:eastAsia="Arial" w:hAnsi="Arial"/>
                <w:sz w:val="11"/>
                <w:szCs w:val="11"/>
                <w:color w:val="58595B"/>
                <w:w w:val="97"/>
              </w:rPr>
              <w:t>Company</w:t>
            </w:r>
          </w:p>
        </w:tc>
      </w:tr>
      <w:tr>
        <w:trPr>
          <w:trHeight w:val="122"/>
        </w:trPr>
        <w:tc>
          <w:tcPr>
            <w:tcW w:w="440" w:type="dxa"/>
            <w:vAlign w:val="bottom"/>
            <w:shd w:val="clear" w:color="auto" w:fill="EFEDED"/>
          </w:tcPr>
          <w:p>
            <w:pPr>
              <w:spacing w:after="0"/>
              <w:rPr>
                <w:sz w:val="10"/>
                <w:szCs w:val="10"/>
                <w:color w:val="auto"/>
              </w:rPr>
            </w:pPr>
          </w:p>
        </w:tc>
        <w:tc>
          <w:tcPr>
            <w:tcW w:w="980" w:type="dxa"/>
            <w:vAlign w:val="bottom"/>
            <w:shd w:val="clear" w:color="auto" w:fill="EFEDED"/>
          </w:tcPr>
          <w:p>
            <w:pPr>
              <w:spacing w:after="0"/>
              <w:rPr>
                <w:sz w:val="10"/>
                <w:szCs w:val="10"/>
                <w:color w:val="auto"/>
              </w:rPr>
            </w:pPr>
          </w:p>
        </w:tc>
        <w:tc>
          <w:tcPr>
            <w:tcW w:w="940" w:type="dxa"/>
            <w:vAlign w:val="bottom"/>
            <w:shd w:val="clear" w:color="auto" w:fill="EFEDED"/>
          </w:tcPr>
          <w:p>
            <w:pPr>
              <w:spacing w:after="0"/>
              <w:rPr>
                <w:sz w:val="10"/>
                <w:szCs w:val="10"/>
                <w:color w:val="auto"/>
              </w:rPr>
            </w:pPr>
          </w:p>
        </w:tc>
        <w:tc>
          <w:tcPr>
            <w:tcW w:w="960" w:type="dxa"/>
            <w:vAlign w:val="bottom"/>
            <w:shd w:val="clear" w:color="auto" w:fill="EFEDED"/>
          </w:tcPr>
          <w:p>
            <w:pPr>
              <w:spacing w:after="0"/>
              <w:rPr>
                <w:sz w:val="10"/>
                <w:szCs w:val="10"/>
                <w:color w:val="auto"/>
              </w:rPr>
            </w:pPr>
          </w:p>
        </w:tc>
        <w:tc>
          <w:tcPr>
            <w:tcW w:w="1020" w:type="dxa"/>
            <w:vAlign w:val="bottom"/>
            <w:shd w:val="clear" w:color="auto" w:fill="EFEDED"/>
          </w:tcPr>
          <w:p>
            <w:pPr>
              <w:spacing w:after="0"/>
              <w:rPr>
                <w:sz w:val="10"/>
                <w:szCs w:val="10"/>
                <w:color w:val="auto"/>
              </w:rPr>
            </w:pPr>
          </w:p>
        </w:tc>
        <w:tc>
          <w:tcPr>
            <w:tcW w:w="960" w:type="dxa"/>
            <w:vAlign w:val="bottom"/>
            <w:shd w:val="clear" w:color="auto" w:fill="EFEDED"/>
          </w:tcPr>
          <w:p>
            <w:pPr>
              <w:spacing w:after="0"/>
              <w:rPr>
                <w:sz w:val="10"/>
                <w:szCs w:val="10"/>
                <w:color w:val="auto"/>
              </w:rPr>
            </w:pPr>
          </w:p>
        </w:tc>
        <w:tc>
          <w:tcPr>
            <w:tcW w:w="980" w:type="dxa"/>
            <w:vAlign w:val="bottom"/>
            <w:shd w:val="clear" w:color="auto" w:fill="EFEDED"/>
          </w:tcPr>
          <w:p>
            <w:pPr>
              <w:spacing w:after="0"/>
              <w:rPr>
                <w:sz w:val="10"/>
                <w:szCs w:val="10"/>
                <w:color w:val="auto"/>
              </w:rPr>
            </w:pPr>
          </w:p>
        </w:tc>
        <w:tc>
          <w:tcPr>
            <w:tcW w:w="940" w:type="dxa"/>
            <w:vAlign w:val="bottom"/>
            <w:shd w:val="clear" w:color="auto" w:fill="EFEDED"/>
          </w:tcPr>
          <w:p>
            <w:pPr>
              <w:spacing w:after="0"/>
              <w:rPr>
                <w:sz w:val="10"/>
                <w:szCs w:val="10"/>
                <w:color w:val="auto"/>
              </w:rPr>
            </w:pPr>
          </w:p>
        </w:tc>
        <w:tc>
          <w:tcPr>
            <w:tcW w:w="960" w:type="dxa"/>
            <w:vAlign w:val="bottom"/>
            <w:shd w:val="clear" w:color="auto" w:fill="EFEDED"/>
          </w:tcPr>
          <w:p>
            <w:pPr>
              <w:spacing w:after="0"/>
              <w:rPr>
                <w:sz w:val="10"/>
                <w:szCs w:val="10"/>
                <w:color w:val="auto"/>
              </w:rPr>
            </w:pPr>
          </w:p>
        </w:tc>
        <w:tc>
          <w:tcPr>
            <w:tcW w:w="1700" w:type="dxa"/>
            <w:vAlign w:val="bottom"/>
            <w:gridSpan w:val="2"/>
            <w:shd w:val="clear" w:color="auto" w:fill="EFEDED"/>
          </w:tcPr>
          <w:p>
            <w:pPr>
              <w:jc w:val="right"/>
              <w:ind w:right="324"/>
              <w:spacing w:after="0" w:line="122" w:lineRule="exact"/>
              <w:rPr>
                <w:sz w:val="20"/>
                <w:szCs w:val="20"/>
                <w:color w:val="auto"/>
              </w:rPr>
            </w:pPr>
            <w:r>
              <w:rPr>
                <w:rFonts w:ascii="Arial" w:cs="Arial" w:eastAsia="Arial" w:hAnsi="Arial"/>
                <w:sz w:val="11"/>
                <w:szCs w:val="11"/>
                <w:color w:val="58595B"/>
              </w:rPr>
              <w:t>Value of Initial Fixed</w:t>
            </w:r>
          </w:p>
        </w:tc>
        <w:tc>
          <w:tcPr>
            <w:tcW w:w="180" w:type="dxa"/>
            <w:vAlign w:val="bottom"/>
            <w:shd w:val="clear" w:color="auto" w:fill="EFEDED"/>
          </w:tcPr>
          <w:p>
            <w:pPr>
              <w:spacing w:after="0"/>
              <w:rPr>
                <w:sz w:val="10"/>
                <w:szCs w:val="10"/>
                <w:color w:val="auto"/>
              </w:rPr>
            </w:pPr>
          </w:p>
        </w:tc>
        <w:tc>
          <w:tcPr>
            <w:tcW w:w="480" w:type="dxa"/>
            <w:vAlign w:val="bottom"/>
            <w:shd w:val="clear" w:color="auto" w:fill="EFEDED"/>
          </w:tcPr>
          <w:p>
            <w:pPr>
              <w:spacing w:after="0"/>
              <w:rPr>
                <w:sz w:val="10"/>
                <w:szCs w:val="10"/>
                <w:color w:val="auto"/>
              </w:rPr>
            </w:pPr>
          </w:p>
        </w:tc>
        <w:tc>
          <w:tcPr>
            <w:tcW w:w="100" w:type="dxa"/>
            <w:vAlign w:val="bottom"/>
            <w:shd w:val="clear" w:color="auto" w:fill="EFEDED"/>
          </w:tcPr>
          <w:p>
            <w:pPr>
              <w:spacing w:after="0"/>
              <w:rPr>
                <w:sz w:val="10"/>
                <w:szCs w:val="10"/>
                <w:color w:val="auto"/>
              </w:rPr>
            </w:pPr>
          </w:p>
        </w:tc>
        <w:tc>
          <w:tcPr>
            <w:tcW w:w="600" w:type="dxa"/>
            <w:vAlign w:val="bottom"/>
            <w:shd w:val="clear" w:color="auto" w:fill="EFEDED"/>
          </w:tcPr>
          <w:p>
            <w:pPr>
              <w:jc w:val="center"/>
              <w:ind w:right="44"/>
              <w:spacing w:after="0" w:line="122" w:lineRule="exact"/>
              <w:rPr>
                <w:sz w:val="20"/>
                <w:szCs w:val="20"/>
                <w:color w:val="auto"/>
              </w:rPr>
            </w:pPr>
            <w:r>
              <w:rPr>
                <w:rFonts w:ascii="Arial" w:cs="Arial" w:eastAsia="Arial" w:hAnsi="Arial"/>
                <w:sz w:val="11"/>
                <w:szCs w:val="11"/>
                <w:color w:val="58595B"/>
                <w:w w:val="98"/>
              </w:rPr>
              <w:t>Selected</w:t>
            </w:r>
          </w:p>
        </w:tc>
      </w:tr>
      <w:tr>
        <w:trPr>
          <w:trHeight w:val="169"/>
        </w:trPr>
        <w:tc>
          <w:tcPr>
            <w:tcW w:w="440" w:type="dxa"/>
            <w:vAlign w:val="bottom"/>
            <w:tcBorders>
              <w:bottom w:val="single" w:sz="8" w:color="EFEDED"/>
            </w:tcBorders>
            <w:shd w:val="clear" w:color="auto" w:fill="EFEDED"/>
          </w:tcPr>
          <w:p>
            <w:pPr>
              <w:spacing w:after="0"/>
              <w:rPr>
                <w:sz w:val="14"/>
                <w:szCs w:val="14"/>
                <w:color w:val="auto"/>
              </w:rPr>
            </w:pPr>
          </w:p>
        </w:tc>
        <w:tc>
          <w:tcPr>
            <w:tcW w:w="980" w:type="dxa"/>
            <w:vAlign w:val="bottom"/>
            <w:tcBorders>
              <w:bottom w:val="single" w:sz="8" w:color="EFEDED"/>
            </w:tcBorders>
            <w:shd w:val="clear" w:color="auto" w:fill="EFEDED"/>
          </w:tcPr>
          <w:p>
            <w:pPr>
              <w:spacing w:after="0"/>
              <w:rPr>
                <w:sz w:val="14"/>
                <w:szCs w:val="14"/>
                <w:color w:val="auto"/>
              </w:rPr>
            </w:pPr>
          </w:p>
        </w:tc>
        <w:tc>
          <w:tcPr>
            <w:tcW w:w="940" w:type="dxa"/>
            <w:vAlign w:val="bottom"/>
            <w:tcBorders>
              <w:bottom w:val="single" w:sz="8" w:color="EFEDED"/>
            </w:tcBorders>
            <w:shd w:val="clear" w:color="auto" w:fill="EFEDED"/>
          </w:tcPr>
          <w:p>
            <w:pPr>
              <w:spacing w:after="0"/>
              <w:rPr>
                <w:sz w:val="14"/>
                <w:szCs w:val="14"/>
                <w:color w:val="auto"/>
              </w:rPr>
            </w:pPr>
          </w:p>
        </w:tc>
        <w:tc>
          <w:tcPr>
            <w:tcW w:w="960" w:type="dxa"/>
            <w:vAlign w:val="bottom"/>
            <w:tcBorders>
              <w:bottom w:val="single" w:sz="8" w:color="EFEDED"/>
            </w:tcBorders>
            <w:shd w:val="clear" w:color="auto" w:fill="EFEDED"/>
          </w:tcPr>
          <w:p>
            <w:pPr>
              <w:spacing w:after="0"/>
              <w:rPr>
                <w:sz w:val="14"/>
                <w:szCs w:val="14"/>
                <w:color w:val="auto"/>
              </w:rPr>
            </w:pPr>
          </w:p>
        </w:tc>
        <w:tc>
          <w:tcPr>
            <w:tcW w:w="1020" w:type="dxa"/>
            <w:vAlign w:val="bottom"/>
            <w:tcBorders>
              <w:bottom w:val="single" w:sz="8" w:color="EFEDED"/>
            </w:tcBorders>
            <w:shd w:val="clear" w:color="auto" w:fill="EFEDED"/>
          </w:tcPr>
          <w:p>
            <w:pPr>
              <w:spacing w:after="0"/>
              <w:rPr>
                <w:sz w:val="14"/>
                <w:szCs w:val="14"/>
                <w:color w:val="auto"/>
              </w:rPr>
            </w:pPr>
          </w:p>
        </w:tc>
        <w:tc>
          <w:tcPr>
            <w:tcW w:w="960" w:type="dxa"/>
            <w:vAlign w:val="bottom"/>
            <w:tcBorders>
              <w:bottom w:val="single" w:sz="8" w:color="EFEDED"/>
            </w:tcBorders>
            <w:shd w:val="clear" w:color="auto" w:fill="EFEDED"/>
          </w:tcPr>
          <w:p>
            <w:pPr>
              <w:spacing w:after="0"/>
              <w:rPr>
                <w:sz w:val="14"/>
                <w:szCs w:val="14"/>
                <w:color w:val="auto"/>
              </w:rPr>
            </w:pPr>
          </w:p>
        </w:tc>
        <w:tc>
          <w:tcPr>
            <w:tcW w:w="980" w:type="dxa"/>
            <w:vAlign w:val="bottom"/>
            <w:tcBorders>
              <w:bottom w:val="single" w:sz="8" w:color="EFEDED"/>
            </w:tcBorders>
            <w:shd w:val="clear" w:color="auto" w:fill="EFEDED"/>
          </w:tcPr>
          <w:p>
            <w:pPr>
              <w:spacing w:after="0"/>
              <w:rPr>
                <w:sz w:val="14"/>
                <w:szCs w:val="14"/>
                <w:color w:val="auto"/>
              </w:rPr>
            </w:pPr>
          </w:p>
        </w:tc>
        <w:tc>
          <w:tcPr>
            <w:tcW w:w="940" w:type="dxa"/>
            <w:vAlign w:val="bottom"/>
            <w:tcBorders>
              <w:bottom w:val="single" w:sz="8" w:color="EFEDED"/>
            </w:tcBorders>
            <w:shd w:val="clear" w:color="auto" w:fill="EFEDED"/>
          </w:tcPr>
          <w:p>
            <w:pPr>
              <w:spacing w:after="0"/>
              <w:rPr>
                <w:sz w:val="14"/>
                <w:szCs w:val="14"/>
                <w:color w:val="auto"/>
              </w:rPr>
            </w:pPr>
          </w:p>
        </w:tc>
        <w:tc>
          <w:tcPr>
            <w:tcW w:w="960" w:type="dxa"/>
            <w:vAlign w:val="bottom"/>
            <w:tcBorders>
              <w:bottom w:val="single" w:sz="8" w:color="EFEDED"/>
            </w:tcBorders>
            <w:shd w:val="clear" w:color="auto" w:fill="EFEDED"/>
          </w:tcPr>
          <w:p>
            <w:pPr>
              <w:spacing w:after="0"/>
              <w:rPr>
                <w:sz w:val="14"/>
                <w:szCs w:val="14"/>
                <w:color w:val="auto"/>
              </w:rPr>
            </w:pPr>
          </w:p>
        </w:tc>
        <w:tc>
          <w:tcPr>
            <w:tcW w:w="1700" w:type="dxa"/>
            <w:vAlign w:val="bottom"/>
            <w:tcBorders>
              <w:bottom w:val="single" w:sz="8" w:color="58595B"/>
            </w:tcBorders>
            <w:gridSpan w:val="2"/>
            <w:shd w:val="clear" w:color="auto" w:fill="EFEDED"/>
          </w:tcPr>
          <w:p>
            <w:pPr>
              <w:jc w:val="right"/>
              <w:ind w:right="124"/>
              <w:spacing w:after="0"/>
              <w:rPr>
                <w:sz w:val="20"/>
                <w:szCs w:val="20"/>
                <w:color w:val="auto"/>
              </w:rPr>
            </w:pPr>
            <w:r>
              <w:rPr>
                <w:rFonts w:ascii="Arial" w:cs="Arial" w:eastAsia="Arial" w:hAnsi="Arial"/>
                <w:sz w:val="11"/>
                <w:szCs w:val="11"/>
                <w:color w:val="58595B"/>
              </w:rPr>
              <w:t>$100 Investment Based On:</w:t>
            </w:r>
          </w:p>
        </w:tc>
        <w:tc>
          <w:tcPr>
            <w:tcW w:w="180" w:type="dxa"/>
            <w:vAlign w:val="bottom"/>
            <w:tcBorders>
              <w:bottom w:val="single" w:sz="8" w:color="EFEDED"/>
            </w:tcBorders>
            <w:shd w:val="clear" w:color="auto" w:fill="EFEDED"/>
          </w:tcPr>
          <w:p>
            <w:pPr>
              <w:spacing w:after="0"/>
              <w:rPr>
                <w:sz w:val="14"/>
                <w:szCs w:val="14"/>
                <w:color w:val="auto"/>
              </w:rPr>
            </w:pPr>
          </w:p>
        </w:tc>
        <w:tc>
          <w:tcPr>
            <w:tcW w:w="480" w:type="dxa"/>
            <w:vAlign w:val="bottom"/>
            <w:tcBorders>
              <w:bottom w:val="single" w:sz="8" w:color="EFEDED"/>
            </w:tcBorders>
            <w:shd w:val="clear" w:color="auto" w:fill="EFEDED"/>
          </w:tcPr>
          <w:p>
            <w:pPr>
              <w:spacing w:after="0"/>
              <w:rPr>
                <w:sz w:val="14"/>
                <w:szCs w:val="14"/>
                <w:color w:val="auto"/>
              </w:rPr>
            </w:pPr>
          </w:p>
        </w:tc>
        <w:tc>
          <w:tcPr>
            <w:tcW w:w="100" w:type="dxa"/>
            <w:vAlign w:val="bottom"/>
            <w:tcBorders>
              <w:bottom w:val="single" w:sz="8" w:color="58595B"/>
            </w:tcBorders>
            <w:shd w:val="clear" w:color="auto" w:fill="EFEDED"/>
          </w:tcPr>
          <w:p>
            <w:pPr>
              <w:spacing w:after="0"/>
              <w:rPr>
                <w:sz w:val="14"/>
                <w:szCs w:val="14"/>
                <w:color w:val="auto"/>
              </w:rPr>
            </w:pPr>
          </w:p>
        </w:tc>
        <w:tc>
          <w:tcPr>
            <w:tcW w:w="600" w:type="dxa"/>
            <w:vAlign w:val="bottom"/>
            <w:tcBorders>
              <w:bottom w:val="single" w:sz="8" w:color="58595B"/>
            </w:tcBorders>
            <w:shd w:val="clear" w:color="auto" w:fill="EFEDED"/>
          </w:tcPr>
          <w:p>
            <w:pPr>
              <w:jc w:val="center"/>
              <w:ind w:right="44"/>
              <w:spacing w:after="0"/>
              <w:rPr>
                <w:sz w:val="20"/>
                <w:szCs w:val="20"/>
                <w:color w:val="auto"/>
              </w:rPr>
            </w:pPr>
            <w:r>
              <w:rPr>
                <w:rFonts w:ascii="Arial" w:cs="Arial" w:eastAsia="Arial" w:hAnsi="Arial"/>
                <w:sz w:val="11"/>
                <w:szCs w:val="11"/>
                <w:color w:val="58595B"/>
                <w:w w:val="98"/>
              </w:rPr>
              <w:t>Measure</w:t>
            </w:r>
          </w:p>
        </w:tc>
      </w:tr>
      <w:tr>
        <w:trPr>
          <w:trHeight w:val="135"/>
        </w:trPr>
        <w:tc>
          <w:tcPr>
            <w:tcW w:w="440" w:type="dxa"/>
            <w:vAlign w:val="bottom"/>
            <w:shd w:val="clear" w:color="auto" w:fill="EFEDED"/>
          </w:tcPr>
          <w:p>
            <w:pPr>
              <w:spacing w:after="0"/>
              <w:rPr>
                <w:sz w:val="11"/>
                <w:szCs w:val="11"/>
                <w:color w:val="auto"/>
              </w:rPr>
            </w:pPr>
          </w:p>
        </w:tc>
        <w:tc>
          <w:tcPr>
            <w:tcW w:w="980" w:type="dxa"/>
            <w:vAlign w:val="bottom"/>
            <w:shd w:val="clear" w:color="auto" w:fill="EFEDED"/>
          </w:tcPr>
          <w:p>
            <w:pPr>
              <w:spacing w:after="0"/>
              <w:rPr>
                <w:sz w:val="11"/>
                <w:szCs w:val="11"/>
                <w:color w:val="auto"/>
              </w:rPr>
            </w:pPr>
          </w:p>
        </w:tc>
        <w:tc>
          <w:tcPr>
            <w:tcW w:w="940" w:type="dxa"/>
            <w:vAlign w:val="bottom"/>
            <w:shd w:val="clear" w:color="auto" w:fill="EFEDED"/>
          </w:tcPr>
          <w:p>
            <w:pPr>
              <w:spacing w:after="0"/>
              <w:rPr>
                <w:sz w:val="11"/>
                <w:szCs w:val="11"/>
                <w:color w:val="auto"/>
              </w:rPr>
            </w:pPr>
          </w:p>
        </w:tc>
        <w:tc>
          <w:tcPr>
            <w:tcW w:w="960" w:type="dxa"/>
            <w:vAlign w:val="bottom"/>
            <w:shd w:val="clear" w:color="auto" w:fill="EFEDED"/>
          </w:tcPr>
          <w:p>
            <w:pPr>
              <w:jc w:val="center"/>
              <w:spacing w:after="0"/>
              <w:rPr>
                <w:sz w:val="20"/>
                <w:szCs w:val="20"/>
                <w:color w:val="auto"/>
              </w:rPr>
            </w:pPr>
            <w:r>
              <w:rPr>
                <w:rFonts w:ascii="Arial" w:cs="Arial" w:eastAsia="Arial" w:hAnsi="Arial"/>
                <w:sz w:val="11"/>
                <w:szCs w:val="11"/>
                <w:color w:val="58595B"/>
                <w:w w:val="97"/>
              </w:rPr>
              <w:t>Summary</w:t>
            </w:r>
          </w:p>
        </w:tc>
        <w:tc>
          <w:tcPr>
            <w:tcW w:w="1020" w:type="dxa"/>
            <w:vAlign w:val="bottom"/>
            <w:shd w:val="clear" w:color="auto" w:fill="EFEDED"/>
          </w:tcPr>
          <w:p>
            <w:pPr>
              <w:spacing w:after="0"/>
              <w:rPr>
                <w:sz w:val="11"/>
                <w:szCs w:val="11"/>
                <w:color w:val="auto"/>
              </w:rPr>
            </w:pPr>
          </w:p>
        </w:tc>
        <w:tc>
          <w:tcPr>
            <w:tcW w:w="960" w:type="dxa"/>
            <w:vAlign w:val="bottom"/>
            <w:shd w:val="clear" w:color="auto" w:fill="EFEDED"/>
          </w:tcPr>
          <w:p>
            <w:pPr>
              <w:spacing w:after="0"/>
              <w:rPr>
                <w:sz w:val="11"/>
                <w:szCs w:val="11"/>
                <w:color w:val="auto"/>
              </w:rPr>
            </w:pPr>
          </w:p>
        </w:tc>
        <w:tc>
          <w:tcPr>
            <w:tcW w:w="980" w:type="dxa"/>
            <w:vAlign w:val="bottom"/>
            <w:shd w:val="clear" w:color="auto" w:fill="EFEDED"/>
          </w:tcPr>
          <w:p>
            <w:pPr>
              <w:spacing w:after="0"/>
              <w:rPr>
                <w:sz w:val="11"/>
                <w:szCs w:val="11"/>
                <w:color w:val="auto"/>
              </w:rPr>
            </w:pPr>
          </w:p>
        </w:tc>
        <w:tc>
          <w:tcPr>
            <w:tcW w:w="940" w:type="dxa"/>
            <w:vAlign w:val="bottom"/>
            <w:shd w:val="clear" w:color="auto" w:fill="EFEDED"/>
          </w:tcPr>
          <w:p>
            <w:pPr>
              <w:spacing w:after="0"/>
              <w:rPr>
                <w:sz w:val="11"/>
                <w:szCs w:val="11"/>
                <w:color w:val="auto"/>
              </w:rPr>
            </w:pPr>
          </w:p>
        </w:tc>
        <w:tc>
          <w:tcPr>
            <w:tcW w:w="960" w:type="dxa"/>
            <w:vAlign w:val="bottom"/>
            <w:shd w:val="clear" w:color="auto" w:fill="EFEDED"/>
          </w:tcPr>
          <w:p>
            <w:pPr>
              <w:jc w:val="center"/>
              <w:spacing w:after="0"/>
              <w:rPr>
                <w:sz w:val="20"/>
                <w:szCs w:val="20"/>
                <w:color w:val="auto"/>
              </w:rPr>
            </w:pPr>
            <w:r>
              <w:rPr>
                <w:rFonts w:ascii="Arial" w:cs="Arial" w:eastAsia="Arial" w:hAnsi="Arial"/>
                <w:sz w:val="11"/>
                <w:szCs w:val="11"/>
                <w:color w:val="58595B"/>
                <w:w w:val="97"/>
              </w:rPr>
              <w:t>Average</w:t>
            </w:r>
          </w:p>
        </w:tc>
        <w:tc>
          <w:tcPr>
            <w:tcW w:w="900" w:type="dxa"/>
            <w:vAlign w:val="bottom"/>
            <w:shd w:val="clear" w:color="auto" w:fill="EFEDED"/>
          </w:tcPr>
          <w:p>
            <w:pPr>
              <w:spacing w:after="0"/>
              <w:rPr>
                <w:sz w:val="11"/>
                <w:szCs w:val="11"/>
                <w:color w:val="auto"/>
              </w:rPr>
            </w:pPr>
          </w:p>
        </w:tc>
        <w:tc>
          <w:tcPr>
            <w:tcW w:w="800" w:type="dxa"/>
            <w:vAlign w:val="bottom"/>
            <w:shd w:val="clear" w:color="auto" w:fill="EFEDED"/>
          </w:tcPr>
          <w:p>
            <w:pPr>
              <w:spacing w:after="0"/>
              <w:rPr>
                <w:sz w:val="11"/>
                <w:szCs w:val="11"/>
                <w:color w:val="auto"/>
              </w:rPr>
            </w:pPr>
          </w:p>
        </w:tc>
        <w:tc>
          <w:tcPr>
            <w:tcW w:w="180" w:type="dxa"/>
            <w:vAlign w:val="bottom"/>
            <w:shd w:val="clear" w:color="auto" w:fill="EFEDED"/>
          </w:tcPr>
          <w:p>
            <w:pPr>
              <w:spacing w:after="0"/>
              <w:rPr>
                <w:sz w:val="11"/>
                <w:szCs w:val="11"/>
                <w:color w:val="auto"/>
              </w:rPr>
            </w:pPr>
          </w:p>
        </w:tc>
        <w:tc>
          <w:tcPr>
            <w:tcW w:w="480" w:type="dxa"/>
            <w:vAlign w:val="bottom"/>
            <w:shd w:val="clear" w:color="auto" w:fill="EFEDED"/>
          </w:tcPr>
          <w:p>
            <w:pPr>
              <w:spacing w:after="0"/>
              <w:rPr>
                <w:sz w:val="11"/>
                <w:szCs w:val="11"/>
                <w:color w:val="auto"/>
              </w:rPr>
            </w:pPr>
          </w:p>
        </w:tc>
        <w:tc>
          <w:tcPr>
            <w:tcW w:w="100" w:type="dxa"/>
            <w:vAlign w:val="bottom"/>
            <w:shd w:val="clear" w:color="auto" w:fill="EFEDED"/>
          </w:tcPr>
          <w:p>
            <w:pPr>
              <w:spacing w:after="0"/>
              <w:rPr>
                <w:sz w:val="11"/>
                <w:szCs w:val="11"/>
                <w:color w:val="auto"/>
              </w:rPr>
            </w:pPr>
          </w:p>
        </w:tc>
        <w:tc>
          <w:tcPr>
            <w:tcW w:w="600" w:type="dxa"/>
            <w:vAlign w:val="bottom"/>
            <w:shd w:val="clear" w:color="auto" w:fill="EFEDED"/>
          </w:tcPr>
          <w:p>
            <w:pPr>
              <w:spacing w:after="0"/>
              <w:rPr>
                <w:sz w:val="11"/>
                <w:szCs w:val="11"/>
                <w:color w:val="auto"/>
              </w:rPr>
            </w:pPr>
          </w:p>
        </w:tc>
      </w:tr>
      <w:tr>
        <w:trPr>
          <w:trHeight w:val="122"/>
        </w:trPr>
        <w:tc>
          <w:tcPr>
            <w:tcW w:w="440" w:type="dxa"/>
            <w:vAlign w:val="bottom"/>
            <w:shd w:val="clear" w:color="auto" w:fill="EFEDED"/>
          </w:tcPr>
          <w:p>
            <w:pPr>
              <w:spacing w:after="0"/>
              <w:rPr>
                <w:sz w:val="10"/>
                <w:szCs w:val="10"/>
                <w:color w:val="auto"/>
              </w:rPr>
            </w:pPr>
          </w:p>
        </w:tc>
        <w:tc>
          <w:tcPr>
            <w:tcW w:w="980" w:type="dxa"/>
            <w:vAlign w:val="bottom"/>
            <w:shd w:val="clear" w:color="auto" w:fill="EFEDED"/>
          </w:tcPr>
          <w:p>
            <w:pPr>
              <w:jc w:val="center"/>
              <w:spacing w:after="0" w:line="122" w:lineRule="exact"/>
              <w:rPr>
                <w:sz w:val="20"/>
                <w:szCs w:val="20"/>
                <w:color w:val="auto"/>
              </w:rPr>
            </w:pPr>
            <w:r>
              <w:rPr>
                <w:rFonts w:ascii="Arial" w:cs="Arial" w:eastAsia="Arial" w:hAnsi="Arial"/>
                <w:sz w:val="11"/>
                <w:szCs w:val="11"/>
                <w:color w:val="58595B"/>
              </w:rPr>
              <w:t>Summary</w:t>
            </w:r>
          </w:p>
        </w:tc>
        <w:tc>
          <w:tcPr>
            <w:tcW w:w="940" w:type="dxa"/>
            <w:vAlign w:val="bottom"/>
            <w:shd w:val="clear" w:color="auto" w:fill="EFEDED"/>
          </w:tcPr>
          <w:p>
            <w:pPr>
              <w:jc w:val="center"/>
              <w:spacing w:after="0" w:line="122" w:lineRule="exact"/>
              <w:rPr>
                <w:sz w:val="20"/>
                <w:szCs w:val="20"/>
                <w:color w:val="auto"/>
              </w:rPr>
            </w:pPr>
            <w:r>
              <w:rPr>
                <w:rFonts w:ascii="Arial" w:cs="Arial" w:eastAsia="Arial" w:hAnsi="Arial"/>
                <w:sz w:val="11"/>
                <w:szCs w:val="11"/>
                <w:color w:val="58595B"/>
                <w:w w:val="97"/>
              </w:rPr>
              <w:t>Summary</w:t>
            </w:r>
          </w:p>
        </w:tc>
        <w:tc>
          <w:tcPr>
            <w:tcW w:w="960" w:type="dxa"/>
            <w:vAlign w:val="bottom"/>
            <w:shd w:val="clear" w:color="auto" w:fill="EFEDED"/>
          </w:tcPr>
          <w:p>
            <w:pPr>
              <w:jc w:val="center"/>
              <w:spacing w:after="0" w:line="122" w:lineRule="exact"/>
              <w:rPr>
                <w:sz w:val="20"/>
                <w:szCs w:val="20"/>
                <w:color w:val="auto"/>
              </w:rPr>
            </w:pPr>
            <w:r>
              <w:rPr>
                <w:rFonts w:ascii="Arial" w:cs="Arial" w:eastAsia="Arial" w:hAnsi="Arial"/>
                <w:sz w:val="11"/>
                <w:szCs w:val="11"/>
                <w:color w:val="58595B"/>
                <w:w w:val="98"/>
              </w:rPr>
              <w:t>Compensation</w:t>
            </w:r>
          </w:p>
        </w:tc>
        <w:tc>
          <w:tcPr>
            <w:tcW w:w="1020" w:type="dxa"/>
            <w:vAlign w:val="bottom"/>
            <w:shd w:val="clear" w:color="auto" w:fill="EFEDED"/>
          </w:tcPr>
          <w:p>
            <w:pPr>
              <w:jc w:val="center"/>
              <w:ind w:right="5"/>
              <w:spacing w:after="0" w:line="122" w:lineRule="exact"/>
              <w:rPr>
                <w:sz w:val="20"/>
                <w:szCs w:val="20"/>
                <w:color w:val="auto"/>
              </w:rPr>
            </w:pPr>
            <w:r>
              <w:rPr>
                <w:rFonts w:ascii="Arial" w:cs="Arial" w:eastAsia="Arial" w:hAnsi="Arial"/>
                <w:sz w:val="11"/>
                <w:szCs w:val="11"/>
                <w:color w:val="58595B"/>
                <w:w w:val="95"/>
              </w:rPr>
              <w:t>Compensation</w:t>
            </w:r>
          </w:p>
        </w:tc>
        <w:tc>
          <w:tcPr>
            <w:tcW w:w="960" w:type="dxa"/>
            <w:vAlign w:val="bottom"/>
            <w:shd w:val="clear" w:color="auto" w:fill="EFEDED"/>
          </w:tcPr>
          <w:p>
            <w:pPr>
              <w:jc w:val="center"/>
              <w:ind w:right="44"/>
              <w:spacing w:after="0" w:line="122" w:lineRule="exact"/>
              <w:rPr>
                <w:sz w:val="20"/>
                <w:szCs w:val="20"/>
                <w:color w:val="auto"/>
              </w:rPr>
            </w:pPr>
            <w:r>
              <w:rPr>
                <w:rFonts w:ascii="Arial" w:cs="Arial" w:eastAsia="Arial" w:hAnsi="Arial"/>
                <w:sz w:val="11"/>
                <w:szCs w:val="11"/>
                <w:color w:val="58595B"/>
                <w:w w:val="98"/>
              </w:rPr>
              <w:t>Compensation</w:t>
            </w:r>
          </w:p>
        </w:tc>
        <w:tc>
          <w:tcPr>
            <w:tcW w:w="980" w:type="dxa"/>
            <w:vAlign w:val="bottom"/>
            <w:shd w:val="clear" w:color="auto" w:fill="EFEDED"/>
          </w:tcPr>
          <w:p>
            <w:pPr>
              <w:jc w:val="center"/>
              <w:ind w:right="24"/>
              <w:spacing w:after="0" w:line="122" w:lineRule="exact"/>
              <w:rPr>
                <w:sz w:val="20"/>
                <w:szCs w:val="20"/>
                <w:color w:val="auto"/>
              </w:rPr>
            </w:pPr>
            <w:r>
              <w:rPr>
                <w:rFonts w:ascii="Arial" w:cs="Arial" w:eastAsia="Arial" w:hAnsi="Arial"/>
                <w:sz w:val="11"/>
                <w:szCs w:val="11"/>
                <w:color w:val="58595B"/>
                <w:w w:val="98"/>
              </w:rPr>
              <w:t>Compensation</w:t>
            </w:r>
          </w:p>
        </w:tc>
        <w:tc>
          <w:tcPr>
            <w:tcW w:w="940" w:type="dxa"/>
            <w:vAlign w:val="bottom"/>
            <w:shd w:val="clear" w:color="auto" w:fill="EFEDED"/>
          </w:tcPr>
          <w:p>
            <w:pPr>
              <w:jc w:val="center"/>
              <w:ind w:right="3"/>
              <w:spacing w:after="0" w:line="122" w:lineRule="exact"/>
              <w:rPr>
                <w:sz w:val="20"/>
                <w:szCs w:val="20"/>
                <w:color w:val="auto"/>
              </w:rPr>
            </w:pPr>
            <w:r>
              <w:rPr>
                <w:rFonts w:ascii="Arial" w:cs="Arial" w:eastAsia="Arial" w:hAnsi="Arial"/>
                <w:sz w:val="11"/>
                <w:szCs w:val="11"/>
                <w:color w:val="58595B"/>
                <w:w w:val="97"/>
              </w:rPr>
              <w:t>Average</w:t>
            </w:r>
          </w:p>
        </w:tc>
        <w:tc>
          <w:tcPr>
            <w:tcW w:w="960" w:type="dxa"/>
            <w:vAlign w:val="bottom"/>
            <w:shd w:val="clear" w:color="auto" w:fill="EFEDED"/>
          </w:tcPr>
          <w:p>
            <w:pPr>
              <w:jc w:val="center"/>
              <w:spacing w:after="0" w:line="122" w:lineRule="exact"/>
              <w:rPr>
                <w:sz w:val="20"/>
                <w:szCs w:val="20"/>
                <w:color w:val="auto"/>
              </w:rPr>
            </w:pPr>
            <w:r>
              <w:rPr>
                <w:rFonts w:ascii="Arial" w:cs="Arial" w:eastAsia="Arial" w:hAnsi="Arial"/>
                <w:sz w:val="11"/>
                <w:szCs w:val="11"/>
                <w:color w:val="58595B"/>
                <w:w w:val="98"/>
              </w:rPr>
              <w:t>Compensation</w:t>
            </w:r>
          </w:p>
        </w:tc>
        <w:tc>
          <w:tcPr>
            <w:tcW w:w="900" w:type="dxa"/>
            <w:vAlign w:val="bottom"/>
            <w:shd w:val="clear" w:color="auto" w:fill="EFEDED"/>
          </w:tcPr>
          <w:p>
            <w:pPr>
              <w:spacing w:after="0"/>
              <w:rPr>
                <w:sz w:val="10"/>
                <w:szCs w:val="10"/>
                <w:color w:val="auto"/>
              </w:rPr>
            </w:pPr>
          </w:p>
        </w:tc>
        <w:tc>
          <w:tcPr>
            <w:tcW w:w="800" w:type="dxa"/>
            <w:vAlign w:val="bottom"/>
            <w:shd w:val="clear" w:color="auto" w:fill="EFEDED"/>
          </w:tcPr>
          <w:p>
            <w:pPr>
              <w:jc w:val="center"/>
              <w:spacing w:after="0" w:line="122" w:lineRule="exact"/>
              <w:rPr>
                <w:sz w:val="20"/>
                <w:szCs w:val="20"/>
                <w:color w:val="auto"/>
              </w:rPr>
            </w:pPr>
            <w:r>
              <w:rPr>
                <w:rFonts w:ascii="Arial" w:cs="Arial" w:eastAsia="Arial" w:hAnsi="Arial"/>
                <w:sz w:val="11"/>
                <w:szCs w:val="11"/>
                <w:color w:val="58595B"/>
                <w:w w:val="98"/>
              </w:rPr>
              <w:t>Peer Group</w:t>
            </w:r>
          </w:p>
        </w:tc>
        <w:tc>
          <w:tcPr>
            <w:tcW w:w="180" w:type="dxa"/>
            <w:vAlign w:val="bottom"/>
            <w:shd w:val="clear" w:color="auto" w:fill="EFEDED"/>
          </w:tcPr>
          <w:p>
            <w:pPr>
              <w:spacing w:after="0"/>
              <w:rPr>
                <w:sz w:val="10"/>
                <w:szCs w:val="10"/>
                <w:color w:val="auto"/>
              </w:rPr>
            </w:pPr>
          </w:p>
        </w:tc>
        <w:tc>
          <w:tcPr>
            <w:tcW w:w="480" w:type="dxa"/>
            <w:vAlign w:val="bottom"/>
            <w:shd w:val="clear" w:color="auto" w:fill="EFEDED"/>
          </w:tcPr>
          <w:p>
            <w:pPr>
              <w:spacing w:after="0"/>
              <w:rPr>
                <w:sz w:val="10"/>
                <w:szCs w:val="10"/>
                <w:color w:val="auto"/>
              </w:rPr>
            </w:pPr>
          </w:p>
        </w:tc>
        <w:tc>
          <w:tcPr>
            <w:tcW w:w="100" w:type="dxa"/>
            <w:vAlign w:val="bottom"/>
            <w:shd w:val="clear" w:color="auto" w:fill="EFEDED"/>
          </w:tcPr>
          <w:p>
            <w:pPr>
              <w:spacing w:after="0"/>
              <w:rPr>
                <w:sz w:val="10"/>
                <w:szCs w:val="10"/>
                <w:color w:val="auto"/>
              </w:rPr>
            </w:pPr>
          </w:p>
        </w:tc>
        <w:tc>
          <w:tcPr>
            <w:tcW w:w="600" w:type="dxa"/>
            <w:vAlign w:val="bottom"/>
            <w:shd w:val="clear" w:color="auto" w:fill="EFEDED"/>
          </w:tcPr>
          <w:p>
            <w:pPr>
              <w:spacing w:after="0"/>
              <w:rPr>
                <w:sz w:val="10"/>
                <w:szCs w:val="10"/>
                <w:color w:val="auto"/>
              </w:rPr>
            </w:pPr>
          </w:p>
        </w:tc>
      </w:tr>
      <w:tr>
        <w:trPr>
          <w:trHeight w:val="135"/>
        </w:trPr>
        <w:tc>
          <w:tcPr>
            <w:tcW w:w="440" w:type="dxa"/>
            <w:vAlign w:val="bottom"/>
            <w:shd w:val="clear" w:color="auto" w:fill="EFEDED"/>
          </w:tcPr>
          <w:p>
            <w:pPr>
              <w:spacing w:after="0"/>
              <w:rPr>
                <w:sz w:val="11"/>
                <w:szCs w:val="11"/>
                <w:color w:val="auto"/>
              </w:rPr>
            </w:pPr>
          </w:p>
        </w:tc>
        <w:tc>
          <w:tcPr>
            <w:tcW w:w="980" w:type="dxa"/>
            <w:vAlign w:val="bottom"/>
            <w:shd w:val="clear" w:color="auto" w:fill="EFEDED"/>
          </w:tcPr>
          <w:p>
            <w:pPr>
              <w:jc w:val="center"/>
              <w:spacing w:after="0"/>
              <w:rPr>
                <w:sz w:val="20"/>
                <w:szCs w:val="20"/>
                <w:color w:val="auto"/>
              </w:rPr>
            </w:pPr>
            <w:r>
              <w:rPr>
                <w:rFonts w:ascii="Arial" w:cs="Arial" w:eastAsia="Arial" w:hAnsi="Arial"/>
                <w:sz w:val="11"/>
                <w:szCs w:val="11"/>
                <w:color w:val="58595B"/>
                <w:w w:val="95"/>
              </w:rPr>
              <w:t>Compensation</w:t>
            </w:r>
          </w:p>
        </w:tc>
        <w:tc>
          <w:tcPr>
            <w:tcW w:w="940" w:type="dxa"/>
            <w:vAlign w:val="bottom"/>
            <w:shd w:val="clear" w:color="auto" w:fill="EFEDED"/>
          </w:tcPr>
          <w:p>
            <w:pPr>
              <w:jc w:val="center"/>
              <w:spacing w:after="0"/>
              <w:rPr>
                <w:sz w:val="20"/>
                <w:szCs w:val="20"/>
                <w:color w:val="auto"/>
              </w:rPr>
            </w:pPr>
            <w:r>
              <w:rPr>
                <w:rFonts w:ascii="Arial" w:cs="Arial" w:eastAsia="Arial" w:hAnsi="Arial"/>
                <w:sz w:val="11"/>
                <w:szCs w:val="11"/>
                <w:color w:val="58595B"/>
                <w:w w:val="98"/>
              </w:rPr>
              <w:t>Compensation</w:t>
            </w:r>
          </w:p>
        </w:tc>
        <w:tc>
          <w:tcPr>
            <w:tcW w:w="960" w:type="dxa"/>
            <w:vAlign w:val="bottom"/>
            <w:shd w:val="clear" w:color="auto" w:fill="EFEDED"/>
          </w:tcPr>
          <w:p>
            <w:pPr>
              <w:jc w:val="center"/>
              <w:spacing w:after="0"/>
              <w:rPr>
                <w:sz w:val="20"/>
                <w:szCs w:val="20"/>
                <w:color w:val="auto"/>
              </w:rPr>
            </w:pPr>
            <w:r>
              <w:rPr>
                <w:rFonts w:ascii="Arial" w:cs="Arial" w:eastAsia="Arial" w:hAnsi="Arial"/>
                <w:sz w:val="11"/>
                <w:szCs w:val="11"/>
                <w:color w:val="58595B"/>
                <w:w w:val="96"/>
              </w:rPr>
              <w:t>Table total for PEO</w:t>
            </w:r>
          </w:p>
        </w:tc>
        <w:tc>
          <w:tcPr>
            <w:tcW w:w="1020" w:type="dxa"/>
            <w:vAlign w:val="bottom"/>
            <w:shd w:val="clear" w:color="auto" w:fill="EFEDED"/>
          </w:tcPr>
          <w:p>
            <w:pPr>
              <w:jc w:val="center"/>
              <w:ind w:right="5"/>
              <w:spacing w:after="0"/>
              <w:rPr>
                <w:sz w:val="20"/>
                <w:szCs w:val="20"/>
                <w:color w:val="auto"/>
              </w:rPr>
            </w:pPr>
            <w:r>
              <w:rPr>
                <w:rFonts w:ascii="Arial" w:cs="Arial" w:eastAsia="Arial" w:hAnsi="Arial"/>
                <w:sz w:val="11"/>
                <w:szCs w:val="11"/>
                <w:color w:val="58595B"/>
              </w:rPr>
              <w:t>Actually Paid to</w:t>
            </w:r>
          </w:p>
        </w:tc>
        <w:tc>
          <w:tcPr>
            <w:tcW w:w="960" w:type="dxa"/>
            <w:vAlign w:val="bottom"/>
            <w:shd w:val="clear" w:color="auto" w:fill="EFEDED"/>
          </w:tcPr>
          <w:p>
            <w:pPr>
              <w:jc w:val="center"/>
              <w:ind w:right="44"/>
              <w:spacing w:after="0"/>
              <w:rPr>
                <w:sz w:val="20"/>
                <w:szCs w:val="20"/>
                <w:color w:val="auto"/>
              </w:rPr>
            </w:pPr>
            <w:r>
              <w:rPr>
                <w:rFonts w:ascii="Arial" w:cs="Arial" w:eastAsia="Arial" w:hAnsi="Arial"/>
                <w:sz w:val="11"/>
                <w:szCs w:val="11"/>
                <w:color w:val="58595B"/>
                <w:w w:val="97"/>
              </w:rPr>
              <w:t>Actually Paid to</w:t>
            </w:r>
          </w:p>
        </w:tc>
        <w:tc>
          <w:tcPr>
            <w:tcW w:w="980" w:type="dxa"/>
            <w:vAlign w:val="bottom"/>
            <w:shd w:val="clear" w:color="auto" w:fill="EFEDED"/>
          </w:tcPr>
          <w:p>
            <w:pPr>
              <w:jc w:val="center"/>
              <w:ind w:right="24"/>
              <w:spacing w:after="0"/>
              <w:rPr>
                <w:sz w:val="20"/>
                <w:szCs w:val="20"/>
                <w:color w:val="auto"/>
              </w:rPr>
            </w:pPr>
            <w:r>
              <w:rPr>
                <w:rFonts w:ascii="Arial" w:cs="Arial" w:eastAsia="Arial" w:hAnsi="Arial"/>
                <w:sz w:val="11"/>
                <w:szCs w:val="11"/>
                <w:color w:val="58595B"/>
                <w:w w:val="97"/>
              </w:rPr>
              <w:t>Actually Paid to</w:t>
            </w:r>
          </w:p>
        </w:tc>
        <w:tc>
          <w:tcPr>
            <w:tcW w:w="940" w:type="dxa"/>
            <w:vAlign w:val="bottom"/>
            <w:shd w:val="clear" w:color="auto" w:fill="EFEDED"/>
          </w:tcPr>
          <w:p>
            <w:pPr>
              <w:jc w:val="center"/>
              <w:ind w:right="23"/>
              <w:spacing w:after="0"/>
              <w:rPr>
                <w:sz w:val="20"/>
                <w:szCs w:val="20"/>
                <w:color w:val="auto"/>
              </w:rPr>
            </w:pPr>
            <w:r>
              <w:rPr>
                <w:rFonts w:ascii="Arial" w:cs="Arial" w:eastAsia="Arial" w:hAnsi="Arial"/>
                <w:sz w:val="11"/>
                <w:szCs w:val="11"/>
                <w:color w:val="58595B"/>
                <w:w w:val="98"/>
              </w:rPr>
              <w:t>Compensation</w:t>
            </w:r>
          </w:p>
        </w:tc>
        <w:tc>
          <w:tcPr>
            <w:tcW w:w="960" w:type="dxa"/>
            <w:vAlign w:val="bottom"/>
            <w:shd w:val="clear" w:color="auto" w:fill="EFEDED"/>
          </w:tcPr>
          <w:p>
            <w:pPr>
              <w:jc w:val="center"/>
              <w:spacing w:after="0"/>
              <w:rPr>
                <w:sz w:val="20"/>
                <w:szCs w:val="20"/>
                <w:color w:val="auto"/>
              </w:rPr>
            </w:pPr>
            <w:r>
              <w:rPr>
                <w:rFonts w:ascii="Arial" w:cs="Arial" w:eastAsia="Arial" w:hAnsi="Arial"/>
                <w:sz w:val="11"/>
                <w:szCs w:val="11"/>
                <w:color w:val="58595B"/>
                <w:w w:val="97"/>
              </w:rPr>
              <w:t>Actually Paid to</w:t>
            </w:r>
          </w:p>
        </w:tc>
        <w:tc>
          <w:tcPr>
            <w:tcW w:w="900" w:type="dxa"/>
            <w:vAlign w:val="bottom"/>
            <w:shd w:val="clear" w:color="auto" w:fill="EFEDED"/>
          </w:tcPr>
          <w:p>
            <w:pPr>
              <w:jc w:val="center"/>
              <w:ind w:right="4"/>
              <w:spacing w:after="0"/>
              <w:rPr>
                <w:sz w:val="20"/>
                <w:szCs w:val="20"/>
                <w:color w:val="auto"/>
              </w:rPr>
            </w:pPr>
            <w:r>
              <w:rPr>
                <w:rFonts w:ascii="Arial" w:cs="Arial" w:eastAsia="Arial" w:hAnsi="Arial"/>
                <w:sz w:val="11"/>
                <w:szCs w:val="11"/>
                <w:color w:val="58595B"/>
                <w:w w:val="97"/>
              </w:rPr>
              <w:t>Total</w:t>
            </w:r>
          </w:p>
        </w:tc>
        <w:tc>
          <w:tcPr>
            <w:tcW w:w="800" w:type="dxa"/>
            <w:vAlign w:val="bottom"/>
            <w:shd w:val="clear" w:color="auto" w:fill="EFEDED"/>
          </w:tcPr>
          <w:p>
            <w:pPr>
              <w:jc w:val="center"/>
              <w:ind w:right="4"/>
              <w:spacing w:after="0"/>
              <w:rPr>
                <w:sz w:val="20"/>
                <w:szCs w:val="20"/>
                <w:color w:val="auto"/>
              </w:rPr>
            </w:pPr>
            <w:r>
              <w:rPr>
                <w:rFonts w:ascii="Arial" w:cs="Arial" w:eastAsia="Arial" w:hAnsi="Arial"/>
                <w:sz w:val="11"/>
                <w:szCs w:val="11"/>
                <w:color w:val="58595B"/>
                <w:w w:val="89"/>
              </w:rPr>
              <w:t>Total</w:t>
            </w:r>
          </w:p>
        </w:tc>
        <w:tc>
          <w:tcPr>
            <w:tcW w:w="180" w:type="dxa"/>
            <w:vAlign w:val="bottom"/>
            <w:shd w:val="clear" w:color="auto" w:fill="EFEDED"/>
          </w:tcPr>
          <w:p>
            <w:pPr>
              <w:spacing w:after="0"/>
              <w:rPr>
                <w:sz w:val="11"/>
                <w:szCs w:val="11"/>
                <w:color w:val="auto"/>
              </w:rPr>
            </w:pPr>
          </w:p>
        </w:tc>
        <w:tc>
          <w:tcPr>
            <w:tcW w:w="480" w:type="dxa"/>
            <w:vAlign w:val="bottom"/>
            <w:shd w:val="clear" w:color="auto" w:fill="EFEDED"/>
          </w:tcPr>
          <w:p>
            <w:pPr>
              <w:spacing w:after="0"/>
              <w:rPr>
                <w:sz w:val="11"/>
                <w:szCs w:val="11"/>
                <w:color w:val="auto"/>
              </w:rPr>
            </w:pPr>
          </w:p>
        </w:tc>
        <w:tc>
          <w:tcPr>
            <w:tcW w:w="100" w:type="dxa"/>
            <w:vAlign w:val="bottom"/>
            <w:shd w:val="clear" w:color="auto" w:fill="EFEDED"/>
          </w:tcPr>
          <w:p>
            <w:pPr>
              <w:spacing w:after="0"/>
              <w:rPr>
                <w:sz w:val="11"/>
                <w:szCs w:val="11"/>
                <w:color w:val="auto"/>
              </w:rPr>
            </w:pPr>
          </w:p>
        </w:tc>
        <w:tc>
          <w:tcPr>
            <w:tcW w:w="600" w:type="dxa"/>
            <w:vAlign w:val="bottom"/>
            <w:shd w:val="clear" w:color="auto" w:fill="EFEDED"/>
          </w:tcPr>
          <w:p>
            <w:pPr>
              <w:spacing w:after="0"/>
              <w:rPr>
                <w:sz w:val="11"/>
                <w:szCs w:val="11"/>
                <w:color w:val="auto"/>
              </w:rPr>
            </w:pPr>
          </w:p>
        </w:tc>
      </w:tr>
      <w:tr>
        <w:trPr>
          <w:trHeight w:val="122"/>
        </w:trPr>
        <w:tc>
          <w:tcPr>
            <w:tcW w:w="440" w:type="dxa"/>
            <w:vAlign w:val="bottom"/>
            <w:shd w:val="clear" w:color="auto" w:fill="EFEDED"/>
          </w:tcPr>
          <w:p>
            <w:pPr>
              <w:spacing w:after="0"/>
              <w:rPr>
                <w:sz w:val="10"/>
                <w:szCs w:val="10"/>
                <w:color w:val="auto"/>
              </w:rPr>
            </w:pPr>
          </w:p>
        </w:tc>
        <w:tc>
          <w:tcPr>
            <w:tcW w:w="1920" w:type="dxa"/>
            <w:vAlign w:val="bottom"/>
            <w:gridSpan w:val="2"/>
            <w:shd w:val="clear" w:color="auto" w:fill="EFEDED"/>
          </w:tcPr>
          <w:p>
            <w:pPr>
              <w:jc w:val="right"/>
              <w:spacing w:after="0" w:line="122" w:lineRule="exact"/>
              <w:rPr>
                <w:sz w:val="20"/>
                <w:szCs w:val="20"/>
                <w:color w:val="auto"/>
              </w:rPr>
            </w:pPr>
            <w:r>
              <w:rPr>
                <w:rFonts w:ascii="Arial" w:cs="Arial" w:eastAsia="Arial" w:hAnsi="Arial"/>
                <w:sz w:val="11"/>
                <w:szCs w:val="11"/>
                <w:color w:val="58595B"/>
                <w:w w:val="98"/>
              </w:rPr>
              <w:t>Table total for PEO Table total for PEO</w:t>
            </w:r>
          </w:p>
        </w:tc>
        <w:tc>
          <w:tcPr>
            <w:tcW w:w="960" w:type="dxa"/>
            <w:vAlign w:val="bottom"/>
            <w:shd w:val="clear" w:color="auto" w:fill="EFEDED"/>
          </w:tcPr>
          <w:p>
            <w:pPr>
              <w:jc w:val="center"/>
              <w:spacing w:after="0" w:line="122" w:lineRule="exact"/>
              <w:rPr>
                <w:sz w:val="20"/>
                <w:szCs w:val="20"/>
                <w:color w:val="auto"/>
              </w:rPr>
            </w:pPr>
            <w:r>
              <w:rPr>
                <w:rFonts w:ascii="Arial" w:cs="Arial" w:eastAsia="Arial" w:hAnsi="Arial"/>
                <w:sz w:val="11"/>
                <w:szCs w:val="11"/>
                <w:color w:val="58595B"/>
                <w:w w:val="96"/>
              </w:rPr>
              <w:t>(Peter J. Arduini)</w:t>
            </w:r>
          </w:p>
        </w:tc>
        <w:tc>
          <w:tcPr>
            <w:tcW w:w="1020" w:type="dxa"/>
            <w:vAlign w:val="bottom"/>
            <w:shd w:val="clear" w:color="auto" w:fill="EFEDED"/>
          </w:tcPr>
          <w:p>
            <w:pPr>
              <w:jc w:val="center"/>
              <w:ind w:right="5"/>
              <w:spacing w:after="0" w:line="122" w:lineRule="exact"/>
              <w:rPr>
                <w:sz w:val="20"/>
                <w:szCs w:val="20"/>
                <w:color w:val="auto"/>
              </w:rPr>
            </w:pPr>
            <w:r>
              <w:rPr>
                <w:rFonts w:ascii="Arial" w:cs="Arial" w:eastAsia="Arial" w:hAnsi="Arial"/>
                <w:sz w:val="11"/>
                <w:szCs w:val="11"/>
                <w:color w:val="58595B"/>
                <w:w w:val="97"/>
              </w:rPr>
              <w:t>PEO (Mojdeh Poul)</w:t>
            </w:r>
          </w:p>
        </w:tc>
        <w:tc>
          <w:tcPr>
            <w:tcW w:w="960" w:type="dxa"/>
            <w:vAlign w:val="bottom"/>
            <w:shd w:val="clear" w:color="auto" w:fill="EFEDED"/>
          </w:tcPr>
          <w:p>
            <w:pPr>
              <w:jc w:val="center"/>
              <w:ind w:right="24"/>
              <w:spacing w:after="0" w:line="122" w:lineRule="exact"/>
              <w:rPr>
                <w:sz w:val="20"/>
                <w:szCs w:val="20"/>
                <w:color w:val="auto"/>
              </w:rPr>
            </w:pPr>
            <w:r>
              <w:rPr>
                <w:rFonts w:ascii="Arial" w:cs="Arial" w:eastAsia="Arial" w:hAnsi="Arial"/>
                <w:sz w:val="11"/>
                <w:szCs w:val="11"/>
                <w:color w:val="58595B"/>
                <w:w w:val="98"/>
              </w:rPr>
              <w:t>PEO (Jan De</w:t>
            </w:r>
          </w:p>
        </w:tc>
        <w:tc>
          <w:tcPr>
            <w:tcW w:w="1920" w:type="dxa"/>
            <w:vAlign w:val="bottom"/>
            <w:gridSpan w:val="2"/>
            <w:shd w:val="clear" w:color="auto" w:fill="EFEDED"/>
          </w:tcPr>
          <w:p>
            <w:pPr>
              <w:jc w:val="right"/>
              <w:spacing w:after="0" w:line="122" w:lineRule="exact"/>
              <w:rPr>
                <w:sz w:val="20"/>
                <w:szCs w:val="20"/>
                <w:color w:val="auto"/>
              </w:rPr>
            </w:pPr>
            <w:r>
              <w:rPr>
                <w:rFonts w:ascii="Arial" w:cs="Arial" w:eastAsia="Arial" w:hAnsi="Arial"/>
                <w:sz w:val="11"/>
                <w:szCs w:val="11"/>
                <w:color w:val="58595B"/>
              </w:rPr>
              <w:t>PEO (Peter J.   Table Total for Non-</w:t>
            </w:r>
          </w:p>
        </w:tc>
        <w:tc>
          <w:tcPr>
            <w:tcW w:w="960" w:type="dxa"/>
            <w:vAlign w:val="bottom"/>
            <w:shd w:val="clear" w:color="auto" w:fill="EFEDED"/>
          </w:tcPr>
          <w:p>
            <w:pPr>
              <w:jc w:val="center"/>
              <w:spacing w:after="0" w:line="122" w:lineRule="exact"/>
              <w:rPr>
                <w:sz w:val="20"/>
                <w:szCs w:val="20"/>
                <w:color w:val="auto"/>
              </w:rPr>
            </w:pPr>
            <w:r>
              <w:rPr>
                <w:rFonts w:ascii="Arial" w:cs="Arial" w:eastAsia="Arial" w:hAnsi="Arial"/>
                <w:sz w:val="11"/>
                <w:szCs w:val="11"/>
                <w:color w:val="58595B"/>
                <w:w w:val="98"/>
              </w:rPr>
              <w:t>Non-PEO NEOs2</w:t>
            </w:r>
          </w:p>
        </w:tc>
        <w:tc>
          <w:tcPr>
            <w:tcW w:w="900" w:type="dxa"/>
            <w:vAlign w:val="bottom"/>
            <w:shd w:val="clear" w:color="auto" w:fill="EFEDED"/>
          </w:tcPr>
          <w:p>
            <w:pPr>
              <w:jc w:val="center"/>
              <w:ind w:right="4"/>
              <w:spacing w:after="0" w:line="122" w:lineRule="exact"/>
              <w:rPr>
                <w:sz w:val="20"/>
                <w:szCs w:val="20"/>
                <w:color w:val="auto"/>
              </w:rPr>
            </w:pPr>
            <w:r>
              <w:rPr>
                <w:rFonts w:ascii="Arial" w:cs="Arial" w:eastAsia="Arial" w:hAnsi="Arial"/>
                <w:sz w:val="11"/>
                <w:szCs w:val="11"/>
                <w:color w:val="58595B"/>
              </w:rPr>
              <w:t>Shareholder</w:t>
            </w:r>
          </w:p>
        </w:tc>
        <w:tc>
          <w:tcPr>
            <w:tcW w:w="800" w:type="dxa"/>
            <w:vAlign w:val="bottom"/>
            <w:shd w:val="clear" w:color="auto" w:fill="EFEDED"/>
          </w:tcPr>
          <w:p>
            <w:pPr>
              <w:jc w:val="center"/>
              <w:ind w:right="4"/>
              <w:spacing w:after="0" w:line="122" w:lineRule="exact"/>
              <w:rPr>
                <w:sz w:val="20"/>
                <w:szCs w:val="20"/>
                <w:color w:val="auto"/>
              </w:rPr>
            </w:pPr>
            <w:r>
              <w:rPr>
                <w:rFonts w:ascii="Arial" w:cs="Arial" w:eastAsia="Arial" w:hAnsi="Arial"/>
                <w:sz w:val="11"/>
                <w:szCs w:val="11"/>
                <w:color w:val="58595B"/>
                <w:w w:val="96"/>
              </w:rPr>
              <w:t>Shareholder</w:t>
            </w:r>
          </w:p>
        </w:tc>
        <w:tc>
          <w:tcPr>
            <w:tcW w:w="660" w:type="dxa"/>
            <w:vAlign w:val="bottom"/>
            <w:gridSpan w:val="2"/>
            <w:shd w:val="clear" w:color="auto" w:fill="EFEDED"/>
          </w:tcPr>
          <w:p>
            <w:pPr>
              <w:ind w:left="20"/>
              <w:spacing w:after="0" w:line="122" w:lineRule="exact"/>
              <w:rPr>
                <w:sz w:val="20"/>
                <w:szCs w:val="20"/>
                <w:color w:val="auto"/>
              </w:rPr>
            </w:pPr>
            <w:r>
              <w:rPr>
                <w:rFonts w:ascii="Arial" w:cs="Arial" w:eastAsia="Arial" w:hAnsi="Arial"/>
                <w:sz w:val="11"/>
                <w:szCs w:val="11"/>
                <w:color w:val="58595B"/>
                <w:w w:val="99"/>
              </w:rPr>
              <w:t>Net Income4</w:t>
            </w:r>
          </w:p>
        </w:tc>
        <w:tc>
          <w:tcPr>
            <w:tcW w:w="100" w:type="dxa"/>
            <w:vAlign w:val="bottom"/>
            <w:shd w:val="clear" w:color="auto" w:fill="EFEDED"/>
          </w:tcPr>
          <w:p>
            <w:pPr>
              <w:spacing w:after="0"/>
              <w:rPr>
                <w:sz w:val="10"/>
                <w:szCs w:val="10"/>
                <w:color w:val="auto"/>
              </w:rPr>
            </w:pPr>
          </w:p>
        </w:tc>
        <w:tc>
          <w:tcPr>
            <w:tcW w:w="600" w:type="dxa"/>
            <w:vAlign w:val="bottom"/>
            <w:shd w:val="clear" w:color="auto" w:fill="EFEDED"/>
          </w:tcPr>
          <w:p>
            <w:pPr>
              <w:jc w:val="center"/>
              <w:ind w:right="44"/>
              <w:spacing w:after="0" w:line="122" w:lineRule="exact"/>
              <w:rPr>
                <w:sz w:val="20"/>
                <w:szCs w:val="20"/>
                <w:color w:val="auto"/>
              </w:rPr>
            </w:pPr>
            <w:r>
              <w:rPr>
                <w:rFonts w:ascii="Arial" w:cs="Arial" w:eastAsia="Arial" w:hAnsi="Arial"/>
                <w:sz w:val="11"/>
                <w:szCs w:val="11"/>
                <w:color w:val="58595B"/>
                <w:w w:val="99"/>
              </w:rPr>
              <w:t>Revenue5</w:t>
            </w:r>
          </w:p>
        </w:tc>
      </w:tr>
      <w:tr>
        <w:trPr>
          <w:trHeight w:val="155"/>
        </w:trPr>
        <w:tc>
          <w:tcPr>
            <w:tcW w:w="4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1"/>
                <w:szCs w:val="11"/>
                <w:color w:val="58595B"/>
                <w:w w:val="95"/>
              </w:rPr>
              <w:t>Year (a)</w:t>
            </w:r>
          </w:p>
        </w:tc>
        <w:tc>
          <w:tcPr>
            <w:tcW w:w="9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1"/>
                <w:szCs w:val="11"/>
                <w:color w:val="58595B"/>
                <w:w w:val="98"/>
              </w:rPr>
              <w:t>(Mojdeh Poul) (b)</w:t>
            </w:r>
          </w:p>
        </w:tc>
        <w:tc>
          <w:tcPr>
            <w:tcW w:w="9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1"/>
                <w:szCs w:val="11"/>
                <w:color w:val="58595B"/>
                <w:w w:val="96"/>
              </w:rPr>
              <w:t>(Jan De Witte) (b)</w:t>
            </w:r>
          </w:p>
        </w:tc>
        <w:tc>
          <w:tcPr>
            <w:tcW w:w="9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1"/>
                <w:szCs w:val="11"/>
                <w:color w:val="58595B"/>
                <w:w w:val="88"/>
              </w:rPr>
              <w:t>(b)</w:t>
            </w:r>
          </w:p>
        </w:tc>
        <w:tc>
          <w:tcPr>
            <w:tcW w:w="1020" w:type="dxa"/>
            <w:vAlign w:val="bottom"/>
            <w:tcBorders>
              <w:bottom w:val="single" w:sz="8" w:color="EFEDED"/>
            </w:tcBorders>
            <w:shd w:val="clear" w:color="auto" w:fill="EFEDED"/>
          </w:tcPr>
          <w:p>
            <w:pPr>
              <w:jc w:val="center"/>
              <w:ind w:right="5"/>
              <w:spacing w:after="0"/>
              <w:rPr>
                <w:sz w:val="20"/>
                <w:szCs w:val="20"/>
                <w:color w:val="auto"/>
              </w:rPr>
            </w:pPr>
            <w:r>
              <w:rPr>
                <w:rFonts w:ascii="Arial" w:cs="Arial" w:eastAsia="Arial" w:hAnsi="Arial"/>
                <w:sz w:val="11"/>
                <w:szCs w:val="11"/>
                <w:color w:val="58595B"/>
                <w:w w:val="93"/>
              </w:rPr>
              <w:t>(c)</w:t>
            </w:r>
          </w:p>
        </w:tc>
        <w:tc>
          <w:tcPr>
            <w:tcW w:w="960" w:type="dxa"/>
            <w:vAlign w:val="bottom"/>
            <w:tcBorders>
              <w:bottom w:val="single" w:sz="8" w:color="EFEDED"/>
            </w:tcBorders>
            <w:shd w:val="clear" w:color="auto" w:fill="EFEDED"/>
          </w:tcPr>
          <w:p>
            <w:pPr>
              <w:jc w:val="center"/>
              <w:ind w:right="24"/>
              <w:spacing w:after="0"/>
              <w:rPr>
                <w:sz w:val="20"/>
                <w:szCs w:val="20"/>
                <w:color w:val="auto"/>
              </w:rPr>
            </w:pPr>
            <w:r>
              <w:rPr>
                <w:rFonts w:ascii="Arial" w:cs="Arial" w:eastAsia="Arial" w:hAnsi="Arial"/>
                <w:sz w:val="11"/>
                <w:szCs w:val="11"/>
                <w:color w:val="58595B"/>
                <w:w w:val="98"/>
              </w:rPr>
              <w:t>Witte) (c)</w:t>
            </w:r>
          </w:p>
        </w:tc>
        <w:tc>
          <w:tcPr>
            <w:tcW w:w="980" w:type="dxa"/>
            <w:vAlign w:val="bottom"/>
            <w:tcBorders>
              <w:bottom w:val="single" w:sz="8" w:color="EFEDED"/>
            </w:tcBorders>
            <w:shd w:val="clear" w:color="auto" w:fill="EFEDED"/>
          </w:tcPr>
          <w:p>
            <w:pPr>
              <w:jc w:val="center"/>
              <w:ind w:right="44"/>
              <w:spacing w:after="0"/>
              <w:rPr>
                <w:sz w:val="20"/>
                <w:szCs w:val="20"/>
                <w:color w:val="auto"/>
              </w:rPr>
            </w:pPr>
            <w:r>
              <w:rPr>
                <w:rFonts w:ascii="Arial" w:cs="Arial" w:eastAsia="Arial" w:hAnsi="Arial"/>
                <w:sz w:val="11"/>
                <w:szCs w:val="11"/>
                <w:color w:val="58595B"/>
                <w:w w:val="96"/>
              </w:rPr>
              <w:t>Arduini) (c)</w:t>
            </w:r>
          </w:p>
        </w:tc>
        <w:tc>
          <w:tcPr>
            <w:tcW w:w="940" w:type="dxa"/>
            <w:vAlign w:val="bottom"/>
            <w:tcBorders>
              <w:bottom w:val="single" w:sz="8" w:color="EFEDED"/>
            </w:tcBorders>
            <w:shd w:val="clear" w:color="auto" w:fill="EFEDED"/>
          </w:tcPr>
          <w:p>
            <w:pPr>
              <w:jc w:val="center"/>
              <w:ind w:right="3"/>
              <w:spacing w:after="0"/>
              <w:rPr>
                <w:sz w:val="20"/>
                <w:szCs w:val="20"/>
                <w:color w:val="auto"/>
              </w:rPr>
            </w:pPr>
            <w:r>
              <w:rPr>
                <w:rFonts w:ascii="Arial" w:cs="Arial" w:eastAsia="Arial" w:hAnsi="Arial"/>
                <w:sz w:val="11"/>
                <w:szCs w:val="11"/>
                <w:color w:val="58595B"/>
                <w:w w:val="97"/>
              </w:rPr>
              <w:t>PEO NEOs1 (d)</w:t>
            </w:r>
          </w:p>
        </w:tc>
        <w:tc>
          <w:tcPr>
            <w:tcW w:w="9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1"/>
                <w:szCs w:val="11"/>
                <w:color w:val="58595B"/>
              </w:rPr>
              <w:t>(e)</w:t>
            </w:r>
          </w:p>
        </w:tc>
        <w:tc>
          <w:tcPr>
            <w:tcW w:w="900" w:type="dxa"/>
            <w:vAlign w:val="bottom"/>
            <w:tcBorders>
              <w:bottom w:val="single" w:sz="8" w:color="EFEDED"/>
            </w:tcBorders>
            <w:shd w:val="clear" w:color="auto" w:fill="EFEDED"/>
          </w:tcPr>
          <w:p>
            <w:pPr>
              <w:jc w:val="center"/>
              <w:ind w:right="4"/>
              <w:spacing w:after="0"/>
              <w:rPr>
                <w:sz w:val="20"/>
                <w:szCs w:val="20"/>
                <w:color w:val="auto"/>
              </w:rPr>
            </w:pPr>
            <w:r>
              <w:rPr>
                <w:rFonts w:ascii="Arial" w:cs="Arial" w:eastAsia="Arial" w:hAnsi="Arial"/>
                <w:sz w:val="11"/>
                <w:szCs w:val="11"/>
                <w:color w:val="58595B"/>
                <w:w w:val="98"/>
              </w:rPr>
              <w:t>Return3 (f)</w:t>
            </w:r>
          </w:p>
        </w:tc>
        <w:tc>
          <w:tcPr>
            <w:tcW w:w="800" w:type="dxa"/>
            <w:vAlign w:val="bottom"/>
            <w:tcBorders>
              <w:bottom w:val="single" w:sz="8" w:color="EFEDED"/>
            </w:tcBorders>
            <w:shd w:val="clear" w:color="auto" w:fill="EFEDED"/>
          </w:tcPr>
          <w:p>
            <w:pPr>
              <w:jc w:val="center"/>
              <w:ind w:right="4"/>
              <w:spacing w:after="0"/>
              <w:rPr>
                <w:sz w:val="20"/>
                <w:szCs w:val="20"/>
                <w:color w:val="auto"/>
              </w:rPr>
            </w:pPr>
            <w:r>
              <w:rPr>
                <w:rFonts w:ascii="Arial" w:cs="Arial" w:eastAsia="Arial" w:hAnsi="Arial"/>
                <w:sz w:val="11"/>
                <w:szCs w:val="11"/>
                <w:color w:val="58595B"/>
                <w:w w:val="96"/>
              </w:rPr>
              <w:t>Return3 (g)</w:t>
            </w:r>
          </w:p>
        </w:tc>
        <w:tc>
          <w:tcPr>
            <w:tcW w:w="660" w:type="dxa"/>
            <w:vAlign w:val="bottom"/>
            <w:tcBorders>
              <w:bottom w:val="single" w:sz="8" w:color="EFEDED"/>
            </w:tcBorders>
            <w:gridSpan w:val="2"/>
            <w:shd w:val="clear" w:color="auto" w:fill="EFEDED"/>
          </w:tcPr>
          <w:p>
            <w:pPr>
              <w:ind w:left="40"/>
              <w:spacing w:after="0"/>
              <w:rPr>
                <w:sz w:val="20"/>
                <w:szCs w:val="20"/>
                <w:color w:val="auto"/>
              </w:rPr>
            </w:pPr>
            <w:r>
              <w:rPr>
                <w:rFonts w:ascii="Arial" w:cs="Arial" w:eastAsia="Arial" w:hAnsi="Arial"/>
                <w:sz w:val="11"/>
                <w:szCs w:val="11"/>
                <w:color w:val="58595B"/>
                <w:w w:val="99"/>
              </w:rPr>
              <w:t>(millions) (h)</w:t>
            </w:r>
          </w:p>
        </w:tc>
        <w:tc>
          <w:tcPr>
            <w:tcW w:w="700" w:type="dxa"/>
            <w:vAlign w:val="bottom"/>
            <w:tcBorders>
              <w:bottom w:val="single" w:sz="8" w:color="EFEDED"/>
            </w:tcBorders>
            <w:gridSpan w:val="2"/>
            <w:shd w:val="clear" w:color="auto" w:fill="EFEDED"/>
          </w:tcPr>
          <w:p>
            <w:pPr>
              <w:jc w:val="center"/>
              <w:spacing w:after="0"/>
              <w:rPr>
                <w:sz w:val="20"/>
                <w:szCs w:val="20"/>
                <w:color w:val="auto"/>
              </w:rPr>
            </w:pPr>
            <w:r>
              <w:rPr>
                <w:rFonts w:ascii="Arial" w:cs="Arial" w:eastAsia="Arial" w:hAnsi="Arial"/>
                <w:sz w:val="11"/>
                <w:szCs w:val="11"/>
                <w:color w:val="58595B"/>
                <w:w w:val="94"/>
              </w:rPr>
              <w:t>(millions) (i)</w:t>
            </w:r>
          </w:p>
        </w:tc>
      </w:tr>
      <w:tr>
        <w:trPr>
          <w:trHeight w:val="180"/>
        </w:trPr>
        <w:tc>
          <w:tcPr>
            <w:tcW w:w="440" w:type="dxa"/>
            <w:vAlign w:val="bottom"/>
          </w:tcPr>
          <w:p>
            <w:pPr>
              <w:jc w:val="center"/>
              <w:spacing w:after="0"/>
              <w:rPr>
                <w:sz w:val="20"/>
                <w:szCs w:val="20"/>
                <w:color w:val="auto"/>
              </w:rPr>
            </w:pPr>
            <w:r>
              <w:rPr>
                <w:rFonts w:ascii="Arial" w:cs="Arial" w:eastAsia="Arial" w:hAnsi="Arial"/>
                <w:sz w:val="12"/>
                <w:szCs w:val="12"/>
                <w:color w:val="58595B"/>
                <w:w w:val="97"/>
              </w:rPr>
              <w:t>2025</w:t>
            </w:r>
          </w:p>
        </w:tc>
        <w:tc>
          <w:tcPr>
            <w:tcW w:w="980" w:type="dxa"/>
            <w:vAlign w:val="bottom"/>
          </w:tcPr>
          <w:p>
            <w:pPr>
              <w:jc w:val="right"/>
              <w:spacing w:after="0"/>
              <w:rPr>
                <w:sz w:val="20"/>
                <w:szCs w:val="20"/>
                <w:color w:val="auto"/>
              </w:rPr>
            </w:pPr>
            <w:r>
              <w:rPr>
                <w:rFonts w:ascii="Arial" w:cs="Arial" w:eastAsia="Arial" w:hAnsi="Arial"/>
                <w:sz w:val="12"/>
                <w:szCs w:val="12"/>
                <w:color w:val="58595B"/>
              </w:rPr>
              <w:t>$9,375,551</w:t>
            </w:r>
          </w:p>
        </w:tc>
        <w:tc>
          <w:tcPr>
            <w:tcW w:w="940" w:type="dxa"/>
            <w:vAlign w:val="bottom"/>
          </w:tcPr>
          <w:p>
            <w:pPr>
              <w:jc w:val="right"/>
              <w:spacing w:after="0"/>
              <w:rPr>
                <w:sz w:val="20"/>
                <w:szCs w:val="20"/>
                <w:color w:val="auto"/>
              </w:rPr>
            </w:pPr>
            <w:r>
              <w:rPr>
                <w:rFonts w:ascii="Arial" w:cs="Arial" w:eastAsia="Arial" w:hAnsi="Arial"/>
                <w:sz w:val="12"/>
                <w:szCs w:val="12"/>
                <w:color w:val="58595B"/>
              </w:rPr>
              <w:t>$282,680</w:t>
            </w:r>
          </w:p>
        </w:tc>
        <w:tc>
          <w:tcPr>
            <w:tcW w:w="960" w:type="dxa"/>
            <w:vAlign w:val="bottom"/>
          </w:tcPr>
          <w:p>
            <w:pPr>
              <w:jc w:val="right"/>
              <w:spacing w:after="0"/>
              <w:rPr>
                <w:sz w:val="20"/>
                <w:szCs w:val="20"/>
                <w:color w:val="auto"/>
              </w:rPr>
            </w:pPr>
            <w:r>
              <w:rPr>
                <w:rFonts w:ascii="Arial" w:cs="Arial" w:eastAsia="Arial" w:hAnsi="Arial"/>
                <w:sz w:val="12"/>
                <w:szCs w:val="12"/>
                <w:color w:val="58595B"/>
              </w:rPr>
              <w:t>n/a</w:t>
            </w:r>
          </w:p>
        </w:tc>
        <w:tc>
          <w:tcPr>
            <w:tcW w:w="1020" w:type="dxa"/>
            <w:vAlign w:val="bottom"/>
          </w:tcPr>
          <w:p>
            <w:pPr>
              <w:jc w:val="right"/>
              <w:ind w:right="25"/>
              <w:spacing w:after="0"/>
              <w:rPr>
                <w:sz w:val="20"/>
                <w:szCs w:val="20"/>
                <w:color w:val="auto"/>
              </w:rPr>
            </w:pPr>
            <w:r>
              <w:rPr>
                <w:rFonts w:ascii="Arial" w:cs="Arial" w:eastAsia="Arial" w:hAnsi="Arial"/>
                <w:sz w:val="12"/>
                <w:szCs w:val="12"/>
                <w:color w:val="58595B"/>
              </w:rPr>
              <w:t>$4,257,966</w:t>
            </w:r>
          </w:p>
        </w:tc>
        <w:tc>
          <w:tcPr>
            <w:tcW w:w="960" w:type="dxa"/>
            <w:vAlign w:val="bottom"/>
          </w:tcPr>
          <w:p>
            <w:pPr>
              <w:jc w:val="right"/>
              <w:ind w:right="4"/>
              <w:spacing w:after="0"/>
              <w:rPr>
                <w:sz w:val="20"/>
                <w:szCs w:val="20"/>
                <w:color w:val="auto"/>
              </w:rPr>
            </w:pPr>
            <w:r>
              <w:rPr>
                <w:rFonts w:ascii="Arial" w:cs="Arial" w:eastAsia="Arial" w:hAnsi="Arial"/>
                <w:sz w:val="12"/>
                <w:szCs w:val="12"/>
                <w:color w:val="58595B"/>
              </w:rPr>
              <w:t>-$1,256,991</w:t>
            </w:r>
          </w:p>
        </w:tc>
        <w:tc>
          <w:tcPr>
            <w:tcW w:w="980" w:type="dxa"/>
            <w:vAlign w:val="bottom"/>
          </w:tcPr>
          <w:p>
            <w:pPr>
              <w:jc w:val="right"/>
              <w:ind w:right="4"/>
              <w:spacing w:after="0"/>
              <w:rPr>
                <w:sz w:val="20"/>
                <w:szCs w:val="20"/>
                <w:color w:val="auto"/>
              </w:rPr>
            </w:pPr>
            <w:r>
              <w:rPr>
                <w:rFonts w:ascii="Arial" w:cs="Arial" w:eastAsia="Arial" w:hAnsi="Arial"/>
                <w:sz w:val="12"/>
                <w:szCs w:val="12"/>
                <w:color w:val="58595B"/>
              </w:rPr>
              <w:t>n/a</w:t>
            </w:r>
          </w:p>
        </w:tc>
        <w:tc>
          <w:tcPr>
            <w:tcW w:w="940" w:type="dxa"/>
            <w:vAlign w:val="bottom"/>
          </w:tcPr>
          <w:p>
            <w:pPr>
              <w:jc w:val="right"/>
              <w:spacing w:after="0"/>
              <w:rPr>
                <w:sz w:val="20"/>
                <w:szCs w:val="20"/>
                <w:color w:val="auto"/>
              </w:rPr>
            </w:pPr>
            <w:r>
              <w:rPr>
                <w:rFonts w:ascii="Arial" w:cs="Arial" w:eastAsia="Arial" w:hAnsi="Arial"/>
                <w:sz w:val="12"/>
                <w:szCs w:val="12"/>
                <w:color w:val="58595B"/>
              </w:rPr>
              <w:t>$2,283,587</w:t>
            </w:r>
          </w:p>
        </w:tc>
        <w:tc>
          <w:tcPr>
            <w:tcW w:w="960" w:type="dxa"/>
            <w:vAlign w:val="bottom"/>
          </w:tcPr>
          <w:p>
            <w:pPr>
              <w:jc w:val="right"/>
              <w:spacing w:after="0"/>
              <w:rPr>
                <w:sz w:val="20"/>
                <w:szCs w:val="20"/>
                <w:color w:val="auto"/>
              </w:rPr>
            </w:pPr>
            <w:r>
              <w:rPr>
                <w:rFonts w:ascii="Arial" w:cs="Arial" w:eastAsia="Arial" w:hAnsi="Arial"/>
                <w:sz w:val="12"/>
                <w:szCs w:val="12"/>
                <w:color w:val="58595B"/>
              </w:rPr>
              <w:t>$829,351</w:t>
            </w:r>
          </w:p>
        </w:tc>
        <w:tc>
          <w:tcPr>
            <w:tcW w:w="900" w:type="dxa"/>
            <w:vAlign w:val="bottom"/>
          </w:tcPr>
          <w:p>
            <w:pPr>
              <w:jc w:val="right"/>
              <w:ind w:right="24"/>
              <w:spacing w:after="0"/>
              <w:rPr>
                <w:sz w:val="20"/>
                <w:szCs w:val="20"/>
                <w:color w:val="auto"/>
              </w:rPr>
            </w:pPr>
            <w:r>
              <w:rPr>
                <w:rFonts w:ascii="Arial" w:cs="Arial" w:eastAsia="Arial" w:hAnsi="Arial"/>
                <w:sz w:val="12"/>
                <w:szCs w:val="12"/>
                <w:color w:val="58595B"/>
              </w:rPr>
              <w:t>$19.13</w:t>
            </w:r>
          </w:p>
        </w:tc>
        <w:tc>
          <w:tcPr>
            <w:tcW w:w="800" w:type="dxa"/>
            <w:vAlign w:val="bottom"/>
          </w:tcPr>
          <w:p>
            <w:pPr>
              <w:jc w:val="right"/>
              <w:spacing w:after="0"/>
              <w:rPr>
                <w:sz w:val="20"/>
                <w:szCs w:val="20"/>
                <w:color w:val="auto"/>
              </w:rPr>
            </w:pPr>
            <w:r>
              <w:rPr>
                <w:rFonts w:ascii="Arial" w:cs="Arial" w:eastAsia="Arial" w:hAnsi="Arial"/>
                <w:sz w:val="12"/>
                <w:szCs w:val="12"/>
                <w:color w:val="58595B"/>
              </w:rPr>
              <w:t>$122.62</w:t>
            </w:r>
          </w:p>
        </w:tc>
        <w:tc>
          <w:tcPr>
            <w:tcW w:w="180" w:type="dxa"/>
            <w:vAlign w:val="bottom"/>
          </w:tcPr>
          <w:p>
            <w:pPr>
              <w:ind w:left="20"/>
              <w:spacing w:after="0"/>
              <w:rPr>
                <w:sz w:val="20"/>
                <w:szCs w:val="20"/>
                <w:color w:val="auto"/>
              </w:rPr>
            </w:pPr>
            <w:r>
              <w:rPr>
                <w:rFonts w:ascii="Arial" w:cs="Arial" w:eastAsia="Arial" w:hAnsi="Arial"/>
                <w:sz w:val="12"/>
                <w:szCs w:val="12"/>
                <w:color w:val="58595B"/>
              </w:rPr>
              <w:t>$</w:t>
            </w:r>
          </w:p>
        </w:tc>
        <w:tc>
          <w:tcPr>
            <w:tcW w:w="480" w:type="dxa"/>
            <w:vAlign w:val="bottom"/>
          </w:tcPr>
          <w:p>
            <w:pPr>
              <w:jc w:val="right"/>
              <w:spacing w:after="0"/>
              <w:rPr>
                <w:sz w:val="20"/>
                <w:szCs w:val="20"/>
                <w:color w:val="auto"/>
              </w:rPr>
            </w:pPr>
            <w:r>
              <w:rPr>
                <w:rFonts w:ascii="Arial" w:cs="Arial" w:eastAsia="Arial" w:hAnsi="Arial"/>
                <w:sz w:val="12"/>
                <w:szCs w:val="12"/>
                <w:color w:val="58595B"/>
              </w:rPr>
              <w:t>(516.8)</w:t>
            </w:r>
          </w:p>
        </w:tc>
        <w:tc>
          <w:tcPr>
            <w:tcW w:w="100" w:type="dxa"/>
            <w:vAlign w:val="bottom"/>
          </w:tcPr>
          <w:p>
            <w:pPr>
              <w:jc w:val="right"/>
              <w:spacing w:after="0"/>
              <w:rPr>
                <w:sz w:val="20"/>
                <w:szCs w:val="20"/>
                <w:color w:val="auto"/>
              </w:rPr>
            </w:pPr>
            <w:r>
              <w:rPr>
                <w:rFonts w:ascii="Arial" w:cs="Arial" w:eastAsia="Arial" w:hAnsi="Arial"/>
                <w:sz w:val="12"/>
                <w:szCs w:val="12"/>
                <w:color w:val="58595B"/>
                <w:w w:val="89"/>
              </w:rPr>
              <w:t>$</w:t>
            </w:r>
          </w:p>
        </w:tc>
        <w:tc>
          <w:tcPr>
            <w:tcW w:w="600" w:type="dxa"/>
            <w:vAlign w:val="bottom"/>
          </w:tcPr>
          <w:p>
            <w:pPr>
              <w:jc w:val="right"/>
              <w:ind w:right="4"/>
              <w:spacing w:after="0"/>
              <w:rPr>
                <w:sz w:val="20"/>
                <w:szCs w:val="20"/>
                <w:color w:val="auto"/>
              </w:rPr>
            </w:pPr>
            <w:r>
              <w:rPr>
                <w:rFonts w:ascii="Arial" w:cs="Arial" w:eastAsia="Arial" w:hAnsi="Arial"/>
                <w:sz w:val="12"/>
                <w:szCs w:val="12"/>
                <w:color w:val="58595B"/>
              </w:rPr>
              <w:t>1,635.2</w:t>
            </w:r>
          </w:p>
        </w:tc>
      </w:tr>
      <w:tr>
        <w:trPr>
          <w:trHeight w:val="198"/>
        </w:trPr>
        <w:tc>
          <w:tcPr>
            <w:tcW w:w="440" w:type="dxa"/>
            <w:vAlign w:val="bottom"/>
            <w:shd w:val="clear" w:color="auto" w:fill="EFEDED"/>
          </w:tcPr>
          <w:p>
            <w:pPr>
              <w:jc w:val="center"/>
              <w:spacing w:after="0"/>
              <w:rPr>
                <w:sz w:val="20"/>
                <w:szCs w:val="20"/>
                <w:color w:val="auto"/>
              </w:rPr>
            </w:pPr>
            <w:r>
              <w:rPr>
                <w:rFonts w:ascii="Arial" w:cs="Arial" w:eastAsia="Arial" w:hAnsi="Arial"/>
                <w:sz w:val="12"/>
                <w:szCs w:val="12"/>
                <w:color w:val="58595B"/>
                <w:w w:val="97"/>
              </w:rPr>
              <w:t>2024</w:t>
            </w:r>
          </w:p>
        </w:tc>
        <w:tc>
          <w:tcPr>
            <w:tcW w:w="980" w:type="dxa"/>
            <w:vAlign w:val="bottom"/>
            <w:shd w:val="clear" w:color="auto" w:fill="EFEDED"/>
          </w:tcPr>
          <w:p>
            <w:pPr>
              <w:spacing w:after="0"/>
              <w:rPr>
                <w:sz w:val="17"/>
                <w:szCs w:val="17"/>
                <w:color w:val="auto"/>
              </w:rPr>
            </w:pPr>
          </w:p>
        </w:tc>
        <w:tc>
          <w:tcPr>
            <w:tcW w:w="940" w:type="dxa"/>
            <w:vAlign w:val="bottom"/>
            <w:shd w:val="clear" w:color="auto" w:fill="EFEDED"/>
          </w:tcPr>
          <w:p>
            <w:pPr>
              <w:jc w:val="right"/>
              <w:spacing w:after="0"/>
              <w:rPr>
                <w:sz w:val="20"/>
                <w:szCs w:val="20"/>
                <w:color w:val="auto"/>
              </w:rPr>
            </w:pPr>
            <w:r>
              <w:rPr>
                <w:rFonts w:ascii="Arial" w:cs="Arial" w:eastAsia="Arial" w:hAnsi="Arial"/>
                <w:sz w:val="12"/>
                <w:szCs w:val="12"/>
                <w:color w:val="58595B"/>
              </w:rPr>
              <w:t>$7,494,668</w:t>
            </w:r>
          </w:p>
        </w:tc>
        <w:tc>
          <w:tcPr>
            <w:tcW w:w="960" w:type="dxa"/>
            <w:vAlign w:val="bottom"/>
            <w:shd w:val="clear" w:color="auto" w:fill="EFEDED"/>
          </w:tcPr>
          <w:p>
            <w:pPr>
              <w:jc w:val="right"/>
              <w:spacing w:after="0"/>
              <w:rPr>
                <w:sz w:val="20"/>
                <w:szCs w:val="20"/>
                <w:color w:val="auto"/>
              </w:rPr>
            </w:pPr>
            <w:r>
              <w:rPr>
                <w:rFonts w:ascii="Arial" w:cs="Arial" w:eastAsia="Arial" w:hAnsi="Arial"/>
                <w:sz w:val="12"/>
                <w:szCs w:val="12"/>
                <w:color w:val="58595B"/>
              </w:rPr>
              <w:t>n/a</w:t>
            </w:r>
          </w:p>
        </w:tc>
        <w:tc>
          <w:tcPr>
            <w:tcW w:w="1020" w:type="dxa"/>
            <w:vAlign w:val="bottom"/>
            <w:shd w:val="clear" w:color="auto" w:fill="EFEDED"/>
          </w:tcPr>
          <w:p>
            <w:pPr>
              <w:spacing w:after="0"/>
              <w:rPr>
                <w:sz w:val="17"/>
                <w:szCs w:val="17"/>
                <w:color w:val="auto"/>
              </w:rPr>
            </w:pPr>
          </w:p>
        </w:tc>
        <w:tc>
          <w:tcPr>
            <w:tcW w:w="960" w:type="dxa"/>
            <w:vAlign w:val="bottom"/>
            <w:shd w:val="clear" w:color="auto" w:fill="EFEDED"/>
          </w:tcPr>
          <w:p>
            <w:pPr>
              <w:jc w:val="right"/>
              <w:ind w:right="4"/>
              <w:spacing w:after="0"/>
              <w:rPr>
                <w:sz w:val="20"/>
                <w:szCs w:val="20"/>
                <w:color w:val="auto"/>
              </w:rPr>
            </w:pPr>
            <w:r>
              <w:rPr>
                <w:rFonts w:ascii="Arial" w:cs="Arial" w:eastAsia="Arial" w:hAnsi="Arial"/>
                <w:sz w:val="12"/>
                <w:szCs w:val="12"/>
                <w:color w:val="58595B"/>
              </w:rPr>
              <w:t>-$217,835</w:t>
            </w:r>
          </w:p>
        </w:tc>
        <w:tc>
          <w:tcPr>
            <w:tcW w:w="980" w:type="dxa"/>
            <w:vAlign w:val="bottom"/>
            <w:shd w:val="clear" w:color="auto" w:fill="EFEDED"/>
          </w:tcPr>
          <w:p>
            <w:pPr>
              <w:jc w:val="right"/>
              <w:ind w:right="4"/>
              <w:spacing w:after="0"/>
              <w:rPr>
                <w:sz w:val="20"/>
                <w:szCs w:val="20"/>
                <w:color w:val="auto"/>
              </w:rPr>
            </w:pPr>
            <w:r>
              <w:rPr>
                <w:rFonts w:ascii="Arial" w:cs="Arial" w:eastAsia="Arial" w:hAnsi="Arial"/>
                <w:sz w:val="12"/>
                <w:szCs w:val="12"/>
                <w:color w:val="58595B"/>
              </w:rPr>
              <w:t>n/a</w:t>
            </w:r>
          </w:p>
        </w:tc>
        <w:tc>
          <w:tcPr>
            <w:tcW w:w="940" w:type="dxa"/>
            <w:vAlign w:val="bottom"/>
            <w:shd w:val="clear" w:color="auto" w:fill="EFEDED"/>
          </w:tcPr>
          <w:p>
            <w:pPr>
              <w:jc w:val="right"/>
              <w:spacing w:after="0"/>
              <w:rPr>
                <w:sz w:val="20"/>
                <w:szCs w:val="20"/>
                <w:color w:val="auto"/>
              </w:rPr>
            </w:pPr>
            <w:r>
              <w:rPr>
                <w:rFonts w:ascii="Arial" w:cs="Arial" w:eastAsia="Arial" w:hAnsi="Arial"/>
                <w:sz w:val="12"/>
                <w:szCs w:val="12"/>
                <w:color w:val="58595B"/>
              </w:rPr>
              <w:t>$2,798,038</w:t>
            </w:r>
          </w:p>
        </w:tc>
        <w:tc>
          <w:tcPr>
            <w:tcW w:w="960" w:type="dxa"/>
            <w:vAlign w:val="bottom"/>
            <w:shd w:val="clear" w:color="auto" w:fill="EFEDED"/>
          </w:tcPr>
          <w:p>
            <w:pPr>
              <w:jc w:val="right"/>
              <w:spacing w:after="0"/>
              <w:rPr>
                <w:sz w:val="20"/>
                <w:szCs w:val="20"/>
                <w:color w:val="auto"/>
              </w:rPr>
            </w:pPr>
            <w:r>
              <w:rPr>
                <w:rFonts w:ascii="Arial" w:cs="Arial" w:eastAsia="Arial" w:hAnsi="Arial"/>
                <w:sz w:val="12"/>
                <w:szCs w:val="12"/>
                <w:color w:val="58595B"/>
              </w:rPr>
              <w:t>$1,308,167</w:t>
            </w:r>
          </w:p>
        </w:tc>
        <w:tc>
          <w:tcPr>
            <w:tcW w:w="900" w:type="dxa"/>
            <w:vAlign w:val="bottom"/>
            <w:shd w:val="clear" w:color="auto" w:fill="EFEDED"/>
          </w:tcPr>
          <w:p>
            <w:pPr>
              <w:jc w:val="right"/>
              <w:ind w:right="24"/>
              <w:spacing w:after="0"/>
              <w:rPr>
                <w:sz w:val="20"/>
                <w:szCs w:val="20"/>
                <w:color w:val="auto"/>
              </w:rPr>
            </w:pPr>
            <w:r>
              <w:rPr>
                <w:rFonts w:ascii="Arial" w:cs="Arial" w:eastAsia="Arial" w:hAnsi="Arial"/>
                <w:sz w:val="12"/>
                <w:szCs w:val="12"/>
                <w:color w:val="58595B"/>
              </w:rPr>
              <w:t>$38.92</w:t>
            </w:r>
          </w:p>
        </w:tc>
        <w:tc>
          <w:tcPr>
            <w:tcW w:w="800" w:type="dxa"/>
            <w:vAlign w:val="bottom"/>
            <w:shd w:val="clear" w:color="auto" w:fill="EFEDED"/>
          </w:tcPr>
          <w:p>
            <w:pPr>
              <w:jc w:val="right"/>
              <w:spacing w:after="0"/>
              <w:rPr>
                <w:sz w:val="20"/>
                <w:szCs w:val="20"/>
                <w:color w:val="auto"/>
              </w:rPr>
            </w:pPr>
            <w:r>
              <w:rPr>
                <w:rFonts w:ascii="Arial" w:cs="Arial" w:eastAsia="Arial" w:hAnsi="Arial"/>
                <w:sz w:val="12"/>
                <w:szCs w:val="12"/>
                <w:color w:val="58595B"/>
              </w:rPr>
              <w:t>$137.50</w:t>
            </w:r>
          </w:p>
        </w:tc>
        <w:tc>
          <w:tcPr>
            <w:tcW w:w="180" w:type="dxa"/>
            <w:vAlign w:val="bottom"/>
            <w:shd w:val="clear" w:color="auto" w:fill="EFEDED"/>
          </w:tcPr>
          <w:p>
            <w:pPr>
              <w:ind w:left="20"/>
              <w:spacing w:after="0"/>
              <w:rPr>
                <w:sz w:val="20"/>
                <w:szCs w:val="20"/>
                <w:color w:val="auto"/>
              </w:rPr>
            </w:pPr>
            <w:r>
              <w:rPr>
                <w:rFonts w:ascii="Arial" w:cs="Arial" w:eastAsia="Arial" w:hAnsi="Arial"/>
                <w:sz w:val="12"/>
                <w:szCs w:val="12"/>
                <w:color w:val="58595B"/>
              </w:rPr>
              <w:t>$</w:t>
            </w:r>
          </w:p>
        </w:tc>
        <w:tc>
          <w:tcPr>
            <w:tcW w:w="480" w:type="dxa"/>
            <w:vAlign w:val="bottom"/>
            <w:shd w:val="clear" w:color="auto" w:fill="EFEDED"/>
          </w:tcPr>
          <w:p>
            <w:pPr>
              <w:jc w:val="right"/>
              <w:spacing w:after="0"/>
              <w:rPr>
                <w:sz w:val="20"/>
                <w:szCs w:val="20"/>
                <w:color w:val="auto"/>
              </w:rPr>
            </w:pPr>
            <w:r>
              <w:rPr>
                <w:rFonts w:ascii="Arial" w:cs="Arial" w:eastAsia="Arial" w:hAnsi="Arial"/>
                <w:sz w:val="12"/>
                <w:szCs w:val="12"/>
                <w:color w:val="58595B"/>
              </w:rPr>
              <w:t>(6.9)</w:t>
            </w:r>
          </w:p>
        </w:tc>
        <w:tc>
          <w:tcPr>
            <w:tcW w:w="100" w:type="dxa"/>
            <w:vAlign w:val="bottom"/>
            <w:shd w:val="clear" w:color="auto" w:fill="EFEDED"/>
          </w:tcPr>
          <w:p>
            <w:pPr>
              <w:jc w:val="right"/>
              <w:spacing w:after="0"/>
              <w:rPr>
                <w:sz w:val="20"/>
                <w:szCs w:val="20"/>
                <w:color w:val="auto"/>
              </w:rPr>
            </w:pPr>
            <w:r>
              <w:rPr>
                <w:rFonts w:ascii="Arial" w:cs="Arial" w:eastAsia="Arial" w:hAnsi="Arial"/>
                <w:sz w:val="12"/>
                <w:szCs w:val="12"/>
                <w:color w:val="58595B"/>
                <w:w w:val="89"/>
              </w:rPr>
              <w:t>$</w:t>
            </w:r>
          </w:p>
        </w:tc>
        <w:tc>
          <w:tcPr>
            <w:tcW w:w="600" w:type="dxa"/>
            <w:vAlign w:val="bottom"/>
            <w:shd w:val="clear" w:color="auto" w:fill="EFEDED"/>
          </w:tcPr>
          <w:p>
            <w:pPr>
              <w:jc w:val="right"/>
              <w:ind w:right="4"/>
              <w:spacing w:after="0"/>
              <w:rPr>
                <w:sz w:val="20"/>
                <w:szCs w:val="20"/>
                <w:color w:val="auto"/>
              </w:rPr>
            </w:pPr>
            <w:r>
              <w:rPr>
                <w:rFonts w:ascii="Arial" w:cs="Arial" w:eastAsia="Arial" w:hAnsi="Arial"/>
                <w:sz w:val="12"/>
                <w:szCs w:val="12"/>
                <w:color w:val="58595B"/>
              </w:rPr>
              <w:t>1,610.5</w:t>
            </w:r>
          </w:p>
        </w:tc>
      </w:tr>
      <w:tr>
        <w:trPr>
          <w:trHeight w:val="180"/>
        </w:trPr>
        <w:tc>
          <w:tcPr>
            <w:tcW w:w="440" w:type="dxa"/>
            <w:vAlign w:val="bottom"/>
          </w:tcPr>
          <w:p>
            <w:pPr>
              <w:jc w:val="center"/>
              <w:spacing w:after="0"/>
              <w:rPr>
                <w:sz w:val="20"/>
                <w:szCs w:val="20"/>
                <w:color w:val="auto"/>
              </w:rPr>
            </w:pPr>
            <w:r>
              <w:rPr>
                <w:rFonts w:ascii="Arial" w:cs="Arial" w:eastAsia="Arial" w:hAnsi="Arial"/>
                <w:sz w:val="12"/>
                <w:szCs w:val="12"/>
                <w:color w:val="58595B"/>
                <w:w w:val="97"/>
              </w:rPr>
              <w:t>2023</w:t>
            </w:r>
          </w:p>
        </w:tc>
        <w:tc>
          <w:tcPr>
            <w:tcW w:w="9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58595B"/>
              </w:rPr>
              <w:t>$6,388,756</w:t>
            </w:r>
          </w:p>
        </w:tc>
        <w:tc>
          <w:tcPr>
            <w:tcW w:w="960" w:type="dxa"/>
            <w:vAlign w:val="bottom"/>
          </w:tcPr>
          <w:p>
            <w:pPr>
              <w:jc w:val="right"/>
              <w:spacing w:after="0"/>
              <w:rPr>
                <w:sz w:val="20"/>
                <w:szCs w:val="20"/>
                <w:color w:val="auto"/>
              </w:rPr>
            </w:pPr>
            <w:r>
              <w:rPr>
                <w:rFonts w:ascii="Arial" w:cs="Arial" w:eastAsia="Arial" w:hAnsi="Arial"/>
                <w:sz w:val="12"/>
                <w:szCs w:val="12"/>
                <w:color w:val="58595B"/>
              </w:rPr>
              <w:t>n/a</w:t>
            </w:r>
          </w:p>
        </w:tc>
        <w:tc>
          <w:tcPr>
            <w:tcW w:w="10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Arial" w:cs="Arial" w:eastAsia="Arial" w:hAnsi="Arial"/>
                <w:sz w:val="12"/>
                <w:szCs w:val="12"/>
                <w:color w:val="58595B"/>
              </w:rPr>
              <w:t>$3,054,450</w:t>
            </w:r>
          </w:p>
        </w:tc>
        <w:tc>
          <w:tcPr>
            <w:tcW w:w="980" w:type="dxa"/>
            <w:vAlign w:val="bottom"/>
          </w:tcPr>
          <w:p>
            <w:pPr>
              <w:jc w:val="right"/>
              <w:ind w:right="4"/>
              <w:spacing w:after="0"/>
              <w:rPr>
                <w:sz w:val="20"/>
                <w:szCs w:val="20"/>
                <w:color w:val="auto"/>
              </w:rPr>
            </w:pPr>
            <w:r>
              <w:rPr>
                <w:rFonts w:ascii="Arial" w:cs="Arial" w:eastAsia="Arial" w:hAnsi="Arial"/>
                <w:sz w:val="12"/>
                <w:szCs w:val="12"/>
                <w:color w:val="58595B"/>
              </w:rPr>
              <w:t>n/a</w:t>
            </w:r>
          </w:p>
        </w:tc>
        <w:tc>
          <w:tcPr>
            <w:tcW w:w="940" w:type="dxa"/>
            <w:vAlign w:val="bottom"/>
          </w:tcPr>
          <w:p>
            <w:pPr>
              <w:jc w:val="right"/>
              <w:spacing w:after="0"/>
              <w:rPr>
                <w:sz w:val="20"/>
                <w:szCs w:val="20"/>
                <w:color w:val="auto"/>
              </w:rPr>
            </w:pPr>
            <w:r>
              <w:rPr>
                <w:rFonts w:ascii="Arial" w:cs="Arial" w:eastAsia="Arial" w:hAnsi="Arial"/>
                <w:sz w:val="12"/>
                <w:szCs w:val="12"/>
                <w:color w:val="58595B"/>
              </w:rPr>
              <w:t>$1,760,212</w:t>
            </w:r>
          </w:p>
        </w:tc>
        <w:tc>
          <w:tcPr>
            <w:tcW w:w="960" w:type="dxa"/>
            <w:vAlign w:val="bottom"/>
          </w:tcPr>
          <w:p>
            <w:pPr>
              <w:jc w:val="right"/>
              <w:spacing w:after="0"/>
              <w:rPr>
                <w:sz w:val="20"/>
                <w:szCs w:val="20"/>
                <w:color w:val="auto"/>
              </w:rPr>
            </w:pPr>
            <w:r>
              <w:rPr>
                <w:rFonts w:ascii="Arial" w:cs="Arial" w:eastAsia="Arial" w:hAnsi="Arial"/>
                <w:sz w:val="12"/>
                <w:szCs w:val="12"/>
                <w:color w:val="58595B"/>
              </w:rPr>
              <w:t>$1,195,328</w:t>
            </w:r>
          </w:p>
        </w:tc>
        <w:tc>
          <w:tcPr>
            <w:tcW w:w="900" w:type="dxa"/>
            <w:vAlign w:val="bottom"/>
          </w:tcPr>
          <w:p>
            <w:pPr>
              <w:jc w:val="right"/>
              <w:ind w:right="24"/>
              <w:spacing w:after="0"/>
              <w:rPr>
                <w:sz w:val="20"/>
                <w:szCs w:val="20"/>
                <w:color w:val="auto"/>
              </w:rPr>
            </w:pPr>
            <w:r>
              <w:rPr>
                <w:rFonts w:ascii="Arial" w:cs="Arial" w:eastAsia="Arial" w:hAnsi="Arial"/>
                <w:sz w:val="12"/>
                <w:szCs w:val="12"/>
                <w:color w:val="58595B"/>
              </w:rPr>
              <w:t>$74.73</w:t>
            </w:r>
          </w:p>
        </w:tc>
        <w:tc>
          <w:tcPr>
            <w:tcW w:w="800" w:type="dxa"/>
            <w:vAlign w:val="bottom"/>
          </w:tcPr>
          <w:p>
            <w:pPr>
              <w:jc w:val="right"/>
              <w:spacing w:after="0"/>
              <w:rPr>
                <w:sz w:val="20"/>
                <w:szCs w:val="20"/>
                <w:color w:val="auto"/>
              </w:rPr>
            </w:pPr>
            <w:r>
              <w:rPr>
                <w:rFonts w:ascii="Arial" w:cs="Arial" w:eastAsia="Arial" w:hAnsi="Arial"/>
                <w:sz w:val="12"/>
                <w:szCs w:val="12"/>
                <w:color w:val="58595B"/>
              </w:rPr>
              <w:t>$137.80</w:t>
            </w:r>
          </w:p>
        </w:tc>
        <w:tc>
          <w:tcPr>
            <w:tcW w:w="180" w:type="dxa"/>
            <w:vAlign w:val="bottom"/>
          </w:tcPr>
          <w:p>
            <w:pPr>
              <w:ind w:left="20"/>
              <w:spacing w:after="0"/>
              <w:rPr>
                <w:sz w:val="20"/>
                <w:szCs w:val="20"/>
                <w:color w:val="auto"/>
              </w:rPr>
            </w:pPr>
            <w:r>
              <w:rPr>
                <w:rFonts w:ascii="Arial" w:cs="Arial" w:eastAsia="Arial" w:hAnsi="Arial"/>
                <w:sz w:val="12"/>
                <w:szCs w:val="12"/>
                <w:color w:val="58595B"/>
              </w:rPr>
              <w:t>$</w:t>
            </w:r>
          </w:p>
        </w:tc>
        <w:tc>
          <w:tcPr>
            <w:tcW w:w="480" w:type="dxa"/>
            <w:vAlign w:val="bottom"/>
          </w:tcPr>
          <w:p>
            <w:pPr>
              <w:jc w:val="right"/>
              <w:ind w:right="2"/>
              <w:spacing w:after="0"/>
              <w:rPr>
                <w:sz w:val="20"/>
                <w:szCs w:val="20"/>
                <w:color w:val="auto"/>
              </w:rPr>
            </w:pPr>
            <w:r>
              <w:rPr>
                <w:rFonts w:ascii="Arial" w:cs="Arial" w:eastAsia="Arial" w:hAnsi="Arial"/>
                <w:sz w:val="12"/>
                <w:szCs w:val="12"/>
                <w:color w:val="58595B"/>
              </w:rPr>
              <w:t>67.7</w:t>
            </w:r>
          </w:p>
        </w:tc>
        <w:tc>
          <w:tcPr>
            <w:tcW w:w="100" w:type="dxa"/>
            <w:vAlign w:val="bottom"/>
          </w:tcPr>
          <w:p>
            <w:pPr>
              <w:jc w:val="right"/>
              <w:spacing w:after="0"/>
              <w:rPr>
                <w:sz w:val="20"/>
                <w:szCs w:val="20"/>
                <w:color w:val="auto"/>
              </w:rPr>
            </w:pPr>
            <w:r>
              <w:rPr>
                <w:rFonts w:ascii="Arial" w:cs="Arial" w:eastAsia="Arial" w:hAnsi="Arial"/>
                <w:sz w:val="12"/>
                <w:szCs w:val="12"/>
                <w:color w:val="58595B"/>
                <w:w w:val="89"/>
              </w:rPr>
              <w:t>$</w:t>
            </w:r>
          </w:p>
        </w:tc>
        <w:tc>
          <w:tcPr>
            <w:tcW w:w="600" w:type="dxa"/>
            <w:vAlign w:val="bottom"/>
          </w:tcPr>
          <w:p>
            <w:pPr>
              <w:jc w:val="right"/>
              <w:ind w:right="4"/>
              <w:spacing w:after="0"/>
              <w:rPr>
                <w:sz w:val="20"/>
                <w:szCs w:val="20"/>
                <w:color w:val="auto"/>
              </w:rPr>
            </w:pPr>
            <w:r>
              <w:rPr>
                <w:rFonts w:ascii="Arial" w:cs="Arial" w:eastAsia="Arial" w:hAnsi="Arial"/>
                <w:sz w:val="12"/>
                <w:szCs w:val="12"/>
                <w:color w:val="58595B"/>
              </w:rPr>
              <w:t>1,542.6</w:t>
            </w:r>
          </w:p>
        </w:tc>
      </w:tr>
      <w:tr>
        <w:trPr>
          <w:trHeight w:val="198"/>
        </w:trPr>
        <w:tc>
          <w:tcPr>
            <w:tcW w:w="440" w:type="dxa"/>
            <w:vAlign w:val="bottom"/>
            <w:shd w:val="clear" w:color="auto" w:fill="EFEDED"/>
          </w:tcPr>
          <w:p>
            <w:pPr>
              <w:jc w:val="center"/>
              <w:spacing w:after="0"/>
              <w:rPr>
                <w:sz w:val="20"/>
                <w:szCs w:val="20"/>
                <w:color w:val="auto"/>
              </w:rPr>
            </w:pPr>
            <w:r>
              <w:rPr>
                <w:rFonts w:ascii="Arial" w:cs="Arial" w:eastAsia="Arial" w:hAnsi="Arial"/>
                <w:sz w:val="12"/>
                <w:szCs w:val="12"/>
                <w:color w:val="58595B"/>
                <w:w w:val="97"/>
              </w:rPr>
              <w:t>2022</w:t>
            </w:r>
          </w:p>
        </w:tc>
        <w:tc>
          <w:tcPr>
            <w:tcW w:w="980" w:type="dxa"/>
            <w:vAlign w:val="bottom"/>
            <w:shd w:val="clear" w:color="auto" w:fill="EFEDED"/>
          </w:tcPr>
          <w:p>
            <w:pPr>
              <w:spacing w:after="0"/>
              <w:rPr>
                <w:sz w:val="17"/>
                <w:szCs w:val="17"/>
                <w:color w:val="auto"/>
              </w:rPr>
            </w:pPr>
          </w:p>
        </w:tc>
        <w:tc>
          <w:tcPr>
            <w:tcW w:w="940" w:type="dxa"/>
            <w:vAlign w:val="bottom"/>
            <w:shd w:val="clear" w:color="auto" w:fill="EFEDED"/>
          </w:tcPr>
          <w:p>
            <w:pPr>
              <w:jc w:val="right"/>
              <w:spacing w:after="0"/>
              <w:rPr>
                <w:sz w:val="20"/>
                <w:szCs w:val="20"/>
                <w:color w:val="auto"/>
              </w:rPr>
            </w:pPr>
            <w:r>
              <w:rPr>
                <w:rFonts w:ascii="Arial" w:cs="Arial" w:eastAsia="Arial" w:hAnsi="Arial"/>
                <w:sz w:val="12"/>
                <w:szCs w:val="12"/>
                <w:color w:val="58595B"/>
              </w:rPr>
              <w:t>$9,319,913</w:t>
            </w:r>
          </w:p>
        </w:tc>
        <w:tc>
          <w:tcPr>
            <w:tcW w:w="960" w:type="dxa"/>
            <w:vAlign w:val="bottom"/>
            <w:shd w:val="clear" w:color="auto" w:fill="EFEDED"/>
          </w:tcPr>
          <w:p>
            <w:pPr>
              <w:jc w:val="right"/>
              <w:spacing w:after="0"/>
              <w:rPr>
                <w:sz w:val="20"/>
                <w:szCs w:val="20"/>
                <w:color w:val="auto"/>
              </w:rPr>
            </w:pPr>
            <w:r>
              <w:rPr>
                <w:rFonts w:ascii="Arial" w:cs="Arial" w:eastAsia="Arial" w:hAnsi="Arial"/>
                <w:sz w:val="12"/>
                <w:szCs w:val="12"/>
                <w:color w:val="58595B"/>
              </w:rPr>
              <w:t>n/a</w:t>
            </w:r>
          </w:p>
        </w:tc>
        <w:tc>
          <w:tcPr>
            <w:tcW w:w="1020" w:type="dxa"/>
            <w:vAlign w:val="bottom"/>
            <w:shd w:val="clear" w:color="auto" w:fill="EFEDED"/>
          </w:tcPr>
          <w:p>
            <w:pPr>
              <w:spacing w:after="0"/>
              <w:rPr>
                <w:sz w:val="17"/>
                <w:szCs w:val="17"/>
                <w:color w:val="auto"/>
              </w:rPr>
            </w:pPr>
          </w:p>
        </w:tc>
        <w:tc>
          <w:tcPr>
            <w:tcW w:w="960" w:type="dxa"/>
            <w:vAlign w:val="bottom"/>
            <w:shd w:val="clear" w:color="auto" w:fill="EFEDED"/>
          </w:tcPr>
          <w:p>
            <w:pPr>
              <w:jc w:val="right"/>
              <w:ind w:right="4"/>
              <w:spacing w:after="0"/>
              <w:rPr>
                <w:sz w:val="20"/>
                <w:szCs w:val="20"/>
                <w:color w:val="auto"/>
              </w:rPr>
            </w:pPr>
            <w:r>
              <w:rPr>
                <w:rFonts w:ascii="Arial" w:cs="Arial" w:eastAsia="Arial" w:hAnsi="Arial"/>
                <w:sz w:val="12"/>
                <w:szCs w:val="12"/>
                <w:color w:val="58595B"/>
              </w:rPr>
              <w:t>$8,467,260</w:t>
            </w:r>
          </w:p>
        </w:tc>
        <w:tc>
          <w:tcPr>
            <w:tcW w:w="980" w:type="dxa"/>
            <w:vAlign w:val="bottom"/>
            <w:shd w:val="clear" w:color="auto" w:fill="EFEDED"/>
          </w:tcPr>
          <w:p>
            <w:pPr>
              <w:jc w:val="right"/>
              <w:ind w:right="4"/>
              <w:spacing w:after="0"/>
              <w:rPr>
                <w:sz w:val="20"/>
                <w:szCs w:val="20"/>
                <w:color w:val="auto"/>
              </w:rPr>
            </w:pPr>
            <w:r>
              <w:rPr>
                <w:rFonts w:ascii="Arial" w:cs="Arial" w:eastAsia="Arial" w:hAnsi="Arial"/>
                <w:sz w:val="12"/>
                <w:szCs w:val="12"/>
                <w:color w:val="58595B"/>
              </w:rPr>
              <w:t>n/a</w:t>
            </w:r>
          </w:p>
        </w:tc>
        <w:tc>
          <w:tcPr>
            <w:tcW w:w="940" w:type="dxa"/>
            <w:vAlign w:val="bottom"/>
            <w:shd w:val="clear" w:color="auto" w:fill="EFEDED"/>
          </w:tcPr>
          <w:p>
            <w:pPr>
              <w:jc w:val="right"/>
              <w:spacing w:after="0"/>
              <w:rPr>
                <w:sz w:val="20"/>
                <w:szCs w:val="20"/>
                <w:color w:val="auto"/>
              </w:rPr>
            </w:pPr>
            <w:r>
              <w:rPr>
                <w:rFonts w:ascii="Arial" w:cs="Arial" w:eastAsia="Arial" w:hAnsi="Arial"/>
                <w:sz w:val="12"/>
                <w:szCs w:val="12"/>
                <w:color w:val="58595B"/>
              </w:rPr>
              <w:t>$2,971,115</w:t>
            </w:r>
          </w:p>
        </w:tc>
        <w:tc>
          <w:tcPr>
            <w:tcW w:w="960" w:type="dxa"/>
            <w:vAlign w:val="bottom"/>
            <w:shd w:val="clear" w:color="auto" w:fill="EFEDED"/>
          </w:tcPr>
          <w:p>
            <w:pPr>
              <w:jc w:val="right"/>
              <w:spacing w:after="0"/>
              <w:rPr>
                <w:sz w:val="20"/>
                <w:szCs w:val="20"/>
                <w:color w:val="auto"/>
              </w:rPr>
            </w:pPr>
            <w:r>
              <w:rPr>
                <w:rFonts w:ascii="Arial" w:cs="Arial" w:eastAsia="Arial" w:hAnsi="Arial"/>
                <w:sz w:val="12"/>
                <w:szCs w:val="12"/>
                <w:color w:val="58595B"/>
              </w:rPr>
              <w:t>$2,080,890</w:t>
            </w:r>
          </w:p>
        </w:tc>
        <w:tc>
          <w:tcPr>
            <w:tcW w:w="900" w:type="dxa"/>
            <w:vAlign w:val="bottom"/>
            <w:shd w:val="clear" w:color="auto" w:fill="EFEDED"/>
          </w:tcPr>
          <w:p>
            <w:pPr>
              <w:jc w:val="right"/>
              <w:ind w:right="24"/>
              <w:spacing w:after="0"/>
              <w:rPr>
                <w:sz w:val="20"/>
                <w:szCs w:val="20"/>
                <w:color w:val="auto"/>
              </w:rPr>
            </w:pPr>
            <w:r>
              <w:rPr>
                <w:rFonts w:ascii="Arial" w:cs="Arial" w:eastAsia="Arial" w:hAnsi="Arial"/>
                <w:sz w:val="12"/>
                <w:szCs w:val="12"/>
                <w:color w:val="58595B"/>
              </w:rPr>
              <w:t>$96.21</w:t>
            </w:r>
          </w:p>
        </w:tc>
        <w:tc>
          <w:tcPr>
            <w:tcW w:w="800" w:type="dxa"/>
            <w:vAlign w:val="bottom"/>
            <w:shd w:val="clear" w:color="auto" w:fill="EFEDED"/>
          </w:tcPr>
          <w:p>
            <w:pPr>
              <w:jc w:val="right"/>
              <w:spacing w:after="0"/>
              <w:rPr>
                <w:sz w:val="20"/>
                <w:szCs w:val="20"/>
                <w:color w:val="auto"/>
              </w:rPr>
            </w:pPr>
            <w:r>
              <w:rPr>
                <w:rFonts w:ascii="Arial" w:cs="Arial" w:eastAsia="Arial" w:hAnsi="Arial"/>
                <w:sz w:val="12"/>
                <w:szCs w:val="12"/>
                <w:color w:val="58595B"/>
              </w:rPr>
              <w:t>$134.10</w:t>
            </w:r>
          </w:p>
        </w:tc>
        <w:tc>
          <w:tcPr>
            <w:tcW w:w="180" w:type="dxa"/>
            <w:vAlign w:val="bottom"/>
            <w:shd w:val="clear" w:color="auto" w:fill="EFEDED"/>
          </w:tcPr>
          <w:p>
            <w:pPr>
              <w:ind w:left="20"/>
              <w:spacing w:after="0"/>
              <w:rPr>
                <w:sz w:val="20"/>
                <w:szCs w:val="20"/>
                <w:color w:val="auto"/>
              </w:rPr>
            </w:pPr>
            <w:r>
              <w:rPr>
                <w:rFonts w:ascii="Arial" w:cs="Arial" w:eastAsia="Arial" w:hAnsi="Arial"/>
                <w:sz w:val="12"/>
                <w:szCs w:val="12"/>
                <w:color w:val="58595B"/>
              </w:rPr>
              <w:t>$</w:t>
            </w:r>
          </w:p>
        </w:tc>
        <w:tc>
          <w:tcPr>
            <w:tcW w:w="480" w:type="dxa"/>
            <w:vAlign w:val="bottom"/>
            <w:shd w:val="clear" w:color="auto" w:fill="EFEDED"/>
          </w:tcPr>
          <w:p>
            <w:pPr>
              <w:jc w:val="right"/>
              <w:ind w:right="2"/>
              <w:spacing w:after="0"/>
              <w:rPr>
                <w:sz w:val="20"/>
                <w:szCs w:val="20"/>
                <w:color w:val="auto"/>
              </w:rPr>
            </w:pPr>
            <w:r>
              <w:rPr>
                <w:rFonts w:ascii="Arial" w:cs="Arial" w:eastAsia="Arial" w:hAnsi="Arial"/>
                <w:sz w:val="12"/>
                <w:szCs w:val="12"/>
                <w:color w:val="58595B"/>
              </w:rPr>
              <w:t>180.6</w:t>
            </w:r>
          </w:p>
        </w:tc>
        <w:tc>
          <w:tcPr>
            <w:tcW w:w="100" w:type="dxa"/>
            <w:vAlign w:val="bottom"/>
            <w:shd w:val="clear" w:color="auto" w:fill="EFEDED"/>
          </w:tcPr>
          <w:p>
            <w:pPr>
              <w:jc w:val="right"/>
              <w:spacing w:after="0"/>
              <w:rPr>
                <w:sz w:val="20"/>
                <w:szCs w:val="20"/>
                <w:color w:val="auto"/>
              </w:rPr>
            </w:pPr>
            <w:r>
              <w:rPr>
                <w:rFonts w:ascii="Arial" w:cs="Arial" w:eastAsia="Arial" w:hAnsi="Arial"/>
                <w:sz w:val="12"/>
                <w:szCs w:val="12"/>
                <w:color w:val="58595B"/>
                <w:w w:val="89"/>
              </w:rPr>
              <w:t>$</w:t>
            </w:r>
          </w:p>
        </w:tc>
        <w:tc>
          <w:tcPr>
            <w:tcW w:w="600" w:type="dxa"/>
            <w:vAlign w:val="bottom"/>
            <w:shd w:val="clear" w:color="auto" w:fill="EFEDED"/>
          </w:tcPr>
          <w:p>
            <w:pPr>
              <w:jc w:val="right"/>
              <w:ind w:right="4"/>
              <w:spacing w:after="0"/>
              <w:rPr>
                <w:sz w:val="20"/>
                <w:szCs w:val="20"/>
                <w:color w:val="auto"/>
              </w:rPr>
            </w:pPr>
            <w:r>
              <w:rPr>
                <w:rFonts w:ascii="Arial" w:cs="Arial" w:eastAsia="Arial" w:hAnsi="Arial"/>
                <w:sz w:val="12"/>
                <w:szCs w:val="12"/>
                <w:color w:val="58595B"/>
              </w:rPr>
              <w:t>1,593.3</w:t>
            </w:r>
          </w:p>
        </w:tc>
      </w:tr>
      <w:tr>
        <w:trPr>
          <w:trHeight w:val="183"/>
        </w:trPr>
        <w:tc>
          <w:tcPr>
            <w:tcW w:w="440" w:type="dxa"/>
            <w:vAlign w:val="bottom"/>
            <w:tcBorders>
              <w:bottom w:val="single" w:sz="8" w:color="58595B"/>
            </w:tcBorders>
          </w:tcPr>
          <w:p>
            <w:pPr>
              <w:jc w:val="center"/>
              <w:spacing w:after="0"/>
              <w:rPr>
                <w:sz w:val="20"/>
                <w:szCs w:val="20"/>
                <w:color w:val="auto"/>
              </w:rPr>
            </w:pPr>
            <w:r>
              <w:rPr>
                <w:rFonts w:ascii="Arial" w:cs="Arial" w:eastAsia="Arial" w:hAnsi="Arial"/>
                <w:sz w:val="12"/>
                <w:szCs w:val="12"/>
                <w:color w:val="58595B"/>
                <w:w w:val="97"/>
              </w:rPr>
              <w:t>2021</w:t>
            </w:r>
          </w:p>
        </w:tc>
        <w:tc>
          <w:tcPr>
            <w:tcW w:w="980" w:type="dxa"/>
            <w:vAlign w:val="bottom"/>
            <w:tcBorders>
              <w:bottom w:val="single" w:sz="8" w:color="58595B"/>
            </w:tcBorders>
          </w:tcPr>
          <w:p>
            <w:pPr>
              <w:spacing w:after="0"/>
              <w:rPr>
                <w:sz w:val="15"/>
                <w:szCs w:val="15"/>
                <w:color w:val="auto"/>
              </w:rPr>
            </w:pPr>
          </w:p>
        </w:tc>
        <w:tc>
          <w:tcPr>
            <w:tcW w:w="940" w:type="dxa"/>
            <w:vAlign w:val="bottom"/>
            <w:tcBorders>
              <w:bottom w:val="single" w:sz="8" w:color="58595B"/>
            </w:tcBorders>
          </w:tcPr>
          <w:p>
            <w:pPr>
              <w:jc w:val="right"/>
              <w:spacing w:after="0"/>
              <w:rPr>
                <w:sz w:val="20"/>
                <w:szCs w:val="20"/>
                <w:color w:val="auto"/>
              </w:rPr>
            </w:pPr>
            <w:r>
              <w:rPr>
                <w:rFonts w:ascii="Arial" w:cs="Arial" w:eastAsia="Arial" w:hAnsi="Arial"/>
                <w:sz w:val="12"/>
                <w:szCs w:val="12"/>
                <w:color w:val="58595B"/>
              </w:rPr>
              <w:t>$251,773</w:t>
            </w:r>
          </w:p>
        </w:tc>
        <w:tc>
          <w:tcPr>
            <w:tcW w:w="960" w:type="dxa"/>
            <w:vAlign w:val="bottom"/>
            <w:tcBorders>
              <w:bottom w:val="single" w:sz="8" w:color="58595B"/>
            </w:tcBorders>
          </w:tcPr>
          <w:p>
            <w:pPr>
              <w:jc w:val="right"/>
              <w:spacing w:after="0"/>
              <w:rPr>
                <w:sz w:val="20"/>
                <w:szCs w:val="20"/>
                <w:color w:val="auto"/>
              </w:rPr>
            </w:pPr>
            <w:r>
              <w:rPr>
                <w:rFonts w:ascii="Arial" w:cs="Arial" w:eastAsia="Arial" w:hAnsi="Arial"/>
                <w:sz w:val="12"/>
                <w:szCs w:val="12"/>
                <w:color w:val="58595B"/>
              </w:rPr>
              <w:t>$9,839,221</w:t>
            </w:r>
          </w:p>
        </w:tc>
        <w:tc>
          <w:tcPr>
            <w:tcW w:w="1020" w:type="dxa"/>
            <w:vAlign w:val="bottom"/>
            <w:tcBorders>
              <w:bottom w:val="single" w:sz="8" w:color="58595B"/>
            </w:tcBorders>
          </w:tcPr>
          <w:p>
            <w:pPr>
              <w:spacing w:after="0"/>
              <w:rPr>
                <w:sz w:val="15"/>
                <w:szCs w:val="15"/>
                <w:color w:val="auto"/>
              </w:rPr>
            </w:pPr>
          </w:p>
        </w:tc>
        <w:tc>
          <w:tcPr>
            <w:tcW w:w="960" w:type="dxa"/>
            <w:vAlign w:val="bottom"/>
            <w:tcBorders>
              <w:bottom w:val="single" w:sz="8" w:color="58595B"/>
            </w:tcBorders>
          </w:tcPr>
          <w:p>
            <w:pPr>
              <w:jc w:val="right"/>
              <w:ind w:right="4"/>
              <w:spacing w:after="0"/>
              <w:rPr>
                <w:sz w:val="20"/>
                <w:szCs w:val="20"/>
                <w:color w:val="auto"/>
              </w:rPr>
            </w:pPr>
            <w:r>
              <w:rPr>
                <w:rFonts w:ascii="Arial" w:cs="Arial" w:eastAsia="Arial" w:hAnsi="Arial"/>
                <w:sz w:val="12"/>
                <w:szCs w:val="12"/>
                <w:color w:val="58595B"/>
              </w:rPr>
              <w:t>$251,773</w:t>
            </w:r>
          </w:p>
        </w:tc>
        <w:tc>
          <w:tcPr>
            <w:tcW w:w="980" w:type="dxa"/>
            <w:vAlign w:val="bottom"/>
            <w:tcBorders>
              <w:bottom w:val="single" w:sz="8" w:color="58595B"/>
            </w:tcBorders>
          </w:tcPr>
          <w:p>
            <w:pPr>
              <w:jc w:val="right"/>
              <w:ind w:right="4"/>
              <w:spacing w:after="0"/>
              <w:rPr>
                <w:sz w:val="20"/>
                <w:szCs w:val="20"/>
                <w:color w:val="auto"/>
              </w:rPr>
            </w:pPr>
            <w:r>
              <w:rPr>
                <w:rFonts w:ascii="Arial" w:cs="Arial" w:eastAsia="Arial" w:hAnsi="Arial"/>
                <w:sz w:val="12"/>
                <w:szCs w:val="12"/>
                <w:color w:val="58595B"/>
              </w:rPr>
              <w:t>$12,933,775</w:t>
            </w:r>
          </w:p>
        </w:tc>
        <w:tc>
          <w:tcPr>
            <w:tcW w:w="940" w:type="dxa"/>
            <w:vAlign w:val="bottom"/>
            <w:tcBorders>
              <w:bottom w:val="single" w:sz="8" w:color="58595B"/>
            </w:tcBorders>
          </w:tcPr>
          <w:p>
            <w:pPr>
              <w:jc w:val="right"/>
              <w:spacing w:after="0"/>
              <w:rPr>
                <w:sz w:val="20"/>
                <w:szCs w:val="20"/>
                <w:color w:val="auto"/>
              </w:rPr>
            </w:pPr>
            <w:r>
              <w:rPr>
                <w:rFonts w:ascii="Arial" w:cs="Arial" w:eastAsia="Arial" w:hAnsi="Arial"/>
                <w:sz w:val="12"/>
                <w:szCs w:val="12"/>
                <w:color w:val="58595B"/>
              </w:rPr>
              <w:t>$2,503,086</w:t>
            </w:r>
          </w:p>
        </w:tc>
        <w:tc>
          <w:tcPr>
            <w:tcW w:w="960" w:type="dxa"/>
            <w:vAlign w:val="bottom"/>
            <w:tcBorders>
              <w:bottom w:val="single" w:sz="8" w:color="58595B"/>
            </w:tcBorders>
          </w:tcPr>
          <w:p>
            <w:pPr>
              <w:jc w:val="right"/>
              <w:spacing w:after="0"/>
              <w:rPr>
                <w:sz w:val="20"/>
                <w:szCs w:val="20"/>
                <w:color w:val="auto"/>
              </w:rPr>
            </w:pPr>
            <w:r>
              <w:rPr>
                <w:rFonts w:ascii="Arial" w:cs="Arial" w:eastAsia="Arial" w:hAnsi="Arial"/>
                <w:sz w:val="12"/>
                <w:szCs w:val="12"/>
                <w:color w:val="58595B"/>
              </w:rPr>
              <w:t>$3,093,831</w:t>
            </w:r>
          </w:p>
        </w:tc>
        <w:tc>
          <w:tcPr>
            <w:tcW w:w="900" w:type="dxa"/>
            <w:vAlign w:val="bottom"/>
            <w:tcBorders>
              <w:bottom w:val="single" w:sz="8" w:color="58595B"/>
            </w:tcBorders>
          </w:tcPr>
          <w:p>
            <w:pPr>
              <w:jc w:val="right"/>
              <w:ind w:right="24"/>
              <w:spacing w:after="0"/>
              <w:rPr>
                <w:sz w:val="20"/>
                <w:szCs w:val="20"/>
                <w:color w:val="auto"/>
              </w:rPr>
            </w:pPr>
            <w:r>
              <w:rPr>
                <w:rFonts w:ascii="Arial" w:cs="Arial" w:eastAsia="Arial" w:hAnsi="Arial"/>
                <w:sz w:val="12"/>
                <w:szCs w:val="12"/>
                <w:color w:val="58595B"/>
              </w:rPr>
              <w:t>$114.95</w:t>
            </w:r>
          </w:p>
        </w:tc>
        <w:tc>
          <w:tcPr>
            <w:tcW w:w="800" w:type="dxa"/>
            <w:vAlign w:val="bottom"/>
            <w:tcBorders>
              <w:bottom w:val="single" w:sz="8" w:color="58595B"/>
            </w:tcBorders>
          </w:tcPr>
          <w:p>
            <w:pPr>
              <w:jc w:val="right"/>
              <w:spacing w:after="0"/>
              <w:rPr>
                <w:sz w:val="20"/>
                <w:szCs w:val="20"/>
                <w:color w:val="auto"/>
              </w:rPr>
            </w:pPr>
            <w:r>
              <w:rPr>
                <w:rFonts w:ascii="Arial" w:cs="Arial" w:eastAsia="Arial" w:hAnsi="Arial"/>
                <w:sz w:val="12"/>
                <w:szCs w:val="12"/>
                <w:color w:val="58595B"/>
              </w:rPr>
              <w:t>$145.30</w:t>
            </w:r>
          </w:p>
        </w:tc>
        <w:tc>
          <w:tcPr>
            <w:tcW w:w="180" w:type="dxa"/>
            <w:vAlign w:val="bottom"/>
            <w:tcBorders>
              <w:bottom w:val="single" w:sz="8" w:color="58595B"/>
            </w:tcBorders>
          </w:tcPr>
          <w:p>
            <w:pPr>
              <w:ind w:left="20"/>
              <w:spacing w:after="0"/>
              <w:rPr>
                <w:sz w:val="20"/>
                <w:szCs w:val="20"/>
                <w:color w:val="auto"/>
              </w:rPr>
            </w:pPr>
            <w:r>
              <w:rPr>
                <w:rFonts w:ascii="Arial" w:cs="Arial" w:eastAsia="Arial" w:hAnsi="Arial"/>
                <w:sz w:val="12"/>
                <w:szCs w:val="12"/>
                <w:color w:val="58595B"/>
              </w:rPr>
              <w:t>$</w:t>
            </w:r>
          </w:p>
        </w:tc>
        <w:tc>
          <w:tcPr>
            <w:tcW w:w="480" w:type="dxa"/>
            <w:vAlign w:val="bottom"/>
            <w:tcBorders>
              <w:bottom w:val="single" w:sz="8" w:color="58595B"/>
            </w:tcBorders>
          </w:tcPr>
          <w:p>
            <w:pPr>
              <w:jc w:val="right"/>
              <w:ind w:right="2"/>
              <w:spacing w:after="0"/>
              <w:rPr>
                <w:sz w:val="20"/>
                <w:szCs w:val="20"/>
                <w:color w:val="auto"/>
              </w:rPr>
            </w:pPr>
            <w:r>
              <w:rPr>
                <w:rFonts w:ascii="Arial" w:cs="Arial" w:eastAsia="Arial" w:hAnsi="Arial"/>
                <w:sz w:val="12"/>
                <w:szCs w:val="12"/>
                <w:color w:val="58595B"/>
              </w:rPr>
              <w:t>169.1</w:t>
            </w:r>
          </w:p>
        </w:tc>
        <w:tc>
          <w:tcPr>
            <w:tcW w:w="100" w:type="dxa"/>
            <w:vAlign w:val="bottom"/>
            <w:tcBorders>
              <w:bottom w:val="single" w:sz="8" w:color="58595B"/>
            </w:tcBorders>
          </w:tcPr>
          <w:p>
            <w:pPr>
              <w:jc w:val="right"/>
              <w:spacing w:after="0"/>
              <w:rPr>
                <w:sz w:val="20"/>
                <w:szCs w:val="20"/>
                <w:color w:val="auto"/>
              </w:rPr>
            </w:pPr>
            <w:r>
              <w:rPr>
                <w:rFonts w:ascii="Arial" w:cs="Arial" w:eastAsia="Arial" w:hAnsi="Arial"/>
                <w:sz w:val="12"/>
                <w:szCs w:val="12"/>
                <w:color w:val="58595B"/>
                <w:w w:val="89"/>
              </w:rPr>
              <w:t>$</w:t>
            </w:r>
          </w:p>
        </w:tc>
        <w:tc>
          <w:tcPr>
            <w:tcW w:w="600" w:type="dxa"/>
            <w:vAlign w:val="bottom"/>
            <w:tcBorders>
              <w:bottom w:val="single" w:sz="8" w:color="58595B"/>
            </w:tcBorders>
          </w:tcPr>
          <w:p>
            <w:pPr>
              <w:jc w:val="right"/>
              <w:ind w:right="4"/>
              <w:spacing w:after="0"/>
              <w:rPr>
                <w:sz w:val="20"/>
                <w:szCs w:val="20"/>
                <w:color w:val="auto"/>
              </w:rPr>
            </w:pPr>
            <w:r>
              <w:rPr>
                <w:rFonts w:ascii="Arial" w:cs="Arial" w:eastAsia="Arial" w:hAnsi="Arial"/>
                <w:sz w:val="12"/>
                <w:szCs w:val="12"/>
                <w:color w:val="58595B"/>
              </w:rPr>
              <w:t>1,542.4</w:t>
            </w:r>
          </w:p>
        </w:tc>
      </w:tr>
    </w:tbl>
    <w:p>
      <w:pPr>
        <w:spacing w:after="0" w:line="139"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PEO and Non-PEO NEOs for the applicable years are as follows:</w:t>
      </w:r>
    </w:p>
    <w:p>
      <w:pPr>
        <w:spacing w:after="0" w:line="68" w:lineRule="exact"/>
        <w:rPr>
          <w:rFonts w:ascii="Arial" w:cs="Arial" w:eastAsia="Arial" w:hAnsi="Arial"/>
          <w:sz w:val="14"/>
          <w:szCs w:val="14"/>
          <w:color w:val="auto"/>
        </w:rPr>
      </w:pPr>
    </w:p>
    <w:p>
      <w:pPr>
        <w:ind w:left="940" w:hanging="284"/>
        <w:spacing w:after="0"/>
        <w:tabs>
          <w:tab w:leader="none" w:pos="940" w:val="left"/>
        </w:tabs>
        <w:numPr>
          <w:ilvl w:val="1"/>
          <w:numId w:val="52"/>
        </w:numPr>
        <w:rPr>
          <w:rFonts w:ascii="Arial" w:cs="Arial" w:eastAsia="Arial" w:hAnsi="Arial"/>
          <w:sz w:val="14"/>
          <w:szCs w:val="14"/>
          <w:color w:val="auto"/>
        </w:rPr>
      </w:pPr>
      <w:r>
        <w:rPr>
          <w:rFonts w:ascii="Arial" w:cs="Arial" w:eastAsia="Arial" w:hAnsi="Arial"/>
          <w:sz w:val="14"/>
          <w:szCs w:val="14"/>
          <w:color w:val="auto"/>
        </w:rPr>
        <w:t>2025: Ms. Poul and Mr. De Witte served as PEO and Ms. Knight and Messrs. Davis, McBreen and Singh served as Non-PEO NEOs</w:t>
      </w:r>
    </w:p>
    <w:p>
      <w:pPr>
        <w:spacing w:after="0" w:line="55" w:lineRule="exact"/>
        <w:rPr>
          <w:rFonts w:ascii="Arial" w:cs="Arial" w:eastAsia="Arial" w:hAnsi="Arial"/>
          <w:sz w:val="14"/>
          <w:szCs w:val="14"/>
          <w:color w:val="auto"/>
        </w:rPr>
      </w:pPr>
    </w:p>
    <w:p>
      <w:pPr>
        <w:ind w:left="940" w:hanging="284"/>
        <w:spacing w:after="0"/>
        <w:tabs>
          <w:tab w:leader="none" w:pos="940" w:val="left"/>
        </w:tabs>
        <w:numPr>
          <w:ilvl w:val="1"/>
          <w:numId w:val="52"/>
        </w:numPr>
        <w:rPr>
          <w:rFonts w:ascii="Arial" w:cs="Arial" w:eastAsia="Arial" w:hAnsi="Arial"/>
          <w:sz w:val="14"/>
          <w:szCs w:val="14"/>
          <w:color w:val="auto"/>
        </w:rPr>
      </w:pPr>
      <w:r>
        <w:rPr>
          <w:rFonts w:ascii="Arial" w:cs="Arial" w:eastAsia="Arial" w:hAnsi="Arial"/>
          <w:sz w:val="14"/>
          <w:szCs w:val="14"/>
          <w:color w:val="auto"/>
        </w:rPr>
        <w:t>2024: Mr. De Witte served as PEO and Ms. Knight and Messrs. Davis, McBreen and Singh served as Non-PEO NEOs</w:t>
      </w:r>
    </w:p>
    <w:p>
      <w:pPr>
        <w:spacing w:after="0" w:line="68" w:lineRule="exact"/>
        <w:rPr>
          <w:rFonts w:ascii="Arial" w:cs="Arial" w:eastAsia="Arial" w:hAnsi="Arial"/>
          <w:sz w:val="14"/>
          <w:szCs w:val="14"/>
          <w:color w:val="auto"/>
        </w:rPr>
      </w:pPr>
    </w:p>
    <w:p>
      <w:pPr>
        <w:ind w:left="940" w:hanging="284"/>
        <w:spacing w:after="0"/>
        <w:tabs>
          <w:tab w:leader="none" w:pos="940" w:val="left"/>
        </w:tabs>
        <w:numPr>
          <w:ilvl w:val="1"/>
          <w:numId w:val="52"/>
        </w:numPr>
        <w:rPr>
          <w:rFonts w:ascii="Arial" w:cs="Arial" w:eastAsia="Arial" w:hAnsi="Arial"/>
          <w:sz w:val="14"/>
          <w:szCs w:val="14"/>
          <w:color w:val="auto"/>
        </w:rPr>
      </w:pPr>
      <w:r>
        <w:rPr>
          <w:rFonts w:ascii="Arial" w:cs="Arial" w:eastAsia="Arial" w:hAnsi="Arial"/>
          <w:sz w:val="14"/>
          <w:szCs w:val="14"/>
          <w:color w:val="auto"/>
        </w:rPr>
        <w:t>2023: Mr. De Witte served as PEO and Mses. Knight and Anderson and Messrs. Davis, McBreen, Mosebrook and Schwartz served as Non-PEO NEOs</w:t>
      </w:r>
    </w:p>
    <w:p>
      <w:pPr>
        <w:spacing w:after="0" w:line="68" w:lineRule="exact"/>
        <w:rPr>
          <w:rFonts w:ascii="Arial" w:cs="Arial" w:eastAsia="Arial" w:hAnsi="Arial"/>
          <w:sz w:val="14"/>
          <w:szCs w:val="14"/>
          <w:color w:val="auto"/>
        </w:rPr>
      </w:pPr>
    </w:p>
    <w:p>
      <w:pPr>
        <w:ind w:left="940" w:hanging="284"/>
        <w:spacing w:after="0"/>
        <w:tabs>
          <w:tab w:leader="none" w:pos="940" w:val="left"/>
        </w:tabs>
        <w:numPr>
          <w:ilvl w:val="1"/>
          <w:numId w:val="52"/>
        </w:numPr>
        <w:rPr>
          <w:rFonts w:ascii="Arial" w:cs="Arial" w:eastAsia="Arial" w:hAnsi="Arial"/>
          <w:sz w:val="14"/>
          <w:szCs w:val="14"/>
          <w:color w:val="auto"/>
        </w:rPr>
      </w:pPr>
      <w:r>
        <w:rPr>
          <w:rFonts w:ascii="Arial" w:cs="Arial" w:eastAsia="Arial" w:hAnsi="Arial"/>
          <w:sz w:val="14"/>
          <w:szCs w:val="14"/>
          <w:color w:val="auto"/>
        </w:rPr>
        <w:t>2022: Mr. De Witte served as PEO and Ms. Anderson and Messrs. Davis, McBreen, Schwartz and Coleman served as Non-PEO NEOs</w:t>
      </w:r>
    </w:p>
    <w:p>
      <w:pPr>
        <w:spacing w:after="0" w:line="68" w:lineRule="exact"/>
        <w:rPr>
          <w:rFonts w:ascii="Arial" w:cs="Arial" w:eastAsia="Arial" w:hAnsi="Arial"/>
          <w:sz w:val="14"/>
          <w:szCs w:val="14"/>
          <w:color w:val="auto"/>
        </w:rPr>
      </w:pPr>
    </w:p>
    <w:p>
      <w:pPr>
        <w:ind w:left="940" w:hanging="284"/>
        <w:spacing w:after="0"/>
        <w:tabs>
          <w:tab w:leader="none" w:pos="940" w:val="left"/>
        </w:tabs>
        <w:numPr>
          <w:ilvl w:val="1"/>
          <w:numId w:val="52"/>
        </w:numPr>
        <w:rPr>
          <w:rFonts w:ascii="Arial" w:cs="Arial" w:eastAsia="Arial" w:hAnsi="Arial"/>
          <w:sz w:val="14"/>
          <w:szCs w:val="14"/>
          <w:color w:val="auto"/>
        </w:rPr>
      </w:pPr>
      <w:r>
        <w:rPr>
          <w:rFonts w:ascii="Arial" w:cs="Arial" w:eastAsia="Arial" w:hAnsi="Arial"/>
          <w:sz w:val="14"/>
          <w:szCs w:val="14"/>
          <w:color w:val="auto"/>
        </w:rPr>
        <w:t>2021: Mr. De Witte and Mr. Peter J. Arduini served as PEO and Ms. Anderson and Messrs. Davis, McBreen and Coleman served as Non-PEO NEOs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140" w:hanging="332"/>
        <w:spacing w:after="0" w:line="305" w:lineRule="auto"/>
        <w:tabs>
          <w:tab w:leader="none" w:pos="338"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table below provides the adjustments to the Summary Compensation Table total compensation made to arrive at the compensation actually paid for the PEO and the average of the Non-PEO NEOs:</w:t>
      </w:r>
    </w:p>
    <w:p>
      <w:pPr>
        <w:spacing w:after="0" w:line="86"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3300" w:type="dxa"/>
            <w:vAlign w:val="bottom"/>
            <w:tcBorders>
              <w:bottom w:val="single" w:sz="8" w:color="EFEDED"/>
            </w:tcBorders>
            <w:shd w:val="clear" w:color="auto" w:fill="EFEDED"/>
          </w:tcPr>
          <w:p>
            <w:pPr>
              <w:spacing w:after="0"/>
              <w:rPr>
                <w:sz w:val="17"/>
                <w:szCs w:val="17"/>
                <w:color w:val="auto"/>
              </w:rPr>
            </w:pPr>
          </w:p>
        </w:tc>
        <w:tc>
          <w:tcPr>
            <w:tcW w:w="2040" w:type="dxa"/>
            <w:vAlign w:val="bottom"/>
            <w:tcBorders>
              <w:bottom w:val="single" w:sz="8" w:color="58595B"/>
              <w:right w:val="single" w:sz="8" w:color="58595B"/>
            </w:tcBorders>
            <w:gridSpan w:val="2"/>
            <w:shd w:val="clear" w:color="auto" w:fill="EFEDED"/>
          </w:tcPr>
          <w:p>
            <w:pPr>
              <w:jc w:val="right"/>
              <w:ind w:right="817"/>
              <w:spacing w:after="0"/>
              <w:rPr>
                <w:sz w:val="20"/>
                <w:szCs w:val="20"/>
                <w:color w:val="auto"/>
              </w:rPr>
            </w:pPr>
            <w:r>
              <w:rPr>
                <w:rFonts w:ascii="Arial" w:cs="Arial" w:eastAsia="Arial" w:hAnsi="Arial"/>
                <w:sz w:val="13"/>
                <w:szCs w:val="13"/>
                <w:color w:val="58595B"/>
              </w:rPr>
              <w:t>2021</w:t>
            </w:r>
          </w:p>
        </w:tc>
        <w:tc>
          <w:tcPr>
            <w:tcW w:w="1020" w:type="dxa"/>
            <w:vAlign w:val="bottom"/>
            <w:tcBorders>
              <w:bottom w:val="single" w:sz="8" w:color="58595B"/>
              <w:right w:val="single" w:sz="8" w:color="58595B"/>
            </w:tcBorders>
            <w:shd w:val="clear" w:color="auto" w:fill="EFEDED"/>
          </w:tcPr>
          <w:p>
            <w:pPr>
              <w:jc w:val="center"/>
              <w:spacing w:after="0"/>
              <w:rPr>
                <w:sz w:val="20"/>
                <w:szCs w:val="20"/>
                <w:color w:val="auto"/>
              </w:rPr>
            </w:pPr>
            <w:r>
              <w:rPr>
                <w:rFonts w:ascii="Arial" w:cs="Arial" w:eastAsia="Arial" w:hAnsi="Arial"/>
                <w:sz w:val="13"/>
                <w:szCs w:val="13"/>
                <w:color w:val="58595B"/>
                <w:w w:val="96"/>
              </w:rPr>
              <w:t>2022</w:t>
            </w:r>
          </w:p>
        </w:tc>
        <w:tc>
          <w:tcPr>
            <w:tcW w:w="1000" w:type="dxa"/>
            <w:vAlign w:val="bottom"/>
            <w:tcBorders>
              <w:bottom w:val="single" w:sz="8" w:color="58595B"/>
              <w:right w:val="single" w:sz="8" w:color="58595B"/>
            </w:tcBorders>
            <w:shd w:val="clear" w:color="auto" w:fill="EFEDED"/>
          </w:tcPr>
          <w:p>
            <w:pPr>
              <w:jc w:val="center"/>
              <w:spacing w:after="0"/>
              <w:rPr>
                <w:sz w:val="20"/>
                <w:szCs w:val="20"/>
                <w:color w:val="auto"/>
              </w:rPr>
            </w:pPr>
            <w:r>
              <w:rPr>
                <w:rFonts w:ascii="Arial" w:cs="Arial" w:eastAsia="Arial" w:hAnsi="Arial"/>
                <w:sz w:val="13"/>
                <w:szCs w:val="13"/>
                <w:color w:val="58595B"/>
                <w:w w:val="96"/>
              </w:rPr>
              <w:t>2023</w:t>
            </w:r>
          </w:p>
        </w:tc>
        <w:tc>
          <w:tcPr>
            <w:tcW w:w="1020" w:type="dxa"/>
            <w:vAlign w:val="bottom"/>
            <w:tcBorders>
              <w:bottom w:val="single" w:sz="8" w:color="58595B"/>
              <w:right w:val="single" w:sz="8" w:color="58595B"/>
            </w:tcBorders>
            <w:shd w:val="clear" w:color="auto" w:fill="EFEDED"/>
          </w:tcPr>
          <w:p>
            <w:pPr>
              <w:jc w:val="center"/>
              <w:spacing w:after="0"/>
              <w:rPr>
                <w:sz w:val="20"/>
                <w:szCs w:val="20"/>
                <w:color w:val="auto"/>
              </w:rPr>
            </w:pPr>
            <w:r>
              <w:rPr>
                <w:rFonts w:ascii="Arial" w:cs="Arial" w:eastAsia="Arial" w:hAnsi="Arial"/>
                <w:sz w:val="13"/>
                <w:szCs w:val="13"/>
                <w:color w:val="58595B"/>
                <w:w w:val="96"/>
              </w:rPr>
              <w:t>2024</w:t>
            </w:r>
          </w:p>
        </w:tc>
        <w:tc>
          <w:tcPr>
            <w:tcW w:w="2140" w:type="dxa"/>
            <w:vAlign w:val="bottom"/>
            <w:tcBorders>
              <w:bottom w:val="single" w:sz="8" w:color="58595B"/>
            </w:tcBorders>
            <w:gridSpan w:val="2"/>
            <w:shd w:val="clear" w:color="auto" w:fill="EFEDED"/>
          </w:tcPr>
          <w:p>
            <w:pPr>
              <w:jc w:val="right"/>
              <w:ind w:right="937"/>
              <w:spacing w:after="0"/>
              <w:rPr>
                <w:sz w:val="20"/>
                <w:szCs w:val="20"/>
                <w:color w:val="auto"/>
              </w:rPr>
            </w:pPr>
            <w:r>
              <w:rPr>
                <w:rFonts w:ascii="Arial" w:cs="Arial" w:eastAsia="Arial" w:hAnsi="Arial"/>
                <w:sz w:val="13"/>
                <w:szCs w:val="13"/>
                <w:color w:val="58595B"/>
              </w:rPr>
              <w:t>2025</w:t>
            </w:r>
          </w:p>
        </w:tc>
      </w:tr>
      <w:tr>
        <w:trPr>
          <w:trHeight w:val="158"/>
        </w:trPr>
        <w:tc>
          <w:tcPr>
            <w:tcW w:w="3300" w:type="dxa"/>
            <w:vAlign w:val="bottom"/>
            <w:shd w:val="clear" w:color="auto" w:fill="EFEDED"/>
          </w:tcPr>
          <w:p>
            <w:pPr>
              <w:spacing w:after="0"/>
              <w:rPr>
                <w:sz w:val="13"/>
                <w:szCs w:val="13"/>
                <w:color w:val="auto"/>
              </w:rPr>
            </w:pPr>
          </w:p>
        </w:tc>
        <w:tc>
          <w:tcPr>
            <w:tcW w:w="9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Former PEO</w:t>
            </w:r>
          </w:p>
        </w:tc>
        <w:tc>
          <w:tcPr>
            <w:tcW w:w="106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Former PEO</w:t>
            </w:r>
          </w:p>
        </w:tc>
        <w:tc>
          <w:tcPr>
            <w:tcW w:w="10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Former PEO</w:t>
            </w:r>
          </w:p>
        </w:tc>
        <w:tc>
          <w:tcPr>
            <w:tcW w:w="100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Former PEO</w:t>
            </w:r>
          </w:p>
        </w:tc>
        <w:tc>
          <w:tcPr>
            <w:tcW w:w="10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Former PEO</w:t>
            </w:r>
          </w:p>
        </w:tc>
        <w:tc>
          <w:tcPr>
            <w:tcW w:w="10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Former PEO</w:t>
            </w:r>
          </w:p>
        </w:tc>
        <w:tc>
          <w:tcPr>
            <w:tcW w:w="114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4"/>
              </w:rPr>
              <w:t>PEO</w:t>
            </w:r>
          </w:p>
        </w:tc>
      </w:tr>
      <w:tr>
        <w:trPr>
          <w:trHeight w:val="166"/>
        </w:trPr>
        <w:tc>
          <w:tcPr>
            <w:tcW w:w="3300" w:type="dxa"/>
            <w:vAlign w:val="bottom"/>
            <w:shd w:val="clear" w:color="auto" w:fill="EFEDED"/>
          </w:tcPr>
          <w:p>
            <w:pPr>
              <w:ind w:left="140"/>
              <w:spacing w:after="0"/>
              <w:rPr>
                <w:sz w:val="20"/>
                <w:szCs w:val="20"/>
                <w:color w:val="auto"/>
              </w:rPr>
            </w:pPr>
            <w:r>
              <w:rPr>
                <w:rFonts w:ascii="Arial" w:cs="Arial" w:eastAsia="Arial" w:hAnsi="Arial"/>
                <w:sz w:val="13"/>
                <w:szCs w:val="13"/>
                <w:color w:val="58595B"/>
              </w:rPr>
              <w:t>Adjustments</w:t>
            </w:r>
          </w:p>
        </w:tc>
        <w:tc>
          <w:tcPr>
            <w:tcW w:w="9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(Jan De Witte)</w:t>
            </w:r>
          </w:p>
        </w:tc>
        <w:tc>
          <w:tcPr>
            <w:tcW w:w="106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(Peter J. Arduini)</w:t>
            </w:r>
          </w:p>
        </w:tc>
        <w:tc>
          <w:tcPr>
            <w:tcW w:w="10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(Jan De Witte)</w:t>
            </w:r>
          </w:p>
        </w:tc>
        <w:tc>
          <w:tcPr>
            <w:tcW w:w="100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(Jan De Witte)</w:t>
            </w:r>
          </w:p>
        </w:tc>
        <w:tc>
          <w:tcPr>
            <w:tcW w:w="10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(Jan De Witte)</w:t>
            </w:r>
          </w:p>
        </w:tc>
        <w:tc>
          <w:tcPr>
            <w:tcW w:w="10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(Jan De Witte)</w:t>
            </w:r>
          </w:p>
        </w:tc>
        <w:tc>
          <w:tcPr>
            <w:tcW w:w="1140" w:type="dxa"/>
            <w:vAlign w:val="bottom"/>
            <w:shd w:val="clear" w:color="auto" w:fill="EFEDED"/>
          </w:tcPr>
          <w:p>
            <w:pPr>
              <w:jc w:val="center"/>
              <w:ind w:right="77"/>
              <w:spacing w:after="0"/>
              <w:rPr>
                <w:sz w:val="20"/>
                <w:szCs w:val="20"/>
                <w:color w:val="auto"/>
              </w:rPr>
            </w:pPr>
            <w:r>
              <w:rPr>
                <w:rFonts w:ascii="Arial" w:cs="Arial" w:eastAsia="Arial" w:hAnsi="Arial"/>
                <w:sz w:val="13"/>
                <w:szCs w:val="13"/>
                <w:color w:val="58595B"/>
                <w:w w:val="98"/>
              </w:rPr>
              <w:t>(Mojdeh Poul)</w:t>
            </w:r>
          </w:p>
        </w:tc>
      </w:tr>
      <w:tr>
        <w:trPr>
          <w:trHeight w:val="28"/>
        </w:trPr>
        <w:tc>
          <w:tcPr>
            <w:tcW w:w="3300" w:type="dxa"/>
            <w:vAlign w:val="bottom"/>
            <w:shd w:val="clear" w:color="auto" w:fill="EFEDED"/>
          </w:tcPr>
          <w:p>
            <w:pPr>
              <w:spacing w:after="0"/>
              <w:rPr>
                <w:sz w:val="2"/>
                <w:szCs w:val="2"/>
                <w:color w:val="auto"/>
              </w:rPr>
            </w:pPr>
          </w:p>
        </w:tc>
        <w:tc>
          <w:tcPr>
            <w:tcW w:w="980" w:type="dxa"/>
            <w:vAlign w:val="bottom"/>
            <w:shd w:val="clear" w:color="auto" w:fill="EFEDED"/>
          </w:tcPr>
          <w:p>
            <w:pPr>
              <w:spacing w:after="0"/>
              <w:rPr>
                <w:sz w:val="2"/>
                <w:szCs w:val="2"/>
                <w:color w:val="auto"/>
              </w:rPr>
            </w:pPr>
          </w:p>
        </w:tc>
        <w:tc>
          <w:tcPr>
            <w:tcW w:w="1060" w:type="dxa"/>
            <w:vAlign w:val="bottom"/>
            <w:tcBorders>
              <w:right w:val="single" w:sz="8" w:color="EFEDED"/>
            </w:tcBorders>
            <w:shd w:val="clear" w:color="auto" w:fill="EFEDED"/>
          </w:tcPr>
          <w:p>
            <w:pPr>
              <w:spacing w:after="0"/>
              <w:rPr>
                <w:sz w:val="2"/>
                <w:szCs w:val="2"/>
                <w:color w:val="auto"/>
              </w:rPr>
            </w:pPr>
          </w:p>
        </w:tc>
        <w:tc>
          <w:tcPr>
            <w:tcW w:w="1020" w:type="dxa"/>
            <w:vAlign w:val="bottom"/>
            <w:tcBorders>
              <w:right w:val="single" w:sz="8" w:color="EFEDED"/>
            </w:tcBorders>
            <w:shd w:val="clear" w:color="auto" w:fill="EFEDED"/>
          </w:tcPr>
          <w:p>
            <w:pPr>
              <w:spacing w:after="0"/>
              <w:rPr>
                <w:sz w:val="2"/>
                <w:szCs w:val="2"/>
                <w:color w:val="auto"/>
              </w:rPr>
            </w:pPr>
          </w:p>
        </w:tc>
        <w:tc>
          <w:tcPr>
            <w:tcW w:w="1000" w:type="dxa"/>
            <w:vAlign w:val="bottom"/>
            <w:tcBorders>
              <w:right w:val="single" w:sz="8" w:color="EFEDED"/>
            </w:tcBorders>
            <w:shd w:val="clear" w:color="auto" w:fill="EFEDED"/>
          </w:tcPr>
          <w:p>
            <w:pPr>
              <w:spacing w:after="0"/>
              <w:rPr>
                <w:sz w:val="2"/>
                <w:szCs w:val="2"/>
                <w:color w:val="auto"/>
              </w:rPr>
            </w:pPr>
          </w:p>
        </w:tc>
        <w:tc>
          <w:tcPr>
            <w:tcW w:w="1020" w:type="dxa"/>
            <w:vAlign w:val="bottom"/>
            <w:tcBorders>
              <w:right w:val="single" w:sz="8" w:color="EFEDED"/>
            </w:tcBorders>
            <w:shd w:val="clear" w:color="auto" w:fill="EFEDED"/>
          </w:tcPr>
          <w:p>
            <w:pPr>
              <w:spacing w:after="0"/>
              <w:rPr>
                <w:sz w:val="2"/>
                <w:szCs w:val="2"/>
                <w:color w:val="auto"/>
              </w:rPr>
            </w:pPr>
          </w:p>
        </w:tc>
        <w:tc>
          <w:tcPr>
            <w:tcW w:w="1000" w:type="dxa"/>
            <w:vAlign w:val="bottom"/>
            <w:shd w:val="clear" w:color="auto" w:fill="EFEDED"/>
          </w:tcPr>
          <w:p>
            <w:pPr>
              <w:spacing w:after="0"/>
              <w:rPr>
                <w:sz w:val="2"/>
                <w:szCs w:val="2"/>
                <w:color w:val="auto"/>
              </w:rPr>
            </w:pPr>
          </w:p>
        </w:tc>
        <w:tc>
          <w:tcPr>
            <w:tcW w:w="1140" w:type="dxa"/>
            <w:vAlign w:val="bottom"/>
            <w:shd w:val="clear" w:color="auto" w:fill="EFEDED"/>
          </w:tcPr>
          <w:p>
            <w:pPr>
              <w:spacing w:after="0"/>
              <w:rPr>
                <w:sz w:val="2"/>
                <w:szCs w:val="2"/>
                <w:color w:val="auto"/>
              </w:rPr>
            </w:pPr>
          </w:p>
        </w:tc>
      </w:tr>
    </w:tbl>
    <w:p>
      <w:pPr>
        <w:spacing w:after="0" w:line="9" w:lineRule="exact"/>
        <w:rPr>
          <w:sz w:val="20"/>
          <w:szCs w:val="20"/>
          <w:color w:val="auto"/>
        </w:rPr>
      </w:pPr>
    </w:p>
    <w:p>
      <w:pPr>
        <w:sectPr>
          <w:pgSz w:w="11900" w:h="16838" w:orient="portrait"/>
          <w:cols w:equalWidth="0" w:num="1">
            <w:col w:w="11220"/>
          </w:cols>
          <w:pgMar w:left="320" w:top="122" w:right="359" w:bottom="1440" w:gutter="0" w:footer="0" w:header="0"/>
        </w:sectPr>
      </w:pPr>
    </w:p>
    <w:p>
      <w:pPr>
        <w:ind w:left="480"/>
        <w:spacing w:after="0"/>
        <w:tabs>
          <w:tab w:leader="none" w:pos="3640" w:val="left"/>
        </w:tabs>
        <w:rPr>
          <w:sz w:val="20"/>
          <w:szCs w:val="20"/>
          <w:color w:val="auto"/>
        </w:rPr>
      </w:pPr>
      <w:r>
        <w:rPr>
          <w:rFonts w:ascii="Arial" w:cs="Arial" w:eastAsia="Arial" w:hAnsi="Arial"/>
          <w:sz w:val="13"/>
          <w:szCs w:val="13"/>
          <w:color w:val="58595B"/>
        </w:rPr>
        <w:t>Total Compensation reported in SCT</w:t>
      </w:r>
      <w:r>
        <w:rPr>
          <w:sz w:val="20"/>
          <w:szCs w:val="20"/>
          <w:color w:val="auto"/>
        </w:rPr>
        <w:tab/>
      </w:r>
      <w:r>
        <w:rPr>
          <w:rFonts w:ascii="Arial" w:cs="Arial" w:eastAsia="Arial" w:hAnsi="Arial"/>
          <w:sz w:val="10"/>
          <w:szCs w:val="10"/>
          <w:color w:val="58595B"/>
        </w:rPr>
        <w:t>$</w:t>
      </w:r>
    </w:p>
    <w:p>
      <w:pPr>
        <w:spacing w:after="0" w:line="53" w:lineRule="exact"/>
        <w:rPr>
          <w:sz w:val="20"/>
          <w:szCs w:val="20"/>
          <w:color w:val="auto"/>
        </w:rPr>
      </w:pPr>
    </w:p>
    <w:p>
      <w:pPr>
        <w:ind w:left="480" w:right="340"/>
        <w:spacing w:after="0" w:line="264" w:lineRule="auto"/>
        <w:rPr>
          <w:sz w:val="20"/>
          <w:szCs w:val="20"/>
          <w:color w:val="auto"/>
        </w:rPr>
      </w:pPr>
      <w:r>
        <w:rPr>
          <w:rFonts w:ascii="Arial" w:cs="Arial" w:eastAsia="Arial" w:hAnsi="Arial"/>
          <w:sz w:val="13"/>
          <w:szCs w:val="13"/>
          <w:color w:val="58595B"/>
        </w:rPr>
        <w:t>Deduction for Stock and Options Awards reported in SCT</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13"/>
          <w:szCs w:val="13"/>
          <w:color w:val="58595B"/>
        </w:rPr>
        <w:t>Deduction for Change in Pension Value and</w:t>
      </w:r>
    </w:p>
    <w:p>
      <w:pPr>
        <w:spacing w:after="0" w:line="11" w:lineRule="exact"/>
        <w:rPr>
          <w:sz w:val="20"/>
          <w:szCs w:val="20"/>
          <w:color w:val="auto"/>
        </w:rPr>
      </w:pPr>
    </w:p>
    <w:p>
      <w:pPr>
        <w:ind w:left="480"/>
        <w:spacing w:after="0" w:line="245" w:lineRule="auto"/>
        <w:rPr>
          <w:sz w:val="20"/>
          <w:szCs w:val="20"/>
          <w:color w:val="auto"/>
        </w:rPr>
      </w:pPr>
      <w:r>
        <w:rPr>
          <w:rFonts w:ascii="Arial" w:cs="Arial" w:eastAsia="Arial" w:hAnsi="Arial"/>
          <w:sz w:val="13"/>
          <w:szCs w:val="13"/>
          <w:color w:val="58595B"/>
        </w:rPr>
        <w:t>Nonqualified Deferred Compensation Earnings Value $ reported in SCT</w:t>
      </w:r>
    </w:p>
    <w:p>
      <w:pPr>
        <w:spacing w:after="0" w:line="47" w:lineRule="exact"/>
        <w:rPr>
          <w:sz w:val="20"/>
          <w:szCs w:val="20"/>
          <w:color w:val="auto"/>
        </w:rPr>
      </w:pPr>
    </w:p>
    <w:p>
      <w:pPr>
        <w:ind w:left="480"/>
        <w:spacing w:after="0"/>
        <w:rPr>
          <w:sz w:val="20"/>
          <w:szCs w:val="20"/>
          <w:color w:val="auto"/>
        </w:rPr>
      </w:pPr>
      <w:r>
        <w:rPr>
          <w:rFonts w:ascii="Arial" w:cs="Arial" w:eastAsia="Arial" w:hAnsi="Arial"/>
          <w:sz w:val="13"/>
          <w:szCs w:val="13"/>
          <w:color w:val="58595B"/>
        </w:rPr>
        <w:t>Increase by FV of Awards Granted during Applicable FY</w:t>
      </w:r>
    </w:p>
    <w:p>
      <w:pPr>
        <w:spacing w:after="0" w:line="11" w:lineRule="exact"/>
        <w:rPr>
          <w:sz w:val="20"/>
          <w:szCs w:val="20"/>
          <w:color w:val="auto"/>
        </w:rPr>
      </w:pPr>
    </w:p>
    <w:p>
      <w:pPr>
        <w:ind w:left="480"/>
        <w:spacing w:after="0" w:line="245" w:lineRule="auto"/>
        <w:rPr>
          <w:sz w:val="20"/>
          <w:szCs w:val="20"/>
          <w:color w:val="auto"/>
        </w:rPr>
      </w:pPr>
      <w:r>
        <w:rPr>
          <w:rFonts w:ascii="Arial" w:cs="Arial" w:eastAsia="Arial" w:hAnsi="Arial"/>
          <w:sz w:val="13"/>
          <w:szCs w:val="13"/>
          <w:color w:val="58595B"/>
        </w:rPr>
        <w:t>that Remain Unvested as of Applicable FY End, $ Determined at Applicable FY End</w:t>
      </w:r>
    </w:p>
    <w:p>
      <w:pPr>
        <w:spacing w:after="0" w:line="47" w:lineRule="exact"/>
        <w:rPr>
          <w:sz w:val="20"/>
          <w:szCs w:val="20"/>
          <w:color w:val="auto"/>
        </w:rPr>
      </w:pPr>
    </w:p>
    <w:p>
      <w:pPr>
        <w:ind w:left="480"/>
        <w:spacing w:after="0" w:line="251" w:lineRule="auto"/>
        <w:rPr>
          <w:sz w:val="20"/>
          <w:szCs w:val="20"/>
          <w:color w:val="auto"/>
        </w:rPr>
      </w:pPr>
      <w:r>
        <w:rPr>
          <w:rFonts w:ascii="Arial" w:cs="Arial" w:eastAsia="Arial" w:hAnsi="Arial"/>
          <w:sz w:val="13"/>
          <w:szCs w:val="13"/>
          <w:color w:val="58595B"/>
        </w:rPr>
        <w:t>Increase by FV of Awards Granted during Applicable FY that Vested during Applicable FY, Determined at Vesting $ Date</w:t>
      </w:r>
    </w:p>
    <w:p>
      <w:pPr>
        <w:spacing w:after="0" w:line="44" w:lineRule="exact"/>
        <w:rPr>
          <w:sz w:val="20"/>
          <w:szCs w:val="20"/>
          <w:color w:val="auto"/>
        </w:rPr>
      </w:pPr>
    </w:p>
    <w:p>
      <w:pPr>
        <w:ind w:left="480"/>
        <w:spacing w:after="0" w:line="199" w:lineRule="auto"/>
        <w:rPr>
          <w:sz w:val="20"/>
          <w:szCs w:val="20"/>
          <w:color w:val="auto"/>
        </w:rPr>
      </w:pPr>
      <w:r>
        <w:rPr>
          <w:rFonts w:ascii="Arial" w:cs="Arial" w:eastAsia="Arial" w:hAnsi="Arial"/>
          <w:sz w:val="13"/>
          <w:szCs w:val="13"/>
          <w:color w:val="58595B"/>
        </w:rPr>
        <w:t xml:space="preserve">Increase or Decrease by Change in FV of Outstanding Unvested Prior FY Awards that Remain Unvested at Applicable FY End as Compared to FV as of Prior FY </w:t>
      </w:r>
      <w:r>
        <w:rPr>
          <w:rFonts w:ascii="Arial" w:cs="Arial" w:eastAsia="Arial" w:hAnsi="Arial"/>
          <w:sz w:val="25"/>
          <w:szCs w:val="25"/>
          <w:color w:val="58595B"/>
          <w:vertAlign w:val="superscript"/>
        </w:rPr>
        <w:t>$</w:t>
      </w:r>
      <w:r>
        <w:rPr>
          <w:rFonts w:ascii="Arial" w:cs="Arial" w:eastAsia="Arial" w:hAnsi="Arial"/>
          <w:sz w:val="13"/>
          <w:szCs w:val="13"/>
          <w:color w:val="58595B"/>
        </w:rPr>
        <w:t xml:space="preserve"> End</w:t>
      </w:r>
    </w:p>
    <w:p>
      <w:pPr>
        <w:spacing w:after="0" w:line="51" w:lineRule="exact"/>
        <w:rPr>
          <w:sz w:val="20"/>
          <w:szCs w:val="20"/>
          <w:color w:val="auto"/>
        </w:rPr>
      </w:pPr>
    </w:p>
    <w:p>
      <w:pPr>
        <w:ind w:left="480"/>
        <w:spacing w:after="0"/>
        <w:rPr>
          <w:sz w:val="20"/>
          <w:szCs w:val="20"/>
          <w:color w:val="auto"/>
        </w:rPr>
      </w:pPr>
      <w:r>
        <w:rPr>
          <w:rFonts w:ascii="Arial" w:cs="Arial" w:eastAsia="Arial" w:hAnsi="Arial"/>
          <w:sz w:val="13"/>
          <w:szCs w:val="13"/>
          <w:color w:val="58595B"/>
        </w:rPr>
        <w:t>Increase or Decrease by Change in FV of Prior FY</w:t>
      </w:r>
    </w:p>
    <w:p>
      <w:pPr>
        <w:spacing w:after="0" w:line="11" w:lineRule="exact"/>
        <w:rPr>
          <w:sz w:val="20"/>
          <w:szCs w:val="20"/>
          <w:color w:val="auto"/>
        </w:rPr>
      </w:pPr>
    </w:p>
    <w:p>
      <w:pPr>
        <w:ind w:left="480"/>
        <w:spacing w:after="0" w:line="245" w:lineRule="auto"/>
        <w:rPr>
          <w:sz w:val="20"/>
          <w:szCs w:val="20"/>
          <w:color w:val="auto"/>
        </w:rPr>
      </w:pPr>
      <w:r>
        <w:rPr>
          <w:rFonts w:ascii="Arial" w:cs="Arial" w:eastAsia="Arial" w:hAnsi="Arial"/>
          <w:sz w:val="13"/>
          <w:szCs w:val="13"/>
          <w:color w:val="58595B"/>
        </w:rPr>
        <w:t>Awards that Vested During the Applicable FY as of $ vesting date as compared to FV as of Prior FY End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500" w:type="dxa"/>
            <w:vAlign w:val="bottom"/>
          </w:tcPr>
          <w:p>
            <w:pPr>
              <w:jc w:val="right"/>
              <w:spacing w:after="0"/>
              <w:rPr>
                <w:sz w:val="20"/>
                <w:szCs w:val="20"/>
                <w:color w:val="auto"/>
              </w:rPr>
            </w:pPr>
            <w:r>
              <w:rPr>
                <w:rFonts w:ascii="Arial" w:cs="Arial" w:eastAsia="Arial" w:hAnsi="Arial"/>
                <w:sz w:val="13"/>
                <w:szCs w:val="13"/>
                <w:color w:val="58595B"/>
                <w:w w:val="93"/>
              </w:rPr>
              <w:t>251,773</w:t>
            </w:r>
          </w:p>
        </w:tc>
        <w:tc>
          <w:tcPr>
            <w:tcW w:w="240" w:type="dxa"/>
            <w:vAlign w:val="bottom"/>
          </w:tcPr>
          <w:p>
            <w:pPr>
              <w:jc w:val="right"/>
              <w:ind w:right="77"/>
              <w:spacing w:after="0"/>
              <w:rPr>
                <w:sz w:val="20"/>
                <w:szCs w:val="20"/>
                <w:color w:val="auto"/>
              </w:rPr>
            </w:pPr>
            <w:r>
              <w:rPr>
                <w:rFonts w:ascii="Arial" w:cs="Arial" w:eastAsia="Arial" w:hAnsi="Arial"/>
                <w:sz w:val="13"/>
                <w:szCs w:val="13"/>
                <w:color w:val="58595B"/>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9,839,221</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9,319,913</w:t>
            </w:r>
          </w:p>
        </w:tc>
        <w:tc>
          <w:tcPr>
            <w:tcW w:w="220" w:type="dxa"/>
            <w:vAlign w:val="bottom"/>
          </w:tcPr>
          <w:p>
            <w:pPr>
              <w:jc w:val="right"/>
              <w:ind w:right="7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6,388,756</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7,494,668</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282,680</w:t>
            </w:r>
          </w:p>
        </w:tc>
        <w:tc>
          <w:tcPr>
            <w:tcW w:w="200" w:type="dxa"/>
            <w:vAlign w:val="bottom"/>
          </w:tcPr>
          <w:p>
            <w:pPr>
              <w:jc w:val="right"/>
              <w:ind w:right="5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9,375,551</w:t>
            </w:r>
          </w:p>
        </w:tc>
      </w:tr>
      <w:tr>
        <w:trPr>
          <w:trHeight w:val="270"/>
        </w:trPr>
        <w:tc>
          <w:tcPr>
            <w:tcW w:w="500" w:type="dxa"/>
            <w:vAlign w:val="bottom"/>
          </w:tcPr>
          <w:p>
            <w:pPr>
              <w:spacing w:after="0"/>
              <w:rPr>
                <w:sz w:val="23"/>
                <w:szCs w:val="23"/>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58595B"/>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(7,250,113)</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(7,500,107)</w:t>
            </w:r>
          </w:p>
        </w:tc>
        <w:tc>
          <w:tcPr>
            <w:tcW w:w="220" w:type="dxa"/>
            <w:vAlign w:val="bottom"/>
          </w:tcPr>
          <w:p>
            <w:pPr>
              <w:jc w:val="right"/>
              <w:ind w:right="7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(5,500,089)</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(6,000,057)</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(7,469,879)</w:t>
            </w:r>
          </w:p>
        </w:tc>
      </w:tr>
      <w:tr>
        <w:trPr>
          <w:trHeight w:val="432"/>
        </w:trPr>
        <w:tc>
          <w:tcPr>
            <w:tcW w:w="740" w:type="dxa"/>
            <w:vAlign w:val="bottom"/>
            <w:gridSpan w:val="2"/>
          </w:tcPr>
          <w:p>
            <w:pPr>
              <w:jc w:val="right"/>
              <w:ind w:right="77"/>
              <w:spacing w:after="0"/>
              <w:rPr>
                <w:sz w:val="20"/>
                <w:szCs w:val="20"/>
                <w:color w:val="auto"/>
              </w:rPr>
            </w:pPr>
            <w:r>
              <w:rPr>
                <w:rFonts w:ascii="Arial" w:cs="Arial" w:eastAsia="Arial" w:hAnsi="Arial"/>
                <w:sz w:val="13"/>
                <w:szCs w:val="13"/>
                <w:color w:val="58595B"/>
              </w:rPr>
              <w:t>— $</w:t>
            </w:r>
          </w:p>
        </w:tc>
        <w:tc>
          <w:tcPr>
            <w:tcW w:w="100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1020" w:type="dxa"/>
            <w:vAlign w:val="bottom"/>
            <w:gridSpan w:val="2"/>
          </w:tcPr>
          <w:p>
            <w:pPr>
              <w:jc w:val="right"/>
              <w:ind w:right="77"/>
              <w:spacing w:after="0"/>
              <w:rPr>
                <w:sz w:val="20"/>
                <w:szCs w:val="20"/>
                <w:color w:val="auto"/>
              </w:rPr>
            </w:pPr>
            <w:r>
              <w:rPr>
                <w:rFonts w:ascii="Arial" w:cs="Arial" w:eastAsia="Arial" w:hAnsi="Arial"/>
                <w:sz w:val="13"/>
                <w:szCs w:val="13"/>
                <w:color w:val="58595B"/>
              </w:rPr>
              <w:t>— $</w:t>
            </w:r>
          </w:p>
        </w:tc>
        <w:tc>
          <w:tcPr>
            <w:tcW w:w="100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102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100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780" w:type="dxa"/>
            <w:vAlign w:val="bottom"/>
          </w:tcPr>
          <w:p>
            <w:pPr>
              <w:jc w:val="right"/>
              <w:spacing w:after="0"/>
              <w:rPr>
                <w:sz w:val="20"/>
                <w:szCs w:val="20"/>
                <w:color w:val="auto"/>
              </w:rPr>
            </w:pPr>
            <w:r>
              <w:rPr>
                <w:rFonts w:ascii="Arial" w:cs="Arial" w:eastAsia="Arial" w:hAnsi="Arial"/>
                <w:sz w:val="13"/>
                <w:szCs w:val="13"/>
                <w:color w:val="58595B"/>
              </w:rPr>
              <w:t>—</w:t>
            </w:r>
          </w:p>
        </w:tc>
      </w:tr>
      <w:tr>
        <w:trPr>
          <w:trHeight w:val="513"/>
        </w:trPr>
        <w:tc>
          <w:tcPr>
            <w:tcW w:w="500" w:type="dxa"/>
            <w:vAlign w:val="bottom"/>
          </w:tcPr>
          <w:p>
            <w:pPr>
              <w:jc w:val="right"/>
              <w:spacing w:after="0"/>
              <w:rPr>
                <w:sz w:val="20"/>
                <w:szCs w:val="20"/>
                <w:color w:val="auto"/>
              </w:rPr>
            </w:pPr>
            <w:r>
              <w:rPr>
                <w:rFonts w:ascii="Arial" w:cs="Arial" w:eastAsia="Arial" w:hAnsi="Arial"/>
                <w:sz w:val="13"/>
                <w:szCs w:val="13"/>
                <w:color w:val="58595B"/>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58595B"/>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5,560,371</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6,647,453</w:t>
            </w:r>
          </w:p>
        </w:tc>
        <w:tc>
          <w:tcPr>
            <w:tcW w:w="220" w:type="dxa"/>
            <w:vAlign w:val="bottom"/>
          </w:tcPr>
          <w:p>
            <w:pPr>
              <w:jc w:val="right"/>
              <w:ind w:right="7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3,775,014</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2,061,023</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2,352,294</w:t>
            </w:r>
          </w:p>
        </w:tc>
      </w:tr>
      <w:tr>
        <w:trPr>
          <w:trHeight w:val="513"/>
        </w:trPr>
        <w:tc>
          <w:tcPr>
            <w:tcW w:w="740" w:type="dxa"/>
            <w:vAlign w:val="bottom"/>
            <w:gridSpan w:val="2"/>
          </w:tcPr>
          <w:p>
            <w:pPr>
              <w:jc w:val="right"/>
              <w:ind w:right="77"/>
              <w:spacing w:after="0"/>
              <w:rPr>
                <w:sz w:val="20"/>
                <w:szCs w:val="20"/>
                <w:color w:val="auto"/>
              </w:rPr>
            </w:pPr>
            <w:r>
              <w:rPr>
                <w:rFonts w:ascii="Arial" w:cs="Arial" w:eastAsia="Arial" w:hAnsi="Arial"/>
                <w:sz w:val="13"/>
                <w:szCs w:val="13"/>
                <w:color w:val="58595B"/>
              </w:rPr>
              <w:t>— $</w:t>
            </w:r>
          </w:p>
        </w:tc>
        <w:tc>
          <w:tcPr>
            <w:tcW w:w="780" w:type="dxa"/>
            <w:vAlign w:val="bottom"/>
          </w:tcPr>
          <w:p>
            <w:pPr>
              <w:jc w:val="right"/>
              <w:spacing w:after="0"/>
              <w:rPr>
                <w:sz w:val="20"/>
                <w:szCs w:val="20"/>
                <w:color w:val="auto"/>
              </w:rPr>
            </w:pPr>
            <w:r>
              <w:rPr>
                <w:rFonts w:ascii="Arial" w:cs="Arial" w:eastAsia="Arial" w:hAnsi="Arial"/>
                <w:sz w:val="13"/>
                <w:szCs w:val="13"/>
                <w:color w:val="58595B"/>
              </w:rPr>
              <w:t>2,862,580</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1020" w:type="dxa"/>
            <w:vAlign w:val="bottom"/>
            <w:gridSpan w:val="2"/>
          </w:tcPr>
          <w:p>
            <w:pPr>
              <w:jc w:val="right"/>
              <w:ind w:right="77"/>
              <w:spacing w:after="0"/>
              <w:rPr>
                <w:sz w:val="20"/>
                <w:szCs w:val="20"/>
                <w:color w:val="auto"/>
              </w:rPr>
            </w:pPr>
            <w:r>
              <w:rPr>
                <w:rFonts w:ascii="Arial" w:cs="Arial" w:eastAsia="Arial" w:hAnsi="Arial"/>
                <w:sz w:val="13"/>
                <w:szCs w:val="13"/>
                <w:color w:val="58595B"/>
              </w:rPr>
              <w:t>— $</w:t>
            </w:r>
          </w:p>
        </w:tc>
        <w:tc>
          <w:tcPr>
            <w:tcW w:w="780" w:type="dxa"/>
            <w:vAlign w:val="bottom"/>
          </w:tcPr>
          <w:p>
            <w:pPr>
              <w:jc w:val="right"/>
              <w:spacing w:after="0"/>
              <w:rPr>
                <w:sz w:val="20"/>
                <w:szCs w:val="20"/>
                <w:color w:val="auto"/>
              </w:rPr>
            </w:pPr>
            <w:r>
              <w:rPr>
                <w:rFonts w:ascii="Arial" w:cs="Arial" w:eastAsia="Arial" w:hAnsi="Arial"/>
                <w:sz w:val="13"/>
                <w:szCs w:val="13"/>
                <w:color w:val="58595B"/>
              </w:rPr>
              <w:t>34,449</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7,425</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w:t>
            </w:r>
          </w:p>
        </w:tc>
      </w:tr>
      <w:tr>
        <w:trPr>
          <w:trHeight w:val="594"/>
        </w:trPr>
        <w:tc>
          <w:tcPr>
            <w:tcW w:w="500" w:type="dxa"/>
            <w:vAlign w:val="bottom"/>
          </w:tcPr>
          <w:p>
            <w:pPr>
              <w:jc w:val="right"/>
              <w:spacing w:after="0"/>
              <w:rPr>
                <w:sz w:val="20"/>
                <w:szCs w:val="20"/>
                <w:color w:val="auto"/>
              </w:rPr>
            </w:pPr>
            <w:r>
              <w:rPr>
                <w:rFonts w:ascii="Arial" w:cs="Arial" w:eastAsia="Arial" w:hAnsi="Arial"/>
                <w:sz w:val="13"/>
                <w:szCs w:val="13"/>
                <w:color w:val="58595B"/>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58595B"/>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1,476,527</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(1,412,612)</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(3,157,933)</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(1,480,679)</w:t>
            </w:r>
          </w:p>
        </w:tc>
        <w:tc>
          <w:tcPr>
            <w:tcW w:w="200" w:type="dxa"/>
            <w:vAlign w:val="bottom"/>
          </w:tcPr>
          <w:p>
            <w:pPr>
              <w:jc w:val="right"/>
              <w:ind w:right="5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w:t>
            </w:r>
          </w:p>
        </w:tc>
      </w:tr>
      <w:tr>
        <w:trPr>
          <w:trHeight w:val="580"/>
        </w:trPr>
        <w:tc>
          <w:tcPr>
            <w:tcW w:w="500" w:type="dxa"/>
            <w:vAlign w:val="bottom"/>
          </w:tcPr>
          <w:p>
            <w:pPr>
              <w:jc w:val="right"/>
              <w:spacing w:after="0"/>
              <w:rPr>
                <w:sz w:val="20"/>
                <w:szCs w:val="20"/>
                <w:color w:val="auto"/>
              </w:rPr>
            </w:pPr>
            <w:r>
              <w:rPr>
                <w:rFonts w:ascii="Arial" w:cs="Arial" w:eastAsia="Arial" w:hAnsi="Arial"/>
                <w:sz w:val="13"/>
                <w:szCs w:val="13"/>
                <w:color w:val="58595B"/>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58595B"/>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445,188</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(231,068)</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(622,961)</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(58,993)</w:t>
            </w:r>
          </w:p>
        </w:tc>
        <w:tc>
          <w:tcPr>
            <w:tcW w:w="200" w:type="dxa"/>
            <w:vAlign w:val="bottom"/>
          </w:tcPr>
          <w:p>
            <w:pPr>
              <w:jc w:val="right"/>
              <w:ind w:right="5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-2417445</wp:posOffset>
            </wp:positionH>
            <wp:positionV relativeFrom="paragraph">
              <wp:posOffset>-1824990</wp:posOffset>
            </wp:positionV>
            <wp:extent cx="6686550" cy="2228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686550" cy="222885"/>
                    </a:xfrm>
                    <a:prstGeom prst="rect">
                      <a:avLst/>
                    </a:prstGeom>
                    <a:noFill/>
                  </pic:spPr>
                </pic:pic>
              </a:graphicData>
            </a:graphic>
          </wp:anchor>
        </w:drawing>
        <w:drawing>
          <wp:anchor simplePos="0" relativeHeight="251657728" behindDoc="1" locked="0" layoutInCell="0" allowOverlap="1">
            <wp:simplePos x="0" y="0"/>
            <wp:positionH relativeFrom="column">
              <wp:posOffset>-2417445</wp:posOffset>
            </wp:positionH>
            <wp:positionV relativeFrom="paragraph">
              <wp:posOffset>-1276350</wp:posOffset>
            </wp:positionV>
            <wp:extent cx="6686550" cy="3257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686550" cy="325755"/>
                    </a:xfrm>
                    <a:prstGeom prst="rect">
                      <a:avLst/>
                    </a:prstGeom>
                    <a:noFill/>
                  </pic:spPr>
                </pic:pic>
              </a:graphicData>
            </a:graphic>
          </wp:anchor>
        </w:drawing>
        <w:drawing>
          <wp:anchor simplePos="0" relativeHeight="251657728" behindDoc="1" locked="0" layoutInCell="0" allowOverlap="1">
            <wp:simplePos x="0" y="0"/>
            <wp:positionH relativeFrom="column">
              <wp:posOffset>-2417445</wp:posOffset>
            </wp:positionH>
            <wp:positionV relativeFrom="paragraph">
              <wp:posOffset>-624840</wp:posOffset>
            </wp:positionV>
            <wp:extent cx="6686550" cy="420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686550" cy="420370"/>
                    </a:xfrm>
                    <a:prstGeom prst="rect">
                      <a:avLst/>
                    </a:prstGeom>
                    <a:noFill/>
                  </pic:spPr>
                </pic:pic>
              </a:graphicData>
            </a:graphic>
          </wp:anchor>
        </w:drawing>
        <w:drawing>
          <wp:anchor simplePos="0" relativeHeight="251657728" behindDoc="1" locked="0" layoutInCell="0" allowOverlap="1">
            <wp:simplePos x="0" y="0"/>
            <wp:positionH relativeFrom="column">
              <wp:posOffset>-2417445</wp:posOffset>
            </wp:positionH>
            <wp:positionV relativeFrom="paragraph">
              <wp:posOffset>120015</wp:posOffset>
            </wp:positionV>
            <wp:extent cx="6686550" cy="2228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686550" cy="22288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720" w:space="420"/>
            <w:col w:w="7080"/>
          </w:cols>
          <w:pgMar w:left="320" w:top="122" w:right="359" w:bottom="1440" w:gutter="0" w:footer="0" w:header="0"/>
          <w:type w:val="continuous"/>
        </w:sectPr>
      </w:pPr>
    </w:p>
    <w:p>
      <w:pPr>
        <w:ind w:left="480" w:right="20"/>
        <w:spacing w:after="0" w:line="264" w:lineRule="auto"/>
        <w:rPr>
          <w:sz w:val="20"/>
          <w:szCs w:val="20"/>
          <w:color w:val="auto"/>
        </w:rPr>
      </w:pPr>
      <w:r>
        <w:rPr>
          <w:rFonts w:ascii="Arial" w:cs="Arial" w:eastAsia="Arial" w:hAnsi="Arial"/>
          <w:sz w:val="13"/>
          <w:szCs w:val="13"/>
          <w:color w:val="58595B"/>
        </w:rPr>
        <w:t>Deduction of FV of Prior FY Awards as of Prior FY End that were forfeited during Applicable FY (N/A)</w:t>
      </w:r>
    </w:p>
    <w:p>
      <w:pPr>
        <w:spacing w:after="0" w:line="22" w:lineRule="exact"/>
        <w:rPr>
          <w:sz w:val="20"/>
          <w:szCs w:val="20"/>
          <w:color w:val="auto"/>
        </w:rPr>
      </w:pPr>
    </w:p>
    <w:p>
      <w:pPr>
        <w:ind w:left="480"/>
        <w:spacing w:after="0" w:line="305" w:lineRule="auto"/>
        <w:rPr>
          <w:sz w:val="20"/>
          <w:szCs w:val="20"/>
          <w:color w:val="auto"/>
        </w:rPr>
      </w:pPr>
      <w:r>
        <w:rPr>
          <w:rFonts w:ascii="Arial" w:cs="Arial" w:eastAsia="Arial" w:hAnsi="Arial"/>
          <w:sz w:val="12"/>
          <w:szCs w:val="12"/>
          <w:color w:val="58595B"/>
        </w:rPr>
        <w:t>Increase by amount of dividends paid on unvested awards during applicable FY prior to vesting date (N/A)</w:t>
      </w:r>
    </w:p>
    <w:p>
      <w:pPr>
        <w:ind w:left="480" w:right="220"/>
        <w:spacing w:after="0" w:line="305" w:lineRule="auto"/>
        <w:rPr>
          <w:sz w:val="20"/>
          <w:szCs w:val="20"/>
          <w:color w:val="auto"/>
        </w:rPr>
      </w:pPr>
      <w:r>
        <w:rPr>
          <w:rFonts w:ascii="Arial" w:cs="Arial" w:eastAsia="Arial" w:hAnsi="Arial"/>
          <w:sz w:val="12"/>
          <w:szCs w:val="12"/>
          <w:color w:val="58595B"/>
        </w:rPr>
        <w:t>Increase by incremental fair value of Options/SARs modified during applicable FY (N/A)</w:t>
      </w:r>
    </w:p>
    <w:p>
      <w:pPr>
        <w:ind w:left="480"/>
        <w:spacing w:after="0"/>
        <w:rPr>
          <w:sz w:val="20"/>
          <w:szCs w:val="20"/>
          <w:color w:val="auto"/>
        </w:rPr>
      </w:pPr>
      <w:r>
        <w:rPr>
          <w:rFonts w:ascii="Arial" w:cs="Arial" w:eastAsia="Arial" w:hAnsi="Arial"/>
          <w:sz w:val="13"/>
          <w:szCs w:val="13"/>
          <w:color w:val="58595B"/>
        </w:rPr>
        <w:t>Increase by Change in Pension Service Costs (N/A)</w:t>
      </w:r>
    </w:p>
    <w:p>
      <w:pPr>
        <w:spacing w:after="0" w:line="53" w:lineRule="exact"/>
        <w:rPr>
          <w:sz w:val="20"/>
          <w:szCs w:val="20"/>
          <w:color w:val="auto"/>
        </w:rPr>
      </w:pPr>
    </w:p>
    <w:p>
      <w:pPr>
        <w:ind w:left="480" w:right="60"/>
        <w:spacing w:after="0" w:line="264" w:lineRule="auto"/>
        <w:rPr>
          <w:sz w:val="20"/>
          <w:szCs w:val="20"/>
          <w:color w:val="auto"/>
        </w:rPr>
      </w:pPr>
      <w:r>
        <w:rPr>
          <w:rFonts w:ascii="Arial" w:cs="Arial" w:eastAsia="Arial" w:hAnsi="Arial"/>
          <w:sz w:val="13"/>
          <w:szCs w:val="13"/>
          <w:color w:val="58595B"/>
        </w:rPr>
        <w:t>Increase by Above-Market or Preferential Earnings on Deferred Compensation that is Not Tax-Qualified</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0"/>
          <w:szCs w:val="10"/>
          <w:color w:val="58595B"/>
        </w:rPr>
        <w:t>$</w:t>
      </w:r>
    </w:p>
    <w:p>
      <w:pPr>
        <w:spacing w:after="0" w:line="236" w:lineRule="exact"/>
        <w:rPr>
          <w:sz w:val="20"/>
          <w:szCs w:val="20"/>
          <w:color w:val="auto"/>
        </w:rPr>
      </w:pPr>
    </w:p>
    <w:p>
      <w:pPr>
        <w:spacing w:after="0"/>
        <w:rPr>
          <w:sz w:val="20"/>
          <w:szCs w:val="20"/>
          <w:color w:val="auto"/>
        </w:rPr>
      </w:pPr>
      <w:r>
        <w:rPr>
          <w:rFonts w:ascii="Arial" w:cs="Arial" w:eastAsia="Arial" w:hAnsi="Arial"/>
          <w:sz w:val="10"/>
          <w:szCs w:val="10"/>
          <w:color w:val="58595B"/>
        </w:rPr>
        <w:t>$</w:t>
      </w:r>
    </w:p>
    <w:p>
      <w:pPr>
        <w:spacing w:after="0" w:line="236" w:lineRule="exact"/>
        <w:rPr>
          <w:sz w:val="20"/>
          <w:szCs w:val="20"/>
          <w:color w:val="auto"/>
        </w:rPr>
      </w:pPr>
    </w:p>
    <w:p>
      <w:pPr>
        <w:spacing w:after="0"/>
        <w:rPr>
          <w:sz w:val="20"/>
          <w:szCs w:val="20"/>
          <w:color w:val="auto"/>
        </w:rPr>
      </w:pPr>
      <w:r>
        <w:rPr>
          <w:rFonts w:ascii="Arial" w:cs="Arial" w:eastAsia="Arial" w:hAnsi="Arial"/>
          <w:sz w:val="10"/>
          <w:szCs w:val="10"/>
          <w:color w:val="58595B"/>
        </w:rPr>
        <w:t>$</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58595B"/>
        </w:rPr>
        <w:t>$</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58595B"/>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640" w:type="dxa"/>
            <w:vAlign w:val="bottom"/>
          </w:tcPr>
          <w:p>
            <w:pPr>
              <w:spacing w:after="0"/>
              <w:rPr>
                <w:sz w:val="20"/>
                <w:szCs w:val="20"/>
                <w:color w:val="auto"/>
              </w:rPr>
            </w:pPr>
            <w:r>
              <w:rPr>
                <w:rFonts w:ascii="Arial" w:cs="Arial" w:eastAsia="Arial" w:hAnsi="Arial"/>
                <w:sz w:val="13"/>
                <w:szCs w:val="13"/>
                <w:color w:val="58595B"/>
              </w:rPr>
              <w:t>— $</w:t>
            </w:r>
          </w:p>
        </w:tc>
        <w:tc>
          <w:tcPr>
            <w:tcW w:w="1020" w:type="dxa"/>
            <w:vAlign w:val="bottom"/>
          </w:tcPr>
          <w:p>
            <w:pPr>
              <w:ind w:left="380"/>
              <w:spacing w:after="0"/>
              <w:rPr>
                <w:sz w:val="20"/>
                <w:szCs w:val="20"/>
                <w:color w:val="auto"/>
              </w:rPr>
            </w:pPr>
            <w:r>
              <w:rPr>
                <w:rFonts w:ascii="Arial" w:cs="Arial" w:eastAsia="Arial" w:hAnsi="Arial"/>
                <w:sz w:val="13"/>
                <w:szCs w:val="13"/>
                <w:color w:val="58595B"/>
              </w:rPr>
              <w:t>— $</w:t>
            </w:r>
          </w:p>
        </w:tc>
        <w:tc>
          <w:tcPr>
            <w:tcW w:w="1020" w:type="dxa"/>
            <w:vAlign w:val="bottom"/>
          </w:tcPr>
          <w:p>
            <w:pPr>
              <w:ind w:left="360"/>
              <w:spacing w:after="0"/>
              <w:rPr>
                <w:sz w:val="20"/>
                <w:szCs w:val="20"/>
                <w:color w:val="auto"/>
              </w:rPr>
            </w:pPr>
            <w:r>
              <w:rPr>
                <w:rFonts w:ascii="Arial" w:cs="Arial" w:eastAsia="Arial" w:hAnsi="Arial"/>
                <w:sz w:val="13"/>
                <w:szCs w:val="13"/>
                <w:color w:val="58595B"/>
              </w:rPr>
              <w:t>— $</w:t>
            </w:r>
          </w:p>
        </w:tc>
        <w:tc>
          <w:tcPr>
            <w:tcW w:w="1000" w:type="dxa"/>
            <w:vAlign w:val="bottom"/>
          </w:tcPr>
          <w:p>
            <w:pPr>
              <w:ind w:left="360"/>
              <w:spacing w:after="0"/>
              <w:rPr>
                <w:sz w:val="20"/>
                <w:szCs w:val="20"/>
                <w:color w:val="auto"/>
              </w:rPr>
            </w:pPr>
            <w:r>
              <w:rPr>
                <w:rFonts w:ascii="Arial" w:cs="Arial" w:eastAsia="Arial" w:hAnsi="Arial"/>
                <w:sz w:val="13"/>
                <w:szCs w:val="13"/>
                <w:color w:val="58595B"/>
              </w:rPr>
              <w:t>— $</w:t>
            </w:r>
          </w:p>
        </w:tc>
        <w:tc>
          <w:tcPr>
            <w:tcW w:w="1020" w:type="dxa"/>
            <w:vAlign w:val="bottom"/>
          </w:tcPr>
          <w:p>
            <w:pPr>
              <w:ind w:left="380"/>
              <w:spacing w:after="0"/>
              <w:rPr>
                <w:sz w:val="20"/>
                <w:szCs w:val="20"/>
                <w:color w:val="auto"/>
              </w:rPr>
            </w:pPr>
            <w:r>
              <w:rPr>
                <w:rFonts w:ascii="Arial" w:cs="Arial" w:eastAsia="Arial" w:hAnsi="Arial"/>
                <w:sz w:val="13"/>
                <w:szCs w:val="13"/>
                <w:color w:val="58595B"/>
              </w:rPr>
              <w:t>— $</w:t>
            </w:r>
          </w:p>
        </w:tc>
        <w:tc>
          <w:tcPr>
            <w:tcW w:w="1020" w:type="dxa"/>
            <w:vAlign w:val="bottom"/>
          </w:tcPr>
          <w:p>
            <w:pPr>
              <w:ind w:left="360"/>
              <w:spacing w:after="0"/>
              <w:rPr>
                <w:sz w:val="20"/>
                <w:szCs w:val="20"/>
                <w:color w:val="auto"/>
              </w:rPr>
            </w:pPr>
            <w:r>
              <w:rPr>
                <w:rFonts w:ascii="Arial" w:cs="Arial" w:eastAsia="Arial" w:hAnsi="Arial"/>
                <w:sz w:val="13"/>
                <w:szCs w:val="13"/>
                <w:color w:val="58595B"/>
              </w:rPr>
              <w:t>— $</w:t>
            </w:r>
          </w:p>
        </w:tc>
        <w:tc>
          <w:tcPr>
            <w:tcW w:w="480" w:type="dxa"/>
            <w:vAlign w:val="bottom"/>
          </w:tcPr>
          <w:p>
            <w:pPr>
              <w:ind w:left="360"/>
              <w:spacing w:after="0"/>
              <w:rPr>
                <w:sz w:val="20"/>
                <w:szCs w:val="20"/>
                <w:color w:val="auto"/>
              </w:rPr>
            </w:pPr>
            <w:r>
              <w:rPr>
                <w:rFonts w:ascii="Arial" w:cs="Arial" w:eastAsia="Arial" w:hAnsi="Arial"/>
                <w:sz w:val="13"/>
                <w:szCs w:val="13"/>
                <w:color w:val="58595B"/>
                <w:w w:val="76"/>
              </w:rPr>
              <w:t>—</w:t>
            </w:r>
          </w:p>
        </w:tc>
      </w:tr>
      <w:tr>
        <w:trPr>
          <w:trHeight w:val="351"/>
        </w:trPr>
        <w:tc>
          <w:tcPr>
            <w:tcW w:w="640" w:type="dxa"/>
            <w:vAlign w:val="bottom"/>
          </w:tcPr>
          <w:p>
            <w:pPr>
              <w:spacing w:after="0"/>
              <w:rPr>
                <w:sz w:val="20"/>
                <w:szCs w:val="20"/>
                <w:color w:val="auto"/>
              </w:rPr>
            </w:pPr>
            <w:r>
              <w:rPr>
                <w:rFonts w:ascii="Arial" w:cs="Arial" w:eastAsia="Arial" w:hAnsi="Arial"/>
                <w:sz w:val="13"/>
                <w:szCs w:val="13"/>
                <w:color w:val="58595B"/>
              </w:rPr>
              <w:t>— $</w:t>
            </w:r>
          </w:p>
        </w:tc>
        <w:tc>
          <w:tcPr>
            <w:tcW w:w="1020" w:type="dxa"/>
            <w:vAlign w:val="bottom"/>
          </w:tcPr>
          <w:p>
            <w:pPr>
              <w:ind w:left="380"/>
              <w:spacing w:after="0"/>
              <w:rPr>
                <w:sz w:val="20"/>
                <w:szCs w:val="20"/>
                <w:color w:val="auto"/>
              </w:rPr>
            </w:pPr>
            <w:r>
              <w:rPr>
                <w:rFonts w:ascii="Arial" w:cs="Arial" w:eastAsia="Arial" w:hAnsi="Arial"/>
                <w:sz w:val="13"/>
                <w:szCs w:val="13"/>
                <w:color w:val="58595B"/>
              </w:rPr>
              <w:t>— $</w:t>
            </w:r>
          </w:p>
        </w:tc>
        <w:tc>
          <w:tcPr>
            <w:tcW w:w="1020" w:type="dxa"/>
            <w:vAlign w:val="bottom"/>
          </w:tcPr>
          <w:p>
            <w:pPr>
              <w:ind w:left="360"/>
              <w:spacing w:after="0"/>
              <w:rPr>
                <w:sz w:val="20"/>
                <w:szCs w:val="20"/>
                <w:color w:val="auto"/>
              </w:rPr>
            </w:pPr>
            <w:r>
              <w:rPr>
                <w:rFonts w:ascii="Arial" w:cs="Arial" w:eastAsia="Arial" w:hAnsi="Arial"/>
                <w:sz w:val="13"/>
                <w:szCs w:val="13"/>
                <w:color w:val="58595B"/>
              </w:rPr>
              <w:t>— $</w:t>
            </w:r>
          </w:p>
        </w:tc>
        <w:tc>
          <w:tcPr>
            <w:tcW w:w="1000" w:type="dxa"/>
            <w:vAlign w:val="bottom"/>
          </w:tcPr>
          <w:p>
            <w:pPr>
              <w:ind w:left="360"/>
              <w:spacing w:after="0"/>
              <w:rPr>
                <w:sz w:val="20"/>
                <w:szCs w:val="20"/>
                <w:color w:val="auto"/>
              </w:rPr>
            </w:pPr>
            <w:r>
              <w:rPr>
                <w:rFonts w:ascii="Arial" w:cs="Arial" w:eastAsia="Arial" w:hAnsi="Arial"/>
                <w:sz w:val="13"/>
                <w:szCs w:val="13"/>
                <w:color w:val="58595B"/>
              </w:rPr>
              <w:t>— $</w:t>
            </w:r>
          </w:p>
        </w:tc>
        <w:tc>
          <w:tcPr>
            <w:tcW w:w="1020" w:type="dxa"/>
            <w:vAlign w:val="bottom"/>
          </w:tcPr>
          <w:p>
            <w:pPr>
              <w:ind w:left="380"/>
              <w:spacing w:after="0"/>
              <w:rPr>
                <w:sz w:val="20"/>
                <w:szCs w:val="20"/>
                <w:color w:val="auto"/>
              </w:rPr>
            </w:pPr>
            <w:r>
              <w:rPr>
                <w:rFonts w:ascii="Arial" w:cs="Arial" w:eastAsia="Arial" w:hAnsi="Arial"/>
                <w:sz w:val="13"/>
                <w:szCs w:val="13"/>
                <w:color w:val="58595B"/>
              </w:rPr>
              <w:t>— $</w:t>
            </w:r>
          </w:p>
        </w:tc>
        <w:tc>
          <w:tcPr>
            <w:tcW w:w="1020" w:type="dxa"/>
            <w:vAlign w:val="bottom"/>
          </w:tcPr>
          <w:p>
            <w:pPr>
              <w:ind w:left="360"/>
              <w:spacing w:after="0"/>
              <w:rPr>
                <w:sz w:val="20"/>
                <w:szCs w:val="20"/>
                <w:color w:val="auto"/>
              </w:rPr>
            </w:pPr>
            <w:r>
              <w:rPr>
                <w:rFonts w:ascii="Arial" w:cs="Arial" w:eastAsia="Arial" w:hAnsi="Arial"/>
                <w:sz w:val="13"/>
                <w:szCs w:val="13"/>
                <w:color w:val="58595B"/>
              </w:rPr>
              <w:t>— $</w:t>
            </w:r>
          </w:p>
        </w:tc>
        <w:tc>
          <w:tcPr>
            <w:tcW w:w="480" w:type="dxa"/>
            <w:vAlign w:val="bottom"/>
          </w:tcPr>
          <w:p>
            <w:pPr>
              <w:ind w:left="360"/>
              <w:spacing w:after="0"/>
              <w:rPr>
                <w:sz w:val="20"/>
                <w:szCs w:val="20"/>
                <w:color w:val="auto"/>
              </w:rPr>
            </w:pPr>
            <w:r>
              <w:rPr>
                <w:rFonts w:ascii="Arial" w:cs="Arial" w:eastAsia="Arial" w:hAnsi="Arial"/>
                <w:sz w:val="13"/>
                <w:szCs w:val="13"/>
                <w:color w:val="58595B"/>
                <w:w w:val="76"/>
              </w:rPr>
              <w:t>—</w:t>
            </w:r>
          </w:p>
        </w:tc>
      </w:tr>
      <w:tr>
        <w:trPr>
          <w:trHeight w:val="351"/>
        </w:trPr>
        <w:tc>
          <w:tcPr>
            <w:tcW w:w="640" w:type="dxa"/>
            <w:vAlign w:val="bottom"/>
          </w:tcPr>
          <w:p>
            <w:pPr>
              <w:spacing w:after="0"/>
              <w:rPr>
                <w:sz w:val="20"/>
                <w:szCs w:val="20"/>
                <w:color w:val="auto"/>
              </w:rPr>
            </w:pPr>
            <w:r>
              <w:rPr>
                <w:rFonts w:ascii="Arial" w:cs="Arial" w:eastAsia="Arial" w:hAnsi="Arial"/>
                <w:sz w:val="13"/>
                <w:szCs w:val="13"/>
                <w:color w:val="58595B"/>
              </w:rPr>
              <w:t>— $</w:t>
            </w:r>
          </w:p>
        </w:tc>
        <w:tc>
          <w:tcPr>
            <w:tcW w:w="1020" w:type="dxa"/>
            <w:vAlign w:val="bottom"/>
          </w:tcPr>
          <w:p>
            <w:pPr>
              <w:ind w:left="380"/>
              <w:spacing w:after="0"/>
              <w:rPr>
                <w:sz w:val="20"/>
                <w:szCs w:val="20"/>
                <w:color w:val="auto"/>
              </w:rPr>
            </w:pPr>
            <w:r>
              <w:rPr>
                <w:rFonts w:ascii="Arial" w:cs="Arial" w:eastAsia="Arial" w:hAnsi="Arial"/>
                <w:sz w:val="13"/>
                <w:szCs w:val="13"/>
                <w:color w:val="58595B"/>
              </w:rPr>
              <w:t>— $</w:t>
            </w:r>
          </w:p>
        </w:tc>
        <w:tc>
          <w:tcPr>
            <w:tcW w:w="1020" w:type="dxa"/>
            <w:vAlign w:val="bottom"/>
          </w:tcPr>
          <w:p>
            <w:pPr>
              <w:ind w:left="360"/>
              <w:spacing w:after="0"/>
              <w:rPr>
                <w:sz w:val="20"/>
                <w:szCs w:val="20"/>
                <w:color w:val="auto"/>
              </w:rPr>
            </w:pPr>
            <w:r>
              <w:rPr>
                <w:rFonts w:ascii="Arial" w:cs="Arial" w:eastAsia="Arial" w:hAnsi="Arial"/>
                <w:sz w:val="13"/>
                <w:szCs w:val="13"/>
                <w:color w:val="58595B"/>
              </w:rPr>
              <w:t>— $</w:t>
            </w:r>
          </w:p>
        </w:tc>
        <w:tc>
          <w:tcPr>
            <w:tcW w:w="1000" w:type="dxa"/>
            <w:vAlign w:val="bottom"/>
          </w:tcPr>
          <w:p>
            <w:pPr>
              <w:ind w:left="360"/>
              <w:spacing w:after="0"/>
              <w:rPr>
                <w:sz w:val="20"/>
                <w:szCs w:val="20"/>
                <w:color w:val="auto"/>
              </w:rPr>
            </w:pPr>
            <w:r>
              <w:rPr>
                <w:rFonts w:ascii="Arial" w:cs="Arial" w:eastAsia="Arial" w:hAnsi="Arial"/>
                <w:sz w:val="13"/>
                <w:szCs w:val="13"/>
                <w:color w:val="58595B"/>
              </w:rPr>
              <w:t>— $</w:t>
            </w:r>
          </w:p>
        </w:tc>
        <w:tc>
          <w:tcPr>
            <w:tcW w:w="1020" w:type="dxa"/>
            <w:vAlign w:val="bottom"/>
          </w:tcPr>
          <w:p>
            <w:pPr>
              <w:ind w:left="380"/>
              <w:spacing w:after="0"/>
              <w:rPr>
                <w:sz w:val="20"/>
                <w:szCs w:val="20"/>
                <w:color w:val="auto"/>
              </w:rPr>
            </w:pPr>
            <w:r>
              <w:rPr>
                <w:rFonts w:ascii="Arial" w:cs="Arial" w:eastAsia="Arial" w:hAnsi="Arial"/>
                <w:sz w:val="13"/>
                <w:szCs w:val="13"/>
                <w:color w:val="58595B"/>
              </w:rPr>
              <w:t>— $</w:t>
            </w:r>
          </w:p>
        </w:tc>
        <w:tc>
          <w:tcPr>
            <w:tcW w:w="1020" w:type="dxa"/>
            <w:vAlign w:val="bottom"/>
          </w:tcPr>
          <w:p>
            <w:pPr>
              <w:ind w:left="360"/>
              <w:spacing w:after="0"/>
              <w:rPr>
                <w:sz w:val="20"/>
                <w:szCs w:val="20"/>
                <w:color w:val="auto"/>
              </w:rPr>
            </w:pPr>
            <w:r>
              <w:rPr>
                <w:rFonts w:ascii="Arial" w:cs="Arial" w:eastAsia="Arial" w:hAnsi="Arial"/>
                <w:sz w:val="13"/>
                <w:szCs w:val="13"/>
                <w:color w:val="58595B"/>
              </w:rPr>
              <w:t>— $</w:t>
            </w:r>
          </w:p>
        </w:tc>
        <w:tc>
          <w:tcPr>
            <w:tcW w:w="480" w:type="dxa"/>
            <w:vAlign w:val="bottom"/>
          </w:tcPr>
          <w:p>
            <w:pPr>
              <w:ind w:left="360"/>
              <w:spacing w:after="0"/>
              <w:rPr>
                <w:sz w:val="20"/>
                <w:szCs w:val="20"/>
                <w:color w:val="auto"/>
              </w:rPr>
            </w:pPr>
            <w:r>
              <w:rPr>
                <w:rFonts w:ascii="Arial" w:cs="Arial" w:eastAsia="Arial" w:hAnsi="Arial"/>
                <w:sz w:val="13"/>
                <w:szCs w:val="13"/>
                <w:color w:val="58595B"/>
                <w:w w:val="76"/>
              </w:rPr>
              <w:t>—</w:t>
            </w:r>
          </w:p>
        </w:tc>
      </w:tr>
      <w:tr>
        <w:trPr>
          <w:trHeight w:val="283"/>
        </w:trPr>
        <w:tc>
          <w:tcPr>
            <w:tcW w:w="640" w:type="dxa"/>
            <w:vAlign w:val="bottom"/>
          </w:tcPr>
          <w:p>
            <w:pPr>
              <w:spacing w:after="0"/>
              <w:rPr>
                <w:sz w:val="20"/>
                <w:szCs w:val="20"/>
                <w:color w:val="auto"/>
              </w:rPr>
            </w:pPr>
            <w:r>
              <w:rPr>
                <w:rFonts w:ascii="Arial" w:cs="Arial" w:eastAsia="Arial" w:hAnsi="Arial"/>
                <w:sz w:val="13"/>
                <w:szCs w:val="13"/>
                <w:color w:val="58595B"/>
              </w:rPr>
              <w:t>— $</w:t>
            </w:r>
          </w:p>
        </w:tc>
        <w:tc>
          <w:tcPr>
            <w:tcW w:w="1020" w:type="dxa"/>
            <w:vAlign w:val="bottom"/>
          </w:tcPr>
          <w:p>
            <w:pPr>
              <w:ind w:left="380"/>
              <w:spacing w:after="0"/>
              <w:rPr>
                <w:sz w:val="20"/>
                <w:szCs w:val="20"/>
                <w:color w:val="auto"/>
              </w:rPr>
            </w:pPr>
            <w:r>
              <w:rPr>
                <w:rFonts w:ascii="Arial" w:cs="Arial" w:eastAsia="Arial" w:hAnsi="Arial"/>
                <w:sz w:val="13"/>
                <w:szCs w:val="13"/>
                <w:color w:val="58595B"/>
              </w:rPr>
              <w:t>— $</w:t>
            </w:r>
          </w:p>
        </w:tc>
        <w:tc>
          <w:tcPr>
            <w:tcW w:w="1020" w:type="dxa"/>
            <w:vAlign w:val="bottom"/>
          </w:tcPr>
          <w:p>
            <w:pPr>
              <w:ind w:left="360"/>
              <w:spacing w:after="0"/>
              <w:rPr>
                <w:sz w:val="20"/>
                <w:szCs w:val="20"/>
                <w:color w:val="auto"/>
              </w:rPr>
            </w:pPr>
            <w:r>
              <w:rPr>
                <w:rFonts w:ascii="Arial" w:cs="Arial" w:eastAsia="Arial" w:hAnsi="Arial"/>
                <w:sz w:val="13"/>
                <w:szCs w:val="13"/>
                <w:color w:val="58595B"/>
              </w:rPr>
              <w:t>— $</w:t>
            </w:r>
          </w:p>
        </w:tc>
        <w:tc>
          <w:tcPr>
            <w:tcW w:w="1000" w:type="dxa"/>
            <w:vAlign w:val="bottom"/>
          </w:tcPr>
          <w:p>
            <w:pPr>
              <w:ind w:left="360"/>
              <w:spacing w:after="0"/>
              <w:rPr>
                <w:sz w:val="20"/>
                <w:szCs w:val="20"/>
                <w:color w:val="auto"/>
              </w:rPr>
            </w:pPr>
            <w:r>
              <w:rPr>
                <w:rFonts w:ascii="Arial" w:cs="Arial" w:eastAsia="Arial" w:hAnsi="Arial"/>
                <w:sz w:val="13"/>
                <w:szCs w:val="13"/>
                <w:color w:val="58595B"/>
              </w:rPr>
              <w:t>— $</w:t>
            </w:r>
          </w:p>
        </w:tc>
        <w:tc>
          <w:tcPr>
            <w:tcW w:w="1020" w:type="dxa"/>
            <w:vAlign w:val="bottom"/>
          </w:tcPr>
          <w:p>
            <w:pPr>
              <w:ind w:left="380"/>
              <w:spacing w:after="0"/>
              <w:rPr>
                <w:sz w:val="20"/>
                <w:szCs w:val="20"/>
                <w:color w:val="auto"/>
              </w:rPr>
            </w:pPr>
            <w:r>
              <w:rPr>
                <w:rFonts w:ascii="Arial" w:cs="Arial" w:eastAsia="Arial" w:hAnsi="Arial"/>
                <w:sz w:val="13"/>
                <w:szCs w:val="13"/>
                <w:color w:val="58595B"/>
              </w:rPr>
              <w:t>— $</w:t>
            </w:r>
          </w:p>
        </w:tc>
        <w:tc>
          <w:tcPr>
            <w:tcW w:w="1020" w:type="dxa"/>
            <w:vAlign w:val="bottom"/>
          </w:tcPr>
          <w:p>
            <w:pPr>
              <w:ind w:left="360"/>
              <w:spacing w:after="0"/>
              <w:rPr>
                <w:sz w:val="20"/>
                <w:szCs w:val="20"/>
                <w:color w:val="auto"/>
              </w:rPr>
            </w:pPr>
            <w:r>
              <w:rPr>
                <w:rFonts w:ascii="Arial" w:cs="Arial" w:eastAsia="Arial" w:hAnsi="Arial"/>
                <w:sz w:val="13"/>
                <w:szCs w:val="13"/>
                <w:color w:val="58595B"/>
              </w:rPr>
              <w:t>— $</w:t>
            </w:r>
          </w:p>
        </w:tc>
        <w:tc>
          <w:tcPr>
            <w:tcW w:w="480" w:type="dxa"/>
            <w:vAlign w:val="bottom"/>
          </w:tcPr>
          <w:p>
            <w:pPr>
              <w:ind w:left="360"/>
              <w:spacing w:after="0"/>
              <w:rPr>
                <w:sz w:val="20"/>
                <w:szCs w:val="20"/>
                <w:color w:val="auto"/>
              </w:rPr>
            </w:pPr>
            <w:r>
              <w:rPr>
                <w:rFonts w:ascii="Arial" w:cs="Arial" w:eastAsia="Arial" w:hAnsi="Arial"/>
                <w:sz w:val="13"/>
                <w:szCs w:val="13"/>
                <w:color w:val="58595B"/>
                <w:w w:val="76"/>
              </w:rPr>
              <w:t>—</w:t>
            </w:r>
          </w:p>
        </w:tc>
      </w:tr>
      <w:tr>
        <w:trPr>
          <w:trHeight w:val="270"/>
        </w:trPr>
        <w:tc>
          <w:tcPr>
            <w:tcW w:w="640" w:type="dxa"/>
            <w:vAlign w:val="bottom"/>
          </w:tcPr>
          <w:p>
            <w:pPr>
              <w:spacing w:after="0"/>
              <w:rPr>
                <w:sz w:val="20"/>
                <w:szCs w:val="20"/>
                <w:color w:val="auto"/>
              </w:rPr>
            </w:pPr>
            <w:r>
              <w:rPr>
                <w:rFonts w:ascii="Arial" w:cs="Arial" w:eastAsia="Arial" w:hAnsi="Arial"/>
                <w:sz w:val="13"/>
                <w:szCs w:val="13"/>
                <w:color w:val="58595B"/>
              </w:rPr>
              <w:t>— $</w:t>
            </w:r>
          </w:p>
        </w:tc>
        <w:tc>
          <w:tcPr>
            <w:tcW w:w="1020" w:type="dxa"/>
            <w:vAlign w:val="bottom"/>
          </w:tcPr>
          <w:p>
            <w:pPr>
              <w:ind w:left="380"/>
              <w:spacing w:after="0"/>
              <w:rPr>
                <w:sz w:val="20"/>
                <w:szCs w:val="20"/>
                <w:color w:val="auto"/>
              </w:rPr>
            </w:pPr>
            <w:r>
              <w:rPr>
                <w:rFonts w:ascii="Arial" w:cs="Arial" w:eastAsia="Arial" w:hAnsi="Arial"/>
                <w:sz w:val="13"/>
                <w:szCs w:val="13"/>
                <w:color w:val="58595B"/>
              </w:rPr>
              <w:t>— $</w:t>
            </w:r>
          </w:p>
        </w:tc>
        <w:tc>
          <w:tcPr>
            <w:tcW w:w="1020" w:type="dxa"/>
            <w:vAlign w:val="bottom"/>
          </w:tcPr>
          <w:p>
            <w:pPr>
              <w:ind w:left="360"/>
              <w:spacing w:after="0"/>
              <w:rPr>
                <w:sz w:val="20"/>
                <w:szCs w:val="20"/>
                <w:color w:val="auto"/>
              </w:rPr>
            </w:pPr>
            <w:r>
              <w:rPr>
                <w:rFonts w:ascii="Arial" w:cs="Arial" w:eastAsia="Arial" w:hAnsi="Arial"/>
                <w:sz w:val="13"/>
                <w:szCs w:val="13"/>
                <w:color w:val="58595B"/>
              </w:rPr>
              <w:t>— $</w:t>
            </w:r>
          </w:p>
        </w:tc>
        <w:tc>
          <w:tcPr>
            <w:tcW w:w="1000" w:type="dxa"/>
            <w:vAlign w:val="bottom"/>
          </w:tcPr>
          <w:p>
            <w:pPr>
              <w:ind w:left="360"/>
              <w:spacing w:after="0"/>
              <w:rPr>
                <w:sz w:val="20"/>
                <w:szCs w:val="20"/>
                <w:color w:val="auto"/>
              </w:rPr>
            </w:pPr>
            <w:r>
              <w:rPr>
                <w:rFonts w:ascii="Arial" w:cs="Arial" w:eastAsia="Arial" w:hAnsi="Arial"/>
                <w:sz w:val="13"/>
                <w:szCs w:val="13"/>
                <w:color w:val="58595B"/>
              </w:rPr>
              <w:t>— $</w:t>
            </w:r>
          </w:p>
        </w:tc>
        <w:tc>
          <w:tcPr>
            <w:tcW w:w="1020" w:type="dxa"/>
            <w:vAlign w:val="bottom"/>
          </w:tcPr>
          <w:p>
            <w:pPr>
              <w:ind w:left="380"/>
              <w:spacing w:after="0"/>
              <w:rPr>
                <w:sz w:val="20"/>
                <w:szCs w:val="20"/>
                <w:color w:val="auto"/>
              </w:rPr>
            </w:pPr>
            <w:r>
              <w:rPr>
                <w:rFonts w:ascii="Arial" w:cs="Arial" w:eastAsia="Arial" w:hAnsi="Arial"/>
                <w:sz w:val="13"/>
                <w:szCs w:val="13"/>
                <w:color w:val="58595B"/>
              </w:rPr>
              <w:t>— $</w:t>
            </w:r>
          </w:p>
        </w:tc>
        <w:tc>
          <w:tcPr>
            <w:tcW w:w="1020" w:type="dxa"/>
            <w:vAlign w:val="bottom"/>
          </w:tcPr>
          <w:p>
            <w:pPr>
              <w:ind w:left="360"/>
              <w:spacing w:after="0"/>
              <w:rPr>
                <w:sz w:val="20"/>
                <w:szCs w:val="20"/>
                <w:color w:val="auto"/>
              </w:rPr>
            </w:pPr>
            <w:r>
              <w:rPr>
                <w:rFonts w:ascii="Arial" w:cs="Arial" w:eastAsia="Arial" w:hAnsi="Arial"/>
                <w:sz w:val="13"/>
                <w:szCs w:val="13"/>
                <w:color w:val="58595B"/>
              </w:rPr>
              <w:t>— $</w:t>
            </w:r>
          </w:p>
        </w:tc>
        <w:tc>
          <w:tcPr>
            <w:tcW w:w="480" w:type="dxa"/>
            <w:vAlign w:val="bottom"/>
          </w:tcPr>
          <w:p>
            <w:pPr>
              <w:ind w:left="360"/>
              <w:spacing w:after="0"/>
              <w:rPr>
                <w:sz w:val="20"/>
                <w:szCs w:val="20"/>
                <w:color w:val="auto"/>
              </w:rPr>
            </w:pPr>
            <w:r>
              <w:rPr>
                <w:rFonts w:ascii="Arial" w:cs="Arial" w:eastAsia="Arial" w:hAnsi="Arial"/>
                <w:sz w:val="13"/>
                <w:szCs w:val="13"/>
                <w:color w:val="58595B"/>
                <w:w w:val="7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-504825</wp:posOffset>
            </wp:positionV>
            <wp:extent cx="6686550" cy="2228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686550" cy="222885"/>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-153670</wp:posOffset>
            </wp:positionV>
            <wp:extent cx="6686550" cy="2317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686550" cy="231775"/>
                    </a:xfrm>
                    <a:prstGeom prst="rect">
                      <a:avLst/>
                    </a:prstGeom>
                    <a:noFill/>
                  </pic:spPr>
                </pic:pic>
              </a:graphicData>
            </a:graphic>
          </wp:anchor>
        </w:drawing>
      </w:r>
    </w:p>
    <w:p>
      <w:pPr>
        <w:spacing w:after="0" w:line="295" w:lineRule="exact"/>
        <w:rPr>
          <w:sz w:val="20"/>
          <w:szCs w:val="20"/>
          <w:color w:val="auto"/>
        </w:rPr>
      </w:pPr>
    </w:p>
    <w:p>
      <w:pPr>
        <w:sectPr>
          <w:pgSz w:w="11900" w:h="16838" w:orient="portrait"/>
          <w:cols w:equalWidth="0" w:num="3">
            <w:col w:w="3540" w:space="120"/>
            <w:col w:w="80" w:space="720"/>
            <w:col w:w="6760"/>
          </w:cols>
          <w:pgMar w:left="320" w:top="122" w:right="359" w:bottom="1440" w:gutter="0" w:footer="0" w:header="0"/>
          <w:type w:val="continuous"/>
        </w:sectPr>
      </w:pPr>
    </w:p>
    <w:p>
      <w:pPr>
        <w:spacing w:after="0" w:line="33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70</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5320" w:type="dxa"/>
            <w:vAlign w:val="bottom"/>
            <w:tcBorders>
              <w:bottom w:val="single" w:sz="8" w:color="EFEDED"/>
            </w:tcBorders>
            <w:shd w:val="clear" w:color="auto" w:fill="EFEDED"/>
          </w:tcPr>
          <w:p>
            <w:pPr>
              <w:spacing w:after="0"/>
              <w:rPr>
                <w:sz w:val="17"/>
                <w:szCs w:val="17"/>
                <w:color w:val="auto"/>
              </w:rPr>
            </w:pPr>
          </w:p>
        </w:tc>
        <w:tc>
          <w:tcPr>
            <w:tcW w:w="1040" w:type="dxa"/>
            <w:vAlign w:val="bottom"/>
            <w:tcBorders>
              <w:bottom w:val="single" w:sz="8" w:color="58595B"/>
              <w:right w:val="single" w:sz="8" w:color="58595B"/>
            </w:tcBorders>
            <w:shd w:val="clear" w:color="auto" w:fill="EFEDED"/>
          </w:tcPr>
          <w:p>
            <w:pPr>
              <w:jc w:val="center"/>
              <w:spacing w:after="0"/>
              <w:rPr>
                <w:sz w:val="20"/>
                <w:szCs w:val="20"/>
                <w:color w:val="auto"/>
              </w:rPr>
            </w:pPr>
            <w:r>
              <w:rPr>
                <w:rFonts w:ascii="Arial" w:cs="Arial" w:eastAsia="Arial" w:hAnsi="Arial"/>
                <w:sz w:val="13"/>
                <w:szCs w:val="13"/>
                <w:color w:val="58595B"/>
                <w:w w:val="96"/>
              </w:rPr>
              <w:t>2021</w:t>
            </w:r>
          </w:p>
        </w:tc>
        <w:tc>
          <w:tcPr>
            <w:tcW w:w="1000" w:type="dxa"/>
            <w:vAlign w:val="bottom"/>
            <w:tcBorders>
              <w:bottom w:val="single" w:sz="8" w:color="58595B"/>
              <w:right w:val="single" w:sz="8" w:color="58595B"/>
            </w:tcBorders>
            <w:shd w:val="clear" w:color="auto" w:fill="EFEDED"/>
          </w:tcPr>
          <w:p>
            <w:pPr>
              <w:jc w:val="center"/>
              <w:spacing w:after="0"/>
              <w:rPr>
                <w:sz w:val="20"/>
                <w:szCs w:val="20"/>
                <w:color w:val="auto"/>
              </w:rPr>
            </w:pPr>
            <w:r>
              <w:rPr>
                <w:rFonts w:ascii="Arial" w:cs="Arial" w:eastAsia="Arial" w:hAnsi="Arial"/>
                <w:sz w:val="13"/>
                <w:szCs w:val="13"/>
                <w:color w:val="58595B"/>
                <w:w w:val="96"/>
              </w:rPr>
              <w:t>2022</w:t>
            </w:r>
          </w:p>
        </w:tc>
        <w:tc>
          <w:tcPr>
            <w:tcW w:w="1020" w:type="dxa"/>
            <w:vAlign w:val="bottom"/>
            <w:tcBorders>
              <w:bottom w:val="single" w:sz="8" w:color="58595B"/>
              <w:right w:val="single" w:sz="8" w:color="58595B"/>
            </w:tcBorders>
            <w:shd w:val="clear" w:color="auto" w:fill="EFEDED"/>
          </w:tcPr>
          <w:p>
            <w:pPr>
              <w:jc w:val="center"/>
              <w:spacing w:after="0"/>
              <w:rPr>
                <w:sz w:val="20"/>
                <w:szCs w:val="20"/>
                <w:color w:val="auto"/>
              </w:rPr>
            </w:pPr>
            <w:r>
              <w:rPr>
                <w:rFonts w:ascii="Arial" w:cs="Arial" w:eastAsia="Arial" w:hAnsi="Arial"/>
                <w:sz w:val="13"/>
                <w:szCs w:val="13"/>
                <w:color w:val="58595B"/>
                <w:w w:val="96"/>
              </w:rPr>
              <w:t>2023</w:t>
            </w:r>
          </w:p>
        </w:tc>
        <w:tc>
          <w:tcPr>
            <w:tcW w:w="1020" w:type="dxa"/>
            <w:vAlign w:val="bottom"/>
            <w:tcBorders>
              <w:bottom w:val="single" w:sz="8" w:color="58595B"/>
              <w:right w:val="single" w:sz="8" w:color="58595B"/>
            </w:tcBorders>
            <w:shd w:val="clear" w:color="auto" w:fill="EFEDED"/>
          </w:tcPr>
          <w:p>
            <w:pPr>
              <w:jc w:val="center"/>
              <w:spacing w:after="0"/>
              <w:rPr>
                <w:sz w:val="20"/>
                <w:szCs w:val="20"/>
                <w:color w:val="auto"/>
              </w:rPr>
            </w:pPr>
            <w:r>
              <w:rPr>
                <w:rFonts w:ascii="Arial" w:cs="Arial" w:eastAsia="Arial" w:hAnsi="Arial"/>
                <w:sz w:val="13"/>
                <w:szCs w:val="13"/>
                <w:color w:val="58595B"/>
                <w:w w:val="96"/>
              </w:rPr>
              <w:t>2024</w:t>
            </w:r>
          </w:p>
        </w:tc>
        <w:tc>
          <w:tcPr>
            <w:tcW w:w="1120" w:type="dxa"/>
            <w:vAlign w:val="bottom"/>
            <w:tcBorders>
              <w:bottom w:val="single" w:sz="8" w:color="58595B"/>
            </w:tcBorders>
            <w:shd w:val="clear" w:color="auto" w:fill="EFEDED"/>
          </w:tcPr>
          <w:p>
            <w:pPr>
              <w:jc w:val="center"/>
              <w:ind w:right="97"/>
              <w:spacing w:after="0"/>
              <w:rPr>
                <w:sz w:val="20"/>
                <w:szCs w:val="20"/>
                <w:color w:val="auto"/>
              </w:rPr>
            </w:pPr>
            <w:r>
              <w:rPr>
                <w:rFonts w:ascii="Arial" w:cs="Arial" w:eastAsia="Arial" w:hAnsi="Arial"/>
                <w:sz w:val="13"/>
                <w:szCs w:val="13"/>
                <w:color w:val="58595B"/>
                <w:w w:val="96"/>
              </w:rPr>
              <w:t>2025</w:t>
            </w:r>
          </w:p>
        </w:tc>
      </w:tr>
      <w:tr>
        <w:trPr>
          <w:trHeight w:val="158"/>
        </w:trPr>
        <w:tc>
          <w:tcPr>
            <w:tcW w:w="5320" w:type="dxa"/>
            <w:vAlign w:val="bottom"/>
            <w:shd w:val="clear" w:color="auto" w:fill="EFEDED"/>
          </w:tcPr>
          <w:p>
            <w:pPr>
              <w:spacing w:after="0"/>
              <w:rPr>
                <w:sz w:val="13"/>
                <w:szCs w:val="13"/>
                <w:color w:val="auto"/>
              </w:rPr>
            </w:pPr>
          </w:p>
        </w:tc>
        <w:tc>
          <w:tcPr>
            <w:tcW w:w="10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Average for</w:t>
            </w:r>
          </w:p>
        </w:tc>
        <w:tc>
          <w:tcPr>
            <w:tcW w:w="100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Average for</w:t>
            </w:r>
          </w:p>
        </w:tc>
        <w:tc>
          <w:tcPr>
            <w:tcW w:w="10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Average for</w:t>
            </w:r>
          </w:p>
        </w:tc>
        <w:tc>
          <w:tcPr>
            <w:tcW w:w="10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Average for</w:t>
            </w:r>
          </w:p>
        </w:tc>
        <w:tc>
          <w:tcPr>
            <w:tcW w:w="112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5"/>
              </w:rPr>
              <w:t>Average for</w:t>
            </w:r>
          </w:p>
        </w:tc>
      </w:tr>
      <w:tr>
        <w:trPr>
          <w:trHeight w:val="166"/>
        </w:trPr>
        <w:tc>
          <w:tcPr>
            <w:tcW w:w="5320" w:type="dxa"/>
            <w:vAlign w:val="bottom"/>
            <w:shd w:val="clear" w:color="auto" w:fill="EFEDED"/>
          </w:tcPr>
          <w:p>
            <w:pPr>
              <w:ind w:left="140"/>
              <w:spacing w:after="0"/>
              <w:rPr>
                <w:sz w:val="20"/>
                <w:szCs w:val="20"/>
                <w:color w:val="auto"/>
              </w:rPr>
            </w:pPr>
            <w:r>
              <w:rPr>
                <w:rFonts w:ascii="Arial" w:cs="Arial" w:eastAsia="Arial" w:hAnsi="Arial"/>
                <w:sz w:val="13"/>
                <w:szCs w:val="13"/>
                <w:color w:val="58595B"/>
              </w:rPr>
              <w:t>Adjustments</w:t>
            </w:r>
          </w:p>
        </w:tc>
        <w:tc>
          <w:tcPr>
            <w:tcW w:w="10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Other NEOs</w:t>
            </w:r>
          </w:p>
        </w:tc>
        <w:tc>
          <w:tcPr>
            <w:tcW w:w="100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Other NEOs</w:t>
            </w:r>
          </w:p>
        </w:tc>
        <w:tc>
          <w:tcPr>
            <w:tcW w:w="10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Other NEOs</w:t>
            </w:r>
          </w:p>
        </w:tc>
        <w:tc>
          <w:tcPr>
            <w:tcW w:w="10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Other NEOs</w:t>
            </w:r>
          </w:p>
        </w:tc>
        <w:tc>
          <w:tcPr>
            <w:tcW w:w="112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5"/>
              </w:rPr>
              <w:t>Other NEOs</w:t>
            </w:r>
          </w:p>
        </w:tc>
      </w:tr>
      <w:tr>
        <w:trPr>
          <w:trHeight w:val="28"/>
        </w:trPr>
        <w:tc>
          <w:tcPr>
            <w:tcW w:w="5320" w:type="dxa"/>
            <w:vAlign w:val="bottom"/>
            <w:shd w:val="clear" w:color="auto" w:fill="EFEDED"/>
          </w:tcPr>
          <w:p>
            <w:pPr>
              <w:spacing w:after="0"/>
              <w:rPr>
                <w:sz w:val="2"/>
                <w:szCs w:val="2"/>
                <w:color w:val="auto"/>
              </w:rPr>
            </w:pPr>
          </w:p>
        </w:tc>
        <w:tc>
          <w:tcPr>
            <w:tcW w:w="1040" w:type="dxa"/>
            <w:vAlign w:val="bottom"/>
            <w:tcBorders>
              <w:right w:val="single" w:sz="8" w:color="EFEDED"/>
            </w:tcBorders>
            <w:shd w:val="clear" w:color="auto" w:fill="EFEDED"/>
          </w:tcPr>
          <w:p>
            <w:pPr>
              <w:spacing w:after="0"/>
              <w:rPr>
                <w:sz w:val="2"/>
                <w:szCs w:val="2"/>
                <w:color w:val="auto"/>
              </w:rPr>
            </w:pPr>
          </w:p>
        </w:tc>
        <w:tc>
          <w:tcPr>
            <w:tcW w:w="1000" w:type="dxa"/>
            <w:vAlign w:val="bottom"/>
            <w:tcBorders>
              <w:right w:val="single" w:sz="8" w:color="EFEDED"/>
            </w:tcBorders>
            <w:shd w:val="clear" w:color="auto" w:fill="EFEDED"/>
          </w:tcPr>
          <w:p>
            <w:pPr>
              <w:spacing w:after="0"/>
              <w:rPr>
                <w:sz w:val="2"/>
                <w:szCs w:val="2"/>
                <w:color w:val="auto"/>
              </w:rPr>
            </w:pPr>
          </w:p>
        </w:tc>
        <w:tc>
          <w:tcPr>
            <w:tcW w:w="1020" w:type="dxa"/>
            <w:vAlign w:val="bottom"/>
            <w:tcBorders>
              <w:right w:val="single" w:sz="8" w:color="EFEDED"/>
            </w:tcBorders>
            <w:shd w:val="clear" w:color="auto" w:fill="EFEDED"/>
          </w:tcPr>
          <w:p>
            <w:pPr>
              <w:spacing w:after="0"/>
              <w:rPr>
                <w:sz w:val="2"/>
                <w:szCs w:val="2"/>
                <w:color w:val="auto"/>
              </w:rPr>
            </w:pPr>
          </w:p>
        </w:tc>
        <w:tc>
          <w:tcPr>
            <w:tcW w:w="1020" w:type="dxa"/>
            <w:vAlign w:val="bottom"/>
            <w:tcBorders>
              <w:right w:val="single" w:sz="8" w:color="EFEDED"/>
            </w:tcBorders>
            <w:shd w:val="clear" w:color="auto" w:fill="EFEDED"/>
          </w:tcPr>
          <w:p>
            <w:pPr>
              <w:spacing w:after="0"/>
              <w:rPr>
                <w:sz w:val="2"/>
                <w:szCs w:val="2"/>
                <w:color w:val="auto"/>
              </w:rPr>
            </w:pPr>
          </w:p>
        </w:tc>
        <w:tc>
          <w:tcPr>
            <w:tcW w:w="1120" w:type="dxa"/>
            <w:vAlign w:val="bottom"/>
            <w:shd w:val="clear" w:color="auto" w:fill="EFEDED"/>
          </w:tcPr>
          <w:p>
            <w:pPr>
              <w:spacing w:after="0"/>
              <w:rPr>
                <w:sz w:val="2"/>
                <w:szCs w:val="2"/>
                <w:color w:val="auto"/>
              </w:rPr>
            </w:pPr>
          </w:p>
        </w:tc>
      </w:tr>
    </w:tbl>
    <w:p>
      <w:pPr>
        <w:spacing w:after="0" w:line="9" w:lineRule="exact"/>
        <w:rPr>
          <w:sz w:val="20"/>
          <w:szCs w:val="20"/>
          <w:color w:val="auto"/>
        </w:rPr>
      </w:pPr>
    </w:p>
    <w:p>
      <w:pPr>
        <w:sectPr>
          <w:pgSz w:w="11900" w:h="16838" w:orient="portrait"/>
          <w:cols w:equalWidth="0" w:num="1">
            <w:col w:w="11240"/>
          </w:cols>
          <w:pgMar w:left="320" w:top="121" w:right="339" w:bottom="1440" w:gutter="0" w:footer="0" w:header="0"/>
        </w:sectPr>
      </w:pPr>
    </w:p>
    <w:p>
      <w:pPr>
        <w:ind w:left="480"/>
        <w:spacing w:after="0"/>
        <w:rPr>
          <w:sz w:val="20"/>
          <w:szCs w:val="20"/>
          <w:color w:val="auto"/>
        </w:rPr>
      </w:pPr>
      <w:r>
        <w:rPr>
          <w:rFonts w:ascii="Arial" w:cs="Arial" w:eastAsia="Arial" w:hAnsi="Arial"/>
          <w:sz w:val="13"/>
          <w:szCs w:val="13"/>
          <w:color w:val="58595B"/>
        </w:rPr>
        <w:t>Total Compensation reported in 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27940</wp:posOffset>
            </wp:positionV>
            <wp:extent cx="6686550" cy="1289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686550" cy="128905"/>
                    </a:xfrm>
                    <a:prstGeom prst="rect">
                      <a:avLst/>
                    </a:prstGeom>
                    <a:noFill/>
                  </pic:spPr>
                </pic:pic>
              </a:graphicData>
            </a:graphic>
          </wp:anchor>
        </w:drawing>
      </w:r>
    </w:p>
    <w:p>
      <w:pPr>
        <w:spacing w:after="0" w:line="33" w:lineRule="exact"/>
        <w:rPr>
          <w:sz w:val="20"/>
          <w:szCs w:val="20"/>
          <w:color w:val="auto"/>
        </w:rPr>
      </w:pPr>
    </w:p>
    <w:p>
      <w:pPr>
        <w:ind w:left="480"/>
        <w:spacing w:after="0"/>
        <w:rPr>
          <w:sz w:val="20"/>
          <w:szCs w:val="20"/>
          <w:color w:val="auto"/>
        </w:rPr>
      </w:pPr>
      <w:r>
        <w:rPr>
          <w:rFonts w:ascii="Arial" w:cs="Arial" w:eastAsia="Arial" w:hAnsi="Arial"/>
          <w:sz w:val="13"/>
          <w:szCs w:val="13"/>
          <w:color w:val="58595B"/>
        </w:rPr>
        <w:t>Deduction for Stock and Options Awards reported in SCT</w:t>
      </w:r>
    </w:p>
    <w:p>
      <w:pPr>
        <w:spacing w:after="0" w:line="53" w:lineRule="exact"/>
        <w:rPr>
          <w:sz w:val="20"/>
          <w:szCs w:val="20"/>
          <w:color w:val="auto"/>
        </w:rPr>
      </w:pPr>
    </w:p>
    <w:p>
      <w:pPr>
        <w:ind w:left="480" w:right="80"/>
        <w:spacing w:after="0" w:line="264" w:lineRule="auto"/>
        <w:rPr>
          <w:sz w:val="20"/>
          <w:szCs w:val="20"/>
          <w:color w:val="auto"/>
        </w:rPr>
      </w:pPr>
      <w:r>
        <w:rPr>
          <w:rFonts w:ascii="Arial" w:cs="Arial" w:eastAsia="Arial" w:hAnsi="Arial"/>
          <w:sz w:val="13"/>
          <w:szCs w:val="13"/>
          <w:color w:val="58595B"/>
        </w:rPr>
        <w:t>Deduction for Change in Pension Value and Nonqualified Deferred Compensation Earnings Value reported in 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6686550" cy="2228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686550" cy="222885"/>
                    </a:xfrm>
                    <a:prstGeom prst="rect">
                      <a:avLst/>
                    </a:prstGeom>
                    <a:noFill/>
                  </pic:spPr>
                </pic:pic>
              </a:graphicData>
            </a:graphic>
          </wp:anchor>
        </w:drawing>
      </w:r>
    </w:p>
    <w:p>
      <w:pPr>
        <w:spacing w:after="0" w:line="2" w:lineRule="exact"/>
        <w:rPr>
          <w:sz w:val="20"/>
          <w:szCs w:val="20"/>
          <w:color w:val="auto"/>
        </w:rPr>
      </w:pPr>
    </w:p>
    <w:p>
      <w:pPr>
        <w:ind w:left="480" w:right="460"/>
        <w:spacing w:after="0" w:line="264" w:lineRule="auto"/>
        <w:rPr>
          <w:sz w:val="20"/>
          <w:szCs w:val="20"/>
          <w:color w:val="auto"/>
        </w:rPr>
      </w:pPr>
      <w:r>
        <w:rPr>
          <w:rFonts w:ascii="Arial" w:cs="Arial" w:eastAsia="Arial" w:hAnsi="Arial"/>
          <w:sz w:val="13"/>
          <w:szCs w:val="13"/>
          <w:color w:val="58595B"/>
        </w:rPr>
        <w:t>Increase by FV of Awards Granted during Applicable FY that Remain Unvested as of Applicable FY End, Determined at Applicable FY End</w:t>
      </w:r>
    </w:p>
    <w:p>
      <w:pPr>
        <w:spacing w:after="0" w:line="22" w:lineRule="exact"/>
        <w:rPr>
          <w:sz w:val="20"/>
          <w:szCs w:val="20"/>
          <w:color w:val="auto"/>
        </w:rPr>
      </w:pPr>
    </w:p>
    <w:p>
      <w:pPr>
        <w:ind w:left="480" w:right="160"/>
        <w:spacing w:after="0" w:line="264" w:lineRule="auto"/>
        <w:rPr>
          <w:sz w:val="20"/>
          <w:szCs w:val="20"/>
          <w:color w:val="auto"/>
        </w:rPr>
      </w:pPr>
      <w:r>
        <w:rPr>
          <w:rFonts w:ascii="Arial" w:cs="Arial" w:eastAsia="Arial" w:hAnsi="Arial"/>
          <w:sz w:val="13"/>
          <w:szCs w:val="13"/>
          <w:color w:val="58595B"/>
        </w:rPr>
        <w:t>Increase by FV of Awards Granted during Applicable FY that Vested during Applicable FY, Determined at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6686550" cy="2228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686550" cy="222885"/>
                    </a:xfrm>
                    <a:prstGeom prst="rect">
                      <a:avLst/>
                    </a:prstGeom>
                    <a:noFill/>
                  </pic:spPr>
                </pic:pic>
              </a:graphicData>
            </a:graphic>
          </wp:anchor>
        </w:drawing>
      </w:r>
    </w:p>
    <w:p>
      <w:pPr>
        <w:spacing w:after="0" w:line="2" w:lineRule="exact"/>
        <w:rPr>
          <w:sz w:val="20"/>
          <w:szCs w:val="20"/>
          <w:color w:val="auto"/>
        </w:rPr>
      </w:pPr>
    </w:p>
    <w:p>
      <w:pPr>
        <w:ind w:left="480" w:right="380"/>
        <w:spacing w:after="0" w:line="305" w:lineRule="auto"/>
        <w:rPr>
          <w:sz w:val="20"/>
          <w:szCs w:val="20"/>
          <w:color w:val="auto"/>
        </w:rPr>
      </w:pPr>
      <w:r>
        <w:rPr>
          <w:rFonts w:ascii="Arial" w:cs="Arial" w:eastAsia="Arial" w:hAnsi="Arial"/>
          <w:sz w:val="12"/>
          <w:szCs w:val="12"/>
          <w:color w:val="58595B"/>
        </w:rPr>
        <w:t>Increase or Decrease by Change in FV of Outstanding Unvested Prior FY Awards that Remain Unvested at Applicable FY End as Compared to FV as of Prior FY End</w:t>
      </w:r>
    </w:p>
    <w:p>
      <w:pPr>
        <w:ind w:left="480"/>
        <w:spacing w:after="0" w:line="264" w:lineRule="auto"/>
        <w:rPr>
          <w:sz w:val="20"/>
          <w:szCs w:val="20"/>
          <w:color w:val="auto"/>
        </w:rPr>
      </w:pPr>
      <w:r>
        <w:rPr>
          <w:rFonts w:ascii="Arial" w:cs="Arial" w:eastAsia="Arial" w:hAnsi="Arial"/>
          <w:sz w:val="13"/>
          <w:szCs w:val="13"/>
          <w:color w:val="58595B"/>
        </w:rPr>
        <w:t>Increase or Decrease by Change in FV of Prior FY Awards that Vested During the Applicable FY as of vesting date as compared to FV as of Prior FY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6686550" cy="2228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686550" cy="222885"/>
                    </a:xfrm>
                    <a:prstGeom prst="rect">
                      <a:avLst/>
                    </a:prstGeom>
                    <a:noFill/>
                  </pic:spPr>
                </pic:pic>
              </a:graphicData>
            </a:graphic>
          </wp:anchor>
        </w:drawing>
      </w:r>
    </w:p>
    <w:p>
      <w:pPr>
        <w:spacing w:after="0" w:line="2" w:lineRule="exact"/>
        <w:rPr>
          <w:sz w:val="20"/>
          <w:szCs w:val="20"/>
          <w:color w:val="auto"/>
        </w:rPr>
      </w:pPr>
    </w:p>
    <w:p>
      <w:pPr>
        <w:ind w:left="480" w:right="60"/>
        <w:spacing w:after="0" w:line="264" w:lineRule="auto"/>
        <w:rPr>
          <w:sz w:val="20"/>
          <w:szCs w:val="20"/>
          <w:color w:val="auto"/>
        </w:rPr>
      </w:pPr>
      <w:r>
        <w:rPr>
          <w:rFonts w:ascii="Arial" w:cs="Arial" w:eastAsia="Arial" w:hAnsi="Arial"/>
          <w:sz w:val="13"/>
          <w:szCs w:val="13"/>
          <w:color w:val="58595B"/>
        </w:rPr>
        <w:t>Deduction of FV of Prior FY Awards as of Prior FY End that were forfeited during Applicable FY (N/A)</w:t>
      </w:r>
    </w:p>
    <w:p>
      <w:pPr>
        <w:spacing w:after="0" w:line="22" w:lineRule="exact"/>
        <w:rPr>
          <w:sz w:val="20"/>
          <w:szCs w:val="20"/>
          <w:color w:val="auto"/>
        </w:rPr>
      </w:pPr>
    </w:p>
    <w:p>
      <w:pPr>
        <w:ind w:left="480" w:right="320"/>
        <w:spacing w:after="0" w:line="264" w:lineRule="auto"/>
        <w:rPr>
          <w:sz w:val="20"/>
          <w:szCs w:val="20"/>
          <w:color w:val="auto"/>
        </w:rPr>
      </w:pPr>
      <w:r>
        <w:rPr>
          <w:rFonts w:ascii="Arial" w:cs="Arial" w:eastAsia="Arial" w:hAnsi="Arial"/>
          <w:sz w:val="13"/>
          <w:szCs w:val="13"/>
          <w:color w:val="58595B"/>
        </w:rPr>
        <w:t>Increase by amount of dividends paid on unvested awards during applicable FY prior to vesting date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6686550" cy="1289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686550" cy="128905"/>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Arial" w:cs="Arial" w:eastAsia="Arial" w:hAnsi="Arial"/>
          <w:sz w:val="13"/>
          <w:szCs w:val="13"/>
          <w:color w:val="58595B"/>
        </w:rPr>
        <w:t>Increase by incremental fair value of Options/SARs modified during applicable FY (N/A)</w:t>
      </w:r>
    </w:p>
    <w:p>
      <w:pPr>
        <w:spacing w:after="0" w:line="53" w:lineRule="exact"/>
        <w:rPr>
          <w:sz w:val="20"/>
          <w:szCs w:val="20"/>
          <w:color w:val="auto"/>
        </w:rPr>
      </w:pPr>
    </w:p>
    <w:p>
      <w:pPr>
        <w:ind w:left="480"/>
        <w:spacing w:after="0"/>
        <w:rPr>
          <w:sz w:val="20"/>
          <w:szCs w:val="20"/>
          <w:color w:val="auto"/>
        </w:rPr>
      </w:pPr>
      <w:r>
        <w:rPr>
          <w:rFonts w:ascii="Arial" w:cs="Arial" w:eastAsia="Arial" w:hAnsi="Arial"/>
          <w:sz w:val="13"/>
          <w:szCs w:val="13"/>
          <w:color w:val="58595B"/>
        </w:rPr>
        <w:t>Increase by Change in Pension Service Costs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27940</wp:posOffset>
            </wp:positionV>
            <wp:extent cx="6686550" cy="2228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686550" cy="222885"/>
                    </a:xfrm>
                    <a:prstGeom prst="rect">
                      <a:avLst/>
                    </a:prstGeom>
                    <a:noFill/>
                  </pic:spPr>
                </pic:pic>
              </a:graphicData>
            </a:graphic>
          </wp:anchor>
        </w:drawing>
      </w:r>
    </w:p>
    <w:p>
      <w:pPr>
        <w:spacing w:after="0" w:line="33" w:lineRule="exact"/>
        <w:rPr>
          <w:sz w:val="20"/>
          <w:szCs w:val="20"/>
          <w:color w:val="auto"/>
        </w:rPr>
      </w:pPr>
    </w:p>
    <w:p>
      <w:pPr>
        <w:ind w:left="480" w:right="200"/>
        <w:spacing w:after="0" w:line="264" w:lineRule="auto"/>
        <w:rPr>
          <w:sz w:val="20"/>
          <w:szCs w:val="20"/>
          <w:color w:val="auto"/>
        </w:rPr>
      </w:pPr>
      <w:r>
        <w:rPr>
          <w:rFonts w:ascii="Arial" w:cs="Arial" w:eastAsia="Arial" w:hAnsi="Arial"/>
          <w:sz w:val="13"/>
          <w:szCs w:val="13"/>
          <w:color w:val="58595B"/>
        </w:rPr>
        <w:t>Increase by Above-Market or Preferential Earnings on Deferred Compensation that is Not Tax-Qualified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668655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6865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58595B"/>
        </w:rPr>
        <w:t>$</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58595B"/>
        </w:rPr>
        <w: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58595B"/>
        </w:rPr>
        <w: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58595B"/>
        </w:rPr>
        <w: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58595B"/>
        </w:rPr>
        <w: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58595B"/>
        </w:rPr>
        <w: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58595B"/>
        </w:rPr>
        <w: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58595B"/>
        </w:rPr>
        <w: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58595B"/>
        </w:rPr>
        <w:t>$</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58595B"/>
        </w:rPr>
        <w:t>$</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58595B"/>
        </w:rPr>
        <w: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58595B"/>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680" w:type="dxa"/>
            <w:vAlign w:val="bottom"/>
          </w:tcPr>
          <w:p>
            <w:pPr>
              <w:jc w:val="right"/>
              <w:spacing w:after="0"/>
              <w:rPr>
                <w:sz w:val="20"/>
                <w:szCs w:val="20"/>
                <w:color w:val="auto"/>
              </w:rPr>
            </w:pPr>
            <w:r>
              <w:rPr>
                <w:rFonts w:ascii="Arial" w:cs="Arial" w:eastAsia="Arial" w:hAnsi="Arial"/>
                <w:sz w:val="13"/>
                <w:szCs w:val="13"/>
                <w:color w:val="58595B"/>
              </w:rPr>
              <w:t>2,503,086</w:t>
            </w:r>
          </w:p>
        </w:tc>
        <w:tc>
          <w:tcPr>
            <w:tcW w:w="220" w:type="dxa"/>
            <w:vAlign w:val="bottom"/>
          </w:tcPr>
          <w:p>
            <w:pPr>
              <w:jc w:val="right"/>
              <w:ind w:right="7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2,971,115</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1,760,212</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2,798,038</w:t>
            </w:r>
          </w:p>
        </w:tc>
        <w:tc>
          <w:tcPr>
            <w:tcW w:w="200" w:type="dxa"/>
            <w:vAlign w:val="bottom"/>
          </w:tcPr>
          <w:p>
            <w:pPr>
              <w:jc w:val="right"/>
              <w:ind w:right="5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2,283,587</w:t>
            </w:r>
          </w:p>
        </w:tc>
      </w:tr>
      <w:tr>
        <w:trPr>
          <w:trHeight w:val="203"/>
        </w:trPr>
        <w:tc>
          <w:tcPr>
            <w:tcW w:w="680" w:type="dxa"/>
            <w:vAlign w:val="bottom"/>
          </w:tcPr>
          <w:p>
            <w:pPr>
              <w:jc w:val="right"/>
              <w:spacing w:after="0"/>
              <w:rPr>
                <w:sz w:val="20"/>
                <w:szCs w:val="20"/>
                <w:color w:val="auto"/>
              </w:rPr>
            </w:pPr>
            <w:r>
              <w:rPr>
                <w:rFonts w:ascii="Arial" w:cs="Arial" w:eastAsia="Arial" w:hAnsi="Arial"/>
                <w:sz w:val="13"/>
                <w:szCs w:val="13"/>
                <w:color w:val="58595B"/>
                <w:w w:val="96"/>
              </w:rPr>
              <w:t>(1,477,260)</w:t>
            </w:r>
          </w:p>
        </w:tc>
        <w:tc>
          <w:tcPr>
            <w:tcW w:w="220" w:type="dxa"/>
            <w:vAlign w:val="bottom"/>
          </w:tcPr>
          <w:p>
            <w:pPr>
              <w:jc w:val="right"/>
              <w:ind w:right="7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(1,859,455)</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(1,188,985)</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(1,789,031)</w:t>
            </w:r>
          </w:p>
        </w:tc>
        <w:tc>
          <w:tcPr>
            <w:tcW w:w="200" w:type="dxa"/>
            <w:vAlign w:val="bottom"/>
          </w:tcPr>
          <w:p>
            <w:pPr>
              <w:jc w:val="right"/>
              <w:ind w:right="5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(1,467,437)</w:t>
            </w:r>
          </w:p>
        </w:tc>
      </w:tr>
      <w:tr>
        <w:trPr>
          <w:trHeight w:val="270"/>
        </w:trPr>
        <w:tc>
          <w:tcPr>
            <w:tcW w:w="900" w:type="dxa"/>
            <w:vAlign w:val="bottom"/>
            <w:gridSpan w:val="2"/>
          </w:tcPr>
          <w:p>
            <w:pPr>
              <w:jc w:val="right"/>
              <w:ind w:right="77"/>
              <w:spacing w:after="0"/>
              <w:rPr>
                <w:sz w:val="20"/>
                <w:szCs w:val="20"/>
                <w:color w:val="auto"/>
              </w:rPr>
            </w:pPr>
            <w:r>
              <w:rPr>
                <w:rFonts w:ascii="Arial" w:cs="Arial" w:eastAsia="Arial" w:hAnsi="Arial"/>
                <w:sz w:val="13"/>
                <w:szCs w:val="13"/>
                <w:color w:val="58595B"/>
              </w:rPr>
              <w:t>— $</w:t>
            </w:r>
          </w:p>
        </w:tc>
        <w:tc>
          <w:tcPr>
            <w:tcW w:w="780" w:type="dxa"/>
            <w:vAlign w:val="bottom"/>
          </w:tcPr>
          <w:p>
            <w:pPr>
              <w:jc w:val="right"/>
              <w:spacing w:after="0"/>
              <w:rPr>
                <w:sz w:val="20"/>
                <w:szCs w:val="20"/>
                <w:color w:val="auto"/>
              </w:rPr>
            </w:pPr>
            <w:r>
              <w:rPr>
                <w:rFonts w:ascii="Arial" w:cs="Arial" w:eastAsia="Arial" w:hAnsi="Arial"/>
                <w:sz w:val="13"/>
                <w:szCs w:val="13"/>
                <w:color w:val="58595B"/>
              </w:rPr>
              <w:t>—</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100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780" w:type="dxa"/>
            <w:vAlign w:val="bottom"/>
          </w:tcPr>
          <w:p>
            <w:pPr>
              <w:jc w:val="right"/>
              <w:spacing w:after="0"/>
              <w:rPr>
                <w:sz w:val="20"/>
                <w:szCs w:val="20"/>
                <w:color w:val="auto"/>
              </w:rPr>
            </w:pPr>
            <w:r>
              <w:rPr>
                <w:rFonts w:ascii="Arial" w:cs="Arial" w:eastAsia="Arial" w:hAnsi="Arial"/>
                <w:sz w:val="13"/>
                <w:szCs w:val="13"/>
                <w:color w:val="58595B"/>
              </w:rPr>
              <w:t>—</w:t>
            </w:r>
          </w:p>
        </w:tc>
      </w:tr>
      <w:tr>
        <w:trPr>
          <w:trHeight w:val="351"/>
        </w:trPr>
        <w:tc>
          <w:tcPr>
            <w:tcW w:w="680" w:type="dxa"/>
            <w:vAlign w:val="bottom"/>
          </w:tcPr>
          <w:p>
            <w:pPr>
              <w:jc w:val="right"/>
              <w:spacing w:after="0"/>
              <w:rPr>
                <w:sz w:val="20"/>
                <w:szCs w:val="20"/>
                <w:color w:val="auto"/>
              </w:rPr>
            </w:pPr>
            <w:r>
              <w:rPr>
                <w:rFonts w:ascii="Arial" w:cs="Arial" w:eastAsia="Arial" w:hAnsi="Arial"/>
                <w:sz w:val="13"/>
                <w:szCs w:val="13"/>
                <w:color w:val="58595B"/>
              </w:rPr>
              <w:t>1,725,068</w:t>
            </w:r>
          </w:p>
        </w:tc>
        <w:tc>
          <w:tcPr>
            <w:tcW w:w="220" w:type="dxa"/>
            <w:vAlign w:val="bottom"/>
          </w:tcPr>
          <w:p>
            <w:pPr>
              <w:jc w:val="right"/>
              <w:ind w:right="7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1,402,280</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944,464</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988,278</w:t>
            </w:r>
          </w:p>
        </w:tc>
        <w:tc>
          <w:tcPr>
            <w:tcW w:w="200" w:type="dxa"/>
            <w:vAlign w:val="bottom"/>
          </w:tcPr>
          <w:p>
            <w:pPr>
              <w:jc w:val="right"/>
              <w:ind w:right="5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642,724</w:t>
            </w:r>
          </w:p>
        </w:tc>
      </w:tr>
      <w:tr>
        <w:trPr>
          <w:trHeight w:val="351"/>
        </w:trPr>
        <w:tc>
          <w:tcPr>
            <w:tcW w:w="900" w:type="dxa"/>
            <w:vAlign w:val="bottom"/>
            <w:gridSpan w:val="2"/>
          </w:tcPr>
          <w:p>
            <w:pPr>
              <w:jc w:val="right"/>
              <w:ind w:right="77"/>
              <w:spacing w:after="0"/>
              <w:rPr>
                <w:sz w:val="20"/>
                <w:szCs w:val="20"/>
                <w:color w:val="auto"/>
              </w:rPr>
            </w:pPr>
            <w:r>
              <w:rPr>
                <w:rFonts w:ascii="Arial" w:cs="Arial" w:eastAsia="Arial" w:hAnsi="Arial"/>
                <w:sz w:val="13"/>
                <w:szCs w:val="13"/>
                <w:color w:val="58595B"/>
              </w:rPr>
              <w:t>— $</w:t>
            </w:r>
          </w:p>
        </w:tc>
        <w:tc>
          <w:tcPr>
            <w:tcW w:w="780" w:type="dxa"/>
            <w:vAlign w:val="bottom"/>
          </w:tcPr>
          <w:p>
            <w:pPr>
              <w:jc w:val="right"/>
              <w:spacing w:after="0"/>
              <w:rPr>
                <w:sz w:val="20"/>
                <w:szCs w:val="20"/>
                <w:color w:val="auto"/>
              </w:rPr>
            </w:pPr>
            <w:r>
              <w:rPr>
                <w:rFonts w:ascii="Arial" w:cs="Arial" w:eastAsia="Arial" w:hAnsi="Arial"/>
                <w:sz w:val="13"/>
                <w:szCs w:val="13"/>
                <w:color w:val="58595B"/>
              </w:rPr>
              <w:t>106,875</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102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100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780" w:type="dxa"/>
            <w:vAlign w:val="bottom"/>
          </w:tcPr>
          <w:p>
            <w:pPr>
              <w:jc w:val="right"/>
              <w:spacing w:after="0"/>
              <w:rPr>
                <w:sz w:val="20"/>
                <w:szCs w:val="20"/>
                <w:color w:val="auto"/>
              </w:rPr>
            </w:pPr>
            <w:r>
              <w:rPr>
                <w:rFonts w:ascii="Arial" w:cs="Arial" w:eastAsia="Arial" w:hAnsi="Arial"/>
                <w:sz w:val="13"/>
                <w:szCs w:val="13"/>
                <w:color w:val="58595B"/>
              </w:rPr>
              <w:t>—</w:t>
            </w:r>
          </w:p>
        </w:tc>
      </w:tr>
      <w:tr>
        <w:trPr>
          <w:trHeight w:val="351"/>
        </w:trPr>
        <w:tc>
          <w:tcPr>
            <w:tcW w:w="680" w:type="dxa"/>
            <w:vAlign w:val="bottom"/>
          </w:tcPr>
          <w:p>
            <w:pPr>
              <w:jc w:val="right"/>
              <w:spacing w:after="0"/>
              <w:rPr>
                <w:sz w:val="20"/>
                <w:szCs w:val="20"/>
                <w:color w:val="auto"/>
              </w:rPr>
            </w:pPr>
            <w:r>
              <w:rPr>
                <w:rFonts w:ascii="Arial" w:cs="Arial" w:eastAsia="Arial" w:hAnsi="Arial"/>
                <w:sz w:val="13"/>
                <w:szCs w:val="13"/>
                <w:color w:val="58595B"/>
              </w:rPr>
              <w:t>279,824</w:t>
            </w:r>
          </w:p>
        </w:tc>
        <w:tc>
          <w:tcPr>
            <w:tcW w:w="220" w:type="dxa"/>
            <w:vAlign w:val="bottom"/>
          </w:tcPr>
          <w:p>
            <w:pPr>
              <w:jc w:val="right"/>
              <w:ind w:right="7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(288,653)</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(285,475)</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(563,684)</w:t>
            </w:r>
          </w:p>
        </w:tc>
        <w:tc>
          <w:tcPr>
            <w:tcW w:w="200" w:type="dxa"/>
            <w:vAlign w:val="bottom"/>
          </w:tcPr>
          <w:p>
            <w:pPr>
              <w:jc w:val="right"/>
              <w:ind w:right="5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(593,733)</w:t>
            </w:r>
          </w:p>
        </w:tc>
      </w:tr>
      <w:tr>
        <w:trPr>
          <w:trHeight w:val="351"/>
        </w:trPr>
        <w:tc>
          <w:tcPr>
            <w:tcW w:w="680" w:type="dxa"/>
            <w:vAlign w:val="bottom"/>
          </w:tcPr>
          <w:p>
            <w:pPr>
              <w:jc w:val="right"/>
              <w:spacing w:after="0"/>
              <w:rPr>
                <w:sz w:val="20"/>
                <w:szCs w:val="20"/>
                <w:color w:val="auto"/>
              </w:rPr>
            </w:pPr>
            <w:r>
              <w:rPr>
                <w:rFonts w:ascii="Arial" w:cs="Arial" w:eastAsia="Arial" w:hAnsi="Arial"/>
                <w:sz w:val="13"/>
                <w:szCs w:val="13"/>
                <w:color w:val="58595B"/>
              </w:rPr>
              <w:t>63,113</w:t>
            </w:r>
          </w:p>
        </w:tc>
        <w:tc>
          <w:tcPr>
            <w:tcW w:w="220" w:type="dxa"/>
            <w:vAlign w:val="bottom"/>
          </w:tcPr>
          <w:p>
            <w:pPr>
              <w:jc w:val="right"/>
              <w:ind w:right="7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(251,272)</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(34,887)</w:t>
            </w:r>
          </w:p>
        </w:tc>
        <w:tc>
          <w:tcPr>
            <w:tcW w:w="220" w:type="dxa"/>
            <w:vAlign w:val="bottom"/>
          </w:tcPr>
          <w:p>
            <w:pPr>
              <w:jc w:val="right"/>
              <w:ind w:right="57"/>
              <w:spacing w:after="0"/>
              <w:rPr>
                <w:sz w:val="20"/>
                <w:szCs w:val="20"/>
                <w:color w:val="auto"/>
              </w:rPr>
            </w:pPr>
            <w:r>
              <w:rPr>
                <w:rFonts w:ascii="Arial" w:cs="Arial" w:eastAsia="Arial" w:hAnsi="Arial"/>
                <w:sz w:val="13"/>
                <w:szCs w:val="13"/>
                <w:color w:val="58595B"/>
              </w:rPr>
              <w:t>$</w:t>
            </w:r>
          </w:p>
        </w:tc>
        <w:tc>
          <w:tcPr>
            <w:tcW w:w="800" w:type="dxa"/>
            <w:vAlign w:val="bottom"/>
          </w:tcPr>
          <w:p>
            <w:pPr>
              <w:jc w:val="right"/>
              <w:spacing w:after="0"/>
              <w:rPr>
                <w:sz w:val="20"/>
                <w:szCs w:val="20"/>
                <w:color w:val="auto"/>
              </w:rPr>
            </w:pPr>
            <w:r>
              <w:rPr>
                <w:rFonts w:ascii="Arial" w:cs="Arial" w:eastAsia="Arial" w:hAnsi="Arial"/>
                <w:sz w:val="13"/>
                <w:szCs w:val="13"/>
                <w:color w:val="58595B"/>
              </w:rPr>
              <w:t>(125,434)</w:t>
            </w:r>
          </w:p>
        </w:tc>
        <w:tc>
          <w:tcPr>
            <w:tcW w:w="200" w:type="dxa"/>
            <w:vAlign w:val="bottom"/>
          </w:tcPr>
          <w:p>
            <w:pPr>
              <w:jc w:val="right"/>
              <w:ind w:right="57"/>
              <w:spacing w:after="0"/>
              <w:rPr>
                <w:sz w:val="20"/>
                <w:szCs w:val="20"/>
                <w:color w:val="auto"/>
              </w:rPr>
            </w:pPr>
            <w:r>
              <w:rPr>
                <w:rFonts w:ascii="Arial" w:cs="Arial" w:eastAsia="Arial" w:hAnsi="Arial"/>
                <w:sz w:val="13"/>
                <w:szCs w:val="13"/>
                <w:color w:val="58595B"/>
                <w:w w:val="82"/>
              </w:rPr>
              <w:t>$</w:t>
            </w:r>
          </w:p>
        </w:tc>
        <w:tc>
          <w:tcPr>
            <w:tcW w:w="780" w:type="dxa"/>
            <w:vAlign w:val="bottom"/>
          </w:tcPr>
          <w:p>
            <w:pPr>
              <w:jc w:val="right"/>
              <w:spacing w:after="0"/>
              <w:rPr>
                <w:sz w:val="20"/>
                <w:szCs w:val="20"/>
                <w:color w:val="auto"/>
              </w:rPr>
            </w:pPr>
            <w:r>
              <w:rPr>
                <w:rFonts w:ascii="Arial" w:cs="Arial" w:eastAsia="Arial" w:hAnsi="Arial"/>
                <w:sz w:val="13"/>
                <w:szCs w:val="13"/>
                <w:color w:val="58595B"/>
              </w:rPr>
              <w:t>(35,790)</w:t>
            </w:r>
          </w:p>
        </w:tc>
      </w:tr>
      <w:tr>
        <w:trPr>
          <w:trHeight w:val="351"/>
        </w:trPr>
        <w:tc>
          <w:tcPr>
            <w:tcW w:w="900" w:type="dxa"/>
            <w:vAlign w:val="bottom"/>
            <w:gridSpan w:val="2"/>
          </w:tcPr>
          <w:p>
            <w:pPr>
              <w:jc w:val="right"/>
              <w:ind w:right="77"/>
              <w:spacing w:after="0"/>
              <w:rPr>
                <w:sz w:val="20"/>
                <w:szCs w:val="20"/>
                <w:color w:val="auto"/>
              </w:rPr>
            </w:pPr>
            <w:r>
              <w:rPr>
                <w:rFonts w:ascii="Arial" w:cs="Arial" w:eastAsia="Arial" w:hAnsi="Arial"/>
                <w:sz w:val="13"/>
                <w:szCs w:val="13"/>
                <w:color w:val="58595B"/>
              </w:rPr>
              <w:t>— $</w:t>
            </w:r>
          </w:p>
        </w:tc>
        <w:tc>
          <w:tcPr>
            <w:tcW w:w="100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102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100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780" w:type="dxa"/>
            <w:vAlign w:val="bottom"/>
          </w:tcPr>
          <w:p>
            <w:pPr>
              <w:jc w:val="right"/>
              <w:spacing w:after="0"/>
              <w:rPr>
                <w:sz w:val="20"/>
                <w:szCs w:val="20"/>
                <w:color w:val="auto"/>
              </w:rPr>
            </w:pPr>
            <w:r>
              <w:rPr>
                <w:rFonts w:ascii="Arial" w:cs="Arial" w:eastAsia="Arial" w:hAnsi="Arial"/>
                <w:sz w:val="13"/>
                <w:szCs w:val="13"/>
                <w:color w:val="58595B"/>
              </w:rPr>
              <w:t>—</w:t>
            </w:r>
          </w:p>
        </w:tc>
      </w:tr>
      <w:tr>
        <w:trPr>
          <w:trHeight w:val="351"/>
        </w:trPr>
        <w:tc>
          <w:tcPr>
            <w:tcW w:w="900" w:type="dxa"/>
            <w:vAlign w:val="bottom"/>
            <w:gridSpan w:val="2"/>
          </w:tcPr>
          <w:p>
            <w:pPr>
              <w:jc w:val="right"/>
              <w:ind w:right="77"/>
              <w:spacing w:after="0"/>
              <w:rPr>
                <w:sz w:val="20"/>
                <w:szCs w:val="20"/>
                <w:color w:val="auto"/>
              </w:rPr>
            </w:pPr>
            <w:r>
              <w:rPr>
                <w:rFonts w:ascii="Arial" w:cs="Arial" w:eastAsia="Arial" w:hAnsi="Arial"/>
                <w:sz w:val="13"/>
                <w:szCs w:val="13"/>
                <w:color w:val="58595B"/>
              </w:rPr>
              <w:t>— $</w:t>
            </w:r>
          </w:p>
        </w:tc>
        <w:tc>
          <w:tcPr>
            <w:tcW w:w="100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102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100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780" w:type="dxa"/>
            <w:vAlign w:val="bottom"/>
          </w:tcPr>
          <w:p>
            <w:pPr>
              <w:jc w:val="right"/>
              <w:spacing w:after="0"/>
              <w:rPr>
                <w:sz w:val="20"/>
                <w:szCs w:val="20"/>
                <w:color w:val="auto"/>
              </w:rPr>
            </w:pPr>
            <w:r>
              <w:rPr>
                <w:rFonts w:ascii="Arial" w:cs="Arial" w:eastAsia="Arial" w:hAnsi="Arial"/>
                <w:sz w:val="13"/>
                <w:szCs w:val="13"/>
                <w:color w:val="58595B"/>
              </w:rPr>
              <w:t>—</w:t>
            </w:r>
          </w:p>
        </w:tc>
      </w:tr>
      <w:tr>
        <w:trPr>
          <w:trHeight w:val="283"/>
        </w:trPr>
        <w:tc>
          <w:tcPr>
            <w:tcW w:w="900" w:type="dxa"/>
            <w:vAlign w:val="bottom"/>
            <w:gridSpan w:val="2"/>
          </w:tcPr>
          <w:p>
            <w:pPr>
              <w:jc w:val="right"/>
              <w:ind w:right="77"/>
              <w:spacing w:after="0"/>
              <w:rPr>
                <w:sz w:val="20"/>
                <w:szCs w:val="20"/>
                <w:color w:val="auto"/>
              </w:rPr>
            </w:pPr>
            <w:r>
              <w:rPr>
                <w:rFonts w:ascii="Arial" w:cs="Arial" w:eastAsia="Arial" w:hAnsi="Arial"/>
                <w:sz w:val="13"/>
                <w:szCs w:val="13"/>
                <w:color w:val="58595B"/>
              </w:rPr>
              <w:t>— $</w:t>
            </w:r>
          </w:p>
        </w:tc>
        <w:tc>
          <w:tcPr>
            <w:tcW w:w="100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102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100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780" w:type="dxa"/>
            <w:vAlign w:val="bottom"/>
          </w:tcPr>
          <w:p>
            <w:pPr>
              <w:jc w:val="right"/>
              <w:spacing w:after="0"/>
              <w:rPr>
                <w:sz w:val="20"/>
                <w:szCs w:val="20"/>
                <w:color w:val="auto"/>
              </w:rPr>
            </w:pPr>
            <w:r>
              <w:rPr>
                <w:rFonts w:ascii="Arial" w:cs="Arial" w:eastAsia="Arial" w:hAnsi="Arial"/>
                <w:sz w:val="13"/>
                <w:szCs w:val="13"/>
                <w:color w:val="58595B"/>
              </w:rPr>
              <w:t>—</w:t>
            </w:r>
          </w:p>
        </w:tc>
      </w:tr>
      <w:tr>
        <w:trPr>
          <w:trHeight w:val="203"/>
        </w:trPr>
        <w:tc>
          <w:tcPr>
            <w:tcW w:w="900" w:type="dxa"/>
            <w:vAlign w:val="bottom"/>
            <w:gridSpan w:val="2"/>
          </w:tcPr>
          <w:p>
            <w:pPr>
              <w:jc w:val="right"/>
              <w:ind w:right="77"/>
              <w:spacing w:after="0"/>
              <w:rPr>
                <w:sz w:val="20"/>
                <w:szCs w:val="20"/>
                <w:color w:val="auto"/>
              </w:rPr>
            </w:pPr>
            <w:r>
              <w:rPr>
                <w:rFonts w:ascii="Arial" w:cs="Arial" w:eastAsia="Arial" w:hAnsi="Arial"/>
                <w:sz w:val="13"/>
                <w:szCs w:val="13"/>
                <w:color w:val="58595B"/>
              </w:rPr>
              <w:t>— $</w:t>
            </w:r>
          </w:p>
        </w:tc>
        <w:tc>
          <w:tcPr>
            <w:tcW w:w="100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102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100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780" w:type="dxa"/>
            <w:vAlign w:val="bottom"/>
          </w:tcPr>
          <w:p>
            <w:pPr>
              <w:jc w:val="right"/>
              <w:spacing w:after="0"/>
              <w:rPr>
                <w:sz w:val="20"/>
                <w:szCs w:val="20"/>
                <w:color w:val="auto"/>
              </w:rPr>
            </w:pPr>
            <w:r>
              <w:rPr>
                <w:rFonts w:ascii="Arial" w:cs="Arial" w:eastAsia="Arial" w:hAnsi="Arial"/>
                <w:sz w:val="13"/>
                <w:szCs w:val="13"/>
                <w:color w:val="58595B"/>
              </w:rPr>
              <w:t>—</w:t>
            </w:r>
          </w:p>
        </w:tc>
      </w:tr>
      <w:tr>
        <w:trPr>
          <w:trHeight w:val="270"/>
        </w:trPr>
        <w:tc>
          <w:tcPr>
            <w:tcW w:w="900" w:type="dxa"/>
            <w:vAlign w:val="bottom"/>
            <w:gridSpan w:val="2"/>
          </w:tcPr>
          <w:p>
            <w:pPr>
              <w:jc w:val="right"/>
              <w:ind w:right="77"/>
              <w:spacing w:after="0"/>
              <w:rPr>
                <w:sz w:val="20"/>
                <w:szCs w:val="20"/>
                <w:color w:val="auto"/>
              </w:rPr>
            </w:pPr>
            <w:r>
              <w:rPr>
                <w:rFonts w:ascii="Arial" w:cs="Arial" w:eastAsia="Arial" w:hAnsi="Arial"/>
                <w:sz w:val="13"/>
                <w:szCs w:val="13"/>
                <w:color w:val="58595B"/>
              </w:rPr>
              <w:t>— $</w:t>
            </w:r>
          </w:p>
        </w:tc>
        <w:tc>
          <w:tcPr>
            <w:tcW w:w="100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102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1000" w:type="dxa"/>
            <w:vAlign w:val="bottom"/>
            <w:gridSpan w:val="2"/>
          </w:tcPr>
          <w:p>
            <w:pPr>
              <w:jc w:val="right"/>
              <w:ind w:right="57"/>
              <w:spacing w:after="0"/>
              <w:rPr>
                <w:sz w:val="20"/>
                <w:szCs w:val="20"/>
                <w:color w:val="auto"/>
              </w:rPr>
            </w:pPr>
            <w:r>
              <w:rPr>
                <w:rFonts w:ascii="Arial" w:cs="Arial" w:eastAsia="Arial" w:hAnsi="Arial"/>
                <w:sz w:val="13"/>
                <w:szCs w:val="13"/>
                <w:color w:val="58595B"/>
              </w:rPr>
              <w:t>— $</w:t>
            </w:r>
          </w:p>
        </w:tc>
        <w:tc>
          <w:tcPr>
            <w:tcW w:w="780" w:type="dxa"/>
            <w:vAlign w:val="bottom"/>
          </w:tcPr>
          <w:p>
            <w:pPr>
              <w:jc w:val="right"/>
              <w:spacing w:after="0"/>
              <w:rPr>
                <w:sz w:val="20"/>
                <w:szCs w:val="20"/>
                <w:color w:val="auto"/>
              </w:rPr>
            </w:pPr>
            <w:r>
              <w:rPr>
                <w:rFonts w:ascii="Arial" w:cs="Arial" w:eastAsia="Arial" w:hAnsi="Arial"/>
                <w:sz w:val="13"/>
                <w:szCs w:val="13"/>
                <w:color w:val="58595B"/>
              </w:rPr>
              <w:t>—</w:t>
            </w:r>
          </w:p>
        </w:tc>
      </w:tr>
    </w:tbl>
    <w:p>
      <w:pPr>
        <w:spacing w:after="0" w:line="261" w:lineRule="exact"/>
        <w:rPr>
          <w:sz w:val="20"/>
          <w:szCs w:val="20"/>
          <w:color w:val="auto"/>
        </w:rPr>
      </w:pPr>
    </w:p>
    <w:p>
      <w:pPr>
        <w:sectPr>
          <w:pgSz w:w="11900" w:h="16838" w:orient="portrait"/>
          <w:cols w:equalWidth="0" w:num="3">
            <w:col w:w="5640" w:space="40"/>
            <w:col w:w="80" w:space="240"/>
            <w:col w:w="5240"/>
          </w:cols>
          <w:pgMar w:left="320" w:top="121" w:right="339" w:bottom="1440" w:gutter="0" w:footer="0" w:header="0"/>
          <w:type w:val="continuous"/>
        </w:sectPr>
      </w:pPr>
    </w:p>
    <w:p>
      <w:pPr>
        <w:ind w:left="340" w:right="220" w:hanging="332"/>
        <w:spacing w:after="0" w:line="273" w:lineRule="auto"/>
        <w:tabs>
          <w:tab w:leader="none" w:pos="338"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Reflects cumulative total shareholder return (“TSR”) of the Company and of the S&amp;P 500 Healthcare Equipment &amp; Services Industry Index for the year ended December 31, 2021, the two-years ended December 31, 2022, the three years ended December 31, 2023, the four years ended December 31, 2024 and the five years ended December 31, 2025, assuming a $100 investment at the closing price on December 31, 2019 and the reinvestment of all dividends.</w:t>
      </w:r>
    </w:p>
    <w:p>
      <w:pPr>
        <w:spacing w:after="0" w:line="17" w:lineRule="exact"/>
        <w:rPr>
          <w:rFonts w:ascii="Arial" w:cs="Arial" w:eastAsia="Arial" w:hAnsi="Arial"/>
          <w:sz w:val="14"/>
          <w:szCs w:val="14"/>
          <w:color w:val="auto"/>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column presents the Company's consolidated net income as reported in our Form 10-K for each covered year.</w:t>
      </w:r>
    </w:p>
    <w:p>
      <w:pPr>
        <w:spacing w:after="0" w:line="68" w:lineRule="exact"/>
        <w:rPr>
          <w:rFonts w:ascii="Arial" w:cs="Arial" w:eastAsia="Arial" w:hAnsi="Arial"/>
          <w:sz w:val="14"/>
          <w:szCs w:val="14"/>
          <w:color w:val="auto"/>
        </w:rPr>
      </w:pPr>
    </w:p>
    <w:p>
      <w:pPr>
        <w:ind w:left="340" w:right="60" w:hanging="332"/>
        <w:spacing w:after="0" w:line="267" w:lineRule="auto"/>
        <w:tabs>
          <w:tab w:leader="none" w:pos="338"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determined Revenue to be the most important financial performance measure used to link Company performance to Compensation Actually Paid to our PEO and Non-PEO NEOs in 2022, 2023, 2024, and 2025. This performance measure may not have been the most important financial performance measure for year 2021 and we may determine a different financial performance measure to be the most important financial performance measure in future years. Revenue for annual bonus pool purposes is defined as reported revenue adjusted for foreign exchange impact against budget and may exclude or include certain transactions depending on their timing, such as acquisitions or divestitures, if these items were not included in the performance target. See "Appendix A - Reconciliation of Annual Cash Bonus Program Performance Metrics".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Tabular List of Most Important Financial Measures</w:t>
      </w:r>
    </w:p>
    <w:p>
      <w:pPr>
        <w:spacing w:after="0" w:line="208" w:lineRule="exact"/>
        <w:rPr>
          <w:sz w:val="20"/>
          <w:szCs w:val="20"/>
          <w:color w:val="auto"/>
        </w:rPr>
      </w:pPr>
    </w:p>
    <w:p>
      <w:pPr>
        <w:ind w:right="380"/>
        <w:spacing w:after="0" w:line="337" w:lineRule="auto"/>
        <w:rPr>
          <w:sz w:val="20"/>
          <w:szCs w:val="20"/>
          <w:color w:val="auto"/>
        </w:rPr>
      </w:pPr>
      <w:r>
        <w:rPr>
          <w:rFonts w:ascii="Arial" w:cs="Arial" w:eastAsia="Arial" w:hAnsi="Arial"/>
          <w:sz w:val="16"/>
          <w:szCs w:val="16"/>
          <w:color w:val="58595B"/>
        </w:rPr>
        <w:t>The following table presents the financial performance measures that the Company considers to have been the most important in linking Compensation Actually Paid to our PEO and Non-PEO NEOs to the Company’s performance.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-10160</wp:posOffset>
            </wp:positionV>
            <wp:extent cx="2400300" cy="1797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00300" cy="17970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4"/>
          <w:szCs w:val="14"/>
          <w:b w:val="1"/>
          <w:bCs w:val="1"/>
          <w:color w:val="FFFFFF"/>
        </w:rPr>
        <w:t>Important 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66675</wp:posOffset>
            </wp:positionV>
            <wp:extent cx="2400300" cy="146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400300" cy="146050"/>
                    </a:xfrm>
                    <a:prstGeom prst="rect">
                      <a:avLst/>
                    </a:prstGeom>
                    <a:noFill/>
                  </pic:spPr>
                </pic:pic>
              </a:graphicData>
            </a:graphic>
          </wp:anchor>
        </w:drawing>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58595B"/>
        </w:rPr>
        <w:t>Revenue</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58595B"/>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32385</wp:posOffset>
            </wp:positionV>
            <wp:extent cx="2400300" cy="146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400300" cy="146050"/>
                    </a:xfrm>
                    <a:prstGeom prst="rect">
                      <a:avLst/>
                    </a:prstGeom>
                    <a:noFill/>
                  </pic:spPr>
                </pic:pic>
              </a:graphicData>
            </a:graphic>
          </wp:anchor>
        </w:drawing>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58595B"/>
        </w:rPr>
        <w:t>Operating Cash Flow</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58595B"/>
        </w:rPr>
        <w:t>Annual Organic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32385</wp:posOffset>
            </wp:positionV>
            <wp:extent cx="24003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Compensation Actually Paid Versus Company Performance</w:t>
      </w:r>
    </w:p>
    <w:p>
      <w:pPr>
        <w:spacing w:after="0" w:line="72" w:lineRule="exact"/>
        <w:rPr>
          <w:sz w:val="20"/>
          <w:szCs w:val="20"/>
          <w:color w:val="auto"/>
        </w:rPr>
      </w:pPr>
    </w:p>
    <w:p>
      <w:pPr>
        <w:ind w:right="1020"/>
        <w:spacing w:after="0" w:line="339" w:lineRule="auto"/>
        <w:rPr>
          <w:sz w:val="20"/>
          <w:szCs w:val="20"/>
          <w:color w:val="auto"/>
        </w:rPr>
      </w:pPr>
      <w:r>
        <w:rPr>
          <w:rFonts w:ascii="Arial" w:cs="Arial" w:eastAsia="Arial" w:hAnsi="Arial"/>
          <w:sz w:val="16"/>
          <w:szCs w:val="16"/>
          <w:color w:val="58595B"/>
        </w:rPr>
        <w:t>The following charts provide a clear, visual depiction of the relationships between the compensation actually paid for our PEO and the average compensation actually paid for our Non-PEO NEOs, to aspects of Integra's financial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PEO and Average Non-PEO NEO Compensation Actually Paid vs Company TSR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132080</wp:posOffset>
            </wp:positionV>
            <wp:extent cx="5966460" cy="45434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66460" cy="454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72</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PEO and Average Non-PEO NEO Compensation Actually Paid vs 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269240</wp:posOffset>
            </wp:positionV>
            <wp:extent cx="5966460" cy="33261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96646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PEO and Average Non-PEO NEO Compensation Actually Paid vs Company Selected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132080</wp:posOffset>
            </wp:positionV>
            <wp:extent cx="5966460" cy="27343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646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36"/>
          <w:szCs w:val="36"/>
          <w:color w:val="009845"/>
        </w:rPr>
        <w:t>EQUITY COMPENSATION PLAN INFORMATION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provides information as of December 31, 2025 regarding existing compensation plans (including individual compensation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under which equity securities of the Company are authorized for issuance: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0" w:type="dxa"/>
            <w:vAlign w:val="bottom"/>
            <w:shd w:val="clear" w:color="auto" w:fill="EFEDED"/>
          </w:tcPr>
          <w:p>
            <w:pPr>
              <w:spacing w:after="0"/>
              <w:rPr>
                <w:sz w:val="16"/>
                <w:szCs w:val="16"/>
                <w:color w:val="auto"/>
              </w:rPr>
            </w:pPr>
          </w:p>
        </w:tc>
        <w:tc>
          <w:tcPr>
            <w:tcW w:w="2560" w:type="dxa"/>
            <w:vAlign w:val="bottom"/>
            <w:shd w:val="clear" w:color="auto" w:fill="EFEDED"/>
          </w:tcPr>
          <w:p>
            <w:pPr>
              <w:spacing w:after="0"/>
              <w:rPr>
                <w:sz w:val="16"/>
                <w:szCs w:val="16"/>
                <w:color w:val="auto"/>
              </w:rPr>
            </w:pPr>
          </w:p>
        </w:tc>
        <w:tc>
          <w:tcPr>
            <w:tcW w:w="2160" w:type="dxa"/>
            <w:vAlign w:val="bottom"/>
            <w:shd w:val="clear" w:color="auto" w:fill="EFEDED"/>
          </w:tcPr>
          <w:p>
            <w:pPr>
              <w:spacing w:after="0"/>
              <w:rPr>
                <w:sz w:val="16"/>
                <w:szCs w:val="16"/>
                <w:color w:val="auto"/>
              </w:rPr>
            </w:pPr>
          </w:p>
        </w:tc>
        <w:tc>
          <w:tcPr>
            <w:tcW w:w="2320" w:type="dxa"/>
            <w:vAlign w:val="bottom"/>
            <w:shd w:val="clear" w:color="auto" w:fill="EFEDED"/>
          </w:tcPr>
          <w:p>
            <w:pPr>
              <w:jc w:val="center"/>
              <w:ind w:right="288"/>
              <w:spacing w:after="0"/>
              <w:rPr>
                <w:sz w:val="20"/>
                <w:szCs w:val="20"/>
                <w:color w:val="auto"/>
              </w:rPr>
            </w:pPr>
            <w:r>
              <w:rPr>
                <w:rFonts w:ascii="Arial" w:cs="Arial" w:eastAsia="Arial" w:hAnsi="Arial"/>
                <w:sz w:val="14"/>
                <w:szCs w:val="14"/>
                <w:b w:val="1"/>
                <w:bCs w:val="1"/>
                <w:color w:val="58595B"/>
              </w:rPr>
              <w:t>Number of Securities</w:t>
            </w:r>
          </w:p>
        </w:tc>
      </w:tr>
      <w:tr>
        <w:trPr>
          <w:trHeight w:val="162"/>
        </w:trPr>
        <w:tc>
          <w:tcPr>
            <w:tcW w:w="4200" w:type="dxa"/>
            <w:vAlign w:val="bottom"/>
            <w:shd w:val="clear" w:color="auto" w:fill="EFEDED"/>
          </w:tcPr>
          <w:p>
            <w:pPr>
              <w:spacing w:after="0"/>
              <w:rPr>
                <w:sz w:val="14"/>
                <w:szCs w:val="14"/>
                <w:color w:val="auto"/>
              </w:rPr>
            </w:pPr>
          </w:p>
        </w:tc>
        <w:tc>
          <w:tcPr>
            <w:tcW w:w="2560" w:type="dxa"/>
            <w:vAlign w:val="bottom"/>
            <w:shd w:val="clear" w:color="auto" w:fill="EFEDED"/>
          </w:tcPr>
          <w:p>
            <w:pPr>
              <w:jc w:val="center"/>
              <w:ind w:right="68"/>
              <w:spacing w:after="0"/>
              <w:rPr>
                <w:sz w:val="20"/>
                <w:szCs w:val="20"/>
                <w:color w:val="auto"/>
              </w:rPr>
            </w:pPr>
            <w:r>
              <w:rPr>
                <w:rFonts w:ascii="Arial" w:cs="Arial" w:eastAsia="Arial" w:hAnsi="Arial"/>
                <w:sz w:val="14"/>
                <w:szCs w:val="14"/>
                <w:b w:val="1"/>
                <w:bCs w:val="1"/>
                <w:color w:val="58595B"/>
              </w:rPr>
              <w:t>Number of Securities to</w:t>
            </w:r>
          </w:p>
        </w:tc>
        <w:tc>
          <w:tcPr>
            <w:tcW w:w="2160" w:type="dxa"/>
            <w:vAlign w:val="bottom"/>
            <w:shd w:val="clear" w:color="auto" w:fill="EFEDED"/>
          </w:tcPr>
          <w:p>
            <w:pPr>
              <w:jc w:val="center"/>
              <w:ind w:right="288"/>
              <w:spacing w:after="0"/>
              <w:rPr>
                <w:sz w:val="20"/>
                <w:szCs w:val="20"/>
                <w:color w:val="auto"/>
              </w:rPr>
            </w:pPr>
            <w:r>
              <w:rPr>
                <w:rFonts w:ascii="Arial" w:cs="Arial" w:eastAsia="Arial" w:hAnsi="Arial"/>
                <w:sz w:val="14"/>
                <w:szCs w:val="14"/>
                <w:b w:val="1"/>
                <w:bCs w:val="1"/>
                <w:color w:val="58595B"/>
              </w:rPr>
              <w:t>Weighted–Average</w:t>
            </w:r>
          </w:p>
        </w:tc>
        <w:tc>
          <w:tcPr>
            <w:tcW w:w="2320" w:type="dxa"/>
            <w:vAlign w:val="bottom"/>
            <w:shd w:val="clear" w:color="auto" w:fill="EFEDED"/>
          </w:tcPr>
          <w:p>
            <w:pPr>
              <w:jc w:val="center"/>
              <w:ind w:right="288"/>
              <w:spacing w:after="0"/>
              <w:rPr>
                <w:sz w:val="20"/>
                <w:szCs w:val="20"/>
                <w:color w:val="auto"/>
              </w:rPr>
            </w:pPr>
            <w:r>
              <w:rPr>
                <w:rFonts w:ascii="Arial" w:cs="Arial" w:eastAsia="Arial" w:hAnsi="Arial"/>
                <w:sz w:val="14"/>
                <w:szCs w:val="14"/>
                <w:b w:val="1"/>
                <w:bCs w:val="1"/>
                <w:color w:val="58595B"/>
              </w:rPr>
              <w:t>Remaining Available for</w:t>
            </w:r>
          </w:p>
        </w:tc>
      </w:tr>
      <w:tr>
        <w:trPr>
          <w:trHeight w:val="175"/>
        </w:trPr>
        <w:tc>
          <w:tcPr>
            <w:tcW w:w="4200" w:type="dxa"/>
            <w:vAlign w:val="bottom"/>
            <w:shd w:val="clear" w:color="auto" w:fill="EFEDED"/>
          </w:tcPr>
          <w:p>
            <w:pPr>
              <w:spacing w:after="0"/>
              <w:rPr>
                <w:sz w:val="15"/>
                <w:szCs w:val="15"/>
                <w:color w:val="auto"/>
              </w:rPr>
            </w:pPr>
          </w:p>
        </w:tc>
        <w:tc>
          <w:tcPr>
            <w:tcW w:w="2560" w:type="dxa"/>
            <w:vAlign w:val="bottom"/>
            <w:shd w:val="clear" w:color="auto" w:fill="EFEDED"/>
          </w:tcPr>
          <w:p>
            <w:pPr>
              <w:jc w:val="center"/>
              <w:ind w:right="68"/>
              <w:spacing w:after="0"/>
              <w:rPr>
                <w:sz w:val="20"/>
                <w:szCs w:val="20"/>
                <w:color w:val="auto"/>
              </w:rPr>
            </w:pPr>
            <w:r>
              <w:rPr>
                <w:rFonts w:ascii="Arial" w:cs="Arial" w:eastAsia="Arial" w:hAnsi="Arial"/>
                <w:sz w:val="14"/>
                <w:szCs w:val="14"/>
                <w:b w:val="1"/>
                <w:bCs w:val="1"/>
                <w:color w:val="58595B"/>
              </w:rPr>
              <w:t>be Issued Upon Exercise</w:t>
            </w:r>
          </w:p>
        </w:tc>
        <w:tc>
          <w:tcPr>
            <w:tcW w:w="2160" w:type="dxa"/>
            <w:vAlign w:val="bottom"/>
            <w:shd w:val="clear" w:color="auto" w:fill="EFEDED"/>
          </w:tcPr>
          <w:p>
            <w:pPr>
              <w:jc w:val="center"/>
              <w:ind w:right="288"/>
              <w:spacing w:after="0"/>
              <w:rPr>
                <w:sz w:val="20"/>
                <w:szCs w:val="20"/>
                <w:color w:val="auto"/>
              </w:rPr>
            </w:pPr>
            <w:r>
              <w:rPr>
                <w:rFonts w:ascii="Arial" w:cs="Arial" w:eastAsia="Arial" w:hAnsi="Arial"/>
                <w:sz w:val="14"/>
                <w:szCs w:val="14"/>
                <w:b w:val="1"/>
                <w:bCs w:val="1"/>
                <w:color w:val="58595B"/>
              </w:rPr>
              <w:t>Exercise Price of</w:t>
            </w:r>
          </w:p>
        </w:tc>
        <w:tc>
          <w:tcPr>
            <w:tcW w:w="2320" w:type="dxa"/>
            <w:vAlign w:val="bottom"/>
            <w:shd w:val="clear" w:color="auto" w:fill="EFEDED"/>
          </w:tcPr>
          <w:p>
            <w:pPr>
              <w:jc w:val="center"/>
              <w:ind w:right="288"/>
              <w:spacing w:after="0"/>
              <w:rPr>
                <w:sz w:val="20"/>
                <w:szCs w:val="20"/>
                <w:color w:val="auto"/>
              </w:rPr>
            </w:pPr>
            <w:r>
              <w:rPr>
                <w:rFonts w:ascii="Arial" w:cs="Arial" w:eastAsia="Arial" w:hAnsi="Arial"/>
                <w:sz w:val="14"/>
                <w:szCs w:val="14"/>
                <w:b w:val="1"/>
                <w:bCs w:val="1"/>
                <w:color w:val="58595B"/>
              </w:rPr>
              <w:t>Future Issuance Under</w:t>
            </w:r>
          </w:p>
        </w:tc>
      </w:tr>
      <w:tr>
        <w:trPr>
          <w:trHeight w:val="176"/>
        </w:trPr>
        <w:tc>
          <w:tcPr>
            <w:tcW w:w="4200" w:type="dxa"/>
            <w:vAlign w:val="bottom"/>
            <w:shd w:val="clear" w:color="auto" w:fill="EFEDED"/>
          </w:tcPr>
          <w:p>
            <w:pPr>
              <w:spacing w:after="0"/>
              <w:rPr>
                <w:sz w:val="15"/>
                <w:szCs w:val="15"/>
                <w:color w:val="auto"/>
              </w:rPr>
            </w:pPr>
          </w:p>
        </w:tc>
        <w:tc>
          <w:tcPr>
            <w:tcW w:w="2560" w:type="dxa"/>
            <w:vAlign w:val="bottom"/>
            <w:shd w:val="clear" w:color="auto" w:fill="EFEDED"/>
          </w:tcPr>
          <w:p>
            <w:pPr>
              <w:jc w:val="center"/>
              <w:ind w:right="48"/>
              <w:spacing w:after="0"/>
              <w:rPr>
                <w:sz w:val="20"/>
                <w:szCs w:val="20"/>
                <w:color w:val="auto"/>
              </w:rPr>
            </w:pPr>
            <w:r>
              <w:rPr>
                <w:rFonts w:ascii="Arial" w:cs="Arial" w:eastAsia="Arial" w:hAnsi="Arial"/>
                <w:sz w:val="14"/>
                <w:szCs w:val="14"/>
                <w:b w:val="1"/>
                <w:bCs w:val="1"/>
                <w:color w:val="58595B"/>
              </w:rPr>
              <w:t>of Outstanding Options,</w:t>
            </w:r>
          </w:p>
        </w:tc>
        <w:tc>
          <w:tcPr>
            <w:tcW w:w="2160" w:type="dxa"/>
            <w:vAlign w:val="bottom"/>
            <w:shd w:val="clear" w:color="auto" w:fill="EFEDED"/>
          </w:tcPr>
          <w:p>
            <w:pPr>
              <w:jc w:val="center"/>
              <w:ind w:right="288"/>
              <w:spacing w:after="0"/>
              <w:rPr>
                <w:sz w:val="20"/>
                <w:szCs w:val="20"/>
                <w:color w:val="auto"/>
              </w:rPr>
            </w:pPr>
            <w:r>
              <w:rPr>
                <w:rFonts w:ascii="Arial" w:cs="Arial" w:eastAsia="Arial" w:hAnsi="Arial"/>
                <w:sz w:val="14"/>
                <w:szCs w:val="14"/>
                <w:b w:val="1"/>
                <w:bCs w:val="1"/>
                <w:color w:val="58595B"/>
              </w:rPr>
              <w:t>Outstanding Options,</w:t>
            </w:r>
          </w:p>
        </w:tc>
        <w:tc>
          <w:tcPr>
            <w:tcW w:w="2320" w:type="dxa"/>
            <w:vAlign w:val="bottom"/>
            <w:shd w:val="clear" w:color="auto" w:fill="EFEDED"/>
          </w:tcPr>
          <w:p>
            <w:pPr>
              <w:jc w:val="center"/>
              <w:ind w:right="288"/>
              <w:spacing w:after="0"/>
              <w:rPr>
                <w:sz w:val="20"/>
                <w:szCs w:val="20"/>
                <w:color w:val="auto"/>
              </w:rPr>
            </w:pPr>
            <w:r>
              <w:rPr>
                <w:rFonts w:ascii="Arial" w:cs="Arial" w:eastAsia="Arial" w:hAnsi="Arial"/>
                <w:sz w:val="14"/>
                <w:szCs w:val="14"/>
                <w:b w:val="1"/>
                <w:bCs w:val="1"/>
                <w:color w:val="58595B"/>
              </w:rPr>
              <w:t>Equity Compensation</w:t>
            </w:r>
          </w:p>
        </w:tc>
      </w:tr>
      <w:tr>
        <w:trPr>
          <w:trHeight w:val="212"/>
        </w:trPr>
        <w:tc>
          <w:tcPr>
            <w:tcW w:w="4200" w:type="dxa"/>
            <w:vAlign w:val="bottom"/>
            <w:shd w:val="clear" w:color="auto" w:fill="EFEDED"/>
          </w:tcPr>
          <w:p>
            <w:pPr>
              <w:ind w:left="140"/>
              <w:spacing w:after="0"/>
              <w:rPr>
                <w:sz w:val="20"/>
                <w:szCs w:val="20"/>
                <w:color w:val="auto"/>
              </w:rPr>
            </w:pPr>
            <w:r>
              <w:rPr>
                <w:rFonts w:ascii="Arial" w:cs="Arial" w:eastAsia="Arial" w:hAnsi="Arial"/>
                <w:sz w:val="14"/>
                <w:szCs w:val="14"/>
                <w:b w:val="1"/>
                <w:bCs w:val="1"/>
                <w:color w:val="58595B"/>
              </w:rPr>
              <w:t>Plan Category</w:t>
            </w:r>
          </w:p>
        </w:tc>
        <w:tc>
          <w:tcPr>
            <w:tcW w:w="2560" w:type="dxa"/>
            <w:vAlign w:val="bottom"/>
            <w:shd w:val="clear" w:color="auto" w:fill="EFEDED"/>
          </w:tcPr>
          <w:p>
            <w:pPr>
              <w:jc w:val="center"/>
              <w:ind w:right="48"/>
              <w:spacing w:after="0"/>
              <w:rPr>
                <w:sz w:val="20"/>
                <w:szCs w:val="20"/>
                <w:color w:val="auto"/>
              </w:rPr>
            </w:pPr>
            <w:r>
              <w:rPr>
                <w:rFonts w:ascii="Arial" w:cs="Arial" w:eastAsia="Arial" w:hAnsi="Arial"/>
                <w:sz w:val="14"/>
                <w:szCs w:val="14"/>
                <w:b w:val="1"/>
                <w:bCs w:val="1"/>
                <w:color w:val="58595B"/>
              </w:rPr>
              <w:t>Warrants and Rights</w:t>
            </w:r>
          </w:p>
        </w:tc>
        <w:tc>
          <w:tcPr>
            <w:tcW w:w="2160" w:type="dxa"/>
            <w:vAlign w:val="bottom"/>
            <w:shd w:val="clear" w:color="auto" w:fill="EFEDED"/>
          </w:tcPr>
          <w:p>
            <w:pPr>
              <w:jc w:val="center"/>
              <w:ind w:right="288"/>
              <w:spacing w:after="0"/>
              <w:rPr>
                <w:sz w:val="20"/>
                <w:szCs w:val="20"/>
                <w:color w:val="auto"/>
              </w:rPr>
            </w:pPr>
            <w:r>
              <w:rPr>
                <w:rFonts w:ascii="Arial" w:cs="Arial" w:eastAsia="Arial" w:hAnsi="Arial"/>
                <w:sz w:val="14"/>
                <w:szCs w:val="14"/>
                <w:b w:val="1"/>
                <w:bCs w:val="1"/>
                <w:color w:val="58595B"/>
              </w:rPr>
              <w:t>Warrants and Rights</w:t>
            </w:r>
          </w:p>
        </w:tc>
        <w:tc>
          <w:tcPr>
            <w:tcW w:w="2320" w:type="dxa"/>
            <w:vAlign w:val="bottom"/>
            <w:shd w:val="clear" w:color="auto" w:fill="EFEDED"/>
          </w:tcPr>
          <w:p>
            <w:pPr>
              <w:jc w:val="center"/>
              <w:ind w:right="288"/>
              <w:spacing w:after="0"/>
              <w:rPr>
                <w:sz w:val="20"/>
                <w:szCs w:val="20"/>
                <w:color w:val="auto"/>
              </w:rPr>
            </w:pPr>
            <w:r>
              <w:rPr>
                <w:rFonts w:ascii="Arial" w:cs="Arial" w:eastAsia="Arial" w:hAnsi="Arial"/>
                <w:sz w:val="14"/>
                <w:szCs w:val="14"/>
                <w:b w:val="1"/>
                <w:bCs w:val="1"/>
                <w:color w:val="58595B"/>
              </w:rPr>
              <w:t>Plans(1)</w:t>
            </w:r>
          </w:p>
        </w:tc>
      </w:tr>
      <w:tr>
        <w:trPr>
          <w:trHeight w:val="222"/>
        </w:trPr>
        <w:tc>
          <w:tcPr>
            <w:tcW w:w="4200" w:type="dxa"/>
            <w:vAlign w:val="bottom"/>
          </w:tcPr>
          <w:p>
            <w:pPr>
              <w:ind w:left="140"/>
              <w:spacing w:after="0"/>
              <w:rPr>
                <w:sz w:val="20"/>
                <w:szCs w:val="20"/>
                <w:color w:val="auto"/>
              </w:rPr>
            </w:pPr>
            <w:r>
              <w:rPr>
                <w:rFonts w:ascii="Arial" w:cs="Arial" w:eastAsia="Arial" w:hAnsi="Arial"/>
                <w:sz w:val="14"/>
                <w:szCs w:val="14"/>
                <w:b w:val="1"/>
                <w:bCs w:val="1"/>
                <w:color w:val="58595B"/>
              </w:rPr>
              <w:t>Equity compensation plans approved by stockholders</w:t>
            </w:r>
          </w:p>
        </w:tc>
        <w:tc>
          <w:tcPr>
            <w:tcW w:w="2560" w:type="dxa"/>
            <w:vAlign w:val="bottom"/>
          </w:tcPr>
          <w:p>
            <w:pPr>
              <w:ind w:left="1520"/>
              <w:spacing w:after="0"/>
              <w:rPr>
                <w:sz w:val="20"/>
                <w:szCs w:val="20"/>
                <w:color w:val="auto"/>
              </w:rPr>
            </w:pPr>
            <w:r>
              <w:rPr>
                <w:rFonts w:ascii="Arial" w:cs="Arial" w:eastAsia="Arial" w:hAnsi="Arial"/>
                <w:sz w:val="14"/>
                <w:szCs w:val="14"/>
                <w:color w:val="58595B"/>
              </w:rPr>
              <w:t>3,471,553 (2)</w:t>
            </w:r>
          </w:p>
        </w:tc>
        <w:tc>
          <w:tcPr>
            <w:tcW w:w="2160" w:type="dxa"/>
            <w:vAlign w:val="bottom"/>
          </w:tcPr>
          <w:p>
            <w:pPr>
              <w:ind w:left="1420"/>
              <w:spacing w:after="0"/>
              <w:rPr>
                <w:sz w:val="20"/>
                <w:szCs w:val="20"/>
                <w:color w:val="auto"/>
              </w:rPr>
            </w:pPr>
            <w:r>
              <w:rPr>
                <w:rFonts w:ascii="Arial" w:cs="Arial" w:eastAsia="Arial" w:hAnsi="Arial"/>
                <w:sz w:val="14"/>
                <w:szCs w:val="14"/>
                <w:color w:val="58595B"/>
              </w:rPr>
              <w:t>42.73 (3)</w:t>
            </w:r>
          </w:p>
        </w:tc>
        <w:tc>
          <w:tcPr>
            <w:tcW w:w="2320" w:type="dxa"/>
            <w:vAlign w:val="bottom"/>
          </w:tcPr>
          <w:p>
            <w:pPr>
              <w:ind w:left="1280"/>
              <w:spacing w:after="0"/>
              <w:rPr>
                <w:sz w:val="20"/>
                <w:szCs w:val="20"/>
                <w:color w:val="auto"/>
              </w:rPr>
            </w:pPr>
            <w:r>
              <w:rPr>
                <w:rFonts w:ascii="Arial" w:cs="Arial" w:eastAsia="Arial" w:hAnsi="Arial"/>
                <w:sz w:val="14"/>
                <w:szCs w:val="14"/>
                <w:color w:val="58595B"/>
              </w:rPr>
              <w:t>6,452,491 (4)</w:t>
            </w:r>
          </w:p>
        </w:tc>
      </w:tr>
      <w:tr>
        <w:trPr>
          <w:trHeight w:val="231"/>
        </w:trPr>
        <w:tc>
          <w:tcPr>
            <w:tcW w:w="4200" w:type="dxa"/>
            <w:vAlign w:val="bottom"/>
            <w:tcBorders>
              <w:bottom w:val="single" w:sz="8" w:color="58595B"/>
            </w:tcBorders>
            <w:shd w:val="clear" w:color="auto" w:fill="EFEDED"/>
          </w:tcPr>
          <w:p>
            <w:pPr>
              <w:ind w:left="140"/>
              <w:spacing w:after="0"/>
              <w:rPr>
                <w:sz w:val="20"/>
                <w:szCs w:val="20"/>
                <w:color w:val="auto"/>
              </w:rPr>
            </w:pPr>
            <w:r>
              <w:rPr>
                <w:rFonts w:ascii="Arial" w:cs="Arial" w:eastAsia="Arial" w:hAnsi="Arial"/>
                <w:sz w:val="14"/>
                <w:szCs w:val="14"/>
                <w:b w:val="1"/>
                <w:bCs w:val="1"/>
                <w:color w:val="58595B"/>
              </w:rPr>
              <w:t>Total</w:t>
            </w:r>
          </w:p>
        </w:tc>
        <w:tc>
          <w:tcPr>
            <w:tcW w:w="2560" w:type="dxa"/>
            <w:vAlign w:val="bottom"/>
            <w:tcBorders>
              <w:bottom w:val="single" w:sz="8" w:color="58595B"/>
            </w:tcBorders>
            <w:shd w:val="clear" w:color="auto" w:fill="EFEDED"/>
          </w:tcPr>
          <w:p>
            <w:pPr>
              <w:ind w:left="1520"/>
              <w:spacing w:after="0"/>
              <w:rPr>
                <w:sz w:val="20"/>
                <w:szCs w:val="20"/>
                <w:color w:val="auto"/>
              </w:rPr>
            </w:pPr>
            <w:r>
              <w:rPr>
                <w:rFonts w:ascii="Arial" w:cs="Arial" w:eastAsia="Arial" w:hAnsi="Arial"/>
                <w:sz w:val="14"/>
                <w:szCs w:val="14"/>
                <w:color w:val="58595B"/>
              </w:rPr>
              <w:t>3,471,553</w:t>
            </w:r>
          </w:p>
        </w:tc>
        <w:tc>
          <w:tcPr>
            <w:tcW w:w="2160" w:type="dxa"/>
            <w:vAlign w:val="bottom"/>
            <w:tcBorders>
              <w:bottom w:val="single" w:sz="8" w:color="58595B"/>
            </w:tcBorders>
            <w:shd w:val="clear" w:color="auto" w:fill="EFEDED"/>
          </w:tcPr>
          <w:p>
            <w:pPr>
              <w:ind w:left="1420"/>
              <w:spacing w:after="0"/>
              <w:rPr>
                <w:sz w:val="20"/>
                <w:szCs w:val="20"/>
                <w:color w:val="auto"/>
              </w:rPr>
            </w:pPr>
            <w:r>
              <w:rPr>
                <w:rFonts w:ascii="Arial" w:cs="Arial" w:eastAsia="Arial" w:hAnsi="Arial"/>
                <w:sz w:val="14"/>
                <w:szCs w:val="14"/>
                <w:color w:val="58595B"/>
              </w:rPr>
              <w:t>42.73</w:t>
            </w:r>
          </w:p>
        </w:tc>
        <w:tc>
          <w:tcPr>
            <w:tcW w:w="2320" w:type="dxa"/>
            <w:vAlign w:val="bottom"/>
            <w:tcBorders>
              <w:bottom w:val="single" w:sz="8" w:color="58595B"/>
            </w:tcBorders>
            <w:shd w:val="clear" w:color="auto" w:fill="EFEDED"/>
          </w:tcPr>
          <w:p>
            <w:pPr>
              <w:ind w:left="1280"/>
              <w:spacing w:after="0"/>
              <w:rPr>
                <w:sz w:val="20"/>
                <w:szCs w:val="20"/>
                <w:color w:val="auto"/>
              </w:rPr>
            </w:pPr>
            <w:r>
              <w:rPr>
                <w:rFonts w:ascii="Arial" w:cs="Arial" w:eastAsia="Arial" w:hAnsi="Arial"/>
                <w:sz w:val="14"/>
                <w:szCs w:val="14"/>
                <w:color w:val="58595B"/>
              </w:rPr>
              <w:t>6,452,491</w:t>
            </w:r>
          </w:p>
        </w:tc>
      </w:tr>
    </w:tbl>
    <w:p>
      <w:pPr>
        <w:spacing w:after="0" w:line="126"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Excludes securities to be issued upon the exercise of outstanding options, warrants and rights.</w:t>
      </w:r>
    </w:p>
    <w:p>
      <w:pPr>
        <w:spacing w:after="0" w:line="68" w:lineRule="exact"/>
        <w:rPr>
          <w:rFonts w:ascii="Arial" w:cs="Arial" w:eastAsia="Arial" w:hAnsi="Arial"/>
          <w:sz w:val="14"/>
          <w:szCs w:val="14"/>
          <w:color w:val="auto"/>
        </w:rPr>
      </w:pPr>
    </w:p>
    <w:p>
      <w:pPr>
        <w:ind w:left="340" w:right="160" w:hanging="332"/>
        <w:spacing w:after="0" w:line="261" w:lineRule="auto"/>
        <w:tabs>
          <w:tab w:leader="none" w:pos="338"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Consists of (a) 279,553 shares of common stock underlying unvested Restricted Stock Units, (b) 72,703 shares of common stock underlying vested and deferred Restricted Stock Units, (c) No shares of common stock underlying outstanding unvested contract stock, (d) 615,365 shares of common stock underlying outstanding unvested options, (e) 1,764,821 shares underlying unvested Performance Stock Units, (f) no shares of common stock underlying vested and deferred Performance Stock Units, (g) no shares of common stock underlying vested and deferred contract stock and (h) 739,111 shares of common stock underlying outstanding vested options. Of these amounts, the following securities are issuable under the 2003 Plan: (a)279,553 shares of common stock underlying unvested Restricted Stock Units, (b) 72,703 shares of common stock underlying vested and deferred Restricted Stock Units, (c) 1,764,821 shares of common stock underlying outstanding Performance Stock Units,</w:t>
      </w:r>
    </w:p>
    <w:p>
      <w:pPr>
        <w:spacing w:after="0" w:line="3" w:lineRule="exact"/>
        <w:rPr>
          <w:rFonts w:ascii="Arial" w:cs="Arial" w:eastAsia="Arial" w:hAnsi="Arial"/>
          <w:sz w:val="14"/>
          <w:szCs w:val="14"/>
          <w:color w:val="auto"/>
        </w:rPr>
      </w:pPr>
    </w:p>
    <w:p>
      <w:pPr>
        <w:ind w:left="340" w:right="40"/>
        <w:spacing w:after="0" w:line="283" w:lineRule="auto"/>
        <w:rPr>
          <w:rFonts w:ascii="Arial" w:cs="Arial" w:eastAsia="Arial" w:hAnsi="Arial"/>
          <w:sz w:val="14"/>
          <w:szCs w:val="14"/>
          <w:color w:val="auto"/>
        </w:rPr>
      </w:pPr>
      <w:r>
        <w:rPr>
          <w:rFonts w:ascii="Arial" w:cs="Arial" w:eastAsia="Arial" w:hAnsi="Arial"/>
          <w:sz w:val="14"/>
          <w:szCs w:val="14"/>
          <w:color w:val="auto"/>
        </w:rPr>
        <w:t>(d) no shares underlying vested and deferred Performance Stock Units, (e) no shares of common stock underlying contract stock and (f) 1,354,476 shares of common stock underlying outstanding options. Performance Stock Units granted in March 2023, March 2024 &amp; March 2025 which are vesting in March 2026 are calculated at 0% of Target.</w:t>
      </w:r>
    </w:p>
    <w:p>
      <w:pPr>
        <w:spacing w:after="0" w:line="173" w:lineRule="exact"/>
        <w:rPr>
          <w:rFonts w:ascii="Arial" w:cs="Arial" w:eastAsia="Arial" w:hAnsi="Arial"/>
          <w:sz w:val="14"/>
          <w:szCs w:val="14"/>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Excluding the Restricted Stock Units, Performance Stock Units and contract stock, the weighted average exercise price is $42.73.</w:t>
      </w:r>
    </w:p>
    <w:p>
      <w:pPr>
        <w:spacing w:after="0" w:line="68" w:lineRule="exact"/>
        <w:rPr>
          <w:rFonts w:ascii="Arial" w:cs="Arial" w:eastAsia="Arial" w:hAnsi="Arial"/>
          <w:sz w:val="14"/>
          <w:szCs w:val="14"/>
          <w:color w:val="auto"/>
        </w:rPr>
      </w:pPr>
    </w:p>
    <w:p>
      <w:pPr>
        <w:ind w:left="340" w:right="540" w:hanging="332"/>
        <w:spacing w:after="0" w:line="305" w:lineRule="auto"/>
        <w:tabs>
          <w:tab w:leader="none" w:pos="338"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Consists of 1,832,176 shares of common stock which remain available for issuance under the Employee Stock Purchase Plan and, 4,620,315 shares which remain available for issuance under the 2003 Equity Incentive Plan.</w:t>
      </w:r>
    </w:p>
    <w:p>
      <w:pPr>
        <w:spacing w:after="0" w:line="31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74</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0" w:name="page81"/>
    <w:bookmarkEnd w:id="80"/>
    <w:p>
      <w:pPr>
        <w:ind w:right="2520"/>
        <w:spacing w:after="0" w:line="287" w:lineRule="auto"/>
        <w:rPr>
          <w:sz w:val="20"/>
          <w:szCs w:val="20"/>
          <w:color w:val="auto"/>
        </w:rPr>
      </w:pPr>
      <w:r>
        <w:rPr>
          <w:rFonts w:ascii="Arial" w:cs="Arial" w:eastAsia="Arial" w:hAnsi="Arial"/>
          <w:sz w:val="36"/>
          <w:szCs w:val="36"/>
          <w:color w:val="009845"/>
        </w:rPr>
        <w:t>CERTAIN RELATIONSHIPS AND RELATED PERSON TRANSACTIONS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Review and Approval of Related Person Transactions</w:t>
      </w:r>
    </w:p>
    <w:p>
      <w:pPr>
        <w:spacing w:after="0" w:line="72"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58595B"/>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110" w:lineRule="exact"/>
        <w:rPr>
          <w:sz w:val="20"/>
          <w:szCs w:val="20"/>
          <w:color w:val="auto"/>
        </w:rPr>
      </w:pPr>
    </w:p>
    <w:p>
      <w:pPr>
        <w:ind w:left="660" w:right="360" w:hanging="328"/>
        <w:spacing w:after="0" w:line="356" w:lineRule="auto"/>
        <w:tabs>
          <w:tab w:leader="none" w:pos="669" w:val="left"/>
        </w:tabs>
        <w:numPr>
          <w:ilvl w:val="0"/>
          <w:numId w:val="56"/>
        </w:numPr>
        <w:rPr>
          <w:rFonts w:ascii="Arial" w:cs="Arial" w:eastAsia="Arial" w:hAnsi="Arial"/>
          <w:sz w:val="16"/>
          <w:szCs w:val="16"/>
          <w:color w:val="58595B"/>
        </w:rPr>
      </w:pPr>
      <w:r>
        <w:rPr>
          <w:rFonts w:ascii="Arial" w:cs="Arial" w:eastAsia="Arial" w:hAnsi="Arial"/>
          <w:sz w:val="16"/>
          <w:szCs w:val="16"/>
          <w:color w:val="58595B"/>
        </w:rPr>
        <w:t>any person who is, or at any time since the beginning of the Company’s last fiscal year was, a director or executive officer of the Company or a nominee to become a director of the Company;</w:t>
      </w:r>
    </w:p>
    <w:p>
      <w:pPr>
        <w:spacing w:after="0" w:line="88" w:lineRule="exact"/>
        <w:rPr>
          <w:rFonts w:ascii="Arial" w:cs="Arial" w:eastAsia="Arial" w:hAnsi="Arial"/>
          <w:sz w:val="16"/>
          <w:szCs w:val="16"/>
          <w:color w:val="58595B"/>
        </w:rPr>
      </w:pPr>
    </w:p>
    <w:p>
      <w:pPr>
        <w:ind w:left="660" w:hanging="328"/>
        <w:spacing w:after="0"/>
        <w:tabs>
          <w:tab w:leader="none" w:pos="660" w:val="left"/>
        </w:tabs>
        <w:numPr>
          <w:ilvl w:val="0"/>
          <w:numId w:val="56"/>
        </w:numPr>
        <w:rPr>
          <w:rFonts w:ascii="Arial" w:cs="Arial" w:eastAsia="Arial" w:hAnsi="Arial"/>
          <w:sz w:val="16"/>
          <w:szCs w:val="16"/>
          <w:color w:val="58595B"/>
        </w:rPr>
      </w:pPr>
      <w:r>
        <w:rPr>
          <w:rFonts w:ascii="Arial" w:cs="Arial" w:eastAsia="Arial" w:hAnsi="Arial"/>
          <w:sz w:val="16"/>
          <w:szCs w:val="16"/>
          <w:color w:val="58595B"/>
        </w:rPr>
        <w:t>any person who is known to be the beneficial owner of more than 5% of any class of the Company’s voting securities;</w:t>
      </w:r>
    </w:p>
    <w:p>
      <w:pPr>
        <w:spacing w:after="0" w:line="221" w:lineRule="exact"/>
        <w:rPr>
          <w:rFonts w:ascii="Arial" w:cs="Arial" w:eastAsia="Arial" w:hAnsi="Arial"/>
          <w:sz w:val="16"/>
          <w:szCs w:val="16"/>
          <w:color w:val="58595B"/>
        </w:rPr>
      </w:pPr>
    </w:p>
    <w:p>
      <w:pPr>
        <w:ind w:left="660" w:hanging="328"/>
        <w:spacing w:after="0"/>
        <w:tabs>
          <w:tab w:leader="none" w:pos="660" w:val="left"/>
        </w:tabs>
        <w:numPr>
          <w:ilvl w:val="0"/>
          <w:numId w:val="56"/>
        </w:numPr>
        <w:rPr>
          <w:rFonts w:ascii="Arial" w:cs="Arial" w:eastAsia="Arial" w:hAnsi="Arial"/>
          <w:sz w:val="16"/>
          <w:szCs w:val="16"/>
          <w:color w:val="58595B"/>
        </w:rPr>
      </w:pPr>
      <w:r>
        <w:rPr>
          <w:rFonts w:ascii="Arial" w:cs="Arial" w:eastAsia="Arial" w:hAnsi="Arial"/>
          <w:sz w:val="16"/>
          <w:szCs w:val="16"/>
          <w:color w:val="58595B"/>
        </w:rPr>
        <w:t>any immediate family member of any of the foregoing persons; or</w:t>
      </w:r>
    </w:p>
    <w:p>
      <w:pPr>
        <w:spacing w:after="0" w:line="207" w:lineRule="exact"/>
        <w:rPr>
          <w:rFonts w:ascii="Arial" w:cs="Arial" w:eastAsia="Arial" w:hAnsi="Arial"/>
          <w:sz w:val="16"/>
          <w:szCs w:val="16"/>
          <w:color w:val="58595B"/>
        </w:rPr>
      </w:pPr>
    </w:p>
    <w:p>
      <w:pPr>
        <w:ind w:left="660" w:right="120" w:hanging="328"/>
        <w:spacing w:after="0" w:line="339" w:lineRule="auto"/>
        <w:tabs>
          <w:tab w:leader="none" w:pos="669" w:val="left"/>
        </w:tabs>
        <w:numPr>
          <w:ilvl w:val="0"/>
          <w:numId w:val="56"/>
        </w:numPr>
        <w:rPr>
          <w:rFonts w:ascii="Arial" w:cs="Arial" w:eastAsia="Arial" w:hAnsi="Arial"/>
          <w:sz w:val="16"/>
          <w:szCs w:val="16"/>
          <w:color w:val="58595B"/>
        </w:rPr>
      </w:pPr>
      <w:r>
        <w:rPr>
          <w:rFonts w:ascii="Arial" w:cs="Arial" w:eastAsia="Arial" w:hAnsi="Arial"/>
          <w:sz w:val="16"/>
          <w:szCs w:val="16"/>
          <w:color w:val="58595B"/>
        </w:rPr>
        <w:t>any firm, corporation or other entity in which any of the foregoing persons is employed or is a partner or principal or in a similar position or in which such person has a 5% or greater beneficial ownership interest.</w:t>
      </w:r>
    </w:p>
    <w:p>
      <w:pPr>
        <w:spacing w:after="0" w:line="115" w:lineRule="exact"/>
        <w:rPr>
          <w:sz w:val="20"/>
          <w:szCs w:val="20"/>
          <w:color w:val="auto"/>
        </w:rPr>
      </w:pPr>
    </w:p>
    <w:p>
      <w:pPr>
        <w:ind w:right="680"/>
        <w:spacing w:after="0" w:line="339" w:lineRule="auto"/>
        <w:rPr>
          <w:sz w:val="20"/>
          <w:szCs w:val="20"/>
          <w:color w:val="auto"/>
        </w:rPr>
      </w:pPr>
      <w:r>
        <w:rPr>
          <w:rFonts w:ascii="Arial" w:cs="Arial" w:eastAsia="Arial" w:hAnsi="Arial"/>
          <w:sz w:val="16"/>
          <w:szCs w:val="16"/>
          <w:color w:val="58595B"/>
        </w:rPr>
        <w:t>If the Company’s legal department determines that a proposed transaction is a transaction for which approval is required under applicable rules and regulations of the SEC, the proposed transaction shall be submitted to the Audit Committee for consideration.</w:t>
      </w:r>
    </w:p>
    <w:p>
      <w:pPr>
        <w:spacing w:after="0" w:line="11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58595B"/>
        </w:rPr>
        <w:t>The Audit Committee will consider all of the relevant facts and circumstances available to the Audit Committee, including (if applicable) but not limited to, the benefits to the Company, the impact on a director’s independence in the event the Related Person is a director, an immediate family member of a director or an entity in which a director is a partner, stockholder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127" w:lineRule="exact"/>
        <w:rPr>
          <w:sz w:val="20"/>
          <w:szCs w:val="20"/>
          <w:color w:val="auto"/>
        </w:rPr>
      </w:pPr>
    </w:p>
    <w:p>
      <w:pPr>
        <w:jc w:val="both"/>
        <w:ind w:right="120"/>
        <w:spacing w:after="0" w:line="318" w:lineRule="auto"/>
        <w:rPr>
          <w:sz w:val="20"/>
          <w:szCs w:val="20"/>
          <w:color w:val="auto"/>
        </w:rPr>
      </w:pPr>
      <w:r>
        <w:rPr>
          <w:rFonts w:ascii="Arial" w:cs="Arial" w:eastAsia="Arial" w:hAnsi="Arial"/>
          <w:sz w:val="16"/>
          <w:szCs w:val="16"/>
          <w:color w:val="58595B"/>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Related Person Transactions</w:t>
      </w:r>
    </w:p>
    <w:p>
      <w:pPr>
        <w:spacing w:after="0" w:line="72"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color w:val="58595B"/>
        </w:rPr>
        <w:t>The Company leases its manufacturing facility in Plainsboro, New Jersey from Plainsboro Associates, a New Jersey general partnership. Ocirne, Inc., a subsidiary of Provco Industries, owns a 50% interest in Plainsboro Associates. Provco Industries is the corporate general partner of Tru St. Partnership LLP, a principal stockholder of the Company. The Company paid $295,515 for rent of this facility for 2025. As of the date of this proxy statement, the Company has paid $73,878.75 for rent of this facility in 2026.</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1" w:name="page82"/>
    <w:bookmarkEnd w:id="81"/>
    <w:p>
      <w:pPr>
        <w:ind w:right="580"/>
        <w:spacing w:after="0" w:line="287" w:lineRule="auto"/>
        <w:rPr>
          <w:sz w:val="20"/>
          <w:szCs w:val="20"/>
          <w:color w:val="auto"/>
        </w:rPr>
      </w:pPr>
      <w:r>
        <w:rPr>
          <w:rFonts w:ascii="Arial" w:cs="Arial" w:eastAsia="Arial" w:hAnsi="Arial"/>
          <w:sz w:val="36"/>
          <w:szCs w:val="36"/>
          <w:color w:val="009845"/>
        </w:rPr>
        <w:t>PROPOSAL 2. RATIFICATION OF INDEPENDENT REGISTERED PUBLIC ACCOUNTING FIRM</w:t>
      </w:r>
    </w:p>
    <w:p>
      <w:pPr>
        <w:spacing w:after="0" w:line="276"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The firm of PricewaterhouseCoopers LLP served as our independent registered public accounting firm for fiscal year 2025 and has been selected by the Audit Committee to serve in the same capacity for fiscal year 2026. The stockholders will be asked to ratify this appointment at the Annual Meeting. The ratification of our independent registered public accounting firm by the stockholders is not required by law or our bylaws. We have traditionally submitted this matter to the stockholders and believe it is good practice to continue to do so.</w:t>
      </w:r>
    </w:p>
    <w:p>
      <w:pPr>
        <w:spacing w:after="0" w:line="132" w:lineRule="exact"/>
        <w:rPr>
          <w:sz w:val="20"/>
          <w:szCs w:val="20"/>
          <w:color w:val="auto"/>
        </w:rPr>
      </w:pPr>
    </w:p>
    <w:p>
      <w:pPr>
        <w:jc w:val="both"/>
        <w:ind w:right="40"/>
        <w:spacing w:after="0" w:line="319" w:lineRule="auto"/>
        <w:rPr>
          <w:sz w:val="20"/>
          <w:szCs w:val="20"/>
          <w:color w:val="auto"/>
        </w:rPr>
      </w:pPr>
      <w:r>
        <w:rPr>
          <w:rFonts w:ascii="Arial" w:cs="Arial" w:eastAsia="Arial" w:hAnsi="Arial"/>
          <w:sz w:val="16"/>
          <w:szCs w:val="16"/>
          <w:color w:val="58595B"/>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130"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58595B"/>
        </w:rPr>
        <w:t>During fiscal year 2025, PricewaterhouseCoopers LLP not only provided audit services, but also rendered other services, including tax compliance and planning services.</w:t>
      </w:r>
    </w:p>
    <w:p>
      <w:pPr>
        <w:spacing w:after="0" w:line="115"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58595B"/>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shd w:val="clear" w:color="auto" w:fill="009845"/>
          </w:tcPr>
          <w:p>
            <w:pPr>
              <w:spacing w:after="0"/>
              <w:rPr>
                <w:sz w:val="18"/>
                <w:szCs w:val="18"/>
                <w:color w:val="auto"/>
              </w:rPr>
            </w:pPr>
          </w:p>
        </w:tc>
        <w:tc>
          <w:tcPr>
            <w:tcW w:w="280" w:type="dxa"/>
            <w:vAlign w:val="bottom"/>
            <w:shd w:val="clear" w:color="auto" w:fill="009845"/>
          </w:tcPr>
          <w:p>
            <w:pPr>
              <w:spacing w:after="0"/>
              <w:rPr>
                <w:sz w:val="18"/>
                <w:szCs w:val="18"/>
                <w:color w:val="auto"/>
              </w:rPr>
            </w:pPr>
          </w:p>
        </w:tc>
        <w:tc>
          <w:tcPr>
            <w:tcW w:w="1580" w:type="dxa"/>
            <w:vAlign w:val="bottom"/>
            <w:gridSpan w:val="2"/>
            <w:shd w:val="clear" w:color="auto" w:fill="009845"/>
          </w:tcPr>
          <w:p>
            <w:pPr>
              <w:jc w:val="right"/>
              <w:ind w:right="48"/>
              <w:spacing w:after="0"/>
              <w:rPr>
                <w:sz w:val="20"/>
                <w:szCs w:val="20"/>
                <w:color w:val="auto"/>
              </w:rPr>
            </w:pPr>
            <w:r>
              <w:rPr>
                <w:rFonts w:ascii="Arial" w:cs="Arial" w:eastAsia="Arial" w:hAnsi="Arial"/>
                <w:sz w:val="14"/>
                <w:szCs w:val="14"/>
                <w:b w:val="1"/>
                <w:bCs w:val="1"/>
                <w:color w:val="FFFFFF"/>
              </w:rPr>
              <w:t>Actual Fees</w:t>
            </w:r>
          </w:p>
        </w:tc>
        <w:tc>
          <w:tcPr>
            <w:tcW w:w="820" w:type="dxa"/>
            <w:vAlign w:val="bottom"/>
            <w:shd w:val="clear" w:color="auto" w:fill="009845"/>
          </w:tcPr>
          <w:p>
            <w:pPr>
              <w:spacing w:after="0"/>
              <w:rPr>
                <w:sz w:val="18"/>
                <w:szCs w:val="18"/>
                <w:color w:val="auto"/>
              </w:rPr>
            </w:pPr>
          </w:p>
        </w:tc>
      </w:tr>
      <w:tr>
        <w:trPr>
          <w:trHeight w:val="241"/>
        </w:trPr>
        <w:tc>
          <w:tcPr>
            <w:tcW w:w="8560" w:type="dxa"/>
            <w:vAlign w:val="bottom"/>
            <w:shd w:val="clear" w:color="auto" w:fill="009845"/>
          </w:tcPr>
          <w:p>
            <w:pPr>
              <w:spacing w:after="0"/>
              <w:rPr>
                <w:sz w:val="20"/>
                <w:szCs w:val="20"/>
                <w:color w:val="auto"/>
              </w:rPr>
            </w:pPr>
          </w:p>
        </w:tc>
        <w:tc>
          <w:tcPr>
            <w:tcW w:w="280" w:type="dxa"/>
            <w:vAlign w:val="bottom"/>
            <w:shd w:val="clear" w:color="auto" w:fill="009845"/>
          </w:tcPr>
          <w:p>
            <w:pPr>
              <w:spacing w:after="0"/>
              <w:rPr>
                <w:sz w:val="20"/>
                <w:szCs w:val="20"/>
                <w:color w:val="auto"/>
              </w:rPr>
            </w:pPr>
          </w:p>
        </w:tc>
        <w:tc>
          <w:tcPr>
            <w:tcW w:w="1040" w:type="dxa"/>
            <w:vAlign w:val="bottom"/>
            <w:shd w:val="clear" w:color="auto" w:fill="009845"/>
          </w:tcPr>
          <w:p>
            <w:pPr>
              <w:jc w:val="right"/>
              <w:ind w:right="448"/>
              <w:spacing w:after="0"/>
              <w:rPr>
                <w:sz w:val="20"/>
                <w:szCs w:val="20"/>
                <w:color w:val="auto"/>
              </w:rPr>
            </w:pPr>
            <w:r>
              <w:rPr>
                <w:rFonts w:ascii="Arial" w:cs="Arial" w:eastAsia="Arial" w:hAnsi="Arial"/>
                <w:sz w:val="14"/>
                <w:szCs w:val="14"/>
                <w:b w:val="1"/>
                <w:bCs w:val="1"/>
                <w:color w:val="FFFFFF"/>
              </w:rPr>
              <w:t>2025</w:t>
            </w:r>
          </w:p>
        </w:tc>
        <w:tc>
          <w:tcPr>
            <w:tcW w:w="540" w:type="dxa"/>
            <w:vAlign w:val="bottom"/>
            <w:shd w:val="clear" w:color="auto" w:fill="009845"/>
          </w:tcPr>
          <w:p>
            <w:pPr>
              <w:spacing w:after="0"/>
              <w:rPr>
                <w:sz w:val="20"/>
                <w:szCs w:val="20"/>
                <w:color w:val="auto"/>
              </w:rPr>
            </w:pPr>
          </w:p>
        </w:tc>
        <w:tc>
          <w:tcPr>
            <w:tcW w:w="820" w:type="dxa"/>
            <w:vAlign w:val="bottom"/>
            <w:shd w:val="clear" w:color="auto" w:fill="009845"/>
          </w:tcPr>
          <w:p>
            <w:pPr>
              <w:jc w:val="right"/>
              <w:ind w:right="408"/>
              <w:spacing w:after="0"/>
              <w:rPr>
                <w:sz w:val="20"/>
                <w:szCs w:val="20"/>
                <w:color w:val="auto"/>
              </w:rPr>
            </w:pPr>
            <w:r>
              <w:rPr>
                <w:rFonts w:ascii="Arial" w:cs="Arial" w:eastAsia="Arial" w:hAnsi="Arial"/>
                <w:sz w:val="14"/>
                <w:szCs w:val="14"/>
                <w:b w:val="1"/>
                <w:bCs w:val="1"/>
                <w:color w:val="FFFFFF"/>
              </w:rPr>
              <w:t>2024</w:t>
            </w:r>
          </w:p>
        </w:tc>
      </w:tr>
      <w:tr>
        <w:trPr>
          <w:trHeight w:val="230"/>
        </w:trPr>
        <w:tc>
          <w:tcPr>
            <w:tcW w:w="8560" w:type="dxa"/>
            <w:vAlign w:val="bottom"/>
            <w:shd w:val="clear" w:color="auto" w:fill="009845"/>
          </w:tcPr>
          <w:p>
            <w:pPr>
              <w:spacing w:after="0"/>
              <w:rPr>
                <w:sz w:val="19"/>
                <w:szCs w:val="19"/>
                <w:color w:val="auto"/>
              </w:rPr>
            </w:pPr>
          </w:p>
        </w:tc>
        <w:tc>
          <w:tcPr>
            <w:tcW w:w="280" w:type="dxa"/>
            <w:vAlign w:val="bottom"/>
            <w:shd w:val="clear" w:color="auto" w:fill="009845"/>
          </w:tcPr>
          <w:p>
            <w:pPr>
              <w:spacing w:after="0"/>
              <w:rPr>
                <w:sz w:val="19"/>
                <w:szCs w:val="19"/>
                <w:color w:val="auto"/>
              </w:rPr>
            </w:pPr>
          </w:p>
        </w:tc>
        <w:tc>
          <w:tcPr>
            <w:tcW w:w="1580" w:type="dxa"/>
            <w:vAlign w:val="bottom"/>
            <w:gridSpan w:val="2"/>
            <w:shd w:val="clear" w:color="auto" w:fill="009845"/>
          </w:tcPr>
          <w:p>
            <w:pPr>
              <w:jc w:val="right"/>
              <w:spacing w:after="0"/>
              <w:rPr>
                <w:sz w:val="20"/>
                <w:szCs w:val="20"/>
                <w:color w:val="auto"/>
              </w:rPr>
            </w:pPr>
            <w:r>
              <w:rPr>
                <w:rFonts w:ascii="Arial" w:cs="Arial" w:eastAsia="Arial" w:hAnsi="Arial"/>
                <w:sz w:val="14"/>
                <w:szCs w:val="14"/>
                <w:b w:val="1"/>
                <w:bCs w:val="1"/>
                <w:color w:val="FFFFFF"/>
              </w:rPr>
              <w:t>(In thousands)</w:t>
            </w:r>
          </w:p>
        </w:tc>
        <w:tc>
          <w:tcPr>
            <w:tcW w:w="820" w:type="dxa"/>
            <w:vAlign w:val="bottom"/>
            <w:shd w:val="clear" w:color="auto" w:fill="009845"/>
          </w:tcPr>
          <w:p>
            <w:pPr>
              <w:spacing w:after="0"/>
              <w:rPr>
                <w:sz w:val="19"/>
                <w:szCs w:val="19"/>
                <w:color w:val="auto"/>
              </w:rPr>
            </w:pPr>
          </w:p>
        </w:tc>
      </w:tr>
      <w:tr>
        <w:trPr>
          <w:trHeight w:val="69"/>
        </w:trPr>
        <w:tc>
          <w:tcPr>
            <w:tcW w:w="8560" w:type="dxa"/>
            <w:vAlign w:val="bottom"/>
            <w:shd w:val="clear" w:color="auto" w:fill="009845"/>
          </w:tcPr>
          <w:p>
            <w:pPr>
              <w:spacing w:after="0"/>
              <w:rPr>
                <w:sz w:val="6"/>
                <w:szCs w:val="6"/>
                <w:color w:val="auto"/>
              </w:rPr>
            </w:pPr>
          </w:p>
        </w:tc>
        <w:tc>
          <w:tcPr>
            <w:tcW w:w="280" w:type="dxa"/>
            <w:vAlign w:val="bottom"/>
            <w:shd w:val="clear" w:color="auto" w:fill="009845"/>
          </w:tcPr>
          <w:p>
            <w:pPr>
              <w:spacing w:after="0"/>
              <w:rPr>
                <w:sz w:val="6"/>
                <w:szCs w:val="6"/>
                <w:color w:val="auto"/>
              </w:rPr>
            </w:pPr>
          </w:p>
        </w:tc>
        <w:tc>
          <w:tcPr>
            <w:tcW w:w="1040" w:type="dxa"/>
            <w:vAlign w:val="bottom"/>
            <w:shd w:val="clear" w:color="auto" w:fill="009845"/>
          </w:tcPr>
          <w:p>
            <w:pPr>
              <w:spacing w:after="0"/>
              <w:rPr>
                <w:sz w:val="6"/>
                <w:szCs w:val="6"/>
                <w:color w:val="auto"/>
              </w:rPr>
            </w:pPr>
          </w:p>
        </w:tc>
        <w:tc>
          <w:tcPr>
            <w:tcW w:w="540" w:type="dxa"/>
            <w:vAlign w:val="bottom"/>
            <w:shd w:val="clear" w:color="auto" w:fill="009845"/>
          </w:tcPr>
          <w:p>
            <w:pPr>
              <w:spacing w:after="0"/>
              <w:rPr>
                <w:sz w:val="6"/>
                <w:szCs w:val="6"/>
                <w:color w:val="auto"/>
              </w:rPr>
            </w:pPr>
          </w:p>
        </w:tc>
        <w:tc>
          <w:tcPr>
            <w:tcW w:w="820" w:type="dxa"/>
            <w:vAlign w:val="bottom"/>
            <w:shd w:val="clear" w:color="auto" w:fill="009845"/>
          </w:tcPr>
          <w:p>
            <w:pPr>
              <w:spacing w:after="0"/>
              <w:rPr>
                <w:sz w:val="6"/>
                <w:szCs w:val="6"/>
                <w:color w:val="auto"/>
              </w:rPr>
            </w:pPr>
          </w:p>
        </w:tc>
      </w:tr>
      <w:tr>
        <w:trPr>
          <w:trHeight w:val="230"/>
        </w:trPr>
        <w:tc>
          <w:tcPr>
            <w:tcW w:w="85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Audit Fees</w:t>
            </w:r>
          </w:p>
        </w:tc>
        <w:tc>
          <w:tcPr>
            <w:tcW w:w="280" w:type="dxa"/>
            <w:vAlign w:val="bottom"/>
            <w:shd w:val="clear" w:color="auto" w:fill="EFEDED"/>
          </w:tcPr>
          <w:p>
            <w:pPr>
              <w:jc w:val="right"/>
              <w:ind w:right="108"/>
              <w:spacing w:after="0"/>
              <w:rPr>
                <w:sz w:val="20"/>
                <w:szCs w:val="20"/>
                <w:color w:val="auto"/>
              </w:rPr>
            </w:pPr>
            <w:r>
              <w:rPr>
                <w:rFonts w:ascii="Arial" w:cs="Arial" w:eastAsia="Arial" w:hAnsi="Arial"/>
                <w:sz w:val="14"/>
                <w:szCs w:val="14"/>
                <w:color w:val="58595B"/>
              </w:rPr>
              <w:t>$</w:t>
            </w:r>
          </w:p>
        </w:tc>
        <w:tc>
          <w:tcPr>
            <w:tcW w:w="1040" w:type="dxa"/>
            <w:vAlign w:val="bottom"/>
            <w:shd w:val="clear" w:color="auto" w:fill="EFEDED"/>
          </w:tcPr>
          <w:p>
            <w:pPr>
              <w:jc w:val="right"/>
              <w:ind w:right="28"/>
              <w:spacing w:after="0"/>
              <w:rPr>
                <w:sz w:val="20"/>
                <w:szCs w:val="20"/>
                <w:color w:val="auto"/>
              </w:rPr>
            </w:pPr>
            <w:r>
              <w:rPr>
                <w:rFonts w:ascii="Arial" w:cs="Arial" w:eastAsia="Arial" w:hAnsi="Arial"/>
                <w:sz w:val="14"/>
                <w:szCs w:val="14"/>
                <w:color w:val="58595B"/>
              </w:rPr>
              <w:t>3,817</w:t>
            </w:r>
          </w:p>
        </w:tc>
        <w:tc>
          <w:tcPr>
            <w:tcW w:w="54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4,269</w:t>
            </w:r>
          </w:p>
        </w:tc>
      </w:tr>
      <w:tr>
        <w:trPr>
          <w:trHeight w:val="222"/>
        </w:trPr>
        <w:tc>
          <w:tcPr>
            <w:tcW w:w="8560" w:type="dxa"/>
            <w:vAlign w:val="bottom"/>
          </w:tcPr>
          <w:p>
            <w:pPr>
              <w:ind w:left="100"/>
              <w:spacing w:after="0"/>
              <w:rPr>
                <w:sz w:val="20"/>
                <w:szCs w:val="20"/>
                <w:color w:val="auto"/>
              </w:rPr>
            </w:pPr>
            <w:r>
              <w:rPr>
                <w:rFonts w:ascii="Arial" w:cs="Arial" w:eastAsia="Arial" w:hAnsi="Arial"/>
                <w:sz w:val="14"/>
                <w:szCs w:val="14"/>
                <w:b w:val="1"/>
                <w:bCs w:val="1"/>
                <w:color w:val="58595B"/>
              </w:rPr>
              <w:t>Audit-Related Fees</w:t>
            </w:r>
          </w:p>
        </w:tc>
        <w:tc>
          <w:tcPr>
            <w:tcW w:w="280" w:type="dxa"/>
            <w:vAlign w:val="bottom"/>
          </w:tcPr>
          <w:p>
            <w:pPr>
              <w:jc w:val="right"/>
              <w:ind w:right="108"/>
              <w:spacing w:after="0"/>
              <w:rPr>
                <w:sz w:val="20"/>
                <w:szCs w:val="20"/>
                <w:color w:val="auto"/>
              </w:rPr>
            </w:pPr>
            <w:r>
              <w:rPr>
                <w:rFonts w:ascii="Arial" w:cs="Arial" w:eastAsia="Arial" w:hAnsi="Arial"/>
                <w:sz w:val="14"/>
                <w:szCs w:val="14"/>
                <w:color w:val="58595B"/>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58595B"/>
              </w:rPr>
              <w:t>2</w:t>
            </w:r>
          </w:p>
        </w:tc>
        <w:tc>
          <w:tcPr>
            <w:tcW w:w="54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tcPr>
          <w:p>
            <w:pPr>
              <w:jc w:val="right"/>
              <w:spacing w:after="0"/>
              <w:rPr>
                <w:sz w:val="20"/>
                <w:szCs w:val="20"/>
                <w:color w:val="auto"/>
              </w:rPr>
            </w:pPr>
            <w:r>
              <w:rPr>
                <w:rFonts w:ascii="Arial" w:cs="Arial" w:eastAsia="Arial" w:hAnsi="Arial"/>
                <w:sz w:val="14"/>
                <w:szCs w:val="14"/>
                <w:color w:val="58595B"/>
              </w:rPr>
              <w:t>—</w:t>
            </w:r>
          </w:p>
        </w:tc>
      </w:tr>
      <w:tr>
        <w:trPr>
          <w:trHeight w:val="237"/>
        </w:trPr>
        <w:tc>
          <w:tcPr>
            <w:tcW w:w="85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Total Audit and Audit-Related Fees</w:t>
            </w:r>
          </w:p>
        </w:tc>
        <w:tc>
          <w:tcPr>
            <w:tcW w:w="280" w:type="dxa"/>
            <w:vAlign w:val="bottom"/>
            <w:shd w:val="clear" w:color="auto" w:fill="EFEDED"/>
          </w:tcPr>
          <w:p>
            <w:pPr>
              <w:jc w:val="right"/>
              <w:ind w:right="108"/>
              <w:spacing w:after="0"/>
              <w:rPr>
                <w:sz w:val="20"/>
                <w:szCs w:val="20"/>
                <w:color w:val="auto"/>
              </w:rPr>
            </w:pPr>
            <w:r>
              <w:rPr>
                <w:rFonts w:ascii="Arial" w:cs="Arial" w:eastAsia="Arial" w:hAnsi="Arial"/>
                <w:sz w:val="14"/>
                <w:szCs w:val="14"/>
                <w:color w:val="58595B"/>
              </w:rPr>
              <w:t>$</w:t>
            </w:r>
          </w:p>
        </w:tc>
        <w:tc>
          <w:tcPr>
            <w:tcW w:w="1040" w:type="dxa"/>
            <w:vAlign w:val="bottom"/>
            <w:shd w:val="clear" w:color="auto" w:fill="EFEDED"/>
          </w:tcPr>
          <w:p>
            <w:pPr>
              <w:jc w:val="right"/>
              <w:ind w:right="28"/>
              <w:spacing w:after="0"/>
              <w:rPr>
                <w:sz w:val="20"/>
                <w:szCs w:val="20"/>
                <w:color w:val="auto"/>
              </w:rPr>
            </w:pPr>
            <w:r>
              <w:rPr>
                <w:rFonts w:ascii="Arial" w:cs="Arial" w:eastAsia="Arial" w:hAnsi="Arial"/>
                <w:sz w:val="14"/>
                <w:szCs w:val="14"/>
                <w:color w:val="58595B"/>
              </w:rPr>
              <w:t>3,819</w:t>
            </w:r>
          </w:p>
        </w:tc>
        <w:tc>
          <w:tcPr>
            <w:tcW w:w="54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4,269</w:t>
            </w:r>
          </w:p>
        </w:tc>
      </w:tr>
      <w:tr>
        <w:trPr>
          <w:trHeight w:val="222"/>
        </w:trPr>
        <w:tc>
          <w:tcPr>
            <w:tcW w:w="8560" w:type="dxa"/>
            <w:vAlign w:val="bottom"/>
          </w:tcPr>
          <w:p>
            <w:pPr>
              <w:ind w:left="100"/>
              <w:spacing w:after="0"/>
              <w:rPr>
                <w:sz w:val="20"/>
                <w:szCs w:val="20"/>
                <w:color w:val="auto"/>
              </w:rPr>
            </w:pPr>
            <w:r>
              <w:rPr>
                <w:rFonts w:ascii="Arial" w:cs="Arial" w:eastAsia="Arial" w:hAnsi="Arial"/>
                <w:sz w:val="14"/>
                <w:szCs w:val="14"/>
                <w:b w:val="1"/>
                <w:bCs w:val="1"/>
                <w:color w:val="58595B"/>
              </w:rPr>
              <w:t>Tax Fees</w:t>
            </w:r>
          </w:p>
        </w:tc>
        <w:tc>
          <w:tcPr>
            <w:tcW w:w="280" w:type="dxa"/>
            <w:vAlign w:val="bottom"/>
          </w:tcPr>
          <w:p>
            <w:pPr>
              <w:jc w:val="right"/>
              <w:ind w:right="108"/>
              <w:spacing w:after="0"/>
              <w:rPr>
                <w:sz w:val="20"/>
                <w:szCs w:val="20"/>
                <w:color w:val="auto"/>
              </w:rPr>
            </w:pPr>
            <w:r>
              <w:rPr>
                <w:rFonts w:ascii="Arial" w:cs="Arial" w:eastAsia="Arial" w:hAnsi="Arial"/>
                <w:sz w:val="14"/>
                <w:szCs w:val="14"/>
                <w:color w:val="58595B"/>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58595B"/>
              </w:rPr>
              <w:t>1,091</w:t>
            </w:r>
          </w:p>
        </w:tc>
        <w:tc>
          <w:tcPr>
            <w:tcW w:w="54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tcPr>
          <w:p>
            <w:pPr>
              <w:jc w:val="right"/>
              <w:spacing w:after="0"/>
              <w:rPr>
                <w:sz w:val="20"/>
                <w:szCs w:val="20"/>
                <w:color w:val="auto"/>
              </w:rPr>
            </w:pPr>
            <w:r>
              <w:rPr>
                <w:rFonts w:ascii="Arial" w:cs="Arial" w:eastAsia="Arial" w:hAnsi="Arial"/>
                <w:sz w:val="14"/>
                <w:szCs w:val="14"/>
                <w:color w:val="58595B"/>
              </w:rPr>
              <w:t>606</w:t>
            </w:r>
          </w:p>
        </w:tc>
      </w:tr>
      <w:tr>
        <w:trPr>
          <w:trHeight w:val="237"/>
        </w:trPr>
        <w:tc>
          <w:tcPr>
            <w:tcW w:w="85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All Other Fees</w:t>
            </w:r>
          </w:p>
        </w:tc>
        <w:tc>
          <w:tcPr>
            <w:tcW w:w="280" w:type="dxa"/>
            <w:vAlign w:val="bottom"/>
            <w:shd w:val="clear" w:color="auto" w:fill="EFEDED"/>
          </w:tcPr>
          <w:p>
            <w:pPr>
              <w:jc w:val="right"/>
              <w:ind w:right="108"/>
              <w:spacing w:after="0"/>
              <w:rPr>
                <w:sz w:val="20"/>
                <w:szCs w:val="20"/>
                <w:color w:val="auto"/>
              </w:rPr>
            </w:pPr>
            <w:r>
              <w:rPr>
                <w:rFonts w:ascii="Arial" w:cs="Arial" w:eastAsia="Arial" w:hAnsi="Arial"/>
                <w:sz w:val="14"/>
                <w:szCs w:val="14"/>
                <w:color w:val="58595B"/>
              </w:rPr>
              <w:t>$</w:t>
            </w:r>
          </w:p>
        </w:tc>
        <w:tc>
          <w:tcPr>
            <w:tcW w:w="1040" w:type="dxa"/>
            <w:vAlign w:val="bottom"/>
            <w:shd w:val="clear" w:color="auto" w:fill="EFEDED"/>
          </w:tcPr>
          <w:p>
            <w:pPr>
              <w:jc w:val="right"/>
              <w:ind w:right="28"/>
              <w:spacing w:after="0"/>
              <w:rPr>
                <w:sz w:val="20"/>
                <w:szCs w:val="20"/>
                <w:color w:val="auto"/>
              </w:rPr>
            </w:pPr>
            <w:r>
              <w:rPr>
                <w:rFonts w:ascii="Arial" w:cs="Arial" w:eastAsia="Arial" w:hAnsi="Arial"/>
                <w:sz w:val="14"/>
                <w:szCs w:val="14"/>
                <w:color w:val="58595B"/>
              </w:rPr>
              <w:t>11</w:t>
            </w:r>
          </w:p>
        </w:tc>
        <w:tc>
          <w:tcPr>
            <w:tcW w:w="54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6</w:t>
            </w:r>
          </w:p>
        </w:tc>
      </w:tr>
      <w:tr>
        <w:trPr>
          <w:trHeight w:val="223"/>
        </w:trPr>
        <w:tc>
          <w:tcPr>
            <w:tcW w:w="856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Total Fees</w:t>
            </w:r>
          </w:p>
        </w:tc>
        <w:tc>
          <w:tcPr>
            <w:tcW w:w="280" w:type="dxa"/>
            <w:vAlign w:val="bottom"/>
            <w:tcBorders>
              <w:bottom w:val="single" w:sz="8" w:color="58595B"/>
            </w:tcBorders>
          </w:tcPr>
          <w:p>
            <w:pPr>
              <w:jc w:val="right"/>
              <w:ind w:right="108"/>
              <w:spacing w:after="0"/>
              <w:rPr>
                <w:sz w:val="20"/>
                <w:szCs w:val="20"/>
                <w:color w:val="auto"/>
              </w:rPr>
            </w:pPr>
            <w:r>
              <w:rPr>
                <w:rFonts w:ascii="Arial" w:cs="Arial" w:eastAsia="Arial" w:hAnsi="Arial"/>
                <w:sz w:val="14"/>
                <w:szCs w:val="14"/>
                <w:color w:val="58595B"/>
              </w:rPr>
              <w:t>$</w:t>
            </w:r>
          </w:p>
        </w:tc>
        <w:tc>
          <w:tcPr>
            <w:tcW w:w="1040" w:type="dxa"/>
            <w:vAlign w:val="bottom"/>
            <w:tcBorders>
              <w:bottom w:val="single" w:sz="8" w:color="58595B"/>
            </w:tcBorders>
          </w:tcPr>
          <w:p>
            <w:pPr>
              <w:jc w:val="right"/>
              <w:ind w:right="28"/>
              <w:spacing w:after="0"/>
              <w:rPr>
                <w:sz w:val="20"/>
                <w:szCs w:val="20"/>
                <w:color w:val="auto"/>
              </w:rPr>
            </w:pPr>
            <w:r>
              <w:rPr>
                <w:rFonts w:ascii="Arial" w:cs="Arial" w:eastAsia="Arial" w:hAnsi="Arial"/>
                <w:sz w:val="14"/>
                <w:szCs w:val="14"/>
                <w:color w:val="58595B"/>
              </w:rPr>
              <w:t>4,921</w:t>
            </w:r>
          </w:p>
        </w:tc>
        <w:tc>
          <w:tcPr>
            <w:tcW w:w="540" w:type="dxa"/>
            <w:vAlign w:val="bottom"/>
            <w:tcBorders>
              <w:bottom w:val="single" w:sz="8" w:color="58595B"/>
            </w:tcBorders>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tcBorders>
              <w:bottom w:val="single" w:sz="8" w:color="58595B"/>
            </w:tcBorders>
          </w:tcPr>
          <w:p>
            <w:pPr>
              <w:jc w:val="right"/>
              <w:spacing w:after="0"/>
              <w:rPr>
                <w:sz w:val="20"/>
                <w:szCs w:val="20"/>
                <w:color w:val="auto"/>
              </w:rPr>
            </w:pPr>
            <w:r>
              <w:rPr>
                <w:rFonts w:ascii="Arial" w:cs="Arial" w:eastAsia="Arial" w:hAnsi="Arial"/>
                <w:sz w:val="14"/>
                <w:szCs w:val="14"/>
                <w:color w:val="58595B"/>
              </w:rPr>
              <w:t>4,881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-1216660</wp:posOffset>
            </wp:positionV>
            <wp:extent cx="170561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58595B"/>
        </w:rPr>
        <w:t>The nature of the services provided in each of the categories listed above is described below:</w:t>
      </w:r>
    </w:p>
    <w:p>
      <w:pPr>
        <w:spacing w:after="0" w:line="221" w:lineRule="exact"/>
        <w:rPr>
          <w:sz w:val="20"/>
          <w:szCs w:val="20"/>
          <w:color w:val="auto"/>
        </w:rPr>
      </w:pPr>
    </w:p>
    <w:p>
      <w:pPr>
        <w:jc w:val="both"/>
        <w:spacing w:after="0" w:line="328" w:lineRule="auto"/>
        <w:rPr>
          <w:sz w:val="20"/>
          <w:szCs w:val="20"/>
          <w:color w:val="auto"/>
        </w:rPr>
      </w:pPr>
      <w:r>
        <w:rPr>
          <w:rFonts w:ascii="Arial" w:cs="Arial" w:eastAsia="Arial" w:hAnsi="Arial"/>
          <w:sz w:val="16"/>
          <w:szCs w:val="16"/>
          <w:i w:val="1"/>
          <w:iCs w:val="1"/>
          <w:color w:val="58595B"/>
        </w:rPr>
        <w:t xml:space="preserve">Audit Fees </w:t>
      </w:r>
      <w:r>
        <w:rPr>
          <w:rFonts w:ascii="Arial" w:cs="Arial" w:eastAsia="Arial" w:hAnsi="Arial"/>
          <w:sz w:val="16"/>
          <w:szCs w:val="16"/>
          <w:color w:val="58595B"/>
        </w:rPr>
        <w:t>— Consists of professional services rendered for the integrated audit of the consolidated financial statements of the Company, quarterly reviews,</w:t>
      </w:r>
      <w:r>
        <w:rPr>
          <w:rFonts w:ascii="Arial" w:cs="Arial" w:eastAsia="Arial" w:hAnsi="Arial"/>
          <w:sz w:val="16"/>
          <w:szCs w:val="16"/>
          <w:i w:val="1"/>
          <w:iCs w:val="1"/>
          <w:color w:val="58595B"/>
        </w:rPr>
        <w:t xml:space="preserve"> </w:t>
      </w:r>
      <w:r>
        <w:rPr>
          <w:rFonts w:ascii="Arial" w:cs="Arial" w:eastAsia="Arial" w:hAnsi="Arial"/>
          <w:sz w:val="16"/>
          <w:szCs w:val="16"/>
          <w:color w:val="58595B"/>
        </w:rPr>
        <w:t>statutory audits, comfort letters, non-recurring audit work, transaction related work, consents and review of documents filed with the Securities and Exchange Commission.</w:t>
      </w:r>
    </w:p>
    <w:p>
      <w:pPr>
        <w:spacing w:after="0" w:line="110"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i w:val="1"/>
          <w:iCs w:val="1"/>
          <w:color w:val="58595B"/>
        </w:rPr>
        <w:t xml:space="preserve">Audit-Related Fees </w:t>
      </w:r>
      <w:r>
        <w:rPr>
          <w:rFonts w:ascii="Arial" w:cs="Arial" w:eastAsia="Arial" w:hAnsi="Arial"/>
          <w:sz w:val="16"/>
          <w:szCs w:val="16"/>
          <w:color w:val="58595B"/>
        </w:rPr>
        <w:t>— Consists of services related to accounting consultations in connection with acquisitions and divestitures, consultations concerning</w:t>
      </w:r>
      <w:r>
        <w:rPr>
          <w:rFonts w:ascii="Arial" w:cs="Arial" w:eastAsia="Arial" w:hAnsi="Arial"/>
          <w:sz w:val="16"/>
          <w:szCs w:val="16"/>
          <w:i w:val="1"/>
          <w:iCs w:val="1"/>
          <w:color w:val="58595B"/>
        </w:rPr>
        <w:t xml:space="preserve"> </w:t>
      </w:r>
      <w:r>
        <w:rPr>
          <w:rFonts w:ascii="Arial" w:cs="Arial" w:eastAsia="Arial" w:hAnsi="Arial"/>
          <w:sz w:val="16"/>
          <w:szCs w:val="16"/>
          <w:color w:val="58595B"/>
        </w:rPr>
        <w:t>financial accounting and reporting standards, and statutory related filing requirements due to tax restructuring projects.</w:t>
      </w:r>
    </w:p>
    <w:p>
      <w:pPr>
        <w:spacing w:after="0" w:line="115" w:lineRule="exact"/>
        <w:rPr>
          <w:sz w:val="20"/>
          <w:szCs w:val="20"/>
          <w:color w:val="auto"/>
        </w:rPr>
      </w:pPr>
    </w:p>
    <w:p>
      <w:pPr>
        <w:ind w:right="300"/>
        <w:spacing w:after="0" w:line="328" w:lineRule="auto"/>
        <w:rPr>
          <w:sz w:val="20"/>
          <w:szCs w:val="20"/>
          <w:color w:val="auto"/>
        </w:rPr>
      </w:pPr>
      <w:r>
        <w:rPr>
          <w:rFonts w:ascii="Arial" w:cs="Arial" w:eastAsia="Arial" w:hAnsi="Arial"/>
          <w:sz w:val="16"/>
          <w:szCs w:val="16"/>
          <w:i w:val="1"/>
          <w:iCs w:val="1"/>
          <w:color w:val="58595B"/>
        </w:rPr>
        <w:t xml:space="preserve">Tax Fees </w:t>
      </w:r>
      <w:r>
        <w:rPr>
          <w:rFonts w:ascii="Arial" w:cs="Arial" w:eastAsia="Arial" w:hAnsi="Arial"/>
          <w:sz w:val="16"/>
          <w:szCs w:val="16"/>
          <w:color w:val="58595B"/>
        </w:rPr>
        <w:t>— Consists of tax compliance (review of corporate tax returns, assistance with tax audits and review of the tax treatment for certain expenses),</w:t>
      </w:r>
      <w:r>
        <w:rPr>
          <w:rFonts w:ascii="Arial" w:cs="Arial" w:eastAsia="Arial" w:hAnsi="Arial"/>
          <w:sz w:val="16"/>
          <w:szCs w:val="16"/>
          <w:i w:val="1"/>
          <w:iCs w:val="1"/>
          <w:color w:val="58595B"/>
        </w:rPr>
        <w:t xml:space="preserve"> </w:t>
      </w:r>
      <w:r>
        <w:rPr>
          <w:rFonts w:ascii="Arial" w:cs="Arial" w:eastAsia="Arial" w:hAnsi="Arial"/>
          <w:sz w:val="16"/>
          <w:szCs w:val="16"/>
          <w:color w:val="58595B"/>
        </w:rPr>
        <w:t>global restructuring tax consultation services, and state, local and international tax planning and consultations with respect to various domestic and international tax planning matters.</w:t>
      </w: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76</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3"/>
          <w:szCs w:val="13"/>
          <w:b w:val="1"/>
          <w:bCs w:val="1"/>
          <w:color w:val="009845"/>
        </w:rPr>
        <w:t>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 xml:space="preserve">All Other Fees </w:t>
      </w:r>
      <w:r>
        <w:rPr>
          <w:rFonts w:ascii="Arial" w:cs="Arial" w:eastAsia="Arial" w:hAnsi="Arial"/>
          <w:sz w:val="16"/>
          <w:szCs w:val="16"/>
          <w:color w:val="58595B"/>
        </w:rPr>
        <w:t>— Consists of the licensing of accounting research software.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58595B"/>
        </w:rPr>
        <w:t>No other fees were incurred to PricewaterhouseCoopers LLP during 2024 or 2025.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58595B"/>
        </w:rPr>
        <w:t>The Audit Committee pre-approved all services and fees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Pre-Approval of Audit and Non-Audit Services</w:t>
      </w:r>
    </w:p>
    <w:p>
      <w:pPr>
        <w:spacing w:after="0" w:line="72" w:lineRule="exact"/>
        <w:rPr>
          <w:sz w:val="20"/>
          <w:szCs w:val="20"/>
          <w:color w:val="auto"/>
        </w:rPr>
      </w:pPr>
    </w:p>
    <w:p>
      <w:pPr>
        <w:ind w:right="220"/>
        <w:spacing w:after="0" w:line="356" w:lineRule="auto"/>
        <w:rPr>
          <w:sz w:val="20"/>
          <w:szCs w:val="20"/>
          <w:color w:val="auto"/>
        </w:rPr>
      </w:pPr>
      <w:r>
        <w:rPr>
          <w:rFonts w:ascii="Arial" w:cs="Arial" w:eastAsia="Arial" w:hAnsi="Arial"/>
          <w:sz w:val="16"/>
          <w:szCs w:val="16"/>
          <w:color w:val="58595B"/>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spacing w:after="0" w:line="89" w:lineRule="exact"/>
        <w:rPr>
          <w:sz w:val="20"/>
          <w:szCs w:val="20"/>
          <w:color w:val="auto"/>
        </w:rPr>
      </w:pPr>
    </w:p>
    <w:p>
      <w:pPr>
        <w:ind w:right="60"/>
        <w:spacing w:after="0" w:line="317" w:lineRule="auto"/>
        <w:rPr>
          <w:sz w:val="20"/>
          <w:szCs w:val="20"/>
          <w:color w:val="auto"/>
        </w:rPr>
      </w:pPr>
      <w:r>
        <w:rPr>
          <w:rFonts w:ascii="Arial" w:cs="Arial" w:eastAsia="Arial" w:hAnsi="Arial"/>
          <w:sz w:val="16"/>
          <w:szCs w:val="16"/>
          <w:color w:val="58595B"/>
        </w:rPr>
        <w:t>Management submits requests for approval in writing to the Audit Committee, which reviews such requests and approves or declines to approve the requests. The Audit Committee’s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351"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color w:val="58595B"/>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113" w:lineRule="exact"/>
        <w:rPr>
          <w:sz w:val="20"/>
          <w:szCs w:val="20"/>
          <w:color w:val="auto"/>
        </w:rPr>
      </w:pPr>
    </w:p>
    <w:p>
      <w:pPr>
        <w:ind w:right="600"/>
        <w:spacing w:after="0" w:line="339" w:lineRule="auto"/>
        <w:rPr>
          <w:sz w:val="20"/>
          <w:szCs w:val="20"/>
          <w:color w:val="auto"/>
        </w:rPr>
      </w:pPr>
      <w:r>
        <w:rPr>
          <w:rFonts w:ascii="Arial" w:cs="Arial" w:eastAsia="Arial" w:hAnsi="Arial"/>
          <w:sz w:val="16"/>
          <w:szCs w:val="16"/>
          <w:color w:val="58595B"/>
        </w:rPr>
        <w:t>The Audit Committee has determined that the rendering of the services other than audit services by PricewaterhouseCoopers LLP is compatible with maintaining PricewaterhouseCoopers LLP’s independence.</w:t>
      </w:r>
    </w:p>
    <w:p>
      <w:pPr>
        <w:spacing w:after="0" w:line="115"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58595B"/>
        </w:rPr>
        <w:t>Representatives of PricewaterhouseCoopers LLP are expected to be present at the Annual Meeting and will be allowed to make a statement. Additionally, they will be available to respond to appropriate questions from stockholders during the Annual Meeting.</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Required Vote for Approval and Recommendation of the Board of Directors</w:t>
      </w:r>
    </w:p>
    <w:p>
      <w:pPr>
        <w:spacing w:after="0" w:line="72" w:lineRule="exact"/>
        <w:rPr>
          <w:sz w:val="20"/>
          <w:szCs w:val="20"/>
          <w:color w:val="auto"/>
        </w:rPr>
      </w:pPr>
    </w:p>
    <w:p>
      <w:pPr>
        <w:ind w:right="100"/>
        <w:spacing w:after="0" w:line="313" w:lineRule="auto"/>
        <w:rPr>
          <w:sz w:val="20"/>
          <w:szCs w:val="20"/>
          <w:color w:val="auto"/>
        </w:rPr>
      </w:pPr>
      <w:r>
        <w:rPr>
          <w:rFonts w:ascii="Arial" w:cs="Arial" w:eastAsia="Arial" w:hAnsi="Arial"/>
          <w:sz w:val="16"/>
          <w:szCs w:val="16"/>
          <w:color w:val="58595B"/>
        </w:rPr>
        <w:t>The affirmative vote of the holders of a majority of the shares present, in person or represented by proxy, at the Annual Meeting and entitled to vote is required to ratify the appointment of PricewaterhouseCoopers LLP as the Company’s independent registered public accounting firm for the fiscal year 2026. Abstentions will have the effect of a vote against this proposal. Broker non-votes will not occur in connection with this proposal because brokers, banks, trustees and other nominees have discretionary voting authority to vote shares on the ratification of independent registered public accounting firms under stock exchange rules without specific instructions from the beneficial owner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172720</wp:posOffset>
            </wp:positionV>
            <wp:extent cx="94615" cy="925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4615" cy="925830"/>
                    </a:xfrm>
                    <a:prstGeom prst="rect">
                      <a:avLst/>
                    </a:prstGeom>
                    <a:noFill/>
                  </pic:spPr>
                </pic:pic>
              </a:graphicData>
            </a:graphic>
          </wp:anchor>
        </w:drawing>
      </w:r>
    </w:p>
    <w:p>
      <w:pPr>
        <w:spacing w:after="0" w:line="266" w:lineRule="exact"/>
        <w:rPr>
          <w:sz w:val="20"/>
          <w:szCs w:val="20"/>
          <w:color w:val="auto"/>
        </w:rPr>
      </w:pPr>
    </w:p>
    <w:p>
      <w:pPr>
        <w:ind w:left="1400" w:right="1420"/>
        <w:spacing w:after="0" w:line="273" w:lineRule="auto"/>
        <w:rPr>
          <w:sz w:val="20"/>
          <w:szCs w:val="20"/>
          <w:color w:val="auto"/>
        </w:rPr>
      </w:pPr>
      <w:r>
        <w:rPr>
          <w:rFonts w:ascii="Arial" w:cs="Arial" w:eastAsia="Arial" w:hAnsi="Arial"/>
          <w:sz w:val="22"/>
          <w:szCs w:val="22"/>
          <w:color w:val="58595B"/>
        </w:rPr>
        <w:t xml:space="preserve">The Audit Committee of the Board of Directors has adopted a resolution approving the appointment of PricewaterhouseCoopers LLP. The Board of Directors hereby recommends that the stockholders of the Company vote </w:t>
      </w:r>
      <w:r>
        <w:rPr>
          <w:rFonts w:ascii="Arial" w:cs="Arial" w:eastAsia="Arial" w:hAnsi="Arial"/>
          <w:sz w:val="22"/>
          <w:szCs w:val="22"/>
          <w:color w:val="009845"/>
        </w:rPr>
        <w:t>“FOR”</w:t>
      </w:r>
      <w:r>
        <w:rPr>
          <w:rFonts w:ascii="Arial" w:cs="Arial" w:eastAsia="Arial" w:hAnsi="Arial"/>
          <w:sz w:val="22"/>
          <w:szCs w:val="22"/>
          <w:color w:val="58595B"/>
        </w:rPr>
        <w:t xml:space="preserve"> ratification of the appointment of PricewaterhouseCoopers LLP as the Company’s independent registered public accounting firm for fiscal year 2026.</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77</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36"/>
          <w:szCs w:val="36"/>
          <w:color w:val="009845"/>
        </w:rPr>
        <w:t>AUDIT COMMITTEE REPORT</w:t>
      </w:r>
    </w:p>
    <w:p>
      <w:pPr>
        <w:spacing w:after="0" w:line="200" w:lineRule="exact"/>
        <w:rPr>
          <w:sz w:val="20"/>
          <w:szCs w:val="20"/>
          <w:color w:val="auto"/>
        </w:rPr>
      </w:pPr>
    </w:p>
    <w:p>
      <w:pPr>
        <w:spacing w:after="0" w:line="220" w:lineRule="exact"/>
        <w:rPr>
          <w:sz w:val="20"/>
          <w:szCs w:val="20"/>
          <w:color w:val="auto"/>
        </w:rPr>
      </w:pPr>
    </w:p>
    <w:p>
      <w:pPr>
        <w:ind w:right="220"/>
        <w:spacing w:after="0" w:line="318" w:lineRule="auto"/>
        <w:rPr>
          <w:sz w:val="20"/>
          <w:szCs w:val="20"/>
          <w:color w:val="auto"/>
        </w:rPr>
      </w:pPr>
      <w:r>
        <w:rPr>
          <w:rFonts w:ascii="Arial" w:cs="Arial" w:eastAsia="Arial" w:hAnsi="Arial"/>
          <w:sz w:val="16"/>
          <w:szCs w:val="16"/>
          <w:color w:val="58595B"/>
        </w:rPr>
        <w:t>The following report of the Audit Committee is required by the rules of the SEC to be included in this proxy statement. This report shall not be deemed incorporated by reference into any filing under the Securities Act of 1933, as amended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132"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58595B"/>
        </w:rPr>
        <w:t>The purpose of the Audit Committee is to oversee the Company’s accounting and financial reporting process and the audits of the Company’s financial statements. The Audit Committee operates pursuant to the Audit Committee Charter that the Board amended and restated on December 13, 2022, a copy of which is available on the Company’s website.</w:t>
      </w:r>
    </w:p>
    <w:p>
      <w:pPr>
        <w:spacing w:after="0" w:line="130" w:lineRule="exact"/>
        <w:rPr>
          <w:sz w:val="20"/>
          <w:szCs w:val="20"/>
          <w:color w:val="auto"/>
        </w:rPr>
      </w:pPr>
    </w:p>
    <w:p>
      <w:pPr>
        <w:ind w:right="240"/>
        <w:spacing w:after="0" w:line="314" w:lineRule="auto"/>
        <w:rPr>
          <w:sz w:val="20"/>
          <w:szCs w:val="20"/>
          <w:color w:val="auto"/>
        </w:rPr>
      </w:pPr>
      <w:r>
        <w:rPr>
          <w:rFonts w:ascii="Arial" w:cs="Arial" w:eastAsia="Arial" w:hAnsi="Arial"/>
          <w:sz w:val="16"/>
          <w:szCs w:val="16"/>
          <w:color w:val="58595B"/>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spacing w:after="0" w:line="122" w:lineRule="exact"/>
        <w:rPr>
          <w:sz w:val="20"/>
          <w:szCs w:val="20"/>
          <w:color w:val="auto"/>
        </w:rPr>
      </w:pPr>
    </w:p>
    <w:p>
      <w:pPr>
        <w:spacing w:after="0" w:line="310" w:lineRule="auto"/>
        <w:rPr>
          <w:sz w:val="20"/>
          <w:szCs w:val="20"/>
          <w:color w:val="auto"/>
        </w:rPr>
      </w:pPr>
      <w:r>
        <w:rPr>
          <w:rFonts w:ascii="Arial" w:cs="Arial" w:eastAsia="Arial" w:hAnsi="Arial"/>
          <w:sz w:val="16"/>
          <w:szCs w:val="16"/>
          <w:color w:val="58595B"/>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2025. The Audit Committee has also discussed with the independent registered public accounting firm the matters required to be discussed by the applicable requirements of the Public Company Accounting Oversight Board and the SEC.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spacing w:after="0" w:line="143"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58595B"/>
        </w:rPr>
        <w:t>Based upon the review and discussions referred to above, the Audit Committee recommended to the Board that the audited financial statements of the Company for the fiscal year ended December 31, 2025 be included in the Company’s Annual Report on Form 10-K for such fiscal year, as filed with the SEC on February 26, 2026.</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The Audit Committee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CHRISTIAN S. SCHADE (CHAIR)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SHAUNDRA D. CLAY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KEITH BRADLEY</w:t>
      </w:r>
    </w:p>
    <w:p>
      <w:pPr>
        <w:spacing w:after="0" w:line="200" w:lineRule="exact"/>
        <w:rPr>
          <w:sz w:val="20"/>
          <w:szCs w:val="20"/>
          <w:color w:val="auto"/>
        </w:rPr>
      </w:pPr>
    </w:p>
    <w:p>
      <w:pPr>
        <w:spacing w:after="0" w:line="22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78</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4" w:name="page85"/>
    <w:bookmarkEnd w:id="84"/>
    <w:p>
      <w:pPr>
        <w:ind w:right="1640"/>
        <w:spacing w:after="0" w:line="287" w:lineRule="auto"/>
        <w:rPr>
          <w:sz w:val="20"/>
          <w:szCs w:val="20"/>
          <w:color w:val="auto"/>
        </w:rPr>
      </w:pPr>
      <w:r>
        <w:rPr>
          <w:rFonts w:ascii="Arial" w:cs="Arial" w:eastAsia="Arial" w:hAnsi="Arial"/>
          <w:sz w:val="36"/>
          <w:szCs w:val="36"/>
          <w:color w:val="009845"/>
        </w:rPr>
        <w:t>PROPOSAL 3. ADVISORY VOTE ON NAMED EXECUTIVE OFFICER COMPENSATION</w:t>
      </w:r>
    </w:p>
    <w:p>
      <w:pPr>
        <w:spacing w:after="0" w:line="276"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58595B"/>
        </w:rPr>
        <w:t>We are seeking our stockholders’ vote, as required by Section 14A of the Exchange Act, to approve, on a non-binding, advisory basis, the compensation of our named executive officers (“NEOs”), as disclosed pursuant to Item 402 of Regulation S-K in the Compensation Discussion and Analysis (“CD&amp;A”), tabular disclosures and related narrative of this proxy statement. As described in the CD&amp;A, our executive compensation programs are carefully designed by the Compensation Committee to attract, retain and motivate our talented executives, with a focus on delivering business results and value to our stockholders and other stakeholders. Under these programs, we provide our NEOs with appropriate objectives and incentives to achieve our business goals while aligning with stockholders’ interest.</w:t>
      </w:r>
    </w:p>
    <w:p>
      <w:pPr>
        <w:spacing w:after="0" w:line="122"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The compensation awarded to our CEO and other NEOs for 2025 recognizes the financial, operational and overall performance of the Company. We encourage stockholders to read the CD&amp;A, which describes how our executive compensation policies and procedures operate and are designed to achieve our compensation objectives, as well as the Summary Compensation Table and other related compensation tables and narratives, which provide detailed information on the compensation of our NEOs. The Committee is mindful of its responsibility to align executive compensation with the overall performance of the Company, while taking into consideration the need to provide market competitive compensation in order to attract, motivate and retain highly skilled and experienced executives. The Compensation Committee and the Board believe that the policies and procedures articulated in the CD&amp;A are effective in achieving our goals and that the compensation of our NEOs reported in this proxy statement contributes to the Company’s long-term success.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58595B"/>
        </w:rPr>
        <w:t>We ask our stockholders to vote “FOR” the following advisory resolution at the Annual Meeting:</w:t>
      </w:r>
    </w:p>
    <w:p>
      <w:pPr>
        <w:spacing w:after="0" w:line="221"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color w:val="58595B"/>
        </w:rPr>
        <w:t>“RESOLVED, that compensation of the Company’s named executive officers, as disclosed pursuant to Item 402 of Regulation S-K, including the Compensation Discussion and Analysis, compensation tables and narrative discussion of this proxy statement is hereby APPROVED by the stockholders of Integra.”</w:t>
      </w:r>
    </w:p>
    <w:p>
      <w:pPr>
        <w:spacing w:after="0" w:line="130" w:lineRule="exact"/>
        <w:rPr>
          <w:sz w:val="20"/>
          <w:szCs w:val="20"/>
          <w:color w:val="auto"/>
        </w:rPr>
      </w:pPr>
    </w:p>
    <w:p>
      <w:pPr>
        <w:ind w:right="360"/>
        <w:spacing w:after="0" w:line="319" w:lineRule="auto"/>
        <w:rPr>
          <w:sz w:val="20"/>
          <w:szCs w:val="20"/>
          <w:color w:val="auto"/>
        </w:rPr>
      </w:pPr>
      <w:r>
        <w:rPr>
          <w:rFonts w:ascii="Arial" w:cs="Arial" w:eastAsia="Arial" w:hAnsi="Arial"/>
          <w:sz w:val="16"/>
          <w:szCs w:val="16"/>
          <w:color w:val="58595B"/>
        </w:rPr>
        <w:t>Because the Say-on-Pay vote is advisory, it will not bind the Company, the Compensation Committee or our Board. That said, because we value the opinions of our stockholders, the Compensation Committee will review the voting results and take them into consideration when making future decisions regarding executive compensation.</w:t>
      </w:r>
    </w:p>
    <w:p>
      <w:pPr>
        <w:spacing w:after="0" w:line="130" w:lineRule="exact"/>
        <w:rPr>
          <w:sz w:val="20"/>
          <w:szCs w:val="20"/>
          <w:color w:val="auto"/>
        </w:rPr>
      </w:pPr>
    </w:p>
    <w:p>
      <w:pPr>
        <w:ind w:right="360"/>
        <w:spacing w:after="0" w:line="328" w:lineRule="auto"/>
        <w:rPr>
          <w:sz w:val="20"/>
          <w:szCs w:val="20"/>
          <w:color w:val="auto"/>
        </w:rPr>
      </w:pPr>
      <w:r>
        <w:rPr>
          <w:rFonts w:ascii="Arial" w:cs="Arial" w:eastAsia="Arial" w:hAnsi="Arial"/>
          <w:sz w:val="16"/>
          <w:szCs w:val="16"/>
          <w:color w:val="58595B"/>
        </w:rPr>
        <w:t>With regard to the frequency of future votes on Say-on-Pay, the Board has determined it will submit a Say-on-Pay proposal to our stockholders annually. Therefore, we expect the next stockholder vote to approve the compensation of our named executive officers to occur at the Company’s 2027 annual meeting of stockholders.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Required Vote for Advisory Approval and Recommendation of the Board of Directors</w:t>
      </w:r>
    </w:p>
    <w:p>
      <w:pPr>
        <w:spacing w:after="0" w:line="72" w:lineRule="exact"/>
        <w:rPr>
          <w:sz w:val="20"/>
          <w:szCs w:val="20"/>
          <w:color w:val="auto"/>
        </w:rPr>
      </w:pPr>
    </w:p>
    <w:p>
      <w:pPr>
        <w:jc w:val="both"/>
        <w:ind w:right="120"/>
        <w:spacing w:after="0" w:line="328" w:lineRule="auto"/>
        <w:rPr>
          <w:sz w:val="20"/>
          <w:szCs w:val="20"/>
          <w:color w:val="auto"/>
        </w:rPr>
      </w:pPr>
      <w:r>
        <w:rPr>
          <w:rFonts w:ascii="Arial" w:cs="Arial" w:eastAsia="Arial" w:hAnsi="Arial"/>
          <w:sz w:val="16"/>
          <w:szCs w:val="16"/>
          <w:color w:val="58595B"/>
        </w:rPr>
        <w:t>The affirmative vote of the holders of a majority of the shares present, in person or represented by proxy, at the Annual Meeting and entitled to vote thereon is required for advisory approval of this proposal. Abstentions will have the effect of a vote against this proposal. Broker non-votes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155575</wp:posOffset>
            </wp:positionV>
            <wp:extent cx="94615" cy="5657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4615" cy="565785"/>
                    </a:xfrm>
                    <a:prstGeom prst="rect">
                      <a:avLst/>
                    </a:prstGeom>
                    <a:noFill/>
                  </pic:spPr>
                </pic:pic>
              </a:graphicData>
            </a:graphic>
          </wp:anchor>
        </w:drawing>
      </w:r>
    </w:p>
    <w:p>
      <w:pPr>
        <w:spacing w:after="0" w:line="239" w:lineRule="exact"/>
        <w:rPr>
          <w:sz w:val="20"/>
          <w:szCs w:val="20"/>
          <w:color w:val="auto"/>
        </w:rPr>
      </w:pPr>
    </w:p>
    <w:p>
      <w:pPr>
        <w:ind w:left="1400" w:right="1260"/>
        <w:spacing w:after="0" w:line="283" w:lineRule="auto"/>
        <w:rPr>
          <w:sz w:val="20"/>
          <w:szCs w:val="20"/>
          <w:color w:val="auto"/>
        </w:rPr>
      </w:pPr>
      <w:r>
        <w:rPr>
          <w:rFonts w:ascii="Arial" w:cs="Arial" w:eastAsia="Arial" w:hAnsi="Arial"/>
          <w:sz w:val="22"/>
          <w:szCs w:val="22"/>
          <w:color w:val="58595B"/>
        </w:rPr>
        <w:t xml:space="preserve">The Board of Directors hereby recommends a vote </w:t>
      </w:r>
      <w:r>
        <w:rPr>
          <w:rFonts w:ascii="Arial" w:cs="Arial" w:eastAsia="Arial" w:hAnsi="Arial"/>
          <w:sz w:val="22"/>
          <w:szCs w:val="22"/>
          <w:color w:val="009845"/>
        </w:rPr>
        <w:t>“FOR”</w:t>
      </w:r>
      <w:r>
        <w:rPr>
          <w:rFonts w:ascii="Arial" w:cs="Arial" w:eastAsia="Arial" w:hAnsi="Arial"/>
          <w:sz w:val="22"/>
          <w:szCs w:val="22"/>
          <w:color w:val="58595B"/>
        </w:rPr>
        <w:t xml:space="preserve"> the advisory resolution set forth in this Proposal 3, approving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5" w:name="page86"/>
    <w:bookmarkEnd w:id="85"/>
    <w:p>
      <w:pPr>
        <w:ind w:right="1060"/>
        <w:spacing w:after="0" w:line="280" w:lineRule="auto"/>
        <w:rPr>
          <w:sz w:val="20"/>
          <w:szCs w:val="20"/>
          <w:color w:val="auto"/>
        </w:rPr>
      </w:pPr>
      <w:r>
        <w:rPr>
          <w:rFonts w:ascii="Arial" w:cs="Arial" w:eastAsia="Arial" w:hAnsi="Arial"/>
          <w:sz w:val="35"/>
          <w:szCs w:val="35"/>
          <w:color w:val="009845"/>
        </w:rPr>
        <w:t>PROPOSAL 4. APPROVAL OF AMENDMENT NO. 3 TO THE INTEGRA LIFESCIENCES HOLDINGS CORPORATION FIFTH AMENDED AND RESTATED 2003 EQUITY INCENTIVE PLAN</w:t>
      </w:r>
    </w:p>
    <w:p>
      <w:pPr>
        <w:spacing w:after="0" w:line="289"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color w:val="58595B"/>
        </w:rPr>
        <w:t>On April 1, 2026, the Compensation Committee and the Board of Directors, respectively, authorized and approved, subject to approval by our stockholders, an amendment to the Integra LifeSciences Fifth Amended and Restated 2003 Equity Incentive Plan, as amended (the “Plan”) to increase the number of shares of common stock available for awards under the Plan by 3,550,000 shares ("Amendment No. 3 to the Plan").</w:t>
      </w:r>
    </w:p>
    <w:p>
      <w:pPr>
        <w:spacing w:after="0" w:line="11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58595B"/>
        </w:rPr>
        <w:t>The Plan was initially authorized and approved by the Board in April 2021 and approved by the stockholders in May 2021, with an initial authorization of up to 16,600,000 shares of common stock reserved under the Plan. In March 2024, an amendment to (i) increase the number of shares of common stock available for awards under the Plan by 1,900,000 shares and (ii) remove a provision in the Plan which permits shares withheld for taxes with respect to an award to continue to be available for issuance under the Plan, was approved by the Board and approved by our stockholders in May 2024 (collectively, "Amendment No. 1 to the Plan"). In April 2025, an amendment to increase the number of shares of common stock available for awards under the Plan by 2,200,000 shares was approved by the Board and approved by our stockholders in May 2025 ("Amendment No. 2 to the Plan," and, together with Amendment No. 1 to the Plan, the "Amendments to the Plan"). Unless otherwise noted, all references in this Proposal to the Plan includes the Plan as amended by the Amendments to the Plan. We are seeking stockholder approval to further amend the Plan to increase the number of shares of our common stock available for issuance under the Plan by 3,550,000 shares so the Company can continue to provide equity-based compensation as approved by the Compensation Committee.</w:t>
      </w:r>
    </w:p>
    <w:p>
      <w:pPr>
        <w:spacing w:after="0" w:line="358"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58595B"/>
        </w:rPr>
        <w:t>If our shareholders do not approve Amendment No. 3 to the Plan, then the 3,550,000 additional shares requested will not become available for issuance under the Plan and the Plan will remain in effect in accordance with its terms and will continue to be administered in its current form until such time as the shares available for issuance thereunder have been depleted (or its expiration, whichever occurs first). Based on historical and current grant practices, we anticipate that there will not be sufficient shares available under the Plan for continued equity awards to our employees and non-employee directors over the next few years if our stockholders do not approve Amendment No. 3 to the Plan. This would place us at a severe competitive disadvantage by severely restricting our ability to offer equity incentives to motivate, attract, and retain our employees. We also could be forced to replace equity incentive awards with cash compensation, which may not align the interests of our executives and employees with those of our stockholders as effectively as equity incentive awards, would reduce resources available to meet our business needs, and may potentially lead to increased indebtedness or loss of needed financial flexibility. In such event, the Compensation Committee will be required to revise its compensation philosophy and will need to consider whether to adopt alternative compensation arrangements based on its assessment of our needs. We believe that the proposed share pool increase to the Plan is reasonable, appropriate, and in the best interests of our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Reasons for the Plan Amendment</w:t>
      </w:r>
    </w:p>
    <w:p>
      <w:pPr>
        <w:spacing w:after="0" w:line="85"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58595B"/>
        </w:rPr>
        <w:t>We are seeking stockholder approval of Amendment No. 3 to the Plan to increase the number of shares of common stock issuable pursuant to the Plan by 3,550,000 shares. As of March 13, 2026, there were 1,463,989 shares remaining available for issuance under future awards to be made under the Plan. As noted above, if our shareholders do not approve Amendment No. 3 to the Plan, we anticipate that there will not be sufficient shares available under the Plan for continued equity awards to our employees and non-employee directors over the next few years. This would result in the loss of an important compensation tool aligned with stockholder interests to attract, motivate and retain highly qualified talent.</w:t>
      </w:r>
    </w:p>
    <w:p>
      <w:pPr>
        <w:spacing w:after="0" w:line="137"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We recognize the dilutive impact of our equity compensation program on our stockholders and continuously strive to balance this concern with the competition for talent in the competitive business environment and talent market, as well as the current market conditions, in which we operate. In determining the appropriate number of shares to request and add to the pool of shares available for issuance pursuant to Amendment No. 3 to the Plan, our Board and the Compensation Committee worked with management and an</w:t>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80</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86" w:name="page87"/>
    <w:bookmarkEnd w:id="86"/>
    <w:p>
      <w:pPr>
        <w:jc w:val="right"/>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318" w:lineRule="auto"/>
        <w:rPr>
          <w:sz w:val="20"/>
          <w:szCs w:val="20"/>
          <w:color w:val="auto"/>
        </w:rPr>
      </w:pPr>
      <w:r>
        <w:rPr>
          <w:rFonts w:ascii="Arial" w:cs="Arial" w:eastAsia="Arial" w:hAnsi="Arial"/>
          <w:sz w:val="16"/>
          <w:szCs w:val="16"/>
          <w:color w:val="58595B"/>
        </w:rPr>
        <w:t>independent compensation consultant to evaluate a number of factors, and carefully considered (i) the potential dilutive impact on stockholders, (ii) our historical run rate and overhang, (iii) the number of shares remaining available under the Plan, (iv) forecasted grants, (v) the realities of equity awards being a key component of designing competitive compensation packages necessary for attracting and retaining key talent in a competitive medical devices marketplace, (vi) our strategic growth plans, and (vii) the interests of our stockholders.</w:t>
      </w:r>
    </w:p>
    <w:p>
      <w:pPr>
        <w:spacing w:after="0" w:line="132"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58595B"/>
        </w:rPr>
        <w:t>We anticipate the additional shares requested under Amendment No. 3 to the Plan, plus the remaining shares that are available for issuance under the Plan, to be sufficient for a period of two years, with an anticipated annual run rate of approximately 2.52%, assuming we continue to grant awards consistent with our current practices and historical run rate.</w:t>
      </w:r>
    </w:p>
    <w:p>
      <w:pPr>
        <w:spacing w:after="0" w:line="130"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58595B"/>
        </w:rPr>
        <w:t>The Plan is designed to attract and retain non-employee directors and employees and reward them for making contributions to the success of the Company and its subsidiaries. These objectives are to be accomplished by making awards under the Plan and thereby providing participants with a proprietary interest in the growth and performance of the Company and align a portion of their compensation with the stockholders. Stockholder approval of this proposal will enable us to continue to grant equity awards to our employees and non-employee directors at levels determined by the Board to be necessary to attract, retain and motivate the individuals who will be critical to our success in achieving our business objectives and thereby creating greater value for our stockholders. In addition to the crucial role, we believe such grants play in attracting and retaining talented individuals, we believe that the equity compensation granted under the Plan also serves the important function of aligning the interests of participants with those of our stockholders and focusing such participants on the long-term growth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Historical Run Rate, Proposed Share Reserve and Impact on Dilution</w:t>
      </w:r>
    </w:p>
    <w:p>
      <w:pPr>
        <w:spacing w:after="0" w:line="72"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Our Compensation Committee carefully monitors our total dilution and equity expense to ensure that we maximize stockholder value by granting only the appropriate number of equity awards necessary to attract, reward and retain employees. In addition, the Plan includes provisions designed to be less dilutive to stockholders. As described further below, the Plan does not contain an “evergreen” provision, so the number of shares available for issuance under the Plan does not automatically increase each year.</w:t>
      </w:r>
    </w:p>
    <w:p>
      <w:pPr>
        <w:spacing w:after="0" w:line="132" w:lineRule="exact"/>
        <w:rPr>
          <w:sz w:val="20"/>
          <w:szCs w:val="20"/>
          <w:color w:val="auto"/>
        </w:rPr>
      </w:pPr>
    </w:p>
    <w:p>
      <w:pPr>
        <w:spacing w:after="0" w:line="313" w:lineRule="auto"/>
        <w:rPr>
          <w:sz w:val="20"/>
          <w:szCs w:val="20"/>
          <w:color w:val="auto"/>
        </w:rPr>
      </w:pPr>
      <w:r>
        <w:rPr>
          <w:rFonts w:ascii="Arial" w:cs="Arial" w:eastAsia="Arial" w:hAnsi="Arial"/>
          <w:sz w:val="16"/>
          <w:szCs w:val="16"/>
          <w:color w:val="58595B"/>
        </w:rPr>
        <w:t>Further to our commitment to balance our philosophy of closely aligning compensation with stockholder interests by utilizing long-term value creation with the exercise of deploying equity responsibly, the Compensation Committee carefully monitors our annual net run rate, total dilution, and stock-based compensation expense in order to maximize stockholder value by granting only the number of equity incentive awards that it believes are necessary and appropriate to attract, reward, and retain our employees. Our compensation philosophy for equity incentive awards links the interests of employees with those of our stockholders and motivates our employees to act as owners of the business.</w:t>
      </w:r>
    </w:p>
    <w:p>
      <w:pPr>
        <w:spacing w:after="0" w:line="137"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58595B"/>
        </w:rPr>
        <w:t>Although equity incentive awards are an important part of our pay-for-performance compensation program, the Board and the Compensation Committee are mindful of their responsibility to our stockholders to exercise judgment in granting equity-based awards. We review a number of metrics to assess the cumulative impact of our equity compensation programs, including run rate and overhang.</w:t>
      </w:r>
    </w:p>
    <w:p>
      <w:pPr>
        <w:spacing w:after="0" w:line="130"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58595B"/>
        </w:rPr>
        <w:t>Run rate measures our usage of shares from our equity incentive plans as a percentage of our outstanding common stock. Overhang measures the potential dilution to which our existing stockholders are exposed due to outstanding equity awards.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sets forth information regarding historical awards granted and earned for each of the last three fiscal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60" w:type="dxa"/>
            <w:vAlign w:val="bottom"/>
            <w:shd w:val="clear" w:color="auto" w:fill="009845"/>
          </w:tcPr>
          <w:p>
            <w:pPr>
              <w:spacing w:after="0"/>
              <w:rPr>
                <w:sz w:val="16"/>
                <w:szCs w:val="16"/>
                <w:color w:val="auto"/>
              </w:rPr>
            </w:pPr>
          </w:p>
        </w:tc>
        <w:tc>
          <w:tcPr>
            <w:tcW w:w="1820" w:type="dxa"/>
            <w:vAlign w:val="bottom"/>
            <w:shd w:val="clear" w:color="auto" w:fill="009845"/>
          </w:tcPr>
          <w:p>
            <w:pPr>
              <w:spacing w:after="0"/>
              <w:rPr>
                <w:sz w:val="16"/>
                <w:szCs w:val="16"/>
                <w:color w:val="auto"/>
              </w:rPr>
            </w:pPr>
          </w:p>
        </w:tc>
        <w:tc>
          <w:tcPr>
            <w:tcW w:w="1360" w:type="dxa"/>
            <w:vAlign w:val="bottom"/>
            <w:shd w:val="clear" w:color="auto" w:fill="009845"/>
          </w:tcPr>
          <w:p>
            <w:pPr>
              <w:spacing w:after="0"/>
              <w:rPr>
                <w:sz w:val="16"/>
                <w:szCs w:val="16"/>
                <w:color w:val="auto"/>
              </w:rPr>
            </w:pPr>
          </w:p>
        </w:tc>
        <w:tc>
          <w:tcPr>
            <w:tcW w:w="1780" w:type="dxa"/>
            <w:vAlign w:val="bottom"/>
            <w:vMerge w:val="restart"/>
            <w:shd w:val="clear" w:color="auto" w:fill="009845"/>
          </w:tcPr>
          <w:p>
            <w:pPr>
              <w:jc w:val="center"/>
              <w:ind w:left="108"/>
              <w:spacing w:after="0"/>
              <w:rPr>
                <w:sz w:val="20"/>
                <w:szCs w:val="20"/>
                <w:color w:val="auto"/>
              </w:rPr>
            </w:pPr>
            <w:r>
              <w:rPr>
                <w:rFonts w:ascii="Arial" w:cs="Arial" w:eastAsia="Arial" w:hAnsi="Arial"/>
                <w:sz w:val="14"/>
                <w:szCs w:val="14"/>
                <w:b w:val="1"/>
                <w:bCs w:val="1"/>
                <w:color w:val="FFFFFF"/>
              </w:rPr>
              <w:t>RSUs/</w:t>
            </w:r>
          </w:p>
        </w:tc>
        <w:tc>
          <w:tcPr>
            <w:tcW w:w="1820" w:type="dxa"/>
            <w:vAlign w:val="bottom"/>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Weighted Average</w:t>
            </w:r>
          </w:p>
        </w:tc>
        <w:tc>
          <w:tcPr>
            <w:tcW w:w="1540" w:type="dxa"/>
            <w:vAlign w:val="bottom"/>
            <w:shd w:val="clear" w:color="auto" w:fill="009845"/>
          </w:tcPr>
          <w:p>
            <w:pPr>
              <w:spacing w:after="0"/>
              <w:rPr>
                <w:sz w:val="16"/>
                <w:szCs w:val="16"/>
                <w:color w:val="auto"/>
              </w:rPr>
            </w:pPr>
          </w:p>
        </w:tc>
        <w:tc>
          <w:tcPr>
            <w:tcW w:w="1680" w:type="dxa"/>
            <w:vAlign w:val="bottom"/>
            <w:shd w:val="clear" w:color="auto" w:fill="009845"/>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160" w:type="dxa"/>
            <w:vAlign w:val="bottom"/>
            <w:shd w:val="clear" w:color="auto" w:fill="009845"/>
          </w:tcPr>
          <w:p>
            <w:pPr>
              <w:spacing w:after="0"/>
              <w:rPr>
                <w:sz w:val="13"/>
                <w:szCs w:val="13"/>
                <w:color w:val="auto"/>
              </w:rPr>
            </w:pPr>
          </w:p>
        </w:tc>
        <w:tc>
          <w:tcPr>
            <w:tcW w:w="1820" w:type="dxa"/>
            <w:vAlign w:val="bottom"/>
            <w:shd w:val="clear" w:color="auto" w:fill="009845"/>
          </w:tcPr>
          <w:p>
            <w:pPr>
              <w:spacing w:after="0"/>
              <w:rPr>
                <w:sz w:val="13"/>
                <w:szCs w:val="13"/>
                <w:color w:val="auto"/>
              </w:rPr>
            </w:pPr>
          </w:p>
        </w:tc>
        <w:tc>
          <w:tcPr>
            <w:tcW w:w="1360" w:type="dxa"/>
            <w:vAlign w:val="bottom"/>
            <w:shd w:val="clear" w:color="auto" w:fill="009845"/>
          </w:tcPr>
          <w:p>
            <w:pPr>
              <w:spacing w:after="0"/>
              <w:rPr>
                <w:sz w:val="13"/>
                <w:szCs w:val="13"/>
                <w:color w:val="auto"/>
              </w:rPr>
            </w:pPr>
          </w:p>
        </w:tc>
        <w:tc>
          <w:tcPr>
            <w:tcW w:w="1780" w:type="dxa"/>
            <w:vAlign w:val="bottom"/>
            <w:vMerge w:val="continue"/>
            <w:shd w:val="clear" w:color="auto" w:fill="009845"/>
          </w:tcPr>
          <w:p>
            <w:pPr>
              <w:spacing w:after="0"/>
              <w:rPr>
                <w:sz w:val="13"/>
                <w:szCs w:val="13"/>
                <w:color w:val="auto"/>
              </w:rPr>
            </w:pPr>
          </w:p>
        </w:tc>
        <w:tc>
          <w:tcPr>
            <w:tcW w:w="1820" w:type="dxa"/>
            <w:vAlign w:val="bottom"/>
            <w:shd w:val="clear" w:color="auto" w:fill="009845"/>
          </w:tcPr>
          <w:p>
            <w:pPr>
              <w:jc w:val="center"/>
              <w:ind w:right="8"/>
              <w:spacing w:after="0" w:line="159" w:lineRule="exact"/>
              <w:rPr>
                <w:sz w:val="20"/>
                <w:szCs w:val="20"/>
                <w:color w:val="auto"/>
              </w:rPr>
            </w:pPr>
            <w:r>
              <w:rPr>
                <w:rFonts w:ascii="Arial" w:cs="Arial" w:eastAsia="Arial" w:hAnsi="Arial"/>
                <w:sz w:val="14"/>
                <w:szCs w:val="14"/>
                <w:b w:val="1"/>
                <w:bCs w:val="1"/>
                <w:color w:val="FFFFFF"/>
              </w:rPr>
              <w:t>Common Shares</w:t>
            </w:r>
          </w:p>
        </w:tc>
        <w:tc>
          <w:tcPr>
            <w:tcW w:w="1540" w:type="dxa"/>
            <w:vAlign w:val="bottom"/>
            <w:shd w:val="clear" w:color="auto" w:fill="009845"/>
          </w:tcPr>
          <w:p>
            <w:pPr>
              <w:spacing w:after="0"/>
              <w:rPr>
                <w:sz w:val="13"/>
                <w:szCs w:val="13"/>
                <w:color w:val="auto"/>
              </w:rPr>
            </w:pPr>
          </w:p>
        </w:tc>
        <w:tc>
          <w:tcPr>
            <w:tcW w:w="1680" w:type="dxa"/>
            <w:vAlign w:val="bottom"/>
            <w:shd w:val="clear" w:color="auto" w:fill="009845"/>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116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Year</w:t>
            </w:r>
          </w:p>
        </w:tc>
        <w:tc>
          <w:tcPr>
            <w:tcW w:w="1820" w:type="dxa"/>
            <w:vAlign w:val="bottom"/>
            <w:tcBorders>
              <w:bottom w:val="single" w:sz="8" w:color="009845"/>
            </w:tcBorders>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Options Granted</w:t>
            </w:r>
          </w:p>
        </w:tc>
        <w:tc>
          <w:tcPr>
            <w:tcW w:w="136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RSAs</w:t>
            </w:r>
          </w:p>
        </w:tc>
        <w:tc>
          <w:tcPr>
            <w:tcW w:w="1780" w:type="dxa"/>
            <w:vAlign w:val="bottom"/>
            <w:tcBorders>
              <w:bottom w:val="single" w:sz="8" w:color="009845"/>
            </w:tcBorders>
            <w:shd w:val="clear" w:color="auto" w:fill="009845"/>
          </w:tcPr>
          <w:p>
            <w:pPr>
              <w:jc w:val="center"/>
              <w:ind w:left="108"/>
              <w:spacing w:after="0"/>
              <w:rPr>
                <w:sz w:val="20"/>
                <w:szCs w:val="20"/>
                <w:color w:val="auto"/>
              </w:rPr>
            </w:pPr>
            <w:r>
              <w:rPr>
                <w:rFonts w:ascii="Arial" w:cs="Arial" w:eastAsia="Arial" w:hAnsi="Arial"/>
                <w:sz w:val="14"/>
                <w:szCs w:val="14"/>
                <w:b w:val="1"/>
                <w:bCs w:val="1"/>
                <w:color w:val="FFFFFF"/>
                <w:w w:val="99"/>
              </w:rPr>
              <w:t>PSUs Granted</w:t>
            </w:r>
            <w:r>
              <w:rPr>
                <w:rFonts w:ascii="Arial" w:cs="Arial" w:eastAsia="Arial" w:hAnsi="Arial"/>
                <w:sz w:val="18"/>
                <w:szCs w:val="18"/>
                <w:b w:val="1"/>
                <w:bCs w:val="1"/>
                <w:color w:val="FFFFFF"/>
                <w:w w:val="99"/>
                <w:vertAlign w:val="superscript"/>
              </w:rPr>
              <w:t>(1)</w:t>
            </w:r>
          </w:p>
        </w:tc>
        <w:tc>
          <w:tcPr>
            <w:tcW w:w="1820" w:type="dxa"/>
            <w:vAlign w:val="bottom"/>
            <w:tcBorders>
              <w:bottom w:val="single" w:sz="8" w:color="009845"/>
            </w:tcBorders>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Outstanding</w:t>
            </w:r>
          </w:p>
        </w:tc>
        <w:tc>
          <w:tcPr>
            <w:tcW w:w="1540" w:type="dxa"/>
            <w:vAlign w:val="bottom"/>
            <w:tcBorders>
              <w:bottom w:val="single" w:sz="8" w:color="009845"/>
            </w:tcBorders>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w w:val="97"/>
              </w:rPr>
              <w:t>Run Rate</w:t>
            </w:r>
            <w:r>
              <w:rPr>
                <w:rFonts w:ascii="Arial" w:cs="Arial" w:eastAsia="Arial" w:hAnsi="Arial"/>
                <w:sz w:val="18"/>
                <w:szCs w:val="18"/>
                <w:b w:val="1"/>
                <w:bCs w:val="1"/>
                <w:color w:val="FFFFFF"/>
                <w:w w:val="97"/>
                <w:vertAlign w:val="superscript"/>
              </w:rPr>
              <w:t>(2)</w:t>
            </w:r>
          </w:p>
        </w:tc>
        <w:tc>
          <w:tcPr>
            <w:tcW w:w="168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w w:val="99"/>
              </w:rPr>
              <w:t>Overhang</w:t>
            </w:r>
            <w:r>
              <w:rPr>
                <w:rFonts w:ascii="Arial" w:cs="Arial" w:eastAsia="Arial" w:hAnsi="Arial"/>
                <w:sz w:val="18"/>
                <w:szCs w:val="18"/>
                <w:b w:val="1"/>
                <w:bCs w:val="1"/>
                <w:color w:val="FFFFFF"/>
                <w:w w:val="99"/>
                <w:vertAlign w:val="superscript"/>
              </w:rPr>
              <w:t>(3)</w:t>
            </w:r>
          </w:p>
        </w:tc>
        <w:tc>
          <w:tcPr>
            <w:tcW w:w="0" w:type="dxa"/>
            <w:vAlign w:val="bottom"/>
          </w:tcPr>
          <w:p>
            <w:pPr>
              <w:spacing w:after="0"/>
              <w:rPr>
                <w:sz w:val="1"/>
                <w:szCs w:val="1"/>
                <w:color w:val="auto"/>
              </w:rPr>
            </w:pPr>
          </w:p>
        </w:tc>
      </w:tr>
      <w:tr>
        <w:trPr>
          <w:trHeight w:val="230"/>
        </w:trPr>
        <w:tc>
          <w:tcPr>
            <w:tcW w:w="11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2025</w:t>
            </w:r>
          </w:p>
        </w:tc>
        <w:tc>
          <w:tcPr>
            <w:tcW w:w="1820" w:type="dxa"/>
            <w:vAlign w:val="bottom"/>
            <w:shd w:val="clear" w:color="auto" w:fill="EFEDED"/>
          </w:tcPr>
          <w:p>
            <w:pPr>
              <w:jc w:val="center"/>
              <w:ind w:right="68"/>
              <w:spacing w:after="0"/>
              <w:rPr>
                <w:sz w:val="20"/>
                <w:szCs w:val="20"/>
                <w:color w:val="auto"/>
              </w:rPr>
            </w:pPr>
            <w:r>
              <w:rPr>
                <w:rFonts w:ascii="Arial" w:cs="Arial" w:eastAsia="Arial" w:hAnsi="Arial"/>
                <w:sz w:val="14"/>
                <w:szCs w:val="14"/>
                <w:b w:val="1"/>
                <w:bCs w:val="1"/>
                <w:color w:val="58595B"/>
              </w:rPr>
              <w:t>395,252</w:t>
            </w:r>
          </w:p>
        </w:tc>
        <w:tc>
          <w:tcPr>
            <w:tcW w:w="1360" w:type="dxa"/>
            <w:vAlign w:val="bottom"/>
            <w:shd w:val="clear" w:color="auto" w:fill="EFEDED"/>
          </w:tcPr>
          <w:p>
            <w:pPr>
              <w:jc w:val="center"/>
              <w:spacing w:after="0"/>
              <w:rPr>
                <w:sz w:val="20"/>
                <w:szCs w:val="20"/>
                <w:color w:val="auto"/>
              </w:rPr>
            </w:pPr>
            <w:r>
              <w:rPr>
                <w:rFonts w:ascii="Arial" w:cs="Arial" w:eastAsia="Arial" w:hAnsi="Arial"/>
                <w:sz w:val="14"/>
                <w:szCs w:val="14"/>
                <w:b w:val="1"/>
                <w:bCs w:val="1"/>
                <w:color w:val="58595B"/>
              </w:rPr>
              <w:t>892,977</w:t>
            </w:r>
          </w:p>
        </w:tc>
        <w:tc>
          <w:tcPr>
            <w:tcW w:w="1780" w:type="dxa"/>
            <w:vAlign w:val="bottom"/>
            <w:shd w:val="clear" w:color="auto" w:fill="EFEDED"/>
          </w:tcPr>
          <w:p>
            <w:pPr>
              <w:jc w:val="center"/>
              <w:ind w:left="108"/>
              <w:spacing w:after="0"/>
              <w:rPr>
                <w:sz w:val="20"/>
                <w:szCs w:val="20"/>
                <w:color w:val="auto"/>
              </w:rPr>
            </w:pPr>
            <w:r>
              <w:rPr>
                <w:rFonts w:ascii="Arial" w:cs="Arial" w:eastAsia="Arial" w:hAnsi="Arial"/>
                <w:sz w:val="14"/>
                <w:szCs w:val="14"/>
                <w:b w:val="1"/>
                <w:bCs w:val="1"/>
                <w:color w:val="58595B"/>
              </w:rPr>
              <w:t>640,285</w:t>
            </w:r>
          </w:p>
        </w:tc>
        <w:tc>
          <w:tcPr>
            <w:tcW w:w="1820" w:type="dxa"/>
            <w:vAlign w:val="bottom"/>
            <w:shd w:val="clear" w:color="auto" w:fill="EFEDED"/>
          </w:tcPr>
          <w:p>
            <w:pPr>
              <w:jc w:val="center"/>
              <w:ind w:right="28"/>
              <w:spacing w:after="0"/>
              <w:rPr>
                <w:sz w:val="20"/>
                <w:szCs w:val="20"/>
                <w:color w:val="auto"/>
              </w:rPr>
            </w:pPr>
            <w:r>
              <w:rPr>
                <w:rFonts w:ascii="Arial" w:cs="Arial" w:eastAsia="Arial" w:hAnsi="Arial"/>
                <w:sz w:val="14"/>
                <w:szCs w:val="14"/>
                <w:b w:val="1"/>
                <w:bCs w:val="1"/>
                <w:color w:val="58595B"/>
              </w:rPr>
              <w:t>76,672,000</w:t>
            </w:r>
          </w:p>
        </w:tc>
        <w:tc>
          <w:tcPr>
            <w:tcW w:w="1540" w:type="dxa"/>
            <w:vAlign w:val="bottom"/>
            <w:shd w:val="clear" w:color="auto" w:fill="EFEDED"/>
          </w:tcPr>
          <w:p>
            <w:pPr>
              <w:jc w:val="center"/>
              <w:ind w:right="28"/>
              <w:spacing w:after="0"/>
              <w:rPr>
                <w:sz w:val="20"/>
                <w:szCs w:val="20"/>
                <w:color w:val="auto"/>
              </w:rPr>
            </w:pPr>
            <w:r>
              <w:rPr>
                <w:rFonts w:ascii="Arial" w:cs="Arial" w:eastAsia="Arial" w:hAnsi="Arial"/>
                <w:sz w:val="14"/>
                <w:szCs w:val="14"/>
                <w:b w:val="1"/>
                <w:bCs w:val="1"/>
                <w:color w:val="58595B"/>
              </w:rPr>
              <w:t>2.52%</w:t>
            </w:r>
          </w:p>
        </w:tc>
        <w:tc>
          <w:tcPr>
            <w:tcW w:w="1680" w:type="dxa"/>
            <w:vAlign w:val="bottom"/>
            <w:shd w:val="clear" w:color="auto" w:fill="EFEDED"/>
          </w:tcPr>
          <w:p>
            <w:pPr>
              <w:jc w:val="right"/>
              <w:ind w:right="568"/>
              <w:spacing w:after="0"/>
              <w:rPr>
                <w:sz w:val="20"/>
                <w:szCs w:val="20"/>
                <w:color w:val="auto"/>
              </w:rPr>
            </w:pPr>
            <w:r>
              <w:rPr>
                <w:rFonts w:ascii="Arial" w:cs="Arial" w:eastAsia="Arial" w:hAnsi="Arial"/>
                <w:sz w:val="14"/>
                <w:szCs w:val="14"/>
                <w:b w:val="1"/>
                <w:bCs w:val="1"/>
                <w:color w:val="58595B"/>
              </w:rPr>
              <w:t>9.64%</w:t>
            </w:r>
          </w:p>
        </w:tc>
        <w:tc>
          <w:tcPr>
            <w:tcW w:w="0" w:type="dxa"/>
            <w:vAlign w:val="bottom"/>
          </w:tcPr>
          <w:p>
            <w:pPr>
              <w:spacing w:after="0"/>
              <w:rPr>
                <w:sz w:val="1"/>
                <w:szCs w:val="1"/>
                <w:color w:val="auto"/>
              </w:rPr>
            </w:pPr>
          </w:p>
        </w:tc>
      </w:tr>
      <w:tr>
        <w:trPr>
          <w:trHeight w:val="222"/>
        </w:trPr>
        <w:tc>
          <w:tcPr>
            <w:tcW w:w="1160" w:type="dxa"/>
            <w:vAlign w:val="bottom"/>
          </w:tcPr>
          <w:p>
            <w:pPr>
              <w:ind w:left="100"/>
              <w:spacing w:after="0"/>
              <w:rPr>
                <w:sz w:val="20"/>
                <w:szCs w:val="20"/>
                <w:color w:val="auto"/>
              </w:rPr>
            </w:pPr>
            <w:r>
              <w:rPr>
                <w:rFonts w:ascii="Arial" w:cs="Arial" w:eastAsia="Arial" w:hAnsi="Arial"/>
                <w:sz w:val="14"/>
                <w:szCs w:val="14"/>
                <w:b w:val="1"/>
                <w:bCs w:val="1"/>
                <w:color w:val="58595B"/>
              </w:rPr>
              <w:t>2024</w:t>
            </w:r>
          </w:p>
        </w:tc>
        <w:tc>
          <w:tcPr>
            <w:tcW w:w="1820" w:type="dxa"/>
            <w:vAlign w:val="bottom"/>
          </w:tcPr>
          <w:p>
            <w:pPr>
              <w:jc w:val="center"/>
              <w:ind w:right="68"/>
              <w:spacing w:after="0"/>
              <w:rPr>
                <w:sz w:val="20"/>
                <w:szCs w:val="20"/>
                <w:color w:val="auto"/>
              </w:rPr>
            </w:pPr>
            <w:r>
              <w:rPr>
                <w:rFonts w:ascii="Arial" w:cs="Arial" w:eastAsia="Arial" w:hAnsi="Arial"/>
                <w:sz w:val="14"/>
                <w:szCs w:val="14"/>
                <w:b w:val="1"/>
                <w:bCs w:val="1"/>
                <w:color w:val="58595B"/>
              </w:rPr>
              <w:t>244,000</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58595B"/>
              </w:rPr>
              <w:t>650,000</w:t>
            </w:r>
          </w:p>
        </w:tc>
        <w:tc>
          <w:tcPr>
            <w:tcW w:w="1780" w:type="dxa"/>
            <w:vAlign w:val="bottom"/>
          </w:tcPr>
          <w:p>
            <w:pPr>
              <w:jc w:val="center"/>
              <w:ind w:left="108"/>
              <w:spacing w:after="0"/>
              <w:rPr>
                <w:sz w:val="20"/>
                <w:szCs w:val="20"/>
                <w:color w:val="auto"/>
              </w:rPr>
            </w:pPr>
            <w:r>
              <w:rPr>
                <w:rFonts w:ascii="Arial" w:cs="Arial" w:eastAsia="Arial" w:hAnsi="Arial"/>
                <w:sz w:val="14"/>
                <w:szCs w:val="14"/>
                <w:b w:val="1"/>
                <w:bCs w:val="1"/>
                <w:color w:val="58595B"/>
              </w:rPr>
              <w:t>387,000</w:t>
            </w:r>
          </w:p>
        </w:tc>
        <w:tc>
          <w:tcPr>
            <w:tcW w:w="1820" w:type="dxa"/>
            <w:vAlign w:val="bottom"/>
          </w:tcPr>
          <w:p>
            <w:pPr>
              <w:jc w:val="center"/>
              <w:ind w:right="28"/>
              <w:spacing w:after="0"/>
              <w:rPr>
                <w:sz w:val="20"/>
                <w:szCs w:val="20"/>
                <w:color w:val="auto"/>
              </w:rPr>
            </w:pPr>
            <w:r>
              <w:rPr>
                <w:rFonts w:ascii="Arial" w:cs="Arial" w:eastAsia="Arial" w:hAnsi="Arial"/>
                <w:sz w:val="14"/>
                <w:szCs w:val="14"/>
                <w:b w:val="1"/>
                <w:bCs w:val="1"/>
                <w:color w:val="58595B"/>
              </w:rPr>
              <w:t>77,010,000</w:t>
            </w:r>
          </w:p>
        </w:tc>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58595B"/>
              </w:rPr>
              <w:t>1.66%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160" w:type="dxa"/>
            <w:vAlign w:val="bottom"/>
            <w:tcBorders>
              <w:bottom w:val="single" w:sz="8" w:color="58595B"/>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2023</w:t>
            </w:r>
          </w:p>
        </w:tc>
        <w:tc>
          <w:tcPr>
            <w:tcW w:w="1820" w:type="dxa"/>
            <w:vAlign w:val="bottom"/>
            <w:tcBorders>
              <w:bottom w:val="single" w:sz="8" w:color="58595B"/>
            </w:tcBorders>
            <w:shd w:val="clear" w:color="auto" w:fill="EFEDED"/>
          </w:tcPr>
          <w:p>
            <w:pPr>
              <w:jc w:val="center"/>
              <w:ind w:right="68"/>
              <w:spacing w:after="0"/>
              <w:rPr>
                <w:sz w:val="20"/>
                <w:szCs w:val="20"/>
                <w:color w:val="auto"/>
              </w:rPr>
            </w:pPr>
            <w:r>
              <w:rPr>
                <w:rFonts w:ascii="Arial" w:cs="Arial" w:eastAsia="Arial" w:hAnsi="Arial"/>
                <w:sz w:val="14"/>
                <w:szCs w:val="14"/>
                <w:b w:val="1"/>
                <w:bCs w:val="1"/>
                <w:color w:val="58595B"/>
              </w:rPr>
              <w:t>151,000</w:t>
            </w:r>
          </w:p>
        </w:tc>
        <w:tc>
          <w:tcPr>
            <w:tcW w:w="136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b w:val="1"/>
                <w:bCs w:val="1"/>
                <w:color w:val="58595B"/>
              </w:rPr>
              <w:t>411,000</w:t>
            </w:r>
          </w:p>
        </w:tc>
        <w:tc>
          <w:tcPr>
            <w:tcW w:w="1780" w:type="dxa"/>
            <w:vAlign w:val="bottom"/>
            <w:tcBorders>
              <w:bottom w:val="single" w:sz="8" w:color="58595B"/>
            </w:tcBorders>
            <w:shd w:val="clear" w:color="auto" w:fill="EFEDED"/>
          </w:tcPr>
          <w:p>
            <w:pPr>
              <w:jc w:val="center"/>
              <w:ind w:left="108"/>
              <w:spacing w:after="0"/>
              <w:rPr>
                <w:sz w:val="20"/>
                <w:szCs w:val="20"/>
                <w:color w:val="auto"/>
              </w:rPr>
            </w:pPr>
            <w:r>
              <w:rPr>
                <w:rFonts w:ascii="Arial" w:cs="Arial" w:eastAsia="Arial" w:hAnsi="Arial"/>
                <w:sz w:val="14"/>
                <w:szCs w:val="14"/>
                <w:b w:val="1"/>
                <w:bCs w:val="1"/>
                <w:color w:val="58595B"/>
              </w:rPr>
              <w:t>229,000</w:t>
            </w:r>
          </w:p>
        </w:tc>
        <w:tc>
          <w:tcPr>
            <w:tcW w:w="1820" w:type="dxa"/>
            <w:vAlign w:val="bottom"/>
            <w:tcBorders>
              <w:bottom w:val="single" w:sz="8" w:color="58595B"/>
            </w:tcBorders>
            <w:shd w:val="clear" w:color="auto" w:fill="EFEDED"/>
          </w:tcPr>
          <w:p>
            <w:pPr>
              <w:jc w:val="center"/>
              <w:ind w:right="28"/>
              <w:spacing w:after="0"/>
              <w:rPr>
                <w:sz w:val="20"/>
                <w:szCs w:val="20"/>
                <w:color w:val="auto"/>
              </w:rPr>
            </w:pPr>
            <w:r>
              <w:rPr>
                <w:rFonts w:ascii="Arial" w:cs="Arial" w:eastAsia="Arial" w:hAnsi="Arial"/>
                <w:sz w:val="14"/>
                <w:szCs w:val="14"/>
                <w:b w:val="1"/>
                <w:bCs w:val="1"/>
                <w:color w:val="58595B"/>
              </w:rPr>
              <w:t>80,089,000</w:t>
            </w:r>
          </w:p>
        </w:tc>
        <w:tc>
          <w:tcPr>
            <w:tcW w:w="1540" w:type="dxa"/>
            <w:vAlign w:val="bottom"/>
            <w:tcBorders>
              <w:bottom w:val="single" w:sz="8" w:color="58595B"/>
            </w:tcBorders>
            <w:shd w:val="clear" w:color="auto" w:fill="EFEDED"/>
          </w:tcPr>
          <w:p>
            <w:pPr>
              <w:jc w:val="center"/>
              <w:ind w:right="28"/>
              <w:spacing w:after="0"/>
              <w:rPr>
                <w:sz w:val="20"/>
                <w:szCs w:val="20"/>
                <w:color w:val="auto"/>
              </w:rPr>
            </w:pPr>
            <w:r>
              <w:rPr>
                <w:rFonts w:ascii="Arial" w:cs="Arial" w:eastAsia="Arial" w:hAnsi="Arial"/>
                <w:sz w:val="14"/>
                <w:szCs w:val="14"/>
                <w:b w:val="1"/>
                <w:bCs w:val="1"/>
                <w:color w:val="58595B"/>
              </w:rPr>
              <w:t>0.99%</w:t>
            </w:r>
          </w:p>
        </w:tc>
        <w:tc>
          <w:tcPr>
            <w:tcW w:w="1680" w:type="dxa"/>
            <w:vAlign w:val="bottom"/>
            <w:tcBorders>
              <w:bottom w:val="single" w:sz="8" w:color="58595B"/>
            </w:tcBorders>
            <w:shd w:val="clear" w:color="auto" w:fill="EFEDED"/>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320" w:hanging="332"/>
        <w:spacing w:after="0" w:line="285" w:lineRule="auto"/>
        <w:tabs>
          <w:tab w:leader="none" w:pos="338"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number of PSUs included above represents a number in respect of PSUs granted under the Plan assuming the target performance for the three-year performance period applicable to the award has been achieved. For each year shown above, the breakout of PSUs is 395,781 in 2025, 308,000 in 2024, and 161,000 in 2023.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81</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80" w:hanging="332"/>
        <w:spacing w:after="0" w:line="301" w:lineRule="auto"/>
        <w:tabs>
          <w:tab w:leader="none" w:pos="338" w:val="left"/>
        </w:tabs>
        <w:numPr>
          <w:ilvl w:val="0"/>
          <w:numId w:val="58"/>
        </w:numPr>
        <w:rPr>
          <w:rFonts w:ascii="Arial" w:cs="Arial" w:eastAsia="Arial" w:hAnsi="Arial"/>
          <w:sz w:val="14"/>
          <w:szCs w:val="14"/>
          <w:color w:val="auto"/>
        </w:rPr>
      </w:pPr>
      <w:r>
        <w:rPr>
          <w:rFonts w:ascii="Arial" w:cs="Arial" w:eastAsia="Arial" w:hAnsi="Arial"/>
          <w:sz w:val="14"/>
          <w:szCs w:val="14"/>
          <w:color w:val="auto"/>
        </w:rPr>
        <w:t>Run rate represents (i) the sum of stock options, RSAs, RSUs and PSUs granted divided by (ii) the basic weighted average common shares outstanding for the applicable fiscal year.</w:t>
      </w:r>
    </w:p>
    <w:p>
      <w:pPr>
        <w:spacing w:after="0" w:line="1" w:lineRule="exact"/>
        <w:rPr>
          <w:rFonts w:ascii="Arial" w:cs="Arial" w:eastAsia="Arial" w:hAnsi="Arial"/>
          <w:sz w:val="14"/>
          <w:szCs w:val="14"/>
          <w:color w:val="auto"/>
        </w:rPr>
      </w:pPr>
    </w:p>
    <w:p>
      <w:pPr>
        <w:ind w:left="340" w:right="200" w:hanging="332"/>
        <w:spacing w:after="0" w:line="285" w:lineRule="auto"/>
        <w:tabs>
          <w:tab w:leader="none" w:pos="338" w:val="left"/>
        </w:tabs>
        <w:numPr>
          <w:ilvl w:val="0"/>
          <w:numId w:val="58"/>
        </w:numPr>
        <w:rPr>
          <w:rFonts w:ascii="Arial" w:cs="Arial" w:eastAsia="Arial" w:hAnsi="Arial"/>
          <w:sz w:val="14"/>
          <w:szCs w:val="14"/>
          <w:color w:val="auto"/>
        </w:rPr>
      </w:pPr>
      <w:r>
        <w:rPr>
          <w:rFonts w:ascii="Arial" w:cs="Arial" w:eastAsia="Arial" w:hAnsi="Arial"/>
          <w:sz w:val="14"/>
          <w:szCs w:val="14"/>
          <w:color w:val="auto"/>
        </w:rPr>
        <w:t>Overhang represents (i) Total Plan Shares divided by (ii) the common shares outstanding, where Total Plan Shares equals the sum of the number of shares available for future grants under the Plan (excluding shares reserved under the Amendment), and the number of stock options, restricted stock, RSUs and PSUs outstanding.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58595B"/>
        </w:rPr>
        <w:t>The three-year average run rate for the fiscal years 2023 through 2025 period was 1.72%.</w:t>
      </w:r>
    </w:p>
    <w:p>
      <w:pPr>
        <w:spacing w:after="0" w:line="221"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58595B"/>
        </w:rPr>
        <w:t>There were 3,493,160 full-value awards outstanding including PSUs at target value and 1,249,392 stock options outstanding with a weighted average price of $41.59 and weighted average remaining term of 4.54 years as of March 13, 2026.</w:t>
      </w:r>
    </w:p>
    <w:p>
      <w:pPr>
        <w:spacing w:after="0" w:line="101" w:lineRule="exact"/>
        <w:rPr>
          <w:sz w:val="20"/>
          <w:szCs w:val="20"/>
          <w:color w:val="auto"/>
        </w:rPr>
      </w:pPr>
    </w:p>
    <w:p>
      <w:pPr>
        <w:ind w:right="100"/>
        <w:spacing w:after="0" w:line="328" w:lineRule="auto"/>
        <w:rPr>
          <w:sz w:val="20"/>
          <w:szCs w:val="20"/>
          <w:color w:val="auto"/>
        </w:rPr>
      </w:pPr>
      <w:r>
        <w:rPr>
          <w:rFonts w:ascii="Arial" w:cs="Arial" w:eastAsia="Arial" w:hAnsi="Arial"/>
          <w:sz w:val="16"/>
          <w:szCs w:val="16"/>
          <w:color w:val="58595B"/>
        </w:rPr>
        <w:t>If approved, the issuance of shares to be reserved under Amendment No. 3 to the Plan would increase the overhang by approximately 4.71% of common shares outstanding (determined as of March 13, 2026), and a total overhang (including outstanding awards and shares available for future grants under the Plan) at March 13, 2026 would be approximately 14.35%.</w:t>
      </w:r>
    </w:p>
    <w:p>
      <w:pPr>
        <w:spacing w:after="0" w:line="12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58595B"/>
        </w:rPr>
        <w:t>The Compensation Committee determined the size of the reserved pool under the Plan based on projected equity awards to anticipated new hires, projected annual equity awards to existing employees, and conducted an assessment of the magnitude of a share reserve increase that our stockholders would likely find acceptable. As noted above, we anticipate that if our request to increase the share reserve is approved by our stockholders, it will provide us with enough shares for equity awards for approximately two years. This is only an estimate, and circumstances could cause the share reserve to be used more quickly or more slowly. These circumstances include, but are not limited to, the future price of shares of our common stock, the mix of options and full-value awards provided as long-term incentive compensation, grant amounts provided by our competitors, payout of performance-based awards in excess of target in the event of superior performance, hiring activity, and promotions during the next few years.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Description of Amendment No. 3 to the Plan</w:t>
      </w:r>
    </w:p>
    <w:p>
      <w:pPr>
        <w:spacing w:after="0" w:line="72"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58595B"/>
        </w:rPr>
        <w:t>Amendment No. 3 to the Plan is set forth in Appendix B to this Proxy Statement. The full text of the Plan (prior to Amendment No. 3 to the Plan described in this Proposal No. 4) is set forth in Exhibit 10.1 to the Company's Current Report on Form 8-K, filed with the SEC on May 18, 2021. The full text of Amendment No. 1 to the Plan is set forth in Exhibit 10.1 to the Company's Current Report on Form 8-K, filed with the SEC on May 13, 2024. The full text of Amendment No. 2 to the Plan is set forth in Exhibit 10.1 to the Company's Current Report on Form 8-K, filed with the SEC on May 13, 2025.</w:t>
      </w:r>
    </w:p>
    <w:p>
      <w:pPr>
        <w:spacing w:after="0" w:line="113" w:lineRule="exact"/>
        <w:rPr>
          <w:sz w:val="20"/>
          <w:szCs w:val="20"/>
          <w:color w:val="auto"/>
        </w:rPr>
      </w:pPr>
    </w:p>
    <w:p>
      <w:pPr>
        <w:ind w:right="480"/>
        <w:spacing w:after="0" w:line="339" w:lineRule="auto"/>
        <w:rPr>
          <w:sz w:val="20"/>
          <w:szCs w:val="20"/>
          <w:color w:val="auto"/>
        </w:rPr>
      </w:pPr>
      <w:r>
        <w:rPr>
          <w:rFonts w:ascii="Arial" w:cs="Arial" w:eastAsia="Arial" w:hAnsi="Arial"/>
          <w:sz w:val="16"/>
          <w:szCs w:val="16"/>
          <w:color w:val="58595B"/>
        </w:rPr>
        <w:t>The following is a summary of the principal features of the Plan, as amended. This summary does not purport to be a complete description of all of the provisions of the Plan. It is qualified in its entirety by reference to the full text of the Plan.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Administration</w:t>
      </w:r>
    </w:p>
    <w:p>
      <w:pPr>
        <w:spacing w:after="0" w:line="208" w:lineRule="exact"/>
        <w:rPr>
          <w:sz w:val="20"/>
          <w:szCs w:val="20"/>
          <w:color w:val="auto"/>
        </w:rPr>
      </w:pPr>
    </w:p>
    <w:p>
      <w:pPr>
        <w:ind w:right="100"/>
        <w:spacing w:after="0" w:line="356" w:lineRule="auto"/>
        <w:rPr>
          <w:sz w:val="20"/>
          <w:szCs w:val="20"/>
          <w:color w:val="auto"/>
        </w:rPr>
      </w:pPr>
      <w:r>
        <w:rPr>
          <w:rFonts w:ascii="Arial" w:cs="Arial" w:eastAsia="Arial" w:hAnsi="Arial"/>
          <w:sz w:val="16"/>
          <w:szCs w:val="16"/>
          <w:color w:val="58595B"/>
        </w:rPr>
        <w:t>The Compensation Committee has the exclusive authority to administer the Plan, including the power to determine eligibility, the types and sizes of awards, the price and timing of awards, the acceleration or waiver of any vesting restriction, and the authority to delegate such administrative responsibilities.</w:t>
      </w:r>
    </w:p>
    <w:p>
      <w:pPr>
        <w:spacing w:after="0" w:line="89" w:lineRule="exact"/>
        <w:rPr>
          <w:sz w:val="20"/>
          <w:szCs w:val="20"/>
          <w:color w:val="auto"/>
        </w:rPr>
      </w:pPr>
    </w:p>
    <w:p>
      <w:pPr>
        <w:spacing w:after="0" w:line="314" w:lineRule="auto"/>
        <w:rPr>
          <w:sz w:val="20"/>
          <w:szCs w:val="20"/>
          <w:color w:val="auto"/>
        </w:rPr>
      </w:pPr>
      <w:r>
        <w:rPr>
          <w:rFonts w:ascii="Arial" w:cs="Arial" w:eastAsia="Arial" w:hAnsi="Arial"/>
          <w:sz w:val="16"/>
          <w:szCs w:val="16"/>
          <w:color w:val="58595B"/>
        </w:rPr>
        <w:t>The Compensation Committee may delegate to a committee of one or more of our directors or one or more of our officers the authority to grant or amend awards to participants other than our senior executives who are subject to Section 16 of the Exchange Act. Pursuant to this provision, our Compensation Committee’s current practice is to delegate to our Chief Executive Officer the authority to determine and make most of the individual grants to our employees who are not subject to Section 16 of the Exchange Act within guidelines approved by the Compensation Committee. Unless otherwise determined by the Board, the Compensation Committee shall consist solely of two or more members of the Board, each of whom is a non-employee director, and an “independent director” under the rules of Nasdaq (or other principal securities market on which shares of our common stock are traded).</w:t>
      </w: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82</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jc w:val="right"/>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Eligibility</w:t>
      </w:r>
    </w:p>
    <w:p>
      <w:pPr>
        <w:spacing w:after="0" w:line="208"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58595B"/>
        </w:rPr>
        <w:t>Officers, executives, managerial and non-managerial employees of the Company, a parent or subsidiary corporation (referred to herein as a “Related Corporation”) or an affiliate as well as non-employee directors, consultants and other service providers to the Company, a Related Corporation or an affiliate are eligible to participate in the Plan. Only eligible employees of the Company or a Related Corporation may receive Incentive Stock Options ("ISOs") under the Plan. Other types of awards may be granted to all eligible individuals.</w:t>
      </w:r>
    </w:p>
    <w:p>
      <w:pPr>
        <w:spacing w:after="0" w:line="113" w:lineRule="exact"/>
        <w:rPr>
          <w:sz w:val="20"/>
          <w:szCs w:val="20"/>
          <w:color w:val="auto"/>
        </w:rPr>
      </w:pPr>
    </w:p>
    <w:p>
      <w:pPr>
        <w:ind w:right="420"/>
        <w:spacing w:after="0" w:line="339" w:lineRule="auto"/>
        <w:rPr>
          <w:sz w:val="20"/>
          <w:szCs w:val="20"/>
          <w:color w:val="auto"/>
        </w:rPr>
      </w:pPr>
      <w:r>
        <w:rPr>
          <w:rFonts w:ascii="Arial" w:cs="Arial" w:eastAsia="Arial" w:hAnsi="Arial"/>
          <w:sz w:val="16"/>
          <w:szCs w:val="16"/>
          <w:color w:val="58595B"/>
        </w:rPr>
        <w:t>As of the date of this Proxy Statement, approximately 1,535 employees and 7 non-employee directors (but no consultants) are eligible to receive equity awards under the Plan.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Limitation on Awards and Shares Available for Issuance</w:t>
      </w:r>
    </w:p>
    <w:p>
      <w:pPr>
        <w:spacing w:after="0" w:line="20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58595B"/>
        </w:rPr>
        <w:t>The total number of shares of common stock that may be issued or awarded under the Plan is 20,700,000 shares. If this Proposal No. 4 is approved by our stockholders, then an additional 3,550,000 shares will be available for issuance under the Plan (for a total of 24,250,000 shares), and the maximum number of shares of common stock that may be granted as ISOs will be 24,250,000 shares. If any award is forfeited, expires or otherwise terminates without having been exercised in full or if any award payable in cash or shares of common stock is paid in cash rather than shares, the number of shares of common stock as to which such award was not exercised will continue to be available for future awards under the Plan. If any shares are withheld for the payment of taxes with respect to an award, such shares shall no longer be available for issuance under the Plan, pursuant to the terms of the Amendment No. 1 to the Plan, adopted by our Board and approved by our shareholders at our 2024 annual meeting.</w:t>
      </w:r>
    </w:p>
    <w:p>
      <w:pPr>
        <w:spacing w:after="0" w:line="140"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In addition, the aggregate fair market value (determined at the time of grant) of shares of common stock with respect to which any ISOs are exercisable for the first time by any participant during a calendar year (under the Plan and under any other stock option plan of the Company or a Related Corporation (as defined in the Plan)) may not exceed $100,000. The shares of common stock issued under the Plan may be authorized but unissued shares, treasury shares or reacquired shares, and the Company may purchase shares required for this purpose, from time to time, if it deems such purchase to be advisable.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58595B"/>
        </w:rPr>
        <w:t>The Plan provides that no employee may be granted awards under the Plan for more than 2,000,000 shares in the aggregate during any calendar year.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Types of Awards</w:t>
      </w:r>
    </w:p>
    <w:p>
      <w:pPr>
        <w:spacing w:after="0" w:line="208" w:lineRule="exact"/>
        <w:rPr>
          <w:sz w:val="20"/>
          <w:szCs w:val="20"/>
          <w:color w:val="auto"/>
        </w:rPr>
      </w:pPr>
    </w:p>
    <w:p>
      <w:pPr>
        <w:ind w:right="200"/>
        <w:spacing w:after="0" w:line="328" w:lineRule="auto"/>
        <w:rPr>
          <w:sz w:val="20"/>
          <w:szCs w:val="20"/>
          <w:color w:val="auto"/>
        </w:rPr>
      </w:pPr>
      <w:r>
        <w:rPr>
          <w:rFonts w:ascii="Arial" w:cs="Arial" w:eastAsia="Arial" w:hAnsi="Arial"/>
          <w:sz w:val="16"/>
          <w:szCs w:val="16"/>
          <w:color w:val="58595B"/>
        </w:rPr>
        <w:t>Awards under the Plan may be made in the form of stock options, stock appreciation rights, restricted stock, performance stock, contract stock, dividends and dividend equivalent rights, stock payments and other incentive awards, whether singly or in combination with any other form of award. The terms of all awards made under the Plan will be determined by the Compensation Committee and will be stated in an award agreement.</w:t>
      </w:r>
    </w:p>
    <w:p>
      <w:pPr>
        <w:spacing w:after="0" w:line="110"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i w:val="1"/>
          <w:iCs w:val="1"/>
          <w:color w:val="58595B"/>
        </w:rPr>
        <w:t>Stock Options</w:t>
      </w:r>
      <w:r>
        <w:rPr>
          <w:rFonts w:ascii="Arial" w:cs="Arial" w:eastAsia="Arial" w:hAnsi="Arial"/>
          <w:sz w:val="16"/>
          <w:szCs w:val="16"/>
          <w:color w:val="58595B"/>
        </w:rPr>
        <w:t>. The Plan permits the Compensation Committee to grant options that qualify as ISOs under the Code and stock options that do not so qualify</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(“nonqualified stock options” or “NQSOs”). An option gives the holder the right to purchase common stock in the future at an exercise price that is set on the date of grant. The per share exercise price of options granted under the Plan may not be less than the fair market value of a share of common stock on the date of grant (or, if greater, the par value per share). No ISO may be granted to a grantee who owns more than 10% of our stock unless the exercise price is at least 110% of the fair market value at the time of grant (or, if greater, 110% of the par value per share). Notwithstanding whether an option is designated as an ISO, to the extent that the aggregate fair market value of the shares with respect to which such option is exercisable for the first time by any participant during any calendar year exceeds $100,000, such excess will be treated as a nonqualified stock option.</w:t>
      </w:r>
    </w:p>
    <w:p>
      <w:pPr>
        <w:spacing w:after="0" w:line="12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58595B"/>
        </w:rPr>
        <w:t>Payment of the exercise price of an option may be made (i) in cash or by check (acceptable to the Compensation Committee), bank draft or money order payable to the order of the Company, (ii) in shares of common stock previously acquired by the participant, subject to certain limitations under the Plan to avoid negative accounting consequences, (iii) by delivery of a notice of exercise of the option to the Company and a broker, with irrevocable instructions to the broker promptly to deliver to the Company the amount of sale or loan proceeds necessary to pay the exercise price of the option, or (iv) by any combination of the above. In addition to these methods, the Plan provides that, to the extent that the applicable award agreement so provides or the Compensation Committee otherwise determines, payment of the option exercise price may be made in shares of common stock issuable pursuant to the exercise of an NQSO or otherwise withheld in a net settlement of an NQSO.</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83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339" w:lineRule="auto"/>
        <w:rPr>
          <w:sz w:val="20"/>
          <w:szCs w:val="20"/>
          <w:color w:val="auto"/>
        </w:rPr>
      </w:pPr>
      <w:r>
        <w:rPr>
          <w:rFonts w:ascii="Arial" w:cs="Arial" w:eastAsia="Arial" w:hAnsi="Arial"/>
          <w:sz w:val="16"/>
          <w:szCs w:val="16"/>
          <w:color w:val="58595B"/>
        </w:rPr>
        <w:t>Stock options may be exercised during the period specified in the award agreement, but in no event after the tenth anniversary of the date of grant. However, in the case of an ISO granted to a person who owns more than 10% of our stock on the date of grant, such term will not exceed 5 years.</w:t>
      </w:r>
    </w:p>
    <w:p>
      <w:pPr>
        <w:spacing w:after="0" w:line="115"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b w:val="1"/>
          <w:bCs w:val="1"/>
          <w:i w:val="1"/>
          <w:iCs w:val="1"/>
          <w:color w:val="58595B"/>
        </w:rPr>
        <w:t>Stock Appreciation Rights</w:t>
      </w:r>
      <w:r>
        <w:rPr>
          <w:rFonts w:ascii="Arial" w:cs="Arial" w:eastAsia="Arial" w:hAnsi="Arial"/>
          <w:sz w:val="16"/>
          <w:szCs w:val="16"/>
          <w:i w:val="1"/>
          <w:iCs w:val="1"/>
          <w:color w:val="58595B"/>
        </w:rPr>
        <w:t>.</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The Compensation Committee may grant stock appreciation rights, either alone or in tandem with options, entitling the</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participant upon exercise to receive an amount in cash, shares of common stock or a combination thereof (as determined by the Compensation Committee), measured by the increase since the date of grant in the value of the shares covered by such right. The exercise price of a stock appreciation right granted under the Plan may not be less than the fair market value of the shares of common stock subject to the stock appreciation right on the date of grant (or, if greater, the par value per share).</w:t>
      </w:r>
    </w:p>
    <w:p>
      <w:pPr>
        <w:spacing w:after="0" w:line="137" w:lineRule="exact"/>
        <w:rPr>
          <w:sz w:val="20"/>
          <w:szCs w:val="20"/>
          <w:color w:val="auto"/>
        </w:rPr>
      </w:pPr>
    </w:p>
    <w:p>
      <w:pPr>
        <w:ind w:right="380"/>
        <w:spacing w:after="0" w:line="339" w:lineRule="auto"/>
        <w:rPr>
          <w:sz w:val="20"/>
          <w:szCs w:val="20"/>
          <w:color w:val="auto"/>
        </w:rPr>
      </w:pPr>
      <w:r>
        <w:rPr>
          <w:rFonts w:ascii="Arial" w:cs="Arial" w:eastAsia="Arial" w:hAnsi="Arial"/>
          <w:sz w:val="16"/>
          <w:szCs w:val="16"/>
          <w:color w:val="58595B"/>
        </w:rPr>
        <w:t>Stock appreciation rights may be exercised during the period specified in the award agreement, but in no event after the tenth anniversary of the date of grant.</w:t>
      </w:r>
    </w:p>
    <w:p>
      <w:pPr>
        <w:spacing w:after="0" w:line="115"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b w:val="1"/>
          <w:bCs w:val="1"/>
          <w:i w:val="1"/>
          <w:iCs w:val="1"/>
          <w:color w:val="58595B"/>
        </w:rPr>
        <w:t>Restricted Stock</w:t>
      </w:r>
      <w:r>
        <w:rPr>
          <w:rFonts w:ascii="Arial" w:cs="Arial" w:eastAsia="Arial" w:hAnsi="Arial"/>
          <w:sz w:val="16"/>
          <w:szCs w:val="16"/>
          <w:color w:val="58595B"/>
        </w:rPr>
        <w:t>. The Compensation Committee may grant shares of common stock to participants either with or without any required payment by the</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participant, subject to such restrictions as the Compensation Committee may determine. Any such issuances of restricted stock under the Plan without any required payment by the participant are limited to the extent permitted by applicable law.</w:t>
      </w:r>
    </w:p>
    <w:p>
      <w:pPr>
        <w:spacing w:after="0" w:line="130" w:lineRule="exact"/>
        <w:rPr>
          <w:sz w:val="20"/>
          <w:szCs w:val="20"/>
          <w:color w:val="auto"/>
        </w:rPr>
      </w:pPr>
    </w:p>
    <w:p>
      <w:pPr>
        <w:ind w:right="160"/>
        <w:spacing w:after="0" w:line="318" w:lineRule="auto"/>
        <w:rPr>
          <w:sz w:val="20"/>
          <w:szCs w:val="20"/>
          <w:color w:val="auto"/>
        </w:rPr>
      </w:pPr>
      <w:r>
        <w:rPr>
          <w:rFonts w:ascii="Arial" w:cs="Arial" w:eastAsia="Arial" w:hAnsi="Arial"/>
          <w:sz w:val="16"/>
          <w:szCs w:val="16"/>
          <w:b w:val="1"/>
          <w:bCs w:val="1"/>
          <w:i w:val="1"/>
          <w:iCs w:val="1"/>
          <w:color w:val="58595B"/>
        </w:rPr>
        <w:t>Performance Stock</w:t>
      </w:r>
      <w:r>
        <w:rPr>
          <w:rFonts w:ascii="Arial" w:cs="Arial" w:eastAsia="Arial" w:hAnsi="Arial"/>
          <w:sz w:val="16"/>
          <w:szCs w:val="16"/>
          <w:i w:val="1"/>
          <w:iCs w:val="1"/>
          <w:color w:val="58595B"/>
        </w:rPr>
        <w:t>.</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The Compensation Committee may grant awards entitling a participant to receive shares of common stock without payment provided</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certain performance criteria are met. The business criteria selected by the Compensation Committee may be expressed in absolute terms or relative to the performance of other companies or an index. In determining the performance criteria applicable to a grant of performance stock, the Compensation Committee may use one or more of the following criteria (the “Performance Criteria”):</w:t>
      </w:r>
    </w:p>
    <w:p>
      <w:pPr>
        <w:sectPr>
          <w:pgSz w:w="11900" w:h="16838" w:orient="portrait"/>
          <w:cols w:equalWidth="0" w:num="1">
            <w:col w:w="11240"/>
          </w:cols>
          <w:pgMar w:left="320" w:top="121" w:right="339" w:bottom="1440" w:gutter="0" w:footer="0" w:header="0"/>
        </w:sectPr>
      </w:pPr>
    </w:p>
    <w:p>
      <w:pPr>
        <w:spacing w:after="0" w:line="56" w:lineRule="exact"/>
        <w:rPr>
          <w:sz w:val="20"/>
          <w:szCs w:val="20"/>
          <w:color w:val="auto"/>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return on assets;</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return on equity;</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market price appreciation of shares;</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total stockholder return;</w:t>
      </w:r>
    </w:p>
    <w:p>
      <w:pPr>
        <w:spacing w:after="0" w:line="55" w:lineRule="exact"/>
        <w:rPr>
          <w:rFonts w:ascii="Arial" w:cs="Arial" w:eastAsia="Arial" w:hAnsi="Arial"/>
          <w:sz w:val="14"/>
          <w:szCs w:val="14"/>
          <w:color w:val="58595B"/>
        </w:rPr>
      </w:pPr>
    </w:p>
    <w:p>
      <w:pPr>
        <w:ind w:left="580" w:right="520" w:hanging="167"/>
        <w:spacing w:after="0" w:line="301" w:lineRule="auto"/>
        <w:tabs>
          <w:tab w:leader="none" w:pos="536"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revenue (including gross revenue or net revenue);</w:t>
      </w:r>
    </w:p>
    <w:p>
      <w:pPr>
        <w:spacing w:after="0" w:line="1" w:lineRule="exact"/>
        <w:rPr>
          <w:rFonts w:ascii="Arial" w:cs="Arial" w:eastAsia="Arial" w:hAnsi="Arial"/>
          <w:sz w:val="14"/>
          <w:szCs w:val="14"/>
          <w:color w:val="58595B"/>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adjusted net income;</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gross or net profit;</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earnings per share;</w:t>
      </w:r>
    </w:p>
    <w:p>
      <w:pPr>
        <w:spacing w:after="0" w:line="55" w:lineRule="exact"/>
        <w:rPr>
          <w:rFonts w:ascii="Arial" w:cs="Arial" w:eastAsia="Arial" w:hAnsi="Arial"/>
          <w:sz w:val="14"/>
          <w:szCs w:val="14"/>
          <w:color w:val="58595B"/>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operating profit margin;</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return on sales;</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free cash flow;</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market share;</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sales growth;</w:t>
      </w:r>
    </w:p>
    <w:p>
      <w:pPr>
        <w:spacing w:after="0" w:line="55" w:lineRule="exact"/>
        <w:rPr>
          <w:rFonts w:ascii="Arial" w:cs="Arial" w:eastAsia="Arial" w:hAnsi="Arial"/>
          <w:sz w:val="14"/>
          <w:szCs w:val="14"/>
          <w:color w:val="58595B"/>
        </w:rPr>
      </w:pPr>
    </w:p>
    <w:p>
      <w:pPr>
        <w:ind w:left="580" w:right="1020" w:hanging="167"/>
        <w:spacing w:after="0" w:line="301" w:lineRule="auto"/>
        <w:tabs>
          <w:tab w:leader="none" w:pos="536"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regulatory body approval for commercialization of a product;</w:t>
      </w:r>
    </w:p>
    <w:p>
      <w:pPr>
        <w:spacing w:after="0" w:line="1" w:lineRule="exact"/>
        <w:rPr>
          <w:rFonts w:ascii="Arial" w:cs="Arial" w:eastAsia="Arial" w:hAnsi="Arial"/>
          <w:sz w:val="14"/>
          <w:szCs w:val="14"/>
          <w:color w:val="58595B"/>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capacity utilization;</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increase in customer base;</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employee satisfaction;</w:t>
      </w:r>
    </w:p>
    <w:p>
      <w:pPr>
        <w:spacing w:after="0" w:line="55" w:lineRule="exact"/>
        <w:rPr>
          <w:rFonts w:ascii="Arial" w:cs="Arial" w:eastAsia="Arial" w:hAnsi="Arial"/>
          <w:sz w:val="14"/>
          <w:szCs w:val="14"/>
          <w:color w:val="58595B"/>
        </w:rPr>
      </w:pPr>
    </w:p>
    <w:p>
      <w:pPr>
        <w:ind w:left="540" w:hanging="127"/>
        <w:spacing w:after="0"/>
        <w:tabs>
          <w:tab w:leader="none" w:pos="540" w:val="left"/>
        </w:tabs>
        <w:numPr>
          <w:ilvl w:val="0"/>
          <w:numId w:val="59"/>
        </w:numPr>
        <w:rPr>
          <w:rFonts w:ascii="Arial" w:cs="Arial" w:eastAsia="Arial" w:hAnsi="Arial"/>
          <w:sz w:val="14"/>
          <w:szCs w:val="14"/>
          <w:color w:val="58595B"/>
        </w:rPr>
      </w:pPr>
      <w:r>
        <w:rPr>
          <w:rFonts w:ascii="Arial" w:cs="Arial" w:eastAsia="Arial" w:hAnsi="Arial"/>
          <w:sz w:val="14"/>
          <w:szCs w:val="14"/>
          <w:color w:val="58595B"/>
        </w:rPr>
        <w:t>diversity; and</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160" w:type="dxa"/>
            <w:vAlign w:val="bottom"/>
            <w:gridSpan w:val="2"/>
          </w:tcPr>
          <w:p>
            <w:pPr>
              <w:spacing w:after="0"/>
              <w:rPr>
                <w:sz w:val="20"/>
                <w:szCs w:val="20"/>
                <w:color w:val="auto"/>
              </w:rPr>
            </w:pPr>
            <w:r>
              <w:rPr>
                <w:rFonts w:ascii="Arial" w:cs="Arial" w:eastAsia="Arial" w:hAnsi="Arial"/>
                <w:sz w:val="14"/>
                <w:szCs w:val="14"/>
                <w:color w:val="58595B"/>
              </w:rPr>
              <w:t>• return on net assets;</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asset turnover;</w:t>
            </w: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4"/>
                <w:szCs w:val="14"/>
                <w:color w:val="58595B"/>
              </w:rPr>
              <w:t>• return on capital;</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working capital;</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4"/>
                <w:szCs w:val="14"/>
                <w:color w:val="58595B"/>
              </w:rPr>
              <w:t>• price per share;</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economic value or economic value added;</w:t>
            </w: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4"/>
                <w:szCs w:val="14"/>
                <w:color w:val="58595B"/>
              </w:rPr>
              <w:t>• EBITDA;</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adjusted EBITDA;</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4"/>
                <w:szCs w:val="14"/>
                <w:color w:val="58595B"/>
              </w:rPr>
              <w:t>• revenue growth;</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net income;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r>
              <w:rPr>
                <w:rFonts w:ascii="Arial" w:cs="Arial" w:eastAsia="Arial" w:hAnsi="Arial"/>
                <w:sz w:val="14"/>
                <w:szCs w:val="14"/>
                <w:color w:val="58595B"/>
              </w:rPr>
              <w:t>•</w:t>
            </w:r>
          </w:p>
        </w:tc>
        <w:tc>
          <w:tcPr>
            <w:tcW w:w="3080" w:type="dxa"/>
            <w:vAlign w:val="bottom"/>
          </w:tcPr>
          <w:p>
            <w:pPr>
              <w:ind w:left="40"/>
              <w:spacing w:after="0"/>
              <w:rPr>
                <w:sz w:val="20"/>
                <w:szCs w:val="20"/>
                <w:color w:val="auto"/>
              </w:rPr>
            </w:pPr>
            <w:r>
              <w:rPr>
                <w:rFonts w:ascii="Arial" w:cs="Arial" w:eastAsia="Arial" w:hAnsi="Arial"/>
                <w:sz w:val="14"/>
                <w:szCs w:val="14"/>
                <w:color w:val="58595B"/>
              </w:rPr>
              <w:t>pre-tax income;</w:t>
            </w:r>
          </w:p>
        </w:tc>
        <w:tc>
          <w:tcPr>
            <w:tcW w:w="800" w:type="dxa"/>
            <w:vAlign w:val="bottom"/>
          </w:tcPr>
          <w:p>
            <w:pPr>
              <w:ind w:left="720"/>
              <w:spacing w:after="0"/>
              <w:rPr>
                <w:sz w:val="20"/>
                <w:szCs w:val="20"/>
                <w:color w:val="auto"/>
              </w:rPr>
            </w:pPr>
            <w:r>
              <w:rPr>
                <w:rFonts w:ascii="Arial" w:cs="Arial" w:eastAsia="Arial" w:hAnsi="Arial"/>
                <w:sz w:val="14"/>
                <w:szCs w:val="14"/>
                <w:color w:val="58595B"/>
              </w:rPr>
              <w:t>•</w:t>
            </w:r>
          </w:p>
        </w:tc>
        <w:tc>
          <w:tcPr>
            <w:tcW w:w="2720" w:type="dxa"/>
            <w:vAlign w:val="bottom"/>
          </w:tcPr>
          <w:p>
            <w:pPr>
              <w:ind w:left="40"/>
              <w:spacing w:after="0"/>
              <w:rPr>
                <w:sz w:val="20"/>
                <w:szCs w:val="20"/>
                <w:color w:val="auto"/>
              </w:rPr>
            </w:pPr>
            <w:r>
              <w:rPr>
                <w:rFonts w:ascii="Arial" w:cs="Arial" w:eastAsia="Arial" w:hAnsi="Arial"/>
                <w:sz w:val="14"/>
                <w:szCs w:val="14"/>
                <w:color w:val="58595B"/>
              </w:rPr>
              <w:t>profitability;</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r>
              <w:rPr>
                <w:rFonts w:ascii="Arial" w:cs="Arial" w:eastAsia="Arial" w:hAnsi="Arial"/>
                <w:sz w:val="14"/>
                <w:szCs w:val="14"/>
                <w:color w:val="58595B"/>
              </w:rPr>
              <w:t>•</w:t>
            </w:r>
          </w:p>
        </w:tc>
        <w:tc>
          <w:tcPr>
            <w:tcW w:w="3080" w:type="dxa"/>
            <w:vAlign w:val="bottom"/>
          </w:tcPr>
          <w:p>
            <w:pPr>
              <w:ind w:left="40"/>
              <w:spacing w:after="0"/>
              <w:rPr>
                <w:sz w:val="20"/>
                <w:szCs w:val="20"/>
                <w:color w:val="auto"/>
              </w:rPr>
            </w:pPr>
            <w:r>
              <w:rPr>
                <w:rFonts w:ascii="Arial" w:cs="Arial" w:eastAsia="Arial" w:hAnsi="Arial"/>
                <w:sz w:val="14"/>
                <w:szCs w:val="14"/>
                <w:color w:val="58595B"/>
              </w:rPr>
              <w:t>profitability growth;</w:t>
            </w:r>
          </w:p>
        </w:tc>
        <w:tc>
          <w:tcPr>
            <w:tcW w:w="800" w:type="dxa"/>
            <w:vAlign w:val="bottom"/>
          </w:tcPr>
          <w:p>
            <w:pPr>
              <w:ind w:left="720"/>
              <w:spacing w:after="0"/>
              <w:rPr>
                <w:sz w:val="20"/>
                <w:szCs w:val="20"/>
                <w:color w:val="auto"/>
              </w:rPr>
            </w:pPr>
            <w:r>
              <w:rPr>
                <w:rFonts w:ascii="Arial" w:cs="Arial" w:eastAsia="Arial" w:hAnsi="Arial"/>
                <w:sz w:val="14"/>
                <w:szCs w:val="14"/>
                <w:color w:val="58595B"/>
              </w:rPr>
              <w:t>•</w:t>
            </w:r>
          </w:p>
        </w:tc>
        <w:tc>
          <w:tcPr>
            <w:tcW w:w="2720" w:type="dxa"/>
            <w:vAlign w:val="bottom"/>
          </w:tcPr>
          <w:p>
            <w:pPr>
              <w:ind w:left="40"/>
              <w:spacing w:after="0"/>
              <w:rPr>
                <w:sz w:val="20"/>
                <w:szCs w:val="20"/>
                <w:color w:val="auto"/>
              </w:rPr>
            </w:pPr>
            <w:r>
              <w:rPr>
                <w:rFonts w:ascii="Arial" w:cs="Arial" w:eastAsia="Arial" w:hAnsi="Arial"/>
                <w:sz w:val="14"/>
                <w:szCs w:val="14"/>
                <w:color w:val="58595B"/>
              </w:rPr>
              <w:t>operating profit;</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4"/>
                <w:szCs w:val="14"/>
                <w:color w:val="58595B"/>
              </w:rPr>
              <w:t>• adjusted earnings per share;</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operating earnings;</w:t>
            </w: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4"/>
                <w:szCs w:val="14"/>
                <w:color w:val="58595B"/>
              </w:rPr>
              <w:t>• net income margin;</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gross or net sales;</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4"/>
                <w:szCs w:val="14"/>
                <w:color w:val="58595B"/>
              </w:rPr>
              <w:t>• sales margin;</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cash flow;</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4"/>
                <w:szCs w:val="14"/>
                <w:color w:val="58595B"/>
              </w:rPr>
              <w:t>• operating cash flow;</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year-end cash;</w:t>
            </w: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4"/>
                <w:szCs w:val="14"/>
                <w:color w:val="58595B"/>
              </w:rPr>
              <w:t>• asset turnover;</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inventory turnover;</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4"/>
                <w:szCs w:val="14"/>
                <w:color w:val="58595B"/>
              </w:rPr>
              <w:t>• cost improvements;</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cost or expenses;</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4"/>
                <w:szCs w:val="14"/>
                <w:color w:val="58595B"/>
              </w:rPr>
              <w:t>• research and development activities;</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implementation of critical projects;</w:t>
            </w:r>
          </w:p>
        </w:tc>
        <w:tc>
          <w:tcPr>
            <w:tcW w:w="0" w:type="dxa"/>
            <w:vAlign w:val="bottom"/>
          </w:tcPr>
          <w:p>
            <w:pPr>
              <w:spacing w:after="0"/>
              <w:rPr>
                <w:sz w:val="1"/>
                <w:szCs w:val="1"/>
                <w:color w:val="auto"/>
              </w:rPr>
            </w:pPr>
          </w:p>
        </w:tc>
      </w:tr>
      <w:tr>
        <w:trPr>
          <w:trHeight w:val="201"/>
        </w:trPr>
        <w:tc>
          <w:tcPr>
            <w:tcW w:w="3160" w:type="dxa"/>
            <w:vAlign w:val="bottom"/>
            <w:gridSpan w:val="2"/>
          </w:tcPr>
          <w:p>
            <w:pPr>
              <w:spacing w:after="0"/>
              <w:rPr>
                <w:sz w:val="20"/>
                <w:szCs w:val="20"/>
                <w:color w:val="auto"/>
              </w:rPr>
            </w:pPr>
            <w:r>
              <w:rPr>
                <w:rFonts w:ascii="Arial" w:cs="Arial" w:eastAsia="Arial" w:hAnsi="Arial"/>
                <w:sz w:val="14"/>
                <w:szCs w:val="14"/>
                <w:color w:val="58595B"/>
              </w:rPr>
              <w:t>• mergers and acquisitions integration;</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financial and other capital-raising</w:t>
            </w:r>
          </w:p>
        </w:tc>
        <w:tc>
          <w:tcPr>
            <w:tcW w:w="0" w:type="dxa"/>
            <w:vAlign w:val="bottom"/>
          </w:tcPr>
          <w:p>
            <w:pPr>
              <w:spacing w:after="0"/>
              <w:rPr>
                <w:sz w:val="1"/>
                <w:szCs w:val="1"/>
                <w:color w:val="auto"/>
              </w:rPr>
            </w:pPr>
          </w:p>
        </w:tc>
      </w:tr>
      <w:tr>
        <w:trPr>
          <w:trHeight w:val="190"/>
        </w:trPr>
        <w:tc>
          <w:tcPr>
            <w:tcW w:w="3160" w:type="dxa"/>
            <w:vAlign w:val="bottom"/>
            <w:gridSpan w:val="2"/>
            <w:vMerge w:val="restart"/>
          </w:tcPr>
          <w:p>
            <w:pPr>
              <w:spacing w:after="0"/>
              <w:rPr>
                <w:sz w:val="20"/>
                <w:szCs w:val="20"/>
                <w:color w:val="auto"/>
              </w:rPr>
            </w:pPr>
            <w:r>
              <w:rPr>
                <w:rFonts w:ascii="Arial" w:cs="Arial" w:eastAsia="Arial" w:hAnsi="Arial"/>
                <w:sz w:val="14"/>
                <w:szCs w:val="14"/>
                <w:color w:val="58595B"/>
              </w:rPr>
              <w:t>• customer retention;</w:t>
            </w:r>
          </w:p>
        </w:tc>
        <w:tc>
          <w:tcPr>
            <w:tcW w:w="800" w:type="dxa"/>
            <w:vAlign w:val="bottom"/>
          </w:tcPr>
          <w:p>
            <w:pPr>
              <w:spacing w:after="0"/>
              <w:rPr>
                <w:sz w:val="16"/>
                <w:szCs w:val="16"/>
                <w:color w:val="auto"/>
              </w:rPr>
            </w:pPr>
          </w:p>
        </w:tc>
        <w:tc>
          <w:tcPr>
            <w:tcW w:w="2720" w:type="dxa"/>
            <w:vAlign w:val="bottom"/>
          </w:tcPr>
          <w:p>
            <w:pPr>
              <w:ind w:left="80"/>
              <w:spacing w:after="0"/>
              <w:rPr>
                <w:sz w:val="20"/>
                <w:szCs w:val="20"/>
                <w:color w:val="auto"/>
              </w:rPr>
            </w:pPr>
            <w:r>
              <w:rPr>
                <w:rFonts w:ascii="Arial" w:cs="Arial" w:eastAsia="Arial" w:hAnsi="Arial"/>
                <w:sz w:val="14"/>
                <w:szCs w:val="14"/>
                <w:color w:val="58595B"/>
              </w:rPr>
              <w:t>transactions;</w:t>
            </w:r>
          </w:p>
        </w:tc>
        <w:tc>
          <w:tcPr>
            <w:tcW w:w="0" w:type="dxa"/>
            <w:vAlign w:val="bottom"/>
          </w:tcPr>
          <w:p>
            <w:pPr>
              <w:spacing w:after="0"/>
              <w:rPr>
                <w:sz w:val="1"/>
                <w:szCs w:val="1"/>
                <w:color w:val="auto"/>
              </w:rPr>
            </w:pPr>
          </w:p>
        </w:tc>
      </w:tr>
      <w:tr>
        <w:trPr>
          <w:trHeight w:val="54"/>
        </w:trPr>
        <w:tc>
          <w:tcPr>
            <w:tcW w:w="3160" w:type="dxa"/>
            <w:vAlign w:val="bottom"/>
            <w:gridSpan w:val="2"/>
            <w:vMerge w:val="continue"/>
          </w:tcPr>
          <w:p>
            <w:pPr>
              <w:spacing w:after="0"/>
              <w:rPr>
                <w:sz w:val="4"/>
                <w:szCs w:val="4"/>
                <w:color w:val="auto"/>
              </w:rPr>
            </w:pPr>
          </w:p>
        </w:tc>
        <w:tc>
          <w:tcPr>
            <w:tcW w:w="3520" w:type="dxa"/>
            <w:vAlign w:val="bottom"/>
            <w:gridSpan w:val="2"/>
            <w:vMerge w:val="restart"/>
          </w:tcPr>
          <w:p>
            <w:pPr>
              <w:ind w:left="720"/>
              <w:spacing w:after="0"/>
              <w:rPr>
                <w:sz w:val="20"/>
                <w:szCs w:val="20"/>
                <w:color w:val="auto"/>
              </w:rPr>
            </w:pPr>
            <w:r>
              <w:rPr>
                <w:rFonts w:ascii="Arial" w:cs="Arial" w:eastAsia="Arial" w:hAnsi="Arial"/>
                <w:sz w:val="14"/>
                <w:szCs w:val="14"/>
                <w:color w:val="58595B"/>
              </w:rPr>
              <w:t>• customer satisfaction and/or growth;</w:t>
            </w:r>
          </w:p>
        </w:tc>
        <w:tc>
          <w:tcPr>
            <w:tcW w:w="0" w:type="dxa"/>
            <w:vAlign w:val="bottom"/>
          </w:tcPr>
          <w:p>
            <w:pPr>
              <w:spacing w:after="0"/>
              <w:rPr>
                <w:sz w:val="1"/>
                <w:szCs w:val="1"/>
                <w:color w:val="auto"/>
              </w:rPr>
            </w:pPr>
          </w:p>
        </w:tc>
      </w:tr>
      <w:tr>
        <w:trPr>
          <w:trHeight w:val="175"/>
        </w:trPr>
        <w:tc>
          <w:tcPr>
            <w:tcW w:w="3160" w:type="dxa"/>
            <w:vAlign w:val="bottom"/>
            <w:gridSpan w:val="2"/>
            <w:vMerge w:val="restart"/>
          </w:tcPr>
          <w:p>
            <w:pPr>
              <w:spacing w:after="0"/>
              <w:rPr>
                <w:sz w:val="20"/>
                <w:szCs w:val="20"/>
                <w:color w:val="auto"/>
              </w:rPr>
            </w:pPr>
            <w:r>
              <w:rPr>
                <w:rFonts w:ascii="Arial" w:cs="Arial" w:eastAsia="Arial" w:hAnsi="Arial"/>
                <w:sz w:val="14"/>
                <w:szCs w:val="14"/>
                <w:color w:val="58595B"/>
              </w:rPr>
              <w:t>• recruiting/maintaining personnel;</w:t>
            </w:r>
          </w:p>
        </w:tc>
        <w:tc>
          <w:tcPr>
            <w:tcW w:w="3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160" w:type="dxa"/>
            <w:vAlign w:val="bottom"/>
            <w:gridSpan w:val="2"/>
            <w:vMerge w:val="continue"/>
          </w:tcPr>
          <w:p>
            <w:pPr>
              <w:spacing w:after="0"/>
              <w:rPr>
                <w:sz w:val="4"/>
                <w:szCs w:val="4"/>
                <w:color w:val="auto"/>
              </w:rPr>
            </w:pPr>
          </w:p>
        </w:tc>
        <w:tc>
          <w:tcPr>
            <w:tcW w:w="3520" w:type="dxa"/>
            <w:vAlign w:val="bottom"/>
            <w:gridSpan w:val="2"/>
            <w:vMerge w:val="restart"/>
          </w:tcPr>
          <w:p>
            <w:pPr>
              <w:ind w:left="720"/>
              <w:spacing w:after="0"/>
              <w:rPr>
                <w:sz w:val="20"/>
                <w:szCs w:val="20"/>
                <w:color w:val="auto"/>
              </w:rPr>
            </w:pPr>
            <w:r>
              <w:rPr>
                <w:rFonts w:ascii="Arial" w:cs="Arial" w:eastAsia="Arial" w:hAnsi="Arial"/>
                <w:sz w:val="14"/>
                <w:szCs w:val="14"/>
                <w:color w:val="58595B"/>
              </w:rPr>
              <w:t>• environmental health and safety;</w:t>
            </w:r>
          </w:p>
        </w:tc>
        <w:tc>
          <w:tcPr>
            <w:tcW w:w="0" w:type="dxa"/>
            <w:vAlign w:val="bottom"/>
          </w:tcPr>
          <w:p>
            <w:pPr>
              <w:spacing w:after="0"/>
              <w:rPr>
                <w:sz w:val="1"/>
                <w:szCs w:val="1"/>
                <w:color w:val="auto"/>
              </w:rPr>
            </w:pPr>
          </w:p>
        </w:tc>
      </w:tr>
      <w:tr>
        <w:trPr>
          <w:trHeight w:val="175"/>
        </w:trPr>
        <w:tc>
          <w:tcPr>
            <w:tcW w:w="80" w:type="dxa"/>
            <w:vAlign w:val="bottom"/>
            <w:vMerge w:val="restart"/>
          </w:tcPr>
          <w:p>
            <w:pPr>
              <w:spacing w:after="0"/>
              <w:rPr>
                <w:sz w:val="20"/>
                <w:szCs w:val="20"/>
                <w:color w:val="auto"/>
              </w:rPr>
            </w:pPr>
            <w:r>
              <w:rPr>
                <w:rFonts w:ascii="Arial" w:cs="Arial" w:eastAsia="Arial" w:hAnsi="Arial"/>
                <w:sz w:val="14"/>
                <w:szCs w:val="14"/>
                <w:color w:val="58595B"/>
              </w:rPr>
              <w:t>•</w:t>
            </w:r>
          </w:p>
        </w:tc>
        <w:tc>
          <w:tcPr>
            <w:tcW w:w="3080" w:type="dxa"/>
            <w:vAlign w:val="bottom"/>
            <w:vMerge w:val="restart"/>
          </w:tcPr>
          <w:p>
            <w:pPr>
              <w:ind w:left="40"/>
              <w:spacing w:after="0"/>
              <w:rPr>
                <w:sz w:val="20"/>
                <w:szCs w:val="20"/>
                <w:color w:val="auto"/>
              </w:rPr>
            </w:pPr>
            <w:r>
              <w:rPr>
                <w:rFonts w:ascii="Arial" w:cs="Arial" w:eastAsia="Arial" w:hAnsi="Arial"/>
                <w:sz w:val="14"/>
                <w:szCs w:val="14"/>
                <w:color w:val="58595B"/>
              </w:rPr>
              <w:t>quality.</w:t>
            </w:r>
          </w:p>
        </w:tc>
        <w:tc>
          <w:tcPr>
            <w:tcW w:w="3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 w:type="dxa"/>
            <w:vAlign w:val="bottom"/>
            <w:vMerge w:val="continue"/>
          </w:tcPr>
          <w:p>
            <w:pPr>
              <w:spacing w:after="0"/>
              <w:rPr>
                <w:sz w:val="4"/>
                <w:szCs w:val="4"/>
                <w:color w:val="auto"/>
              </w:rPr>
            </w:pPr>
          </w:p>
        </w:tc>
        <w:tc>
          <w:tcPr>
            <w:tcW w:w="30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sectPr>
          <w:pgSz w:w="11900" w:h="16838" w:orient="portrait"/>
          <w:cols w:equalWidth="0" w:num="2">
            <w:col w:w="3580" w:space="720"/>
            <w:col w:w="6940"/>
          </w:cols>
          <w:pgMar w:left="320" w:top="121" w:right="339" w:bottom="1440" w:gutter="0" w:footer="0" w:header="0"/>
          <w:type w:val="continuous"/>
        </w:sectPr>
      </w:pPr>
    </w:p>
    <w:p>
      <w:pPr>
        <w:ind w:right="220"/>
        <w:spacing w:after="0" w:line="356" w:lineRule="auto"/>
        <w:rPr>
          <w:sz w:val="20"/>
          <w:szCs w:val="20"/>
          <w:color w:val="auto"/>
        </w:rPr>
      </w:pPr>
      <w:r>
        <w:rPr>
          <w:rFonts w:ascii="Arial" w:cs="Arial" w:eastAsia="Arial" w:hAnsi="Arial"/>
          <w:sz w:val="16"/>
          <w:szCs w:val="16"/>
          <w:b w:val="1"/>
          <w:bCs w:val="1"/>
          <w:i w:val="1"/>
          <w:iCs w:val="1"/>
          <w:color w:val="58595B"/>
        </w:rPr>
        <w:t>Contract Stock</w:t>
      </w:r>
      <w:r>
        <w:rPr>
          <w:rFonts w:ascii="Arial" w:cs="Arial" w:eastAsia="Arial" w:hAnsi="Arial"/>
          <w:sz w:val="16"/>
          <w:szCs w:val="16"/>
          <w:color w:val="58595B"/>
        </w:rPr>
        <w:t>. The Compensation Committee may grant awards that entitle participants to receive shares of common stock, at a future date specified in</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the award.</w:t>
      </w:r>
    </w:p>
    <w:p>
      <w:pPr>
        <w:spacing w:after="0" w:line="8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58595B"/>
        </w:rPr>
        <w:t>Dividends; Dividend Equivalent Rights</w:t>
      </w:r>
      <w:r>
        <w:rPr>
          <w:rFonts w:ascii="Arial" w:cs="Arial" w:eastAsia="Arial" w:hAnsi="Arial"/>
          <w:sz w:val="16"/>
          <w:szCs w:val="16"/>
          <w:color w:val="58595B"/>
        </w:rPr>
        <w:t>. The Compensation Committee may grant awards that entitle the participant to receive a benefit in lieu of cash</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dividends that would have been payable on any or all shares of common stock subject to another award granted to the participant had such shares been outstanding. However, under the Plan, dividends or dividend equivalents may not be granted to participants in connection with grants of options or stock appreciation rights, and except to the extent otherwise provided in awards granted on or prior to April 1, 2009, dividends and dividend equivalents payable with respect to an award prior to the vesting of such award instead will be paid out to the participant only to the extent that the applicable vesting conditions are subsequently satisfied and the award vests. Dividends and dividend equivalents payable with respect to the portion of an award that does not vest will be forfeited.</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84</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i w:val="1"/>
          <w:iCs w:val="1"/>
          <w:color w:val="58595B"/>
        </w:rPr>
        <w:t>Stock Payments</w:t>
      </w:r>
      <w:r>
        <w:rPr>
          <w:rFonts w:ascii="Arial" w:cs="Arial" w:eastAsia="Arial" w:hAnsi="Arial"/>
          <w:sz w:val="16"/>
          <w:szCs w:val="16"/>
          <w:color w:val="58595B"/>
        </w:rPr>
        <w:t>. The Compensation Committee may grant awards of fully vested shares of our common stock that may, but need not, be made in lieu of</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base salary, bonus, fees or other cash compensation otherwise payable to any individual who is eligible to receive awards.</w:t>
      </w:r>
    </w:p>
    <w:p>
      <w:pPr>
        <w:spacing w:after="0" w:line="115" w:lineRule="exact"/>
        <w:rPr>
          <w:sz w:val="20"/>
          <w:szCs w:val="20"/>
          <w:color w:val="auto"/>
        </w:rPr>
      </w:pPr>
    </w:p>
    <w:p>
      <w:pPr>
        <w:jc w:val="both"/>
        <w:ind w:right="60"/>
        <w:spacing w:after="0" w:line="339" w:lineRule="auto"/>
        <w:rPr>
          <w:sz w:val="20"/>
          <w:szCs w:val="20"/>
          <w:color w:val="auto"/>
        </w:rPr>
      </w:pPr>
      <w:r>
        <w:rPr>
          <w:rFonts w:ascii="Arial" w:cs="Arial" w:eastAsia="Arial" w:hAnsi="Arial"/>
          <w:sz w:val="16"/>
          <w:szCs w:val="16"/>
          <w:b w:val="1"/>
          <w:bCs w:val="1"/>
          <w:i w:val="1"/>
          <w:iCs w:val="1"/>
          <w:color w:val="58595B"/>
        </w:rPr>
        <w:t>Other Incentive Awards</w:t>
      </w:r>
      <w:r>
        <w:rPr>
          <w:rFonts w:ascii="Arial" w:cs="Arial" w:eastAsia="Arial" w:hAnsi="Arial"/>
          <w:sz w:val="16"/>
          <w:szCs w:val="16"/>
          <w:color w:val="58595B"/>
        </w:rPr>
        <w:t>. The Compensation Committee may grant awards other than those enumerated in this summary that are denominated in, linked to</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or derived from shares of our common stock or value metrics related to our shares, and may remain forfeitable unless and until specified conditions are met.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Adjustments</w:t>
      </w:r>
    </w:p>
    <w:p>
      <w:pPr>
        <w:spacing w:after="0" w:line="208" w:lineRule="exact"/>
        <w:rPr>
          <w:sz w:val="20"/>
          <w:szCs w:val="20"/>
          <w:color w:val="auto"/>
        </w:rPr>
      </w:pPr>
    </w:p>
    <w:p>
      <w:pPr>
        <w:jc w:val="both"/>
        <w:ind w:right="120"/>
        <w:spacing w:after="0" w:line="328" w:lineRule="auto"/>
        <w:rPr>
          <w:sz w:val="20"/>
          <w:szCs w:val="20"/>
          <w:color w:val="auto"/>
        </w:rPr>
      </w:pPr>
      <w:r>
        <w:rPr>
          <w:rFonts w:ascii="Arial" w:cs="Arial" w:eastAsia="Arial" w:hAnsi="Arial"/>
          <w:sz w:val="16"/>
          <w:szCs w:val="16"/>
          <w:color w:val="58595B"/>
        </w:rPr>
        <w:t>The Plan prohibits the Compensation Committee, without shareholder approval, from reducing the exercise price of any option or stock appreciation right or canceling any option or stock appreciation right in exchange for cash, another award or options or stock appreciation rights with an exercise price per share that is less than the exercise price of the original option or stock appreciation right.</w:t>
      </w:r>
    </w:p>
    <w:p>
      <w:pPr>
        <w:spacing w:after="0" w:line="110" w:lineRule="exact"/>
        <w:rPr>
          <w:sz w:val="20"/>
          <w:szCs w:val="20"/>
          <w:color w:val="auto"/>
        </w:rPr>
      </w:pPr>
    </w:p>
    <w:p>
      <w:pPr>
        <w:ind w:right="240"/>
        <w:spacing w:after="0" w:line="318" w:lineRule="auto"/>
        <w:rPr>
          <w:sz w:val="20"/>
          <w:szCs w:val="20"/>
          <w:color w:val="auto"/>
        </w:rPr>
      </w:pPr>
      <w:r>
        <w:rPr>
          <w:rFonts w:ascii="Arial" w:cs="Arial" w:eastAsia="Arial" w:hAnsi="Arial"/>
          <w:sz w:val="16"/>
          <w:szCs w:val="16"/>
          <w:color w:val="58595B"/>
        </w:rPr>
        <w:t>If there is any stock split, reverse split, stock dividend, or similar change in the capitalization of the Company, the Compensation Committee will make proportionate adjustments to any or all of the following in order to reflect such change: (i) the maximum number of shares that may be delivered under the Plan, (ii) the maximum number of shares with respect to which awards may be granted to any participant under the Plan and (iii) the number of shares issuable upon the exercise or vesting of outstanding awards under the Plan (as well as the exercise price per share under outstanding options or stock appreciation rights). However, no adjustment can be made to an award that would cause the award to fail to comply with Section 409A of the Code.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Effect of Certain Corporate Transactions</w:t>
      </w:r>
    </w:p>
    <w:p>
      <w:pPr>
        <w:spacing w:after="0" w:line="208"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58595B"/>
        </w:rPr>
        <w:t>In the event of certain corporate transactions (such as a merger, consolidation, acquisition of property or stock, separation, reorganization or liquidation), the Plan provides that each outstanding award will be assumed by the surviving or successor entity, provided that in the event of a proposed corporate transaction, the Compensation Committee may terminate all or a portion of any outstanding award and give each participant the right to exercise such award, or arrange to have such surviving or acquiring entity or affiliate grant a replacement award, subject to certain conditions.</w:t>
      </w:r>
    </w:p>
    <w:p>
      <w:pPr>
        <w:spacing w:after="0" w:line="113"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Upon a change in control, all outstanding options and all outstanding equity awards granted under the Plan prior to January 1, 2013 will generally become vested, exercisable and payable, as applicable. With respect to awards granted on or after January 1, 2013, in the event that a change in control occurs and the participant incurs a qualifying termination on or within twelve months following the date of such change in control, each outstanding award held by a participant, other than any award subject to performance vesting, will become fully vested (and, as applicable, exercisable) upon such qualifying termination.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Vesting of Options, Stock Appreciation Rights and Restricted Stock in the event of Death or Disability</w:t>
      </w:r>
    </w:p>
    <w:p>
      <w:pPr>
        <w:spacing w:after="0" w:line="208"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58595B"/>
        </w:rPr>
        <w:t>Except as otherwise determined by the Compensation Committee, in the event of a participant’s death or disability, a participant’s restricted stock granted on or after May 17, 2012, stock options and stock appreciation rights (other than such awards granted to participants in France) will accelerate and vest in full.</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Transferability, Clawback</w:t>
      </w:r>
    </w:p>
    <w:p>
      <w:pPr>
        <w:spacing w:after="0" w:line="208"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With limited exceptions, including the laws of descent and distribution, awards under the Plan are generally non-transferable prior to vesting, and are exercisable only by the participant. All awards will be subject to the provisions of any claw-back policy implemented by our company to the extent set forth in such claw-back policy and/or in the applicable award agreement. The Company currently maintains the Integra LifeSciences Holdings Corporation Incentive Compensation Recovery Policy, which was filed as Exhibit 97.1 to the Company Annual Report on Form 10-K for the year ended December 31, 2023 and the Integra LifeSciences Holdings Corporation Clawback Policy which was adopted by our Board in December 2012.</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Director Compensation Limit</w:t>
      </w:r>
    </w:p>
    <w:p>
      <w:pPr>
        <w:spacing w:after="0" w:line="221"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58595B"/>
        </w:rPr>
        <w:t>The Plan limits the aggregate value of cash or other compensation and equity-based awards for any non-employee director for such director’s service as a non-employee director during any fiscal year to $750,000.</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85</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Termination or Amendment</w:t>
      </w:r>
    </w:p>
    <w:p>
      <w:pPr>
        <w:spacing w:after="0" w:line="208"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58595B"/>
        </w:rPr>
        <w:t>Our Board may amend, suspend or terminate the Plan at any time and for any reason, provided that any amendment will be subject to stockholder approval to the extent required by the Nasdaq rules or Section 422 of the Code with respect to incentive stock options. In addition, any amendment to the Plan may not materially and adversely affect the rights of the existing participants under the Plan. No award will be made that is conditioned upon stockholder approval of any amendment to the Plan.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58595B"/>
        </w:rPr>
        <w:t>The Plan will terminate on April 1, 2031 unless re-adopted or extended by the stockholders prior to or on such date or unless terminated earlier by the Board.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Tax Withholding</w:t>
      </w:r>
    </w:p>
    <w:p>
      <w:pPr>
        <w:spacing w:after="0" w:line="221"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In general, the Compensation Committee, in its discretion, may permit or require the participant to satisfy the Federal, state and/or local withholding tax in whole or in part in cash or by having the Company withhold shares otherwise issuable under an award or by remitting already owned shares; provided, however, that the number of shares withheld will have a fair market value on the date of withholding no greater than the aggregate amount of such withholding tax based on the maximum individual statutory withholding requirements for the applicable jurisdiction. The Plan provides that the Compensation Committee, in its discretion, may permit or require the acceleration of the timing for the payment of the number of Shares needed to pay employment taxes upon the date of the vesting of an Award, subject to the requirements of Section 409A of the Code.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New Plan Benefits</w:t>
      </w:r>
    </w:p>
    <w:p>
      <w:pPr>
        <w:spacing w:after="0" w:line="208"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color w:val="58595B"/>
        </w:rPr>
        <w:t>No awards have been granted pending stockholder approval and as benefits under the Plan will depend on the Compensation Committee’s actions and the fair market value of common stock at various future dates, it is not possible to determine the benefits that will be received by executive officers, directors and other employees if the proposed Amendment No. 3 to the Plan is approved by the stockholders.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Prior Grants Under the Plan</w:t>
      </w:r>
    </w:p>
    <w:p>
      <w:pPr>
        <w:spacing w:after="0" w:line="72"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Awards are subject to the discretion of the Compensation Committee. Therefore, it is not possible to determine the benefits that will be received in the future by participants in the Plan. The following table sets forth summary information concerning the number of shares of our common stock subject to option grants, restricted stock grants and performance share grants made under the Plan to our named executive officers, directors and employees as of March 13, 2026. The price per share of our common stock as of such date was $9.24.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80" w:type="dxa"/>
            <w:vAlign w:val="bottom"/>
            <w:shd w:val="clear" w:color="auto" w:fill="009845"/>
          </w:tcPr>
          <w:p>
            <w:pPr>
              <w:spacing w:after="0"/>
              <w:rPr>
                <w:sz w:val="21"/>
                <w:szCs w:val="21"/>
                <w:color w:val="auto"/>
              </w:rPr>
            </w:pPr>
          </w:p>
        </w:tc>
        <w:tc>
          <w:tcPr>
            <w:tcW w:w="1380" w:type="dxa"/>
            <w:vAlign w:val="bottom"/>
            <w:shd w:val="clear" w:color="auto" w:fill="009845"/>
          </w:tcPr>
          <w:p>
            <w:pPr>
              <w:spacing w:after="0"/>
              <w:rPr>
                <w:sz w:val="21"/>
                <w:szCs w:val="21"/>
                <w:color w:val="auto"/>
              </w:rPr>
            </w:pPr>
          </w:p>
        </w:tc>
        <w:tc>
          <w:tcPr>
            <w:tcW w:w="1360" w:type="dxa"/>
            <w:vAlign w:val="bottom"/>
            <w:shd w:val="clear" w:color="auto" w:fill="009845"/>
          </w:tcPr>
          <w:p>
            <w:pPr>
              <w:spacing w:after="0"/>
              <w:rPr>
                <w:sz w:val="21"/>
                <w:szCs w:val="21"/>
                <w:color w:val="auto"/>
              </w:rPr>
            </w:pPr>
          </w:p>
        </w:tc>
        <w:tc>
          <w:tcPr>
            <w:tcW w:w="1420" w:type="dxa"/>
            <w:vAlign w:val="bottom"/>
            <w:shd w:val="clear" w:color="auto" w:fill="009845"/>
          </w:tcPr>
          <w:p>
            <w:pPr>
              <w:spacing w:after="0"/>
              <w:rPr>
                <w:sz w:val="21"/>
                <w:szCs w:val="21"/>
                <w:color w:val="auto"/>
              </w:rPr>
            </w:pP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of</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680" w:type="dxa"/>
            <w:vAlign w:val="bottom"/>
            <w:shd w:val="clear" w:color="auto" w:fill="009845"/>
          </w:tcPr>
          <w:p>
            <w:pPr>
              <w:spacing w:after="0"/>
              <w:rPr>
                <w:sz w:val="15"/>
                <w:szCs w:val="15"/>
                <w:color w:val="auto"/>
              </w:rPr>
            </w:pPr>
          </w:p>
        </w:tc>
        <w:tc>
          <w:tcPr>
            <w:tcW w:w="1380" w:type="dxa"/>
            <w:vAlign w:val="bottom"/>
            <w:vMerge w:val="restart"/>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of</w:t>
            </w:r>
          </w:p>
        </w:tc>
        <w:tc>
          <w:tcPr>
            <w:tcW w:w="13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Underlying</w:t>
            </w:r>
          </w:p>
        </w:tc>
        <w:tc>
          <w:tcPr>
            <w:tcW w:w="1420" w:type="dxa"/>
            <w:vAlign w:val="bottom"/>
            <w:vMerge w:val="restart"/>
            <w:shd w:val="clear" w:color="auto" w:fill="009845"/>
          </w:tcPr>
          <w:p>
            <w:pPr>
              <w:ind w:left="40"/>
              <w:spacing w:after="0"/>
              <w:rPr>
                <w:sz w:val="20"/>
                <w:szCs w:val="20"/>
                <w:color w:val="auto"/>
              </w:rPr>
            </w:pPr>
            <w:r>
              <w:rPr>
                <w:rFonts w:ascii="Arial" w:cs="Arial" w:eastAsia="Arial" w:hAnsi="Arial"/>
                <w:sz w:val="14"/>
                <w:szCs w:val="14"/>
                <w:b w:val="1"/>
                <w:bCs w:val="1"/>
                <w:color w:val="FFFFFF"/>
              </w:rPr>
              <w:t>Performance Stock</w:t>
            </w: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Common Stock</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80" w:type="dxa"/>
            <w:vAlign w:val="bottom"/>
            <w:shd w:val="clear" w:color="auto" w:fill="009845"/>
          </w:tcPr>
          <w:p>
            <w:pPr>
              <w:spacing w:after="0"/>
              <w:rPr>
                <w:sz w:val="14"/>
                <w:szCs w:val="14"/>
                <w:color w:val="auto"/>
              </w:rPr>
            </w:pPr>
          </w:p>
        </w:tc>
        <w:tc>
          <w:tcPr>
            <w:tcW w:w="1380" w:type="dxa"/>
            <w:vAlign w:val="bottom"/>
            <w:vMerge w:val="continue"/>
            <w:shd w:val="clear" w:color="auto" w:fill="009845"/>
          </w:tcPr>
          <w:p>
            <w:pPr>
              <w:spacing w:after="0"/>
              <w:rPr>
                <w:sz w:val="14"/>
                <w:szCs w:val="14"/>
                <w:color w:val="auto"/>
              </w:rPr>
            </w:pPr>
          </w:p>
        </w:tc>
        <w:tc>
          <w:tcPr>
            <w:tcW w:w="13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1420" w:type="dxa"/>
            <w:vAlign w:val="bottom"/>
            <w:vMerge w:val="continue"/>
            <w:shd w:val="clear" w:color="auto" w:fill="009845"/>
          </w:tcPr>
          <w:p>
            <w:pPr>
              <w:spacing w:after="0"/>
              <w:rPr>
                <w:sz w:val="14"/>
                <w:szCs w:val="14"/>
                <w:color w:val="auto"/>
              </w:rPr>
            </w:pP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Underlying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68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138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136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Units</w:t>
            </w:r>
          </w:p>
        </w:tc>
        <w:tc>
          <w:tcPr>
            <w:tcW w:w="142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w w:val="99"/>
              </w:rPr>
              <w:t>Units(1)</w:t>
            </w:r>
          </w:p>
        </w:tc>
        <w:tc>
          <w:tcPr>
            <w:tcW w:w="134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Options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009845"/>
              </w:rPr>
              <w:t>Named Executive Officers</w:t>
            </w:r>
          </w:p>
        </w:tc>
        <w:tc>
          <w:tcPr>
            <w:tcW w:w="1380" w:type="dxa"/>
            <w:vAlign w:val="bottom"/>
            <w:shd w:val="clear" w:color="auto" w:fill="EFEDED"/>
          </w:tcPr>
          <w:p>
            <w:pPr>
              <w:spacing w:after="0"/>
              <w:rPr>
                <w:sz w:val="19"/>
                <w:szCs w:val="19"/>
                <w:color w:val="auto"/>
              </w:rPr>
            </w:pPr>
          </w:p>
        </w:tc>
        <w:tc>
          <w:tcPr>
            <w:tcW w:w="1360" w:type="dxa"/>
            <w:vAlign w:val="bottom"/>
            <w:shd w:val="clear" w:color="auto" w:fill="EFEDED"/>
          </w:tcPr>
          <w:p>
            <w:pPr>
              <w:spacing w:after="0"/>
              <w:rPr>
                <w:sz w:val="19"/>
                <w:szCs w:val="19"/>
                <w:color w:val="auto"/>
              </w:rPr>
            </w:pPr>
          </w:p>
        </w:tc>
        <w:tc>
          <w:tcPr>
            <w:tcW w:w="1420" w:type="dxa"/>
            <w:vAlign w:val="bottom"/>
            <w:shd w:val="clear" w:color="auto" w:fill="EFEDED"/>
          </w:tcPr>
          <w:p>
            <w:pPr>
              <w:spacing w:after="0"/>
              <w:rPr>
                <w:sz w:val="19"/>
                <w:szCs w:val="19"/>
                <w:color w:val="auto"/>
              </w:rPr>
            </w:pPr>
          </w:p>
        </w:tc>
        <w:tc>
          <w:tcPr>
            <w:tcW w:w="1340" w:type="dxa"/>
            <w:vAlign w:val="bottom"/>
            <w:shd w:val="clear" w:color="auto" w:fill="EFEDED"/>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1380" w:type="dxa"/>
            <w:vAlign w:val="bottom"/>
          </w:tcPr>
          <w:p>
            <w:pPr>
              <w:jc w:val="center"/>
              <w:spacing w:after="0"/>
              <w:rPr>
                <w:sz w:val="20"/>
                <w:szCs w:val="20"/>
                <w:color w:val="auto"/>
              </w:rPr>
            </w:pPr>
            <w:r>
              <w:rPr>
                <w:rFonts w:ascii="Arial" w:cs="Arial" w:eastAsia="Arial" w:hAnsi="Arial"/>
                <w:sz w:val="14"/>
                <w:szCs w:val="14"/>
                <w:color w:val="58595B"/>
              </w:rPr>
              <w:t>10,528</w:t>
            </w:r>
          </w:p>
        </w:tc>
        <w:tc>
          <w:tcPr>
            <w:tcW w:w="1360" w:type="dxa"/>
            <w:vAlign w:val="bottom"/>
          </w:tcPr>
          <w:p>
            <w:pPr>
              <w:jc w:val="center"/>
              <w:spacing w:after="0"/>
              <w:rPr>
                <w:sz w:val="20"/>
                <w:szCs w:val="20"/>
                <w:color w:val="auto"/>
              </w:rPr>
            </w:pPr>
            <w:r>
              <w:rPr>
                <w:rFonts w:ascii="Arial" w:cs="Arial" w:eastAsia="Arial" w:hAnsi="Arial"/>
                <w:sz w:val="14"/>
                <w:szCs w:val="14"/>
                <w:color w:val="58595B"/>
              </w:rPr>
              <w:t>43,350</w:t>
            </w:r>
          </w:p>
        </w:tc>
        <w:tc>
          <w:tcPr>
            <w:tcW w:w="1420" w:type="dxa"/>
            <w:vAlign w:val="bottom"/>
          </w:tcPr>
          <w:p>
            <w:pPr>
              <w:jc w:val="center"/>
              <w:spacing w:after="0"/>
              <w:rPr>
                <w:sz w:val="20"/>
                <w:szCs w:val="20"/>
                <w:color w:val="auto"/>
              </w:rPr>
            </w:pPr>
            <w:r>
              <w:rPr>
                <w:rFonts w:ascii="Arial" w:cs="Arial" w:eastAsia="Arial" w:hAnsi="Arial"/>
                <w:sz w:val="14"/>
                <w:szCs w:val="14"/>
                <w:color w:val="58595B"/>
              </w:rPr>
              <w:t>64,404</w:t>
            </w:r>
          </w:p>
        </w:tc>
        <w:tc>
          <w:tcPr>
            <w:tcW w:w="1340" w:type="dxa"/>
            <w:vAlign w:val="bottom"/>
          </w:tcPr>
          <w:p>
            <w:pPr>
              <w:jc w:val="center"/>
              <w:spacing w:after="0"/>
              <w:rPr>
                <w:sz w:val="20"/>
                <w:szCs w:val="20"/>
                <w:color w:val="auto"/>
              </w:rPr>
            </w:pPr>
            <w:r>
              <w:rPr>
                <w:rFonts w:ascii="Arial" w:cs="Arial" w:eastAsia="Arial" w:hAnsi="Arial"/>
                <w:sz w:val="14"/>
                <w:szCs w:val="14"/>
                <w:color w:val="58595B"/>
              </w:rPr>
              <w:t>96,312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 xml:space="preserve">Jan De Witte </w:t>
            </w:r>
            <w:r>
              <w:rPr>
                <w:rFonts w:ascii="Arial" w:cs="Arial" w:eastAsia="Arial" w:hAnsi="Arial"/>
                <w:sz w:val="9"/>
                <w:szCs w:val="9"/>
                <w:b w:val="1"/>
                <w:bCs w:val="1"/>
                <w:color w:val="58595B"/>
              </w:rPr>
              <w:t>(2)</w:t>
            </w:r>
          </w:p>
        </w:tc>
        <w:tc>
          <w:tcPr>
            <w:tcW w:w="1380" w:type="dxa"/>
            <w:vAlign w:val="bottom"/>
            <w:shd w:val="clear" w:color="auto" w:fill="EFEDED"/>
          </w:tcPr>
          <w:p>
            <w:pPr>
              <w:spacing w:after="0"/>
              <w:rPr>
                <w:sz w:val="20"/>
                <w:szCs w:val="20"/>
                <w:color w:val="auto"/>
              </w:rPr>
            </w:pPr>
          </w:p>
        </w:tc>
        <w:tc>
          <w:tcPr>
            <w:tcW w:w="13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13,804</w:t>
            </w:r>
          </w:p>
        </w:tc>
        <w:tc>
          <w:tcPr>
            <w:tcW w:w="14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28,162</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202,580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Lea Knight</w:t>
            </w:r>
          </w:p>
        </w:tc>
        <w:tc>
          <w:tcPr>
            <w:tcW w:w="1380" w:type="dxa"/>
            <w:vAlign w:val="bottom"/>
          </w:tcPr>
          <w:p>
            <w:pPr>
              <w:jc w:val="center"/>
              <w:spacing w:after="0"/>
              <w:rPr>
                <w:sz w:val="20"/>
                <w:szCs w:val="20"/>
                <w:color w:val="auto"/>
              </w:rPr>
            </w:pPr>
            <w:r>
              <w:rPr>
                <w:rFonts w:ascii="Arial" w:cs="Arial" w:eastAsia="Arial" w:hAnsi="Arial"/>
                <w:sz w:val="14"/>
                <w:szCs w:val="14"/>
                <w:color w:val="58595B"/>
              </w:rPr>
              <w:t>30,314</w:t>
            </w:r>
          </w:p>
        </w:tc>
        <w:tc>
          <w:tcPr>
            <w:tcW w:w="1360" w:type="dxa"/>
            <w:vAlign w:val="bottom"/>
          </w:tcPr>
          <w:p>
            <w:pPr>
              <w:jc w:val="center"/>
              <w:spacing w:after="0"/>
              <w:rPr>
                <w:sz w:val="20"/>
                <w:szCs w:val="20"/>
                <w:color w:val="auto"/>
              </w:rPr>
            </w:pPr>
            <w:r>
              <w:rPr>
                <w:rFonts w:ascii="Arial" w:cs="Arial" w:eastAsia="Arial" w:hAnsi="Arial"/>
                <w:sz w:val="14"/>
                <w:szCs w:val="14"/>
                <w:color w:val="58595B"/>
                <w:w w:val="98"/>
              </w:rPr>
              <w:t>111,179</w:t>
            </w:r>
          </w:p>
        </w:tc>
        <w:tc>
          <w:tcPr>
            <w:tcW w:w="1420" w:type="dxa"/>
            <w:vAlign w:val="bottom"/>
          </w:tcPr>
          <w:p>
            <w:pPr>
              <w:jc w:val="center"/>
              <w:spacing w:after="0"/>
              <w:rPr>
                <w:sz w:val="20"/>
                <w:szCs w:val="20"/>
                <w:color w:val="auto"/>
              </w:rPr>
            </w:pPr>
            <w:r>
              <w:rPr>
                <w:rFonts w:ascii="Arial" w:cs="Arial" w:eastAsia="Arial" w:hAnsi="Arial"/>
                <w:sz w:val="14"/>
                <w:szCs w:val="14"/>
                <w:color w:val="58595B"/>
              </w:rPr>
              <w:t>147,170</w:t>
            </w:r>
          </w:p>
        </w:tc>
        <w:tc>
          <w:tcPr>
            <w:tcW w:w="1340" w:type="dxa"/>
            <w:vAlign w:val="bottom"/>
          </w:tcPr>
          <w:p>
            <w:pPr>
              <w:jc w:val="center"/>
              <w:spacing w:after="0"/>
              <w:rPr>
                <w:sz w:val="20"/>
                <w:szCs w:val="20"/>
                <w:color w:val="auto"/>
              </w:rPr>
            </w:pPr>
            <w:r>
              <w:rPr>
                <w:rFonts w:ascii="Arial" w:cs="Arial" w:eastAsia="Arial" w:hAnsi="Arial"/>
                <w:sz w:val="14"/>
                <w:szCs w:val="14"/>
                <w:color w:val="58595B"/>
              </w:rPr>
              <w:t>71,479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Michael McBreen</w:t>
            </w:r>
          </w:p>
        </w:tc>
        <w:tc>
          <w:tcPr>
            <w:tcW w:w="138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16,537</w:t>
            </w:r>
          </w:p>
        </w:tc>
        <w:tc>
          <w:tcPr>
            <w:tcW w:w="13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92,108</w:t>
            </w:r>
          </w:p>
        </w:tc>
        <w:tc>
          <w:tcPr>
            <w:tcW w:w="14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125,181</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120,264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Mojdeh Poul</w:t>
            </w:r>
            <w:r>
              <w:rPr>
                <w:rFonts w:ascii="Arial" w:cs="Arial" w:eastAsia="Arial" w:hAnsi="Arial"/>
                <w:sz w:val="9"/>
                <w:szCs w:val="9"/>
                <w:b w:val="1"/>
                <w:bCs w:val="1"/>
                <w:color w:val="58595B"/>
              </w:rPr>
              <w:t>(3)</w:t>
            </w:r>
          </w:p>
        </w:tc>
        <w:tc>
          <w:tcPr>
            <w:tcW w:w="13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58595B"/>
              </w:rPr>
              <w:t>412,518</w:t>
            </w:r>
          </w:p>
        </w:tc>
        <w:tc>
          <w:tcPr>
            <w:tcW w:w="1420" w:type="dxa"/>
            <w:vAlign w:val="bottom"/>
          </w:tcPr>
          <w:p>
            <w:pPr>
              <w:jc w:val="center"/>
              <w:spacing w:after="0"/>
              <w:rPr>
                <w:sz w:val="20"/>
                <w:szCs w:val="20"/>
                <w:color w:val="auto"/>
              </w:rPr>
            </w:pPr>
            <w:r>
              <w:rPr>
                <w:rFonts w:ascii="Arial" w:cs="Arial" w:eastAsia="Arial" w:hAnsi="Arial"/>
                <w:sz w:val="14"/>
                <w:szCs w:val="14"/>
                <w:color w:val="58595B"/>
              </w:rPr>
              <w:t>427,318</w:t>
            </w:r>
          </w:p>
        </w:tc>
        <w:tc>
          <w:tcPr>
            <w:tcW w:w="1340" w:type="dxa"/>
            <w:vAlign w:val="bottom"/>
          </w:tcPr>
          <w:p>
            <w:pPr>
              <w:jc w:val="center"/>
              <w:spacing w:after="0"/>
              <w:rPr>
                <w:sz w:val="20"/>
                <w:szCs w:val="20"/>
                <w:color w:val="auto"/>
              </w:rPr>
            </w:pPr>
            <w:r>
              <w:rPr>
                <w:rFonts w:ascii="Arial" w:cs="Arial" w:eastAsia="Arial" w:hAnsi="Arial"/>
                <w:sz w:val="14"/>
                <w:szCs w:val="14"/>
                <w:color w:val="58595B"/>
              </w:rPr>
              <w:t>217,961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Harvinder Singh</w:t>
            </w:r>
          </w:p>
        </w:tc>
        <w:tc>
          <w:tcPr>
            <w:tcW w:w="138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6,371</w:t>
            </w:r>
          </w:p>
        </w:tc>
        <w:tc>
          <w:tcPr>
            <w:tcW w:w="13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63,293</w:t>
            </w:r>
          </w:p>
        </w:tc>
        <w:tc>
          <w:tcPr>
            <w:tcW w:w="14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78,462</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45,384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0"/>
        </w:trPr>
        <w:tc>
          <w:tcPr>
            <w:tcW w:w="5680" w:type="dxa"/>
            <w:vAlign w:val="bottom"/>
          </w:tcPr>
          <w:p>
            <w:pPr>
              <w:ind w:left="20"/>
              <w:spacing w:after="0"/>
              <w:rPr>
                <w:sz w:val="20"/>
                <w:szCs w:val="20"/>
                <w:color w:val="auto"/>
              </w:rPr>
            </w:pPr>
            <w:r>
              <w:rPr>
                <w:rFonts w:ascii="Arial" w:cs="Arial" w:eastAsia="Arial" w:hAnsi="Arial"/>
                <w:sz w:val="13"/>
                <w:szCs w:val="13"/>
                <w:b w:val="1"/>
                <w:bCs w:val="1"/>
                <w:color w:val="009845"/>
              </w:rPr>
              <w:t>86</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Arial" w:cs="Arial" w:eastAsia="Arial" w:hAnsi="Arial"/>
                <w:sz w:val="13"/>
                <w:szCs w:val="13"/>
                <w:color w:val="58595B"/>
                <w:w w:val="96"/>
              </w:rPr>
              <w:t>2026 Proxy Statement</w:t>
            </w:r>
          </w:p>
        </w:tc>
        <w:tc>
          <w:tcPr>
            <w:tcW w:w="0" w:type="dxa"/>
            <w:vAlign w:val="bottom"/>
          </w:tcPr>
          <w:p>
            <w:pPr>
              <w:spacing w:after="0"/>
              <w:rPr>
                <w:sz w:val="1"/>
                <w:szCs w:val="1"/>
                <w:color w:val="auto"/>
              </w:rPr>
            </w:pPr>
          </w:p>
        </w:tc>
      </w:tr>
      <w:tr>
        <w:trPr>
          <w:trHeight w:val="231"/>
        </w:trPr>
        <w:tc>
          <w:tcPr>
            <w:tcW w:w="568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80" w:type="dxa"/>
            <w:vAlign w:val="bottom"/>
            <w:shd w:val="clear" w:color="auto" w:fill="009845"/>
          </w:tcPr>
          <w:p>
            <w:pPr>
              <w:spacing w:after="0"/>
              <w:rPr>
                <w:sz w:val="21"/>
                <w:szCs w:val="21"/>
                <w:color w:val="auto"/>
              </w:rPr>
            </w:pPr>
          </w:p>
        </w:tc>
        <w:tc>
          <w:tcPr>
            <w:tcW w:w="1380" w:type="dxa"/>
            <w:vAlign w:val="bottom"/>
            <w:shd w:val="clear" w:color="auto" w:fill="009845"/>
          </w:tcPr>
          <w:p>
            <w:pPr>
              <w:spacing w:after="0"/>
              <w:rPr>
                <w:sz w:val="21"/>
                <w:szCs w:val="21"/>
                <w:color w:val="auto"/>
              </w:rPr>
            </w:pPr>
          </w:p>
        </w:tc>
        <w:tc>
          <w:tcPr>
            <w:tcW w:w="1360" w:type="dxa"/>
            <w:vAlign w:val="bottom"/>
            <w:shd w:val="clear" w:color="auto" w:fill="009845"/>
          </w:tcPr>
          <w:p>
            <w:pPr>
              <w:spacing w:after="0"/>
              <w:rPr>
                <w:sz w:val="21"/>
                <w:szCs w:val="21"/>
                <w:color w:val="auto"/>
              </w:rPr>
            </w:pPr>
          </w:p>
        </w:tc>
        <w:tc>
          <w:tcPr>
            <w:tcW w:w="1420" w:type="dxa"/>
            <w:vAlign w:val="bottom"/>
            <w:shd w:val="clear" w:color="auto" w:fill="009845"/>
          </w:tcPr>
          <w:p>
            <w:pPr>
              <w:spacing w:after="0"/>
              <w:rPr>
                <w:sz w:val="21"/>
                <w:szCs w:val="21"/>
                <w:color w:val="auto"/>
              </w:rPr>
            </w:pP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of</w:t>
            </w:r>
          </w:p>
        </w:tc>
        <w:tc>
          <w:tcPr>
            <w:tcW w:w="0" w:type="dxa"/>
            <w:vAlign w:val="bottom"/>
          </w:tcPr>
          <w:p>
            <w:pPr>
              <w:spacing w:after="0"/>
              <w:rPr>
                <w:sz w:val="1"/>
                <w:szCs w:val="1"/>
                <w:color w:val="auto"/>
              </w:rPr>
            </w:pPr>
          </w:p>
        </w:tc>
      </w:tr>
      <w:tr>
        <w:trPr>
          <w:trHeight w:val="176"/>
        </w:trPr>
        <w:tc>
          <w:tcPr>
            <w:tcW w:w="5680" w:type="dxa"/>
            <w:vAlign w:val="bottom"/>
            <w:shd w:val="clear" w:color="auto" w:fill="009845"/>
          </w:tcPr>
          <w:p>
            <w:pPr>
              <w:spacing w:after="0"/>
              <w:rPr>
                <w:sz w:val="15"/>
                <w:szCs w:val="15"/>
                <w:color w:val="auto"/>
              </w:rPr>
            </w:pPr>
          </w:p>
        </w:tc>
        <w:tc>
          <w:tcPr>
            <w:tcW w:w="1380" w:type="dxa"/>
            <w:vAlign w:val="bottom"/>
            <w:vMerge w:val="restart"/>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of</w:t>
            </w:r>
          </w:p>
        </w:tc>
        <w:tc>
          <w:tcPr>
            <w:tcW w:w="13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Underlying</w:t>
            </w:r>
          </w:p>
        </w:tc>
        <w:tc>
          <w:tcPr>
            <w:tcW w:w="1420" w:type="dxa"/>
            <w:vAlign w:val="bottom"/>
            <w:vMerge w:val="restart"/>
            <w:shd w:val="clear" w:color="auto" w:fill="009845"/>
          </w:tcPr>
          <w:p>
            <w:pPr>
              <w:ind w:left="40"/>
              <w:spacing w:after="0"/>
              <w:rPr>
                <w:sz w:val="20"/>
                <w:szCs w:val="20"/>
                <w:color w:val="auto"/>
              </w:rPr>
            </w:pPr>
            <w:r>
              <w:rPr>
                <w:rFonts w:ascii="Arial" w:cs="Arial" w:eastAsia="Arial" w:hAnsi="Arial"/>
                <w:sz w:val="14"/>
                <w:szCs w:val="14"/>
                <w:b w:val="1"/>
                <w:bCs w:val="1"/>
                <w:color w:val="FFFFFF"/>
              </w:rPr>
              <w:t>Performance Stock</w:t>
            </w: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Common Stock</w:t>
            </w:r>
          </w:p>
        </w:tc>
        <w:tc>
          <w:tcPr>
            <w:tcW w:w="0" w:type="dxa"/>
            <w:vAlign w:val="bottom"/>
          </w:tcPr>
          <w:p>
            <w:pPr>
              <w:spacing w:after="0"/>
              <w:rPr>
                <w:sz w:val="1"/>
                <w:szCs w:val="1"/>
                <w:color w:val="auto"/>
              </w:rPr>
            </w:pPr>
          </w:p>
        </w:tc>
      </w:tr>
      <w:tr>
        <w:trPr>
          <w:trHeight w:val="162"/>
        </w:trPr>
        <w:tc>
          <w:tcPr>
            <w:tcW w:w="5680" w:type="dxa"/>
            <w:vAlign w:val="bottom"/>
            <w:shd w:val="clear" w:color="auto" w:fill="009845"/>
          </w:tcPr>
          <w:p>
            <w:pPr>
              <w:spacing w:after="0"/>
              <w:rPr>
                <w:sz w:val="14"/>
                <w:szCs w:val="14"/>
                <w:color w:val="auto"/>
              </w:rPr>
            </w:pPr>
          </w:p>
        </w:tc>
        <w:tc>
          <w:tcPr>
            <w:tcW w:w="1380" w:type="dxa"/>
            <w:vAlign w:val="bottom"/>
            <w:vMerge w:val="continue"/>
            <w:shd w:val="clear" w:color="auto" w:fill="009845"/>
          </w:tcPr>
          <w:p>
            <w:pPr>
              <w:spacing w:after="0"/>
              <w:rPr>
                <w:sz w:val="14"/>
                <w:szCs w:val="14"/>
                <w:color w:val="auto"/>
              </w:rPr>
            </w:pPr>
          </w:p>
        </w:tc>
        <w:tc>
          <w:tcPr>
            <w:tcW w:w="13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1420" w:type="dxa"/>
            <w:vAlign w:val="bottom"/>
            <w:vMerge w:val="continue"/>
            <w:shd w:val="clear" w:color="auto" w:fill="009845"/>
          </w:tcPr>
          <w:p>
            <w:pPr>
              <w:spacing w:after="0"/>
              <w:rPr>
                <w:sz w:val="14"/>
                <w:szCs w:val="14"/>
                <w:color w:val="auto"/>
              </w:rPr>
            </w:pP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Underlying Stock</w:t>
            </w:r>
          </w:p>
        </w:tc>
        <w:tc>
          <w:tcPr>
            <w:tcW w:w="0" w:type="dxa"/>
            <w:vAlign w:val="bottom"/>
          </w:tcPr>
          <w:p>
            <w:pPr>
              <w:spacing w:after="0"/>
              <w:rPr>
                <w:sz w:val="1"/>
                <w:szCs w:val="1"/>
                <w:color w:val="auto"/>
              </w:rPr>
            </w:pPr>
          </w:p>
        </w:tc>
      </w:tr>
      <w:tr>
        <w:trPr>
          <w:trHeight w:val="246"/>
        </w:trPr>
        <w:tc>
          <w:tcPr>
            <w:tcW w:w="568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138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136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Units</w:t>
            </w:r>
          </w:p>
        </w:tc>
        <w:tc>
          <w:tcPr>
            <w:tcW w:w="142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w w:val="99"/>
              </w:rPr>
              <w:t>Units(1)</w:t>
            </w:r>
          </w:p>
        </w:tc>
        <w:tc>
          <w:tcPr>
            <w:tcW w:w="134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Options</w:t>
            </w: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009845"/>
              </w:rPr>
              <w:t>Director Nominees</w:t>
            </w: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138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19,592</w:t>
            </w:r>
          </w:p>
        </w:tc>
        <w:tc>
          <w:tcPr>
            <w:tcW w:w="1360" w:type="dxa"/>
            <w:vAlign w:val="bottom"/>
            <w:shd w:val="clear" w:color="auto" w:fill="EFEDED"/>
          </w:tcPr>
          <w:p>
            <w:pPr>
              <w:spacing w:after="0"/>
              <w:rPr>
                <w:sz w:val="20"/>
                <w:szCs w:val="20"/>
                <w:color w:val="auto"/>
              </w:rPr>
            </w:pPr>
          </w:p>
        </w:tc>
        <w:tc>
          <w:tcPr>
            <w:tcW w:w="1420" w:type="dxa"/>
            <w:vAlign w:val="bottom"/>
            <w:shd w:val="clear" w:color="auto" w:fill="EFEDED"/>
          </w:tcPr>
          <w:p>
            <w:pPr>
              <w:spacing w:after="0"/>
              <w:rPr>
                <w:sz w:val="20"/>
                <w:szCs w:val="20"/>
                <w:color w:val="auto"/>
              </w:rPr>
            </w:pPr>
          </w:p>
        </w:tc>
        <w:tc>
          <w:tcPr>
            <w:tcW w:w="1340" w:type="dxa"/>
            <w:vAlign w:val="bottom"/>
            <w:shd w:val="clear" w:color="auto" w:fill="EFEDED"/>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Shaundra D. Clay</w:t>
            </w:r>
          </w:p>
        </w:tc>
        <w:tc>
          <w:tcPr>
            <w:tcW w:w="1380" w:type="dxa"/>
            <w:vAlign w:val="bottom"/>
          </w:tcPr>
          <w:p>
            <w:pPr>
              <w:jc w:val="center"/>
              <w:spacing w:after="0"/>
              <w:rPr>
                <w:sz w:val="20"/>
                <w:szCs w:val="20"/>
                <w:color w:val="auto"/>
              </w:rPr>
            </w:pPr>
            <w:r>
              <w:rPr>
                <w:rFonts w:ascii="Arial" w:cs="Arial" w:eastAsia="Arial" w:hAnsi="Arial"/>
                <w:sz w:val="14"/>
                <w:szCs w:val="14"/>
                <w:color w:val="58595B"/>
              </w:rPr>
              <w:t>19,592</w:t>
            </w:r>
          </w:p>
        </w:tc>
        <w:tc>
          <w:tcPr>
            <w:tcW w:w="1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Stuart M. Essig, Ph.D.</w:t>
            </w:r>
          </w:p>
        </w:tc>
        <w:tc>
          <w:tcPr>
            <w:tcW w:w="138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31,837</w:t>
            </w:r>
          </w:p>
        </w:tc>
        <w:tc>
          <w:tcPr>
            <w:tcW w:w="1360" w:type="dxa"/>
            <w:vAlign w:val="bottom"/>
            <w:shd w:val="clear" w:color="auto" w:fill="EFEDED"/>
          </w:tcPr>
          <w:p>
            <w:pPr>
              <w:spacing w:after="0"/>
              <w:rPr>
                <w:sz w:val="20"/>
                <w:szCs w:val="20"/>
                <w:color w:val="auto"/>
              </w:rPr>
            </w:pPr>
          </w:p>
        </w:tc>
        <w:tc>
          <w:tcPr>
            <w:tcW w:w="1420" w:type="dxa"/>
            <w:vAlign w:val="bottom"/>
            <w:shd w:val="clear" w:color="auto" w:fill="EFEDED"/>
          </w:tcPr>
          <w:p>
            <w:pPr>
              <w:spacing w:after="0"/>
              <w:rPr>
                <w:sz w:val="20"/>
                <w:szCs w:val="20"/>
                <w:color w:val="auto"/>
              </w:rPr>
            </w:pPr>
          </w:p>
        </w:tc>
        <w:tc>
          <w:tcPr>
            <w:tcW w:w="1340" w:type="dxa"/>
            <w:vAlign w:val="bottom"/>
            <w:shd w:val="clear" w:color="auto" w:fill="EFEDED"/>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Jeffrey A. Graves, Ph.D.</w:t>
            </w:r>
          </w:p>
        </w:tc>
        <w:tc>
          <w:tcPr>
            <w:tcW w:w="1380" w:type="dxa"/>
            <w:vAlign w:val="bottom"/>
          </w:tcPr>
          <w:p>
            <w:pPr>
              <w:jc w:val="center"/>
              <w:spacing w:after="0"/>
              <w:rPr>
                <w:sz w:val="20"/>
                <w:szCs w:val="20"/>
                <w:color w:val="auto"/>
              </w:rPr>
            </w:pPr>
            <w:r>
              <w:rPr>
                <w:rFonts w:ascii="Arial" w:cs="Arial" w:eastAsia="Arial" w:hAnsi="Arial"/>
                <w:sz w:val="14"/>
                <w:szCs w:val="14"/>
                <w:color w:val="58595B"/>
              </w:rPr>
              <w:t>19,592</w:t>
            </w:r>
          </w:p>
        </w:tc>
        <w:tc>
          <w:tcPr>
            <w:tcW w:w="1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Barbara B. Hill</w:t>
            </w:r>
          </w:p>
        </w:tc>
        <w:tc>
          <w:tcPr>
            <w:tcW w:w="138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26,531</w:t>
            </w:r>
          </w:p>
        </w:tc>
        <w:tc>
          <w:tcPr>
            <w:tcW w:w="1360" w:type="dxa"/>
            <w:vAlign w:val="bottom"/>
            <w:shd w:val="clear" w:color="auto" w:fill="EFEDED"/>
          </w:tcPr>
          <w:p>
            <w:pPr>
              <w:spacing w:after="0"/>
              <w:rPr>
                <w:sz w:val="20"/>
                <w:szCs w:val="20"/>
                <w:color w:val="auto"/>
              </w:rPr>
            </w:pPr>
          </w:p>
        </w:tc>
        <w:tc>
          <w:tcPr>
            <w:tcW w:w="1420" w:type="dxa"/>
            <w:vAlign w:val="bottom"/>
            <w:shd w:val="clear" w:color="auto" w:fill="EFEDED"/>
          </w:tcPr>
          <w:p>
            <w:pPr>
              <w:spacing w:after="0"/>
              <w:rPr>
                <w:sz w:val="20"/>
                <w:szCs w:val="20"/>
                <w:color w:val="auto"/>
              </w:rPr>
            </w:pPr>
          </w:p>
        </w:tc>
        <w:tc>
          <w:tcPr>
            <w:tcW w:w="1340" w:type="dxa"/>
            <w:vAlign w:val="bottom"/>
            <w:shd w:val="clear" w:color="auto" w:fill="EFEDED"/>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Renee W. Lo</w:t>
            </w:r>
          </w:p>
        </w:tc>
        <w:tc>
          <w:tcPr>
            <w:tcW w:w="1380" w:type="dxa"/>
            <w:vAlign w:val="bottom"/>
          </w:tcPr>
          <w:p>
            <w:pPr>
              <w:jc w:val="center"/>
              <w:spacing w:after="0"/>
              <w:rPr>
                <w:sz w:val="20"/>
                <w:szCs w:val="20"/>
                <w:color w:val="auto"/>
              </w:rPr>
            </w:pPr>
            <w:r>
              <w:rPr>
                <w:rFonts w:ascii="Arial" w:cs="Arial" w:eastAsia="Arial" w:hAnsi="Arial"/>
                <w:sz w:val="14"/>
                <w:szCs w:val="14"/>
                <w:color w:val="58595B"/>
              </w:rPr>
              <w:t>19,592</w:t>
            </w:r>
          </w:p>
        </w:tc>
        <w:tc>
          <w:tcPr>
            <w:tcW w:w="1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138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26,531</w:t>
            </w:r>
          </w:p>
        </w:tc>
        <w:tc>
          <w:tcPr>
            <w:tcW w:w="1360" w:type="dxa"/>
            <w:vAlign w:val="bottom"/>
            <w:shd w:val="clear" w:color="auto" w:fill="EFEDED"/>
          </w:tcPr>
          <w:p>
            <w:pPr>
              <w:spacing w:after="0"/>
              <w:rPr>
                <w:sz w:val="20"/>
                <w:szCs w:val="20"/>
                <w:color w:val="auto"/>
              </w:rPr>
            </w:pPr>
          </w:p>
        </w:tc>
        <w:tc>
          <w:tcPr>
            <w:tcW w:w="1420" w:type="dxa"/>
            <w:vAlign w:val="bottom"/>
            <w:shd w:val="clear" w:color="auto" w:fill="EFEDED"/>
          </w:tcPr>
          <w:p>
            <w:pPr>
              <w:spacing w:after="0"/>
              <w:rPr>
                <w:sz w:val="20"/>
                <w:szCs w:val="20"/>
                <w:color w:val="auto"/>
              </w:rPr>
            </w:pPr>
          </w:p>
        </w:tc>
        <w:tc>
          <w:tcPr>
            <w:tcW w:w="1340" w:type="dxa"/>
            <w:vAlign w:val="bottom"/>
            <w:shd w:val="clear" w:color="auto" w:fill="EFEDED"/>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All current executive officers as a group (9 persons)</w:t>
            </w:r>
          </w:p>
        </w:tc>
        <w:tc>
          <w:tcPr>
            <w:tcW w:w="1380" w:type="dxa"/>
            <w:vAlign w:val="bottom"/>
          </w:tcPr>
          <w:p>
            <w:pPr>
              <w:jc w:val="center"/>
              <w:spacing w:after="0"/>
              <w:rPr>
                <w:sz w:val="20"/>
                <w:szCs w:val="20"/>
                <w:color w:val="auto"/>
              </w:rPr>
            </w:pPr>
            <w:r>
              <w:rPr>
                <w:rFonts w:ascii="Arial" w:cs="Arial" w:eastAsia="Arial" w:hAnsi="Arial"/>
                <w:sz w:val="14"/>
                <w:szCs w:val="14"/>
                <w:color w:val="58595B"/>
              </w:rPr>
              <w:t>84,827</w:t>
            </w:r>
          </w:p>
        </w:tc>
        <w:tc>
          <w:tcPr>
            <w:tcW w:w="1360" w:type="dxa"/>
            <w:vAlign w:val="bottom"/>
          </w:tcPr>
          <w:p>
            <w:pPr>
              <w:jc w:val="right"/>
              <w:ind w:right="348"/>
              <w:spacing w:after="0"/>
              <w:rPr>
                <w:sz w:val="20"/>
                <w:szCs w:val="20"/>
                <w:color w:val="auto"/>
              </w:rPr>
            </w:pPr>
            <w:r>
              <w:rPr>
                <w:rFonts w:ascii="Arial" w:cs="Arial" w:eastAsia="Arial" w:hAnsi="Arial"/>
                <w:sz w:val="14"/>
                <w:szCs w:val="14"/>
                <w:color w:val="58595B"/>
              </w:rPr>
              <w:t>953,903</w:t>
            </w:r>
          </w:p>
        </w:tc>
        <w:tc>
          <w:tcPr>
            <w:tcW w:w="1420" w:type="dxa"/>
            <w:vAlign w:val="bottom"/>
          </w:tcPr>
          <w:p>
            <w:pPr>
              <w:jc w:val="center"/>
              <w:spacing w:after="0"/>
              <w:rPr>
                <w:sz w:val="20"/>
                <w:szCs w:val="20"/>
                <w:color w:val="auto"/>
              </w:rPr>
            </w:pPr>
            <w:r>
              <w:rPr>
                <w:rFonts w:ascii="Arial" w:cs="Arial" w:eastAsia="Arial" w:hAnsi="Arial"/>
                <w:sz w:val="14"/>
                <w:szCs w:val="14"/>
                <w:color w:val="58595B"/>
              </w:rPr>
              <w:t>1,015,801</w:t>
            </w:r>
          </w:p>
        </w:tc>
        <w:tc>
          <w:tcPr>
            <w:tcW w:w="1340" w:type="dxa"/>
            <w:vAlign w:val="bottom"/>
          </w:tcPr>
          <w:p>
            <w:pPr>
              <w:jc w:val="center"/>
              <w:spacing w:after="0"/>
              <w:rPr>
                <w:sz w:val="20"/>
                <w:szCs w:val="20"/>
                <w:color w:val="auto"/>
              </w:rPr>
            </w:pPr>
            <w:r>
              <w:rPr>
                <w:rFonts w:ascii="Arial" w:cs="Arial" w:eastAsia="Arial" w:hAnsi="Arial"/>
                <w:sz w:val="14"/>
                <w:szCs w:val="14"/>
                <w:color w:val="58595B"/>
              </w:rPr>
              <w:t>783,046</w:t>
            </w: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All current non-employee directors as a group (7 persons)</w:t>
            </w:r>
          </w:p>
        </w:tc>
        <w:tc>
          <w:tcPr>
            <w:tcW w:w="138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163,267</w:t>
            </w:r>
          </w:p>
        </w:tc>
        <w:tc>
          <w:tcPr>
            <w:tcW w:w="1360" w:type="dxa"/>
            <w:vAlign w:val="bottom"/>
            <w:shd w:val="clear" w:color="auto" w:fill="EFEDED"/>
          </w:tcPr>
          <w:p>
            <w:pPr>
              <w:spacing w:after="0"/>
              <w:rPr>
                <w:sz w:val="20"/>
                <w:szCs w:val="20"/>
                <w:color w:val="auto"/>
              </w:rPr>
            </w:pPr>
          </w:p>
        </w:tc>
        <w:tc>
          <w:tcPr>
            <w:tcW w:w="1420" w:type="dxa"/>
            <w:vAlign w:val="bottom"/>
            <w:shd w:val="clear" w:color="auto" w:fill="EFEDED"/>
          </w:tcPr>
          <w:p>
            <w:pPr>
              <w:spacing w:after="0"/>
              <w:rPr>
                <w:sz w:val="20"/>
                <w:szCs w:val="20"/>
                <w:color w:val="auto"/>
              </w:rPr>
            </w:pPr>
          </w:p>
        </w:tc>
        <w:tc>
          <w:tcPr>
            <w:tcW w:w="1340" w:type="dxa"/>
            <w:vAlign w:val="bottom"/>
            <w:shd w:val="clear" w:color="auto" w:fill="EFEDED"/>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All employees, including current officers who are not executive officers, as a</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58595B"/>
              </w:rPr>
              <w:t>573,291</w:t>
            </w:r>
          </w:p>
        </w:tc>
        <w:tc>
          <w:tcPr>
            <w:tcW w:w="1360" w:type="dxa"/>
            <w:vAlign w:val="bottom"/>
            <w:vMerge w:val="restart"/>
          </w:tcPr>
          <w:p>
            <w:pPr>
              <w:jc w:val="right"/>
              <w:ind w:right="288"/>
              <w:spacing w:after="0"/>
              <w:rPr>
                <w:sz w:val="20"/>
                <w:szCs w:val="20"/>
                <w:color w:val="auto"/>
              </w:rPr>
            </w:pPr>
            <w:r>
              <w:rPr>
                <w:rFonts w:ascii="Arial" w:cs="Arial" w:eastAsia="Arial" w:hAnsi="Arial"/>
                <w:sz w:val="14"/>
                <w:szCs w:val="14"/>
                <w:color w:val="58595B"/>
              </w:rPr>
              <w:t>1,658,762</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58595B"/>
              </w:rPr>
              <w:t>451,169</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58595B"/>
              </w:rPr>
              <w:t>466,346</w:t>
            </w:r>
          </w:p>
        </w:tc>
        <w:tc>
          <w:tcPr>
            <w:tcW w:w="0" w:type="dxa"/>
            <w:vAlign w:val="bottom"/>
          </w:tcPr>
          <w:p>
            <w:pPr>
              <w:spacing w:after="0"/>
              <w:rPr>
                <w:sz w:val="1"/>
                <w:szCs w:val="1"/>
                <w:color w:val="auto"/>
              </w:rPr>
            </w:pPr>
          </w:p>
        </w:tc>
      </w:tr>
      <w:tr>
        <w:trPr>
          <w:trHeight w:val="96"/>
        </w:trPr>
        <w:tc>
          <w:tcPr>
            <w:tcW w:w="568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group</w:t>
            </w:r>
          </w:p>
        </w:tc>
        <w:tc>
          <w:tcPr>
            <w:tcW w:w="13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680" w:type="dxa"/>
            <w:vAlign w:val="bottom"/>
            <w:tcBorders>
              <w:bottom w:val="single" w:sz="8" w:color="58595B"/>
            </w:tcBorders>
            <w:vMerge w:val="continue"/>
          </w:tcPr>
          <w:p>
            <w:pPr>
              <w:spacing w:after="0"/>
              <w:rPr>
                <w:sz w:val="9"/>
                <w:szCs w:val="9"/>
                <w:color w:val="auto"/>
              </w:rPr>
            </w:pPr>
          </w:p>
        </w:tc>
        <w:tc>
          <w:tcPr>
            <w:tcW w:w="1380" w:type="dxa"/>
            <w:vAlign w:val="bottom"/>
            <w:tcBorders>
              <w:bottom w:val="single" w:sz="8" w:color="58595B"/>
            </w:tcBorders>
          </w:tcPr>
          <w:p>
            <w:pPr>
              <w:spacing w:after="0"/>
              <w:rPr>
                <w:sz w:val="9"/>
                <w:szCs w:val="9"/>
                <w:color w:val="auto"/>
              </w:rPr>
            </w:pPr>
          </w:p>
        </w:tc>
        <w:tc>
          <w:tcPr>
            <w:tcW w:w="1360" w:type="dxa"/>
            <w:vAlign w:val="bottom"/>
            <w:tcBorders>
              <w:bottom w:val="single" w:sz="8" w:color="58595B"/>
            </w:tcBorders>
          </w:tcPr>
          <w:p>
            <w:pPr>
              <w:spacing w:after="0"/>
              <w:rPr>
                <w:sz w:val="9"/>
                <w:szCs w:val="9"/>
                <w:color w:val="auto"/>
              </w:rPr>
            </w:pPr>
          </w:p>
        </w:tc>
        <w:tc>
          <w:tcPr>
            <w:tcW w:w="1420" w:type="dxa"/>
            <w:vAlign w:val="bottom"/>
            <w:tcBorders>
              <w:bottom w:val="single" w:sz="8" w:color="58595B"/>
            </w:tcBorders>
          </w:tcPr>
          <w:p>
            <w:pPr>
              <w:spacing w:after="0"/>
              <w:rPr>
                <w:sz w:val="9"/>
                <w:szCs w:val="9"/>
                <w:color w:val="auto"/>
              </w:rPr>
            </w:pPr>
          </w:p>
        </w:tc>
        <w:tc>
          <w:tcPr>
            <w:tcW w:w="1340" w:type="dxa"/>
            <w:vAlign w:val="bottom"/>
            <w:tcBorders>
              <w:bottom w:val="single" w:sz="8" w:color="58595B"/>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420" w:hanging="332"/>
        <w:spacing w:after="0" w:line="285" w:lineRule="auto"/>
        <w:tabs>
          <w:tab w:leader="none" w:pos="338"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performance share units. The amounts shown above reflects shares earned with respect to completed performance periods, and target awards granted with respect to ongoing performance periods.</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Effective January 6, 2025, Mr. De Witte resigned as our President and Chief Executive Officer and a director on our Board.</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Ms. Poul is also a director.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Material U.S. Federal Income Tax Consequences</w:t>
      </w:r>
    </w:p>
    <w:p>
      <w:pPr>
        <w:spacing w:after="0" w:line="208"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The following is a general summary under current law of the principal United States federal income tax consequences related to awards under the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132"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i w:val="1"/>
          <w:iCs w:val="1"/>
          <w:color w:val="58595B"/>
        </w:rPr>
        <w:t>Non-Qualified Stock Options</w:t>
      </w:r>
      <w:r>
        <w:rPr>
          <w:rFonts w:ascii="Arial" w:cs="Arial" w:eastAsia="Arial" w:hAnsi="Arial"/>
          <w:sz w:val="16"/>
          <w:szCs w:val="16"/>
          <w:color w:val="58595B"/>
        </w:rPr>
        <w:t>. Under the Code, the grant of a nonqualified stock option is generally not taxable to the participant. On exercise of a</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nonqualified stock option granted under the Plan, a participant will recognize ordinary income equal to the excess, if any, of the fair market value of the shares acquired over the exercise price. The participant’s tax basis in those shares will be equal to their fair market value on the date of exercise of the option, and the participant’s holding period for those shares will begin on that date. Upon a participant’s sale of shares acquired pursuant to the exercise of a nonqualified stock option, any difference between the sale price and the fair market value of the shares on the date when the stock option was exercised will be treated as long-term or short-term capital gain or loss.</w:t>
      </w:r>
    </w:p>
    <w:p>
      <w:pPr>
        <w:spacing w:after="0" w:line="122" w:lineRule="exact"/>
        <w:rPr>
          <w:sz w:val="20"/>
          <w:szCs w:val="20"/>
          <w:color w:val="auto"/>
        </w:rPr>
      </w:pPr>
    </w:p>
    <w:p>
      <w:pPr>
        <w:spacing w:after="0" w:line="311" w:lineRule="auto"/>
        <w:rPr>
          <w:sz w:val="20"/>
          <w:szCs w:val="20"/>
          <w:color w:val="auto"/>
        </w:rPr>
      </w:pPr>
      <w:r>
        <w:rPr>
          <w:rFonts w:ascii="Arial" w:cs="Arial" w:eastAsia="Arial" w:hAnsi="Arial"/>
          <w:sz w:val="16"/>
          <w:szCs w:val="16"/>
          <w:color w:val="58595B"/>
        </w:rPr>
        <w:t>If a participant pays for shares of stock on exercise of an option by delivering shares of common stock, the participant will not recognize gain or loss on the shares delivered, even if the fair market value of such shares differs from the participant’s tax basis in such shares. The participant, however, will be taxed on the exercise of the option in the manner described above as if he had paid the exercise price in cash. The tax basis of the shares received upon exercise will be the tax basis of the shares delivered as payment, share for share, to the extent the number of shares received equals the number of shares delivered as payment. In addition, the holding period of the shares received will include the holding period of the shares delivered as payment. The participant’s tax basis and holding period for any shares received in excess of the number of shares delivered by the participant will be the same as if the participant had exercised the option solely in exchange for cash.</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87</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Upon a participant’s exercise of a nonqualified stock option, the Company or the applicable subsidiary will generally be entitled to a deduction for U.S. federal income tax purposes at such time and in the same amount recognized as ordinary income to the participant, subject to the possible limitations on deductibility under Sections 162(m) and 280G of the Code for compensation paid to executives designated in those Sections, and provided that such amount constitutes an ordinary and necessary business expense for the Company and is reasonable in amount, and either the employee includes that amount in income or the Company timely satisfies its reporting requirements with respect to that amount.</w:t>
      </w:r>
    </w:p>
    <w:p>
      <w:pPr>
        <w:spacing w:after="0" w:line="118"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i w:val="1"/>
          <w:iCs w:val="1"/>
          <w:color w:val="58595B"/>
        </w:rPr>
        <w:t>Incentive Stock Options</w:t>
      </w:r>
      <w:r>
        <w:rPr>
          <w:rFonts w:ascii="Arial" w:cs="Arial" w:eastAsia="Arial" w:hAnsi="Arial"/>
          <w:sz w:val="16"/>
          <w:szCs w:val="16"/>
          <w:color w:val="58595B"/>
        </w:rPr>
        <w:t>. If an optionee is granted a nonqualified stock option under the Plan, the optionee should not have taxable income on the grant of</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the option. Generally, the optionee should recognize ordinary income at the time of exercise in an amount equal to the fair market value of the shares acquired on the date of exercise, less the exercise price paid for the shares. The optionee’s basis in the common stock for purposes of determining gain or loss on a subsequent sale or disposition of such shares generally will be the fair market value of our common stock on the date the optionee exercises such option. Any subsequent gain or loss will be taxable as a long-term or short-term capital gain or loss. We or our subsidiaries or affiliates generally should be entitled to a federal income tax deduction at the time and for the same amount as the optionee recognizes ordinary income.</w:t>
      </w:r>
    </w:p>
    <w:p>
      <w:pPr>
        <w:spacing w:after="0" w:line="122" w:lineRule="exact"/>
        <w:rPr>
          <w:sz w:val="20"/>
          <w:szCs w:val="20"/>
          <w:color w:val="auto"/>
        </w:rPr>
      </w:pPr>
    </w:p>
    <w:p>
      <w:pPr>
        <w:ind w:right="200"/>
        <w:spacing w:after="0" w:line="318" w:lineRule="auto"/>
        <w:rPr>
          <w:sz w:val="20"/>
          <w:szCs w:val="20"/>
          <w:color w:val="auto"/>
        </w:rPr>
      </w:pPr>
      <w:r>
        <w:rPr>
          <w:rFonts w:ascii="Arial" w:cs="Arial" w:eastAsia="Arial" w:hAnsi="Arial"/>
          <w:sz w:val="16"/>
          <w:szCs w:val="16"/>
          <w:b w:val="1"/>
          <w:bCs w:val="1"/>
          <w:i w:val="1"/>
          <w:iCs w:val="1"/>
          <w:color w:val="58595B"/>
        </w:rPr>
        <w:t>Other Awards</w:t>
      </w:r>
      <w:r>
        <w:rPr>
          <w:rFonts w:ascii="Arial" w:cs="Arial" w:eastAsia="Arial" w:hAnsi="Arial"/>
          <w:sz w:val="16"/>
          <w:szCs w:val="16"/>
          <w:color w:val="58595B"/>
        </w:rPr>
        <w:t>. The current federal income tax consequences of other awards authorized under the Plan generally follow certain basic patterns: stock</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appreciation rights are taxed and deductible in substantially the same manner as nonqualified stock options;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performance stock awards, contract stock awards, dividend equivalents, stock payments, and other incentive awards are generally subject to tax at the time of payment.</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b w:val="1"/>
          <w:bCs w:val="1"/>
          <w:i w:val="1"/>
          <w:iCs w:val="1"/>
          <w:color w:val="58595B"/>
        </w:rPr>
        <w:t>Section 409A of the Code</w:t>
      </w:r>
      <w:r>
        <w:rPr>
          <w:rFonts w:ascii="Arial" w:cs="Arial" w:eastAsia="Arial" w:hAnsi="Arial"/>
          <w:sz w:val="16"/>
          <w:szCs w:val="16"/>
          <w:color w:val="58595B"/>
        </w:rPr>
        <w:t>. Section 409A of the Code governs the taxation of deferred compensation. Certain types of awards under the Plan may</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Plan and awards granted under the Plan are intended to be structured and interpreted in a manner intended to either comply with or be exempt from Section</w:t>
      </w:r>
    </w:p>
    <w:p>
      <w:pPr>
        <w:spacing w:after="0" w:line="2" w:lineRule="exact"/>
        <w:rPr>
          <w:sz w:val="20"/>
          <w:szCs w:val="20"/>
          <w:color w:val="auto"/>
        </w:rPr>
      </w:pPr>
    </w:p>
    <w:p>
      <w:pPr>
        <w:jc w:val="both"/>
        <w:ind w:right="240"/>
        <w:spacing w:after="0" w:line="328" w:lineRule="auto"/>
        <w:rPr>
          <w:sz w:val="20"/>
          <w:szCs w:val="20"/>
          <w:color w:val="auto"/>
        </w:rPr>
      </w:pPr>
      <w:r>
        <w:rPr>
          <w:rFonts w:ascii="Arial" w:cs="Arial" w:eastAsia="Arial" w:hAnsi="Arial"/>
          <w:sz w:val="16"/>
          <w:szCs w:val="16"/>
          <w:color w:val="58595B"/>
        </w:rPr>
        <w:t>409A of the Code and the Department of Treasury regulations and other interpretive guidance that may be issued under Section 409A of the Code. To the extent determined necessary or appropriate by the plan administrator, the Plan and applicable award agreements may be amended to further comply with Section 409A of the Code or to exempt the applicable awards from Section 409A of the Code.</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Required Vote for Approval and Recommendation of the Board of Directors</w:t>
      </w:r>
    </w:p>
    <w:p>
      <w:pPr>
        <w:spacing w:after="0" w:line="85" w:lineRule="exact"/>
        <w:rPr>
          <w:sz w:val="20"/>
          <w:szCs w:val="20"/>
          <w:color w:val="auto"/>
        </w:rPr>
      </w:pPr>
    </w:p>
    <w:p>
      <w:pPr>
        <w:jc w:val="both"/>
        <w:ind w:right="100"/>
        <w:spacing w:after="0" w:line="319" w:lineRule="auto"/>
        <w:rPr>
          <w:sz w:val="20"/>
          <w:szCs w:val="20"/>
          <w:color w:val="auto"/>
        </w:rPr>
      </w:pPr>
      <w:r>
        <w:rPr>
          <w:rFonts w:ascii="Arial" w:cs="Arial" w:eastAsia="Arial" w:hAnsi="Arial"/>
          <w:sz w:val="16"/>
          <w:szCs w:val="16"/>
          <w:color w:val="58595B"/>
        </w:rPr>
        <w:t>The affirmative vote of the holders of a majority of the shares present, in person or represented by proxy, at the Annual Meeting and entitled to vote thereon is required for approval of this proposal. Abstentions will have the effect of a vote against this proposal. Broker non-votes will have no effect on the outcome of this proposal.</w:t>
      </w:r>
    </w:p>
    <w:p>
      <w:pPr>
        <w:spacing w:after="0" w:line="238"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58595B"/>
        </w:rPr>
        <w:t>If our stockholders do not approve this proposal, the proposed additional shares will not become available for issuance under the Plan, Amendment No. 3 to the Plan will not become operative and the number of shares authorized for issuance under the Plan shall remain 20,700,000.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90170</wp:posOffset>
            </wp:positionV>
            <wp:extent cx="94615" cy="5657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94615" cy="565785"/>
                    </a:xfrm>
                    <a:prstGeom prst="rect">
                      <a:avLst/>
                    </a:prstGeom>
                    <a:noFill/>
                  </pic:spPr>
                </pic:pic>
              </a:graphicData>
            </a:graphic>
          </wp:anchor>
        </w:drawing>
      </w:r>
    </w:p>
    <w:p>
      <w:pPr>
        <w:spacing w:after="0" w:line="136" w:lineRule="exact"/>
        <w:rPr>
          <w:sz w:val="20"/>
          <w:szCs w:val="20"/>
          <w:color w:val="auto"/>
        </w:rPr>
      </w:pPr>
    </w:p>
    <w:p>
      <w:pPr>
        <w:ind w:left="1400" w:right="1260"/>
        <w:spacing w:after="0" w:line="277" w:lineRule="auto"/>
        <w:rPr>
          <w:sz w:val="20"/>
          <w:szCs w:val="20"/>
          <w:color w:val="auto"/>
        </w:rPr>
      </w:pPr>
      <w:r>
        <w:rPr>
          <w:rFonts w:ascii="Arial" w:cs="Arial" w:eastAsia="Arial" w:hAnsi="Arial"/>
          <w:sz w:val="22"/>
          <w:szCs w:val="22"/>
          <w:color w:val="58595B"/>
        </w:rPr>
        <w:t xml:space="preserve">The Board of Directors hereby recommends a vote </w:t>
      </w:r>
      <w:r>
        <w:rPr>
          <w:rFonts w:ascii="Arial" w:cs="Arial" w:eastAsia="Arial" w:hAnsi="Arial"/>
          <w:sz w:val="22"/>
          <w:szCs w:val="22"/>
          <w:color w:val="009845"/>
        </w:rPr>
        <w:t>“FOR”</w:t>
      </w:r>
      <w:r>
        <w:rPr>
          <w:rFonts w:ascii="Arial" w:cs="Arial" w:eastAsia="Arial" w:hAnsi="Arial"/>
          <w:sz w:val="22"/>
          <w:szCs w:val="22"/>
          <w:color w:val="58595B"/>
        </w:rPr>
        <w:t xml:space="preserve"> the approval of Amendment No. 3 to the Integra LifeSciences Holdings Corporation Fifth Amended and Restated 2003 Equity Incentive Plan, as amended.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88</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36"/>
          <w:szCs w:val="36"/>
          <w:color w:val="009845"/>
        </w:rPr>
        <w:t>STOCK OWNERSHIP</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color w:val="009845"/>
        </w:rPr>
        <w:t>Security Ownership of Directors and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sets forth, as of March 1, 2026 (except as otherwise noted) certain information regarding the beneficial ownership of common stock by:</w:t>
      </w:r>
    </w:p>
    <w:p>
      <w:pPr>
        <w:spacing w:after="0" w:line="59" w:lineRule="exact"/>
        <w:rPr>
          <w:sz w:val="20"/>
          <w:szCs w:val="20"/>
          <w:color w:val="auto"/>
        </w:rPr>
      </w:pPr>
    </w:p>
    <w:p>
      <w:pPr>
        <w:ind w:right="240" w:firstLine="8"/>
        <w:spacing w:after="0" w:line="308" w:lineRule="auto"/>
        <w:tabs>
          <w:tab w:leader="none" w:pos="243" w:val="left"/>
        </w:tabs>
        <w:numPr>
          <w:ilvl w:val="0"/>
          <w:numId w:val="61"/>
        </w:numPr>
        <w:rPr>
          <w:rFonts w:ascii="Arial" w:cs="Arial" w:eastAsia="Arial" w:hAnsi="Arial"/>
          <w:sz w:val="16"/>
          <w:szCs w:val="16"/>
          <w:color w:val="58595B"/>
        </w:rPr>
      </w:pPr>
      <w:r>
        <w:rPr>
          <w:rFonts w:ascii="Arial" w:cs="Arial" w:eastAsia="Arial" w:hAnsi="Arial"/>
          <w:sz w:val="16"/>
          <w:szCs w:val="16"/>
          <w:color w:val="58595B"/>
        </w:rPr>
        <w:t>each of the Company’s directors and nominees for directors; (b) each of the named executive officers; and (c) all executive officers, directors and nominees as a group. Except as otherwise indicated, each person has sole voting power and sole investment power with respect to all shares beneficially</w:t>
      </w:r>
    </w:p>
    <w:p>
      <w:pPr>
        <w:ind w:right="560"/>
        <w:spacing w:after="0" w:line="339" w:lineRule="auto"/>
        <w:rPr>
          <w:rFonts w:ascii="Arial" w:cs="Arial" w:eastAsia="Arial" w:hAnsi="Arial"/>
          <w:sz w:val="16"/>
          <w:szCs w:val="16"/>
          <w:color w:val="58595B"/>
        </w:rPr>
      </w:pPr>
      <w:r>
        <w:rPr>
          <w:rFonts w:ascii="Arial" w:cs="Arial" w:eastAsia="Arial" w:hAnsi="Arial"/>
          <w:sz w:val="16"/>
          <w:szCs w:val="16"/>
          <w:color w:val="58595B"/>
        </w:rPr>
        <w:t>owned by such person. Unless otherwise provided, the address of each individual listed below is c/o Integra LifeSciences Holdings Corporation, 1100 Campus Road, Princeton, NJ 08540.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009845"/>
          </w:tcPr>
          <w:p>
            <w:pPr>
              <w:spacing w:after="0"/>
              <w:rPr>
                <w:sz w:val="18"/>
                <w:szCs w:val="18"/>
                <w:color w:val="auto"/>
              </w:rPr>
            </w:pPr>
          </w:p>
        </w:tc>
        <w:tc>
          <w:tcPr>
            <w:tcW w:w="1000" w:type="dxa"/>
            <w:vAlign w:val="bottom"/>
            <w:shd w:val="clear" w:color="auto" w:fill="009845"/>
          </w:tcPr>
          <w:p>
            <w:pPr>
              <w:spacing w:after="0"/>
              <w:rPr>
                <w:sz w:val="18"/>
                <w:szCs w:val="18"/>
                <w:color w:val="auto"/>
              </w:rPr>
            </w:pPr>
          </w:p>
        </w:tc>
        <w:tc>
          <w:tcPr>
            <w:tcW w:w="440" w:type="dxa"/>
            <w:vAlign w:val="bottom"/>
            <w:shd w:val="clear" w:color="auto" w:fill="009845"/>
          </w:tcPr>
          <w:p>
            <w:pPr>
              <w:spacing w:after="0"/>
              <w:rPr>
                <w:sz w:val="18"/>
                <w:szCs w:val="18"/>
                <w:color w:val="auto"/>
              </w:rPr>
            </w:pPr>
          </w:p>
        </w:tc>
        <w:tc>
          <w:tcPr>
            <w:tcW w:w="3380" w:type="dxa"/>
            <w:vAlign w:val="bottom"/>
            <w:gridSpan w:val="3"/>
            <w:shd w:val="clear" w:color="auto" w:fill="009845"/>
          </w:tcPr>
          <w:p>
            <w:pPr>
              <w:jc w:val="right"/>
              <w:ind w:right="168"/>
              <w:spacing w:after="0"/>
              <w:rPr>
                <w:sz w:val="20"/>
                <w:szCs w:val="20"/>
                <w:color w:val="auto"/>
              </w:rPr>
            </w:pPr>
            <w:r>
              <w:rPr>
                <w:rFonts w:ascii="Arial" w:cs="Arial" w:eastAsia="Arial" w:hAnsi="Arial"/>
                <w:sz w:val="14"/>
                <w:szCs w:val="14"/>
                <w:b w:val="1"/>
                <w:bCs w:val="1"/>
                <w:color w:val="FFFFFF"/>
              </w:rPr>
              <w:t>Amount and Nature of Beneficial Ownership</w:t>
            </w:r>
          </w:p>
        </w:tc>
        <w:tc>
          <w:tcPr>
            <w:tcW w:w="1340" w:type="dxa"/>
            <w:vAlign w:val="bottom"/>
            <w:shd w:val="clear" w:color="auto" w:fill="009845"/>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80" w:type="dxa"/>
            <w:vAlign w:val="bottom"/>
            <w:shd w:val="clear" w:color="auto" w:fill="009845"/>
          </w:tcPr>
          <w:p>
            <w:pPr>
              <w:spacing w:after="0"/>
              <w:rPr>
                <w:sz w:val="18"/>
                <w:szCs w:val="18"/>
                <w:color w:val="auto"/>
              </w:rPr>
            </w:pPr>
          </w:p>
        </w:tc>
        <w:tc>
          <w:tcPr>
            <w:tcW w:w="1440" w:type="dxa"/>
            <w:vAlign w:val="bottom"/>
            <w:gridSpan w:val="2"/>
            <w:shd w:val="clear" w:color="auto" w:fill="009845"/>
          </w:tcPr>
          <w:p>
            <w:pPr>
              <w:jc w:val="right"/>
              <w:ind w:right="228"/>
              <w:spacing w:after="0"/>
              <w:rPr>
                <w:sz w:val="20"/>
                <w:szCs w:val="20"/>
                <w:color w:val="auto"/>
              </w:rPr>
            </w:pPr>
            <w:r>
              <w:rPr>
                <w:rFonts w:ascii="Arial" w:cs="Arial" w:eastAsia="Arial" w:hAnsi="Arial"/>
                <w:sz w:val="14"/>
                <w:szCs w:val="14"/>
                <w:b w:val="1"/>
                <w:bCs w:val="1"/>
                <w:color w:val="FFFFFF"/>
              </w:rPr>
              <w:t>Number of</w:t>
            </w:r>
          </w:p>
        </w:tc>
        <w:tc>
          <w:tcPr>
            <w:tcW w:w="1580" w:type="dxa"/>
            <w:vAlign w:val="bottom"/>
            <w:shd w:val="clear" w:color="auto" w:fill="009845"/>
          </w:tcPr>
          <w:p>
            <w:pPr>
              <w:jc w:val="center"/>
              <w:ind w:left="148"/>
              <w:spacing w:after="0"/>
              <w:rPr>
                <w:sz w:val="20"/>
                <w:szCs w:val="20"/>
                <w:color w:val="auto"/>
              </w:rPr>
            </w:pPr>
            <w:r>
              <w:rPr>
                <w:rFonts w:ascii="Arial" w:cs="Arial" w:eastAsia="Arial" w:hAnsi="Arial"/>
                <w:sz w:val="14"/>
                <w:szCs w:val="14"/>
                <w:b w:val="1"/>
                <w:bCs w:val="1"/>
                <w:color w:val="FFFFFF"/>
              </w:rPr>
              <w:t>Right to</w:t>
            </w:r>
          </w:p>
        </w:tc>
        <w:tc>
          <w:tcPr>
            <w:tcW w:w="1140" w:type="dxa"/>
            <w:vAlign w:val="bottom"/>
            <w:shd w:val="clear" w:color="auto" w:fill="009845"/>
          </w:tcPr>
          <w:p>
            <w:pPr>
              <w:spacing w:after="0"/>
              <w:rPr>
                <w:sz w:val="18"/>
                <w:szCs w:val="18"/>
                <w:color w:val="auto"/>
              </w:rPr>
            </w:pPr>
          </w:p>
        </w:tc>
        <w:tc>
          <w:tcPr>
            <w:tcW w:w="660" w:type="dxa"/>
            <w:vAlign w:val="bottom"/>
            <w:shd w:val="clear" w:color="auto" w:fill="009845"/>
          </w:tcPr>
          <w:p>
            <w:pPr>
              <w:spacing w:after="0"/>
              <w:rPr>
                <w:sz w:val="18"/>
                <w:szCs w:val="18"/>
                <w:color w:val="auto"/>
              </w:rPr>
            </w:pPr>
          </w:p>
        </w:tc>
        <w:tc>
          <w:tcPr>
            <w:tcW w:w="1340" w:type="dxa"/>
            <w:vAlign w:val="bottom"/>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268"/>
        </w:trPr>
        <w:tc>
          <w:tcPr>
            <w:tcW w:w="50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 and Address of Beneficial Owner</w:t>
            </w:r>
          </w:p>
        </w:tc>
        <w:tc>
          <w:tcPr>
            <w:tcW w:w="1440" w:type="dxa"/>
            <w:vAlign w:val="bottom"/>
            <w:gridSpan w:val="2"/>
            <w:shd w:val="clear" w:color="auto" w:fill="009845"/>
          </w:tcPr>
          <w:p>
            <w:pPr>
              <w:jc w:val="right"/>
              <w:ind w:right="28"/>
              <w:spacing w:after="0"/>
              <w:rPr>
                <w:sz w:val="20"/>
                <w:szCs w:val="20"/>
                <w:color w:val="auto"/>
              </w:rPr>
            </w:pPr>
            <w:r>
              <w:rPr>
                <w:rFonts w:ascii="Arial" w:cs="Arial" w:eastAsia="Arial" w:hAnsi="Arial"/>
                <w:sz w:val="14"/>
                <w:szCs w:val="14"/>
                <w:b w:val="1"/>
                <w:bCs w:val="1"/>
                <w:color w:val="FFFFFF"/>
              </w:rPr>
              <w:t>Shares Owned</w:t>
            </w:r>
            <w:r>
              <w:rPr>
                <w:rFonts w:ascii="Arial" w:cs="Arial" w:eastAsia="Arial" w:hAnsi="Arial"/>
                <w:sz w:val="18"/>
                <w:szCs w:val="18"/>
                <w:b w:val="1"/>
                <w:bCs w:val="1"/>
                <w:color w:val="FFFFFF"/>
                <w:vertAlign w:val="superscript"/>
              </w:rPr>
              <w:t>(1)</w:t>
            </w:r>
          </w:p>
        </w:tc>
        <w:tc>
          <w:tcPr>
            <w:tcW w:w="1580" w:type="dxa"/>
            <w:vAlign w:val="bottom"/>
            <w:shd w:val="clear" w:color="auto" w:fill="009845"/>
          </w:tcPr>
          <w:p>
            <w:pPr>
              <w:jc w:val="center"/>
              <w:ind w:left="148"/>
              <w:spacing w:after="0"/>
              <w:rPr>
                <w:sz w:val="20"/>
                <w:szCs w:val="20"/>
                <w:color w:val="auto"/>
              </w:rPr>
            </w:pPr>
            <w:r>
              <w:rPr>
                <w:rFonts w:ascii="Arial" w:cs="Arial" w:eastAsia="Arial" w:hAnsi="Arial"/>
                <w:sz w:val="14"/>
                <w:szCs w:val="14"/>
                <w:b w:val="1"/>
                <w:bCs w:val="1"/>
                <w:color w:val="FFFFFF"/>
                <w:w w:val="95"/>
              </w:rPr>
              <w:t>Acquire</w:t>
            </w:r>
            <w:r>
              <w:rPr>
                <w:rFonts w:ascii="Arial" w:cs="Arial" w:eastAsia="Arial" w:hAnsi="Arial"/>
                <w:sz w:val="18"/>
                <w:szCs w:val="18"/>
                <w:b w:val="1"/>
                <w:bCs w:val="1"/>
                <w:color w:val="FFFFFF"/>
                <w:w w:val="95"/>
                <w:vertAlign w:val="superscript"/>
              </w:rPr>
              <w:t>(2)</w:t>
            </w:r>
          </w:p>
        </w:tc>
        <w:tc>
          <w:tcPr>
            <w:tcW w:w="1140" w:type="dxa"/>
            <w:vAlign w:val="bottom"/>
            <w:shd w:val="clear" w:color="auto" w:fill="009845"/>
          </w:tcPr>
          <w:p>
            <w:pPr>
              <w:ind w:left="720"/>
              <w:spacing w:after="0"/>
              <w:rPr>
                <w:sz w:val="20"/>
                <w:szCs w:val="20"/>
                <w:color w:val="auto"/>
              </w:rPr>
            </w:pPr>
            <w:r>
              <w:rPr>
                <w:rFonts w:ascii="Arial" w:cs="Arial" w:eastAsia="Arial" w:hAnsi="Arial"/>
                <w:sz w:val="14"/>
                <w:szCs w:val="14"/>
                <w:b w:val="1"/>
                <w:bCs w:val="1"/>
                <w:color w:val="FFFFFF"/>
              </w:rPr>
              <w:t>Total</w:t>
            </w:r>
          </w:p>
        </w:tc>
        <w:tc>
          <w:tcPr>
            <w:tcW w:w="660" w:type="dxa"/>
            <w:vAlign w:val="bottom"/>
            <w:shd w:val="clear" w:color="auto" w:fill="009845"/>
          </w:tcPr>
          <w:p>
            <w:pPr>
              <w:spacing w:after="0"/>
              <w:rPr>
                <w:sz w:val="23"/>
                <w:szCs w:val="23"/>
                <w:color w:val="auto"/>
              </w:rPr>
            </w:pPr>
          </w:p>
        </w:tc>
        <w:tc>
          <w:tcPr>
            <w:tcW w:w="1340" w:type="dxa"/>
            <w:vAlign w:val="bottom"/>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w w:val="96"/>
              </w:rPr>
              <w:t>Class</w:t>
            </w:r>
            <w:r>
              <w:rPr>
                <w:rFonts w:ascii="Arial" w:cs="Arial" w:eastAsia="Arial" w:hAnsi="Arial"/>
                <w:sz w:val="18"/>
                <w:szCs w:val="18"/>
                <w:b w:val="1"/>
                <w:bCs w:val="1"/>
                <w:color w:val="FFFFFF"/>
                <w:w w:val="96"/>
                <w:vertAlign w:val="superscript"/>
              </w:rPr>
              <w:t>(3)</w:t>
            </w:r>
          </w:p>
        </w:tc>
        <w:tc>
          <w:tcPr>
            <w:tcW w:w="0" w:type="dxa"/>
            <w:vAlign w:val="bottom"/>
          </w:tcPr>
          <w:p>
            <w:pPr>
              <w:spacing w:after="0"/>
              <w:rPr>
                <w:sz w:val="1"/>
                <w:szCs w:val="1"/>
                <w:color w:val="auto"/>
              </w:rPr>
            </w:pPr>
          </w:p>
        </w:tc>
      </w:tr>
      <w:tr>
        <w:trPr>
          <w:trHeight w:val="229"/>
        </w:trPr>
        <w:tc>
          <w:tcPr>
            <w:tcW w:w="50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1000" w:type="dxa"/>
            <w:vAlign w:val="bottom"/>
            <w:shd w:val="clear" w:color="auto" w:fill="EFEDED"/>
          </w:tcPr>
          <w:p>
            <w:pPr>
              <w:jc w:val="center"/>
              <w:ind w:left="48"/>
              <w:spacing w:after="0"/>
              <w:rPr>
                <w:sz w:val="20"/>
                <w:szCs w:val="20"/>
                <w:color w:val="auto"/>
              </w:rPr>
            </w:pPr>
            <w:r>
              <w:rPr>
                <w:rFonts w:ascii="Arial" w:cs="Arial" w:eastAsia="Arial" w:hAnsi="Arial"/>
                <w:sz w:val="14"/>
                <w:szCs w:val="14"/>
                <w:color w:val="58595B"/>
              </w:rPr>
              <w:t>89,136</w:t>
            </w:r>
          </w:p>
        </w:tc>
        <w:tc>
          <w:tcPr>
            <w:tcW w:w="440" w:type="dxa"/>
            <w:vAlign w:val="bottom"/>
            <w:shd w:val="clear" w:color="auto" w:fill="EFEDED"/>
          </w:tcPr>
          <w:p>
            <w:pPr>
              <w:spacing w:after="0"/>
              <w:rPr>
                <w:sz w:val="19"/>
                <w:szCs w:val="19"/>
                <w:color w:val="auto"/>
              </w:rPr>
            </w:pPr>
          </w:p>
        </w:tc>
        <w:tc>
          <w:tcPr>
            <w:tcW w:w="1580" w:type="dxa"/>
            <w:vAlign w:val="bottom"/>
            <w:shd w:val="clear" w:color="auto" w:fill="EFEDED"/>
          </w:tcPr>
          <w:p>
            <w:pPr>
              <w:jc w:val="center"/>
              <w:ind w:right="168"/>
              <w:spacing w:after="0"/>
              <w:rPr>
                <w:sz w:val="20"/>
                <w:szCs w:val="20"/>
                <w:color w:val="auto"/>
              </w:rPr>
            </w:pPr>
            <w:r>
              <w:rPr>
                <w:rFonts w:ascii="Arial" w:cs="Arial" w:eastAsia="Arial" w:hAnsi="Arial"/>
                <w:sz w:val="14"/>
                <w:szCs w:val="14"/>
                <w:color w:val="58595B"/>
                <w:w w:val="99"/>
              </w:rPr>
              <w:t>—</w:t>
            </w:r>
          </w:p>
        </w:tc>
        <w:tc>
          <w:tcPr>
            <w:tcW w:w="1140" w:type="dxa"/>
            <w:vAlign w:val="bottom"/>
            <w:shd w:val="clear" w:color="auto" w:fill="EFEDED"/>
          </w:tcPr>
          <w:p>
            <w:pPr>
              <w:jc w:val="center"/>
              <w:ind w:left="108"/>
              <w:spacing w:after="0"/>
              <w:rPr>
                <w:sz w:val="20"/>
                <w:szCs w:val="20"/>
                <w:color w:val="auto"/>
              </w:rPr>
            </w:pPr>
            <w:r>
              <w:rPr>
                <w:rFonts w:ascii="Arial" w:cs="Arial" w:eastAsia="Arial" w:hAnsi="Arial"/>
                <w:sz w:val="14"/>
                <w:szCs w:val="14"/>
                <w:color w:val="58595B"/>
              </w:rPr>
              <w:t>89,136</w:t>
            </w:r>
          </w:p>
        </w:tc>
        <w:tc>
          <w:tcPr>
            <w:tcW w:w="660" w:type="dxa"/>
            <w:vAlign w:val="bottom"/>
            <w:shd w:val="clear" w:color="auto" w:fill="EFEDED"/>
          </w:tcPr>
          <w:p>
            <w:pPr>
              <w:spacing w:after="0"/>
              <w:rPr>
                <w:sz w:val="19"/>
                <w:szCs w:val="19"/>
                <w:color w:val="auto"/>
              </w:rPr>
            </w:pPr>
          </w:p>
        </w:tc>
        <w:tc>
          <w:tcPr>
            <w:tcW w:w="134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2"/>
        </w:trPr>
        <w:tc>
          <w:tcPr>
            <w:tcW w:w="5080" w:type="dxa"/>
            <w:vAlign w:val="bottom"/>
          </w:tcPr>
          <w:p>
            <w:pPr>
              <w:ind w:left="100"/>
              <w:spacing w:after="0"/>
              <w:rPr>
                <w:sz w:val="20"/>
                <w:szCs w:val="20"/>
                <w:color w:val="auto"/>
              </w:rPr>
            </w:pPr>
            <w:r>
              <w:rPr>
                <w:rFonts w:ascii="Arial" w:cs="Arial" w:eastAsia="Arial" w:hAnsi="Arial"/>
                <w:sz w:val="14"/>
                <w:szCs w:val="14"/>
                <w:b w:val="1"/>
                <w:bCs w:val="1"/>
                <w:color w:val="58595B"/>
              </w:rPr>
              <w:t>Shaundra D. Clay</w:t>
            </w:r>
          </w:p>
        </w:tc>
        <w:tc>
          <w:tcPr>
            <w:tcW w:w="1000" w:type="dxa"/>
            <w:vAlign w:val="bottom"/>
          </w:tcPr>
          <w:p>
            <w:pPr>
              <w:jc w:val="center"/>
              <w:ind w:left="48"/>
              <w:spacing w:after="0"/>
              <w:rPr>
                <w:sz w:val="20"/>
                <w:szCs w:val="20"/>
                <w:color w:val="auto"/>
              </w:rPr>
            </w:pPr>
            <w:r>
              <w:rPr>
                <w:rFonts w:ascii="Arial" w:cs="Arial" w:eastAsia="Arial" w:hAnsi="Arial"/>
                <w:sz w:val="14"/>
                <w:szCs w:val="14"/>
                <w:color w:val="58595B"/>
              </w:rPr>
              <w:t>41,515</w:t>
            </w:r>
          </w:p>
        </w:tc>
        <w:tc>
          <w:tcPr>
            <w:tcW w:w="440" w:type="dxa"/>
            <w:vAlign w:val="bottom"/>
          </w:tcPr>
          <w:p>
            <w:pPr>
              <w:spacing w:after="0"/>
              <w:rPr>
                <w:sz w:val="19"/>
                <w:szCs w:val="19"/>
                <w:color w:val="auto"/>
              </w:rPr>
            </w:pPr>
          </w:p>
        </w:tc>
        <w:tc>
          <w:tcPr>
            <w:tcW w:w="1580" w:type="dxa"/>
            <w:vAlign w:val="bottom"/>
          </w:tcPr>
          <w:p>
            <w:pPr>
              <w:jc w:val="center"/>
              <w:ind w:right="16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41,515</w:t>
            </w:r>
          </w:p>
        </w:tc>
        <w:tc>
          <w:tcPr>
            <w:tcW w:w="660" w:type="dxa"/>
            <w:vAlign w:val="bottom"/>
          </w:tcPr>
          <w:p>
            <w:pPr>
              <w:spacing w:after="0"/>
              <w:rPr>
                <w:sz w:val="19"/>
                <w:szCs w:val="19"/>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37"/>
        </w:trPr>
        <w:tc>
          <w:tcPr>
            <w:tcW w:w="50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1000" w:type="dxa"/>
            <w:vAlign w:val="bottom"/>
            <w:shd w:val="clear" w:color="auto" w:fill="EFEDED"/>
          </w:tcPr>
          <w:p>
            <w:pPr>
              <w:jc w:val="center"/>
              <w:ind w:left="48"/>
              <w:spacing w:after="0"/>
              <w:rPr>
                <w:sz w:val="20"/>
                <w:szCs w:val="20"/>
                <w:color w:val="auto"/>
              </w:rPr>
            </w:pPr>
            <w:r>
              <w:rPr>
                <w:rFonts w:ascii="Arial" w:cs="Arial" w:eastAsia="Arial" w:hAnsi="Arial"/>
                <w:sz w:val="14"/>
                <w:szCs w:val="14"/>
                <w:color w:val="58595B"/>
              </w:rPr>
              <w:t>75,561</w:t>
            </w:r>
          </w:p>
        </w:tc>
        <w:tc>
          <w:tcPr>
            <w:tcW w:w="440" w:type="dxa"/>
            <w:vAlign w:val="bottom"/>
            <w:shd w:val="clear" w:color="auto" w:fill="EFEDED"/>
          </w:tcPr>
          <w:p>
            <w:pPr>
              <w:spacing w:after="0"/>
              <w:rPr>
                <w:sz w:val="20"/>
                <w:szCs w:val="20"/>
                <w:color w:val="auto"/>
              </w:rPr>
            </w:pPr>
          </w:p>
        </w:tc>
        <w:tc>
          <w:tcPr>
            <w:tcW w:w="1580" w:type="dxa"/>
            <w:vAlign w:val="bottom"/>
            <w:shd w:val="clear" w:color="auto" w:fill="EFEDED"/>
          </w:tcPr>
          <w:p>
            <w:pPr>
              <w:jc w:val="center"/>
              <w:ind w:right="148"/>
              <w:spacing w:after="0"/>
              <w:rPr>
                <w:sz w:val="20"/>
                <w:szCs w:val="20"/>
                <w:color w:val="auto"/>
              </w:rPr>
            </w:pPr>
            <w:r>
              <w:rPr>
                <w:rFonts w:ascii="Arial" w:cs="Arial" w:eastAsia="Arial" w:hAnsi="Arial"/>
                <w:sz w:val="14"/>
                <w:szCs w:val="14"/>
                <w:color w:val="58595B"/>
              </w:rPr>
              <w:t>75,117</w:t>
            </w:r>
          </w:p>
        </w:tc>
        <w:tc>
          <w:tcPr>
            <w:tcW w:w="1140" w:type="dxa"/>
            <w:vAlign w:val="bottom"/>
            <w:shd w:val="clear" w:color="auto" w:fill="EFEDED"/>
          </w:tcPr>
          <w:p>
            <w:pPr>
              <w:jc w:val="center"/>
              <w:ind w:left="108"/>
              <w:spacing w:after="0"/>
              <w:rPr>
                <w:sz w:val="20"/>
                <w:szCs w:val="20"/>
                <w:color w:val="auto"/>
              </w:rPr>
            </w:pPr>
            <w:r>
              <w:rPr>
                <w:rFonts w:ascii="Arial" w:cs="Arial" w:eastAsia="Arial" w:hAnsi="Arial"/>
                <w:sz w:val="14"/>
                <w:szCs w:val="14"/>
                <w:color w:val="58595B"/>
              </w:rPr>
              <w:t>150,678</w:t>
            </w:r>
          </w:p>
        </w:tc>
        <w:tc>
          <w:tcPr>
            <w:tcW w:w="660" w:type="dxa"/>
            <w:vAlign w:val="bottom"/>
            <w:shd w:val="clear" w:color="auto" w:fill="EFEDED"/>
          </w:tcPr>
          <w:p>
            <w:pPr>
              <w:spacing w:after="0"/>
              <w:rPr>
                <w:sz w:val="20"/>
                <w:szCs w:val="20"/>
                <w:color w:val="auto"/>
              </w:rPr>
            </w:pPr>
          </w:p>
        </w:tc>
        <w:tc>
          <w:tcPr>
            <w:tcW w:w="134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2"/>
        </w:trPr>
        <w:tc>
          <w:tcPr>
            <w:tcW w:w="5080" w:type="dxa"/>
            <w:vAlign w:val="bottom"/>
          </w:tcPr>
          <w:p>
            <w:pPr>
              <w:ind w:left="100"/>
              <w:spacing w:after="0"/>
              <w:rPr>
                <w:sz w:val="20"/>
                <w:szCs w:val="20"/>
                <w:color w:val="auto"/>
              </w:rPr>
            </w:pPr>
            <w:r>
              <w:rPr>
                <w:rFonts w:ascii="Arial" w:cs="Arial" w:eastAsia="Arial" w:hAnsi="Arial"/>
                <w:sz w:val="14"/>
                <w:szCs w:val="14"/>
                <w:b w:val="1"/>
                <w:bCs w:val="1"/>
                <w:color w:val="58595B"/>
              </w:rPr>
              <w:t>Jan De Witte</w:t>
            </w:r>
          </w:p>
        </w:tc>
        <w:tc>
          <w:tcPr>
            <w:tcW w:w="1000" w:type="dxa"/>
            <w:vAlign w:val="bottom"/>
          </w:tcPr>
          <w:p>
            <w:pPr>
              <w:jc w:val="center"/>
              <w:ind w:left="48"/>
              <w:spacing w:after="0"/>
              <w:rPr>
                <w:sz w:val="20"/>
                <w:szCs w:val="20"/>
                <w:color w:val="auto"/>
              </w:rPr>
            </w:pPr>
            <w:r>
              <w:rPr>
                <w:rFonts w:ascii="Arial" w:cs="Arial" w:eastAsia="Arial" w:hAnsi="Arial"/>
                <w:sz w:val="14"/>
                <w:szCs w:val="14"/>
                <w:color w:val="58595B"/>
              </w:rPr>
              <w:t>23,902</w:t>
            </w:r>
          </w:p>
        </w:tc>
        <w:tc>
          <w:tcPr>
            <w:tcW w:w="440" w:type="dxa"/>
            <w:vAlign w:val="bottom"/>
          </w:tcPr>
          <w:p>
            <w:pPr>
              <w:jc w:val="right"/>
              <w:ind w:right="68"/>
              <w:spacing w:after="0"/>
              <w:rPr>
                <w:sz w:val="20"/>
                <w:szCs w:val="20"/>
                <w:color w:val="auto"/>
              </w:rPr>
            </w:pPr>
            <w:r>
              <w:rPr>
                <w:rFonts w:ascii="Arial" w:cs="Arial" w:eastAsia="Arial" w:hAnsi="Arial"/>
                <w:sz w:val="14"/>
                <w:szCs w:val="14"/>
                <w:color w:val="58595B"/>
              </w:rPr>
              <w:t>(4)</w:t>
            </w:r>
          </w:p>
        </w:tc>
        <w:tc>
          <w:tcPr>
            <w:tcW w:w="1580" w:type="dxa"/>
            <w:vAlign w:val="bottom"/>
          </w:tcPr>
          <w:p>
            <w:pPr>
              <w:jc w:val="center"/>
              <w:ind w:right="148"/>
              <w:spacing w:after="0"/>
              <w:rPr>
                <w:sz w:val="20"/>
                <w:szCs w:val="20"/>
                <w:color w:val="auto"/>
              </w:rPr>
            </w:pPr>
            <w:r>
              <w:rPr>
                <w:rFonts w:ascii="Arial" w:cs="Arial" w:eastAsia="Arial" w:hAnsi="Arial"/>
                <w:sz w:val="14"/>
                <w:szCs w:val="14"/>
                <w:color w:val="58595B"/>
              </w:rPr>
              <w:t>88,173</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112,075</w:t>
            </w:r>
          </w:p>
        </w:tc>
        <w:tc>
          <w:tcPr>
            <w:tcW w:w="660" w:type="dxa"/>
            <w:vAlign w:val="bottom"/>
          </w:tcPr>
          <w:p>
            <w:pPr>
              <w:jc w:val="right"/>
              <w:ind w:right="308"/>
              <w:spacing w:after="0"/>
              <w:rPr>
                <w:sz w:val="20"/>
                <w:szCs w:val="20"/>
                <w:color w:val="auto"/>
              </w:rPr>
            </w:pPr>
            <w:r>
              <w:rPr>
                <w:rFonts w:ascii="Arial" w:cs="Arial" w:eastAsia="Arial" w:hAnsi="Arial"/>
                <w:sz w:val="14"/>
                <w:szCs w:val="14"/>
                <w:color w:val="58595B"/>
              </w:rPr>
              <w:t>(4)</w:t>
            </w:r>
          </w:p>
        </w:tc>
        <w:tc>
          <w:tcPr>
            <w:tcW w:w="1340" w:type="dxa"/>
            <w:vAlign w:val="bottom"/>
          </w:tcPr>
          <w:p>
            <w:pPr>
              <w:jc w:val="center"/>
              <w:ind w:right="4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37"/>
        </w:trPr>
        <w:tc>
          <w:tcPr>
            <w:tcW w:w="50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Stuart M. Essig, Ph.D.</w:t>
            </w:r>
          </w:p>
        </w:tc>
        <w:tc>
          <w:tcPr>
            <w:tcW w:w="1000" w:type="dxa"/>
            <w:vAlign w:val="bottom"/>
            <w:shd w:val="clear" w:color="auto" w:fill="EFEDED"/>
          </w:tcPr>
          <w:p>
            <w:pPr>
              <w:jc w:val="center"/>
              <w:ind w:left="48"/>
              <w:spacing w:after="0"/>
              <w:rPr>
                <w:sz w:val="20"/>
                <w:szCs w:val="20"/>
                <w:color w:val="auto"/>
              </w:rPr>
            </w:pPr>
            <w:r>
              <w:rPr>
                <w:rFonts w:ascii="Arial" w:cs="Arial" w:eastAsia="Arial" w:hAnsi="Arial"/>
                <w:sz w:val="14"/>
                <w:szCs w:val="14"/>
                <w:color w:val="58595B"/>
              </w:rPr>
              <w:t>1,785,271</w:t>
            </w:r>
          </w:p>
        </w:tc>
        <w:tc>
          <w:tcPr>
            <w:tcW w:w="440" w:type="dxa"/>
            <w:vAlign w:val="bottom"/>
            <w:shd w:val="clear" w:color="auto" w:fill="EFEDED"/>
          </w:tcPr>
          <w:p>
            <w:pPr>
              <w:jc w:val="right"/>
              <w:ind w:right="68"/>
              <w:spacing w:after="0"/>
              <w:rPr>
                <w:sz w:val="20"/>
                <w:szCs w:val="20"/>
                <w:color w:val="auto"/>
              </w:rPr>
            </w:pPr>
            <w:r>
              <w:rPr>
                <w:rFonts w:ascii="Arial" w:cs="Arial" w:eastAsia="Arial" w:hAnsi="Arial"/>
                <w:sz w:val="14"/>
                <w:szCs w:val="14"/>
                <w:color w:val="58595B"/>
              </w:rPr>
              <w:t>(5)</w:t>
            </w:r>
          </w:p>
        </w:tc>
        <w:tc>
          <w:tcPr>
            <w:tcW w:w="1580" w:type="dxa"/>
            <w:vAlign w:val="bottom"/>
            <w:shd w:val="clear" w:color="auto" w:fill="EFEDED"/>
          </w:tcPr>
          <w:p>
            <w:pPr>
              <w:jc w:val="center"/>
              <w:ind w:right="168"/>
              <w:spacing w:after="0"/>
              <w:rPr>
                <w:sz w:val="20"/>
                <w:szCs w:val="20"/>
                <w:color w:val="auto"/>
              </w:rPr>
            </w:pPr>
            <w:r>
              <w:rPr>
                <w:rFonts w:ascii="Arial" w:cs="Arial" w:eastAsia="Arial" w:hAnsi="Arial"/>
                <w:sz w:val="14"/>
                <w:szCs w:val="14"/>
                <w:color w:val="58595B"/>
                <w:w w:val="99"/>
              </w:rPr>
              <w:t>—</w:t>
            </w:r>
          </w:p>
        </w:tc>
        <w:tc>
          <w:tcPr>
            <w:tcW w:w="1140" w:type="dxa"/>
            <w:vAlign w:val="bottom"/>
            <w:shd w:val="clear" w:color="auto" w:fill="EFEDED"/>
          </w:tcPr>
          <w:p>
            <w:pPr>
              <w:jc w:val="center"/>
              <w:ind w:left="108"/>
              <w:spacing w:after="0"/>
              <w:rPr>
                <w:sz w:val="20"/>
                <w:szCs w:val="20"/>
                <w:color w:val="auto"/>
              </w:rPr>
            </w:pPr>
            <w:r>
              <w:rPr>
                <w:rFonts w:ascii="Arial" w:cs="Arial" w:eastAsia="Arial" w:hAnsi="Arial"/>
                <w:sz w:val="14"/>
                <w:szCs w:val="14"/>
                <w:color w:val="58595B"/>
              </w:rPr>
              <w:t>1,785,271</w:t>
            </w:r>
          </w:p>
        </w:tc>
        <w:tc>
          <w:tcPr>
            <w:tcW w:w="66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(5)</w:t>
            </w:r>
          </w:p>
        </w:tc>
        <w:tc>
          <w:tcPr>
            <w:tcW w:w="1340" w:type="dxa"/>
            <w:vAlign w:val="bottom"/>
            <w:shd w:val="clear" w:color="auto" w:fill="EFEDED"/>
          </w:tcPr>
          <w:p>
            <w:pPr>
              <w:jc w:val="center"/>
              <w:ind w:right="68"/>
              <w:spacing w:after="0"/>
              <w:rPr>
                <w:sz w:val="20"/>
                <w:szCs w:val="20"/>
                <w:color w:val="auto"/>
              </w:rPr>
            </w:pPr>
            <w:r>
              <w:rPr>
                <w:rFonts w:ascii="Arial" w:cs="Arial" w:eastAsia="Arial" w:hAnsi="Arial"/>
                <w:sz w:val="14"/>
                <w:szCs w:val="14"/>
                <w:color w:val="58595B"/>
              </w:rPr>
              <w:t>2.29%</w:t>
            </w:r>
          </w:p>
        </w:tc>
        <w:tc>
          <w:tcPr>
            <w:tcW w:w="0" w:type="dxa"/>
            <w:vAlign w:val="bottom"/>
          </w:tcPr>
          <w:p>
            <w:pPr>
              <w:spacing w:after="0"/>
              <w:rPr>
                <w:sz w:val="1"/>
                <w:szCs w:val="1"/>
                <w:color w:val="auto"/>
              </w:rPr>
            </w:pPr>
          </w:p>
        </w:tc>
      </w:tr>
      <w:tr>
        <w:trPr>
          <w:trHeight w:val="222"/>
        </w:trPr>
        <w:tc>
          <w:tcPr>
            <w:tcW w:w="5080" w:type="dxa"/>
            <w:vAlign w:val="bottom"/>
          </w:tcPr>
          <w:p>
            <w:pPr>
              <w:ind w:left="100"/>
              <w:spacing w:after="0"/>
              <w:rPr>
                <w:sz w:val="20"/>
                <w:szCs w:val="20"/>
                <w:color w:val="auto"/>
              </w:rPr>
            </w:pPr>
            <w:r>
              <w:rPr>
                <w:rFonts w:ascii="Arial" w:cs="Arial" w:eastAsia="Arial" w:hAnsi="Arial"/>
                <w:sz w:val="14"/>
                <w:szCs w:val="14"/>
                <w:b w:val="1"/>
                <w:bCs w:val="1"/>
                <w:color w:val="58595B"/>
              </w:rPr>
              <w:t>Jeffrey A. Graves, Ph.D.</w:t>
            </w:r>
          </w:p>
        </w:tc>
        <w:tc>
          <w:tcPr>
            <w:tcW w:w="1000" w:type="dxa"/>
            <w:vAlign w:val="bottom"/>
          </w:tcPr>
          <w:p>
            <w:pPr>
              <w:jc w:val="center"/>
              <w:ind w:left="48"/>
              <w:spacing w:after="0"/>
              <w:rPr>
                <w:sz w:val="20"/>
                <w:szCs w:val="20"/>
                <w:color w:val="auto"/>
              </w:rPr>
            </w:pPr>
            <w:r>
              <w:rPr>
                <w:rFonts w:ascii="Arial" w:cs="Arial" w:eastAsia="Arial" w:hAnsi="Arial"/>
                <w:sz w:val="14"/>
                <w:szCs w:val="14"/>
                <w:color w:val="58595B"/>
              </w:rPr>
              <w:t>41,086</w:t>
            </w:r>
          </w:p>
        </w:tc>
        <w:tc>
          <w:tcPr>
            <w:tcW w:w="440" w:type="dxa"/>
            <w:vAlign w:val="bottom"/>
          </w:tcPr>
          <w:p>
            <w:pPr>
              <w:spacing w:after="0"/>
              <w:rPr>
                <w:sz w:val="19"/>
                <w:szCs w:val="19"/>
                <w:color w:val="auto"/>
              </w:rPr>
            </w:pPr>
          </w:p>
        </w:tc>
        <w:tc>
          <w:tcPr>
            <w:tcW w:w="1580" w:type="dxa"/>
            <w:vAlign w:val="bottom"/>
          </w:tcPr>
          <w:p>
            <w:pPr>
              <w:jc w:val="center"/>
              <w:ind w:right="16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41,086</w:t>
            </w:r>
          </w:p>
        </w:tc>
        <w:tc>
          <w:tcPr>
            <w:tcW w:w="660" w:type="dxa"/>
            <w:vAlign w:val="bottom"/>
          </w:tcPr>
          <w:p>
            <w:pPr>
              <w:spacing w:after="0"/>
              <w:rPr>
                <w:sz w:val="19"/>
                <w:szCs w:val="19"/>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37"/>
        </w:trPr>
        <w:tc>
          <w:tcPr>
            <w:tcW w:w="50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Barbara B. Hill</w:t>
            </w:r>
          </w:p>
        </w:tc>
        <w:tc>
          <w:tcPr>
            <w:tcW w:w="1000" w:type="dxa"/>
            <w:vAlign w:val="bottom"/>
            <w:shd w:val="clear" w:color="auto" w:fill="EFEDED"/>
          </w:tcPr>
          <w:p>
            <w:pPr>
              <w:jc w:val="center"/>
              <w:ind w:left="48"/>
              <w:spacing w:after="0"/>
              <w:rPr>
                <w:sz w:val="20"/>
                <w:szCs w:val="20"/>
                <w:color w:val="auto"/>
              </w:rPr>
            </w:pPr>
            <w:r>
              <w:rPr>
                <w:rFonts w:ascii="Arial" w:cs="Arial" w:eastAsia="Arial" w:hAnsi="Arial"/>
                <w:sz w:val="14"/>
                <w:szCs w:val="14"/>
                <w:color w:val="58595B"/>
              </w:rPr>
              <w:t>163,203</w:t>
            </w:r>
          </w:p>
        </w:tc>
        <w:tc>
          <w:tcPr>
            <w:tcW w:w="440" w:type="dxa"/>
            <w:vAlign w:val="bottom"/>
            <w:shd w:val="clear" w:color="auto" w:fill="EFEDED"/>
          </w:tcPr>
          <w:p>
            <w:pPr>
              <w:jc w:val="right"/>
              <w:ind w:right="68"/>
              <w:spacing w:after="0"/>
              <w:rPr>
                <w:sz w:val="20"/>
                <w:szCs w:val="20"/>
                <w:color w:val="auto"/>
              </w:rPr>
            </w:pPr>
            <w:r>
              <w:rPr>
                <w:rFonts w:ascii="Arial" w:cs="Arial" w:eastAsia="Arial" w:hAnsi="Arial"/>
                <w:sz w:val="14"/>
                <w:szCs w:val="14"/>
                <w:color w:val="58595B"/>
              </w:rPr>
              <w:t>(6)</w:t>
            </w:r>
          </w:p>
        </w:tc>
        <w:tc>
          <w:tcPr>
            <w:tcW w:w="1580" w:type="dxa"/>
            <w:vAlign w:val="bottom"/>
            <w:shd w:val="clear" w:color="auto" w:fill="EFEDED"/>
          </w:tcPr>
          <w:p>
            <w:pPr>
              <w:jc w:val="center"/>
              <w:ind w:right="168"/>
              <w:spacing w:after="0"/>
              <w:rPr>
                <w:sz w:val="20"/>
                <w:szCs w:val="20"/>
                <w:color w:val="auto"/>
              </w:rPr>
            </w:pPr>
            <w:r>
              <w:rPr>
                <w:rFonts w:ascii="Arial" w:cs="Arial" w:eastAsia="Arial" w:hAnsi="Arial"/>
                <w:sz w:val="14"/>
                <w:szCs w:val="14"/>
                <w:color w:val="58595B"/>
                <w:w w:val="99"/>
              </w:rPr>
              <w:t>—</w:t>
            </w:r>
          </w:p>
        </w:tc>
        <w:tc>
          <w:tcPr>
            <w:tcW w:w="1140" w:type="dxa"/>
            <w:vAlign w:val="bottom"/>
            <w:shd w:val="clear" w:color="auto" w:fill="EFEDED"/>
          </w:tcPr>
          <w:p>
            <w:pPr>
              <w:jc w:val="center"/>
              <w:ind w:left="108"/>
              <w:spacing w:after="0"/>
              <w:rPr>
                <w:sz w:val="20"/>
                <w:szCs w:val="20"/>
                <w:color w:val="auto"/>
              </w:rPr>
            </w:pPr>
            <w:r>
              <w:rPr>
                <w:rFonts w:ascii="Arial" w:cs="Arial" w:eastAsia="Arial" w:hAnsi="Arial"/>
                <w:sz w:val="14"/>
                <w:szCs w:val="14"/>
                <w:color w:val="58595B"/>
              </w:rPr>
              <w:t>163,203</w:t>
            </w:r>
          </w:p>
        </w:tc>
        <w:tc>
          <w:tcPr>
            <w:tcW w:w="66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(6)</w:t>
            </w:r>
          </w:p>
        </w:tc>
        <w:tc>
          <w:tcPr>
            <w:tcW w:w="134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2"/>
        </w:trPr>
        <w:tc>
          <w:tcPr>
            <w:tcW w:w="5080" w:type="dxa"/>
            <w:vAlign w:val="bottom"/>
          </w:tcPr>
          <w:p>
            <w:pPr>
              <w:ind w:left="100"/>
              <w:spacing w:after="0"/>
              <w:rPr>
                <w:sz w:val="20"/>
                <w:szCs w:val="20"/>
                <w:color w:val="auto"/>
              </w:rPr>
            </w:pPr>
            <w:r>
              <w:rPr>
                <w:rFonts w:ascii="Arial" w:cs="Arial" w:eastAsia="Arial" w:hAnsi="Arial"/>
                <w:sz w:val="14"/>
                <w:szCs w:val="14"/>
                <w:b w:val="1"/>
                <w:bCs w:val="1"/>
                <w:color w:val="58595B"/>
              </w:rPr>
              <w:t>Lea Knight</w:t>
            </w:r>
          </w:p>
        </w:tc>
        <w:tc>
          <w:tcPr>
            <w:tcW w:w="1000" w:type="dxa"/>
            <w:vAlign w:val="bottom"/>
          </w:tcPr>
          <w:p>
            <w:pPr>
              <w:jc w:val="center"/>
              <w:ind w:left="48"/>
              <w:spacing w:after="0"/>
              <w:rPr>
                <w:sz w:val="20"/>
                <w:szCs w:val="20"/>
                <w:color w:val="auto"/>
              </w:rPr>
            </w:pPr>
            <w:r>
              <w:rPr>
                <w:rFonts w:ascii="Arial" w:cs="Arial" w:eastAsia="Arial" w:hAnsi="Arial"/>
                <w:sz w:val="14"/>
                <w:szCs w:val="14"/>
                <w:color w:val="58595B"/>
              </w:rPr>
              <w:t>58,578</w:t>
            </w:r>
          </w:p>
        </w:tc>
        <w:tc>
          <w:tcPr>
            <w:tcW w:w="440" w:type="dxa"/>
            <w:vAlign w:val="bottom"/>
          </w:tcPr>
          <w:p>
            <w:pPr>
              <w:spacing w:after="0"/>
              <w:rPr>
                <w:sz w:val="19"/>
                <w:szCs w:val="19"/>
                <w:color w:val="auto"/>
              </w:rPr>
            </w:pPr>
          </w:p>
        </w:tc>
        <w:tc>
          <w:tcPr>
            <w:tcW w:w="1580" w:type="dxa"/>
            <w:vAlign w:val="bottom"/>
          </w:tcPr>
          <w:p>
            <w:pPr>
              <w:jc w:val="center"/>
              <w:ind w:right="148"/>
              <w:spacing w:after="0"/>
              <w:rPr>
                <w:sz w:val="20"/>
                <w:szCs w:val="20"/>
                <w:color w:val="auto"/>
              </w:rPr>
            </w:pPr>
            <w:r>
              <w:rPr>
                <w:rFonts w:ascii="Arial" w:cs="Arial" w:eastAsia="Arial" w:hAnsi="Arial"/>
                <w:sz w:val="14"/>
                <w:szCs w:val="14"/>
                <w:color w:val="58595B"/>
              </w:rPr>
              <w:t>24,696</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83,274</w:t>
            </w:r>
          </w:p>
        </w:tc>
        <w:tc>
          <w:tcPr>
            <w:tcW w:w="660" w:type="dxa"/>
            <w:vAlign w:val="bottom"/>
          </w:tcPr>
          <w:p>
            <w:pPr>
              <w:spacing w:after="0"/>
              <w:rPr>
                <w:sz w:val="19"/>
                <w:szCs w:val="19"/>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37"/>
        </w:trPr>
        <w:tc>
          <w:tcPr>
            <w:tcW w:w="50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Renee W. Lo</w:t>
            </w:r>
          </w:p>
        </w:tc>
        <w:tc>
          <w:tcPr>
            <w:tcW w:w="1000" w:type="dxa"/>
            <w:vAlign w:val="bottom"/>
            <w:shd w:val="clear" w:color="auto" w:fill="EFEDED"/>
          </w:tcPr>
          <w:p>
            <w:pPr>
              <w:jc w:val="center"/>
              <w:ind w:left="48"/>
              <w:spacing w:after="0"/>
              <w:rPr>
                <w:sz w:val="20"/>
                <w:szCs w:val="20"/>
                <w:color w:val="auto"/>
              </w:rPr>
            </w:pPr>
            <w:r>
              <w:rPr>
                <w:rFonts w:ascii="Arial" w:cs="Arial" w:eastAsia="Arial" w:hAnsi="Arial"/>
                <w:sz w:val="14"/>
                <w:szCs w:val="14"/>
                <w:color w:val="58595B"/>
              </w:rPr>
              <w:t>35,743</w:t>
            </w:r>
          </w:p>
        </w:tc>
        <w:tc>
          <w:tcPr>
            <w:tcW w:w="440" w:type="dxa"/>
            <w:vAlign w:val="bottom"/>
            <w:shd w:val="clear" w:color="auto" w:fill="EFEDED"/>
          </w:tcPr>
          <w:p>
            <w:pPr>
              <w:spacing w:after="0"/>
              <w:rPr>
                <w:sz w:val="20"/>
                <w:szCs w:val="20"/>
                <w:color w:val="auto"/>
              </w:rPr>
            </w:pPr>
          </w:p>
        </w:tc>
        <w:tc>
          <w:tcPr>
            <w:tcW w:w="1580" w:type="dxa"/>
            <w:vAlign w:val="bottom"/>
            <w:shd w:val="clear" w:color="auto" w:fill="EFEDED"/>
          </w:tcPr>
          <w:p>
            <w:pPr>
              <w:jc w:val="center"/>
              <w:ind w:right="168"/>
              <w:spacing w:after="0"/>
              <w:rPr>
                <w:sz w:val="20"/>
                <w:szCs w:val="20"/>
                <w:color w:val="auto"/>
              </w:rPr>
            </w:pPr>
            <w:r>
              <w:rPr>
                <w:rFonts w:ascii="Arial" w:cs="Arial" w:eastAsia="Arial" w:hAnsi="Arial"/>
                <w:sz w:val="14"/>
                <w:szCs w:val="14"/>
                <w:color w:val="58595B"/>
                <w:w w:val="99"/>
              </w:rPr>
              <w:t>—</w:t>
            </w:r>
          </w:p>
        </w:tc>
        <w:tc>
          <w:tcPr>
            <w:tcW w:w="1140" w:type="dxa"/>
            <w:vAlign w:val="bottom"/>
            <w:shd w:val="clear" w:color="auto" w:fill="EFEDED"/>
          </w:tcPr>
          <w:p>
            <w:pPr>
              <w:jc w:val="center"/>
              <w:ind w:left="108"/>
              <w:spacing w:after="0"/>
              <w:rPr>
                <w:sz w:val="20"/>
                <w:szCs w:val="20"/>
                <w:color w:val="auto"/>
              </w:rPr>
            </w:pPr>
            <w:r>
              <w:rPr>
                <w:rFonts w:ascii="Arial" w:cs="Arial" w:eastAsia="Arial" w:hAnsi="Arial"/>
                <w:sz w:val="14"/>
                <w:szCs w:val="14"/>
                <w:color w:val="58595B"/>
              </w:rPr>
              <w:t>35,743</w:t>
            </w:r>
          </w:p>
        </w:tc>
        <w:tc>
          <w:tcPr>
            <w:tcW w:w="660" w:type="dxa"/>
            <w:vAlign w:val="bottom"/>
            <w:shd w:val="clear" w:color="auto" w:fill="EFEDED"/>
          </w:tcPr>
          <w:p>
            <w:pPr>
              <w:spacing w:after="0"/>
              <w:rPr>
                <w:sz w:val="20"/>
                <w:szCs w:val="20"/>
                <w:color w:val="auto"/>
              </w:rPr>
            </w:pPr>
          </w:p>
        </w:tc>
        <w:tc>
          <w:tcPr>
            <w:tcW w:w="134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2"/>
        </w:trPr>
        <w:tc>
          <w:tcPr>
            <w:tcW w:w="5080" w:type="dxa"/>
            <w:vAlign w:val="bottom"/>
          </w:tcPr>
          <w:p>
            <w:pPr>
              <w:ind w:left="100"/>
              <w:spacing w:after="0"/>
              <w:rPr>
                <w:sz w:val="20"/>
                <w:szCs w:val="20"/>
                <w:color w:val="auto"/>
              </w:rPr>
            </w:pPr>
            <w:r>
              <w:rPr>
                <w:rFonts w:ascii="Arial" w:cs="Arial" w:eastAsia="Arial" w:hAnsi="Arial"/>
                <w:sz w:val="14"/>
                <w:szCs w:val="14"/>
                <w:b w:val="1"/>
                <w:bCs w:val="1"/>
                <w:color w:val="58595B"/>
              </w:rPr>
              <w:t>Michael McBreen</w:t>
            </w:r>
          </w:p>
        </w:tc>
        <w:tc>
          <w:tcPr>
            <w:tcW w:w="1000" w:type="dxa"/>
            <w:vAlign w:val="bottom"/>
          </w:tcPr>
          <w:p>
            <w:pPr>
              <w:jc w:val="center"/>
              <w:ind w:left="48"/>
              <w:spacing w:after="0"/>
              <w:rPr>
                <w:sz w:val="20"/>
                <w:szCs w:val="20"/>
                <w:color w:val="auto"/>
              </w:rPr>
            </w:pPr>
            <w:r>
              <w:rPr>
                <w:rFonts w:ascii="Arial" w:cs="Arial" w:eastAsia="Arial" w:hAnsi="Arial"/>
                <w:sz w:val="14"/>
                <w:szCs w:val="14"/>
                <w:color w:val="58595B"/>
              </w:rPr>
              <w:t>70,344</w:t>
            </w:r>
          </w:p>
        </w:tc>
        <w:tc>
          <w:tcPr>
            <w:tcW w:w="440" w:type="dxa"/>
            <w:vAlign w:val="bottom"/>
          </w:tcPr>
          <w:p>
            <w:pPr>
              <w:spacing w:after="0"/>
              <w:rPr>
                <w:sz w:val="19"/>
                <w:szCs w:val="19"/>
                <w:color w:val="auto"/>
              </w:rPr>
            </w:pPr>
          </w:p>
        </w:tc>
        <w:tc>
          <w:tcPr>
            <w:tcW w:w="1580" w:type="dxa"/>
            <w:vAlign w:val="bottom"/>
          </w:tcPr>
          <w:p>
            <w:pPr>
              <w:jc w:val="center"/>
              <w:ind w:right="148"/>
              <w:spacing w:after="0"/>
              <w:rPr>
                <w:sz w:val="20"/>
                <w:szCs w:val="20"/>
                <w:color w:val="auto"/>
              </w:rPr>
            </w:pPr>
            <w:r>
              <w:rPr>
                <w:rFonts w:ascii="Arial" w:cs="Arial" w:eastAsia="Arial" w:hAnsi="Arial"/>
                <w:sz w:val="14"/>
                <w:szCs w:val="14"/>
                <w:color w:val="58595B"/>
              </w:rPr>
              <w:t>76,121</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146,465</w:t>
            </w:r>
          </w:p>
        </w:tc>
        <w:tc>
          <w:tcPr>
            <w:tcW w:w="660" w:type="dxa"/>
            <w:vAlign w:val="bottom"/>
          </w:tcPr>
          <w:p>
            <w:pPr>
              <w:spacing w:after="0"/>
              <w:rPr>
                <w:sz w:val="19"/>
                <w:szCs w:val="19"/>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37"/>
        </w:trPr>
        <w:tc>
          <w:tcPr>
            <w:tcW w:w="50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Mojdeh Poul</w:t>
            </w:r>
          </w:p>
        </w:tc>
        <w:tc>
          <w:tcPr>
            <w:tcW w:w="1000" w:type="dxa"/>
            <w:vAlign w:val="bottom"/>
            <w:shd w:val="clear" w:color="auto" w:fill="EFEDED"/>
          </w:tcPr>
          <w:p>
            <w:pPr>
              <w:jc w:val="center"/>
              <w:ind w:left="48"/>
              <w:spacing w:after="0"/>
              <w:rPr>
                <w:sz w:val="20"/>
                <w:szCs w:val="20"/>
                <w:color w:val="auto"/>
              </w:rPr>
            </w:pPr>
            <w:r>
              <w:rPr>
                <w:rFonts w:ascii="Arial" w:cs="Arial" w:eastAsia="Arial" w:hAnsi="Arial"/>
                <w:sz w:val="14"/>
                <w:szCs w:val="14"/>
                <w:color w:val="58595B"/>
              </w:rPr>
              <w:t>102,298</w:t>
            </w:r>
          </w:p>
        </w:tc>
        <w:tc>
          <w:tcPr>
            <w:tcW w:w="440" w:type="dxa"/>
            <w:vAlign w:val="bottom"/>
            <w:shd w:val="clear" w:color="auto" w:fill="EFEDED"/>
          </w:tcPr>
          <w:p>
            <w:pPr>
              <w:spacing w:after="0"/>
              <w:rPr>
                <w:sz w:val="20"/>
                <w:szCs w:val="20"/>
                <w:color w:val="auto"/>
              </w:rPr>
            </w:pPr>
          </w:p>
        </w:tc>
        <w:tc>
          <w:tcPr>
            <w:tcW w:w="1580" w:type="dxa"/>
            <w:vAlign w:val="bottom"/>
            <w:shd w:val="clear" w:color="auto" w:fill="EFEDED"/>
          </w:tcPr>
          <w:p>
            <w:pPr>
              <w:jc w:val="center"/>
              <w:ind w:right="148"/>
              <w:spacing w:after="0"/>
              <w:rPr>
                <w:sz w:val="20"/>
                <w:szCs w:val="20"/>
                <w:color w:val="auto"/>
              </w:rPr>
            </w:pPr>
            <w:r>
              <w:rPr>
                <w:rFonts w:ascii="Arial" w:cs="Arial" w:eastAsia="Arial" w:hAnsi="Arial"/>
                <w:sz w:val="14"/>
                <w:szCs w:val="14"/>
                <w:color w:val="58595B"/>
              </w:rPr>
              <w:t>54,489</w:t>
            </w:r>
          </w:p>
        </w:tc>
        <w:tc>
          <w:tcPr>
            <w:tcW w:w="1140" w:type="dxa"/>
            <w:vAlign w:val="bottom"/>
            <w:shd w:val="clear" w:color="auto" w:fill="EFEDED"/>
          </w:tcPr>
          <w:p>
            <w:pPr>
              <w:jc w:val="center"/>
              <w:ind w:left="108"/>
              <w:spacing w:after="0"/>
              <w:rPr>
                <w:sz w:val="20"/>
                <w:szCs w:val="20"/>
                <w:color w:val="auto"/>
              </w:rPr>
            </w:pPr>
            <w:r>
              <w:rPr>
                <w:rFonts w:ascii="Arial" w:cs="Arial" w:eastAsia="Arial" w:hAnsi="Arial"/>
                <w:sz w:val="14"/>
                <w:szCs w:val="14"/>
                <w:color w:val="58595B"/>
              </w:rPr>
              <w:t>156,787</w:t>
            </w:r>
          </w:p>
        </w:tc>
        <w:tc>
          <w:tcPr>
            <w:tcW w:w="660" w:type="dxa"/>
            <w:vAlign w:val="bottom"/>
            <w:shd w:val="clear" w:color="auto" w:fill="EFEDED"/>
          </w:tcPr>
          <w:p>
            <w:pPr>
              <w:spacing w:after="0"/>
              <w:rPr>
                <w:sz w:val="20"/>
                <w:szCs w:val="20"/>
                <w:color w:val="auto"/>
              </w:rPr>
            </w:pPr>
          </w:p>
        </w:tc>
        <w:tc>
          <w:tcPr>
            <w:tcW w:w="134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2"/>
        </w:trPr>
        <w:tc>
          <w:tcPr>
            <w:tcW w:w="5080" w:type="dxa"/>
            <w:vAlign w:val="bottom"/>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1000" w:type="dxa"/>
            <w:vAlign w:val="bottom"/>
          </w:tcPr>
          <w:p>
            <w:pPr>
              <w:jc w:val="center"/>
              <w:ind w:left="48"/>
              <w:spacing w:after="0"/>
              <w:rPr>
                <w:sz w:val="20"/>
                <w:szCs w:val="20"/>
                <w:color w:val="auto"/>
              </w:rPr>
            </w:pPr>
            <w:r>
              <w:rPr>
                <w:rFonts w:ascii="Arial" w:cs="Arial" w:eastAsia="Arial" w:hAnsi="Arial"/>
                <w:sz w:val="14"/>
                <w:szCs w:val="14"/>
                <w:color w:val="58595B"/>
              </w:rPr>
              <w:t>90,034</w:t>
            </w:r>
          </w:p>
        </w:tc>
        <w:tc>
          <w:tcPr>
            <w:tcW w:w="440" w:type="dxa"/>
            <w:vAlign w:val="bottom"/>
          </w:tcPr>
          <w:p>
            <w:pPr>
              <w:spacing w:after="0"/>
              <w:rPr>
                <w:sz w:val="19"/>
                <w:szCs w:val="19"/>
                <w:color w:val="auto"/>
              </w:rPr>
            </w:pPr>
          </w:p>
        </w:tc>
        <w:tc>
          <w:tcPr>
            <w:tcW w:w="1580" w:type="dxa"/>
            <w:vAlign w:val="bottom"/>
          </w:tcPr>
          <w:p>
            <w:pPr>
              <w:jc w:val="center"/>
              <w:ind w:right="16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90,034</w:t>
            </w:r>
          </w:p>
        </w:tc>
        <w:tc>
          <w:tcPr>
            <w:tcW w:w="660" w:type="dxa"/>
            <w:vAlign w:val="bottom"/>
          </w:tcPr>
          <w:p>
            <w:pPr>
              <w:spacing w:after="0"/>
              <w:rPr>
                <w:sz w:val="19"/>
                <w:szCs w:val="19"/>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37"/>
        </w:trPr>
        <w:tc>
          <w:tcPr>
            <w:tcW w:w="50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Harvinder Singh</w:t>
            </w:r>
          </w:p>
        </w:tc>
        <w:tc>
          <w:tcPr>
            <w:tcW w:w="1000" w:type="dxa"/>
            <w:vAlign w:val="bottom"/>
            <w:shd w:val="clear" w:color="auto" w:fill="EFEDED"/>
          </w:tcPr>
          <w:p>
            <w:pPr>
              <w:jc w:val="center"/>
              <w:ind w:left="48"/>
              <w:spacing w:after="0"/>
              <w:rPr>
                <w:sz w:val="20"/>
                <w:szCs w:val="20"/>
                <w:color w:val="auto"/>
              </w:rPr>
            </w:pPr>
            <w:r>
              <w:rPr>
                <w:rFonts w:ascii="Arial" w:cs="Arial" w:eastAsia="Arial" w:hAnsi="Arial"/>
                <w:sz w:val="14"/>
                <w:szCs w:val="14"/>
                <w:color w:val="58595B"/>
              </w:rPr>
              <w:t>21,936</w:t>
            </w:r>
          </w:p>
        </w:tc>
        <w:tc>
          <w:tcPr>
            <w:tcW w:w="440" w:type="dxa"/>
            <w:vAlign w:val="bottom"/>
            <w:shd w:val="clear" w:color="auto" w:fill="EFEDED"/>
          </w:tcPr>
          <w:p>
            <w:pPr>
              <w:spacing w:after="0"/>
              <w:rPr>
                <w:sz w:val="20"/>
                <w:szCs w:val="20"/>
                <w:color w:val="auto"/>
              </w:rPr>
            </w:pPr>
          </w:p>
        </w:tc>
        <w:tc>
          <w:tcPr>
            <w:tcW w:w="1580" w:type="dxa"/>
            <w:vAlign w:val="bottom"/>
            <w:shd w:val="clear" w:color="auto" w:fill="EFEDED"/>
          </w:tcPr>
          <w:p>
            <w:pPr>
              <w:jc w:val="center"/>
              <w:ind w:right="148"/>
              <w:spacing w:after="0"/>
              <w:rPr>
                <w:sz w:val="20"/>
                <w:szCs w:val="20"/>
                <w:color w:val="auto"/>
              </w:rPr>
            </w:pPr>
            <w:r>
              <w:rPr>
                <w:rFonts w:ascii="Arial" w:cs="Arial" w:eastAsia="Arial" w:hAnsi="Arial"/>
                <w:sz w:val="14"/>
                <w:szCs w:val="14"/>
                <w:color w:val="58595B"/>
              </w:rPr>
              <w:t>19,847</w:t>
            </w:r>
          </w:p>
        </w:tc>
        <w:tc>
          <w:tcPr>
            <w:tcW w:w="1140" w:type="dxa"/>
            <w:vAlign w:val="bottom"/>
            <w:shd w:val="clear" w:color="auto" w:fill="EFEDED"/>
          </w:tcPr>
          <w:p>
            <w:pPr>
              <w:jc w:val="center"/>
              <w:ind w:left="108"/>
              <w:spacing w:after="0"/>
              <w:rPr>
                <w:sz w:val="20"/>
                <w:szCs w:val="20"/>
                <w:color w:val="auto"/>
              </w:rPr>
            </w:pPr>
            <w:r>
              <w:rPr>
                <w:rFonts w:ascii="Arial" w:cs="Arial" w:eastAsia="Arial" w:hAnsi="Arial"/>
                <w:sz w:val="14"/>
                <w:szCs w:val="14"/>
                <w:color w:val="58595B"/>
              </w:rPr>
              <w:t>41,783</w:t>
            </w:r>
          </w:p>
        </w:tc>
        <w:tc>
          <w:tcPr>
            <w:tcW w:w="660" w:type="dxa"/>
            <w:vAlign w:val="bottom"/>
            <w:shd w:val="clear" w:color="auto" w:fill="EFEDED"/>
          </w:tcPr>
          <w:p>
            <w:pPr>
              <w:spacing w:after="0"/>
              <w:rPr>
                <w:sz w:val="20"/>
                <w:szCs w:val="20"/>
                <w:color w:val="auto"/>
              </w:rPr>
            </w:pPr>
          </w:p>
        </w:tc>
        <w:tc>
          <w:tcPr>
            <w:tcW w:w="134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193"/>
        </w:trPr>
        <w:tc>
          <w:tcPr>
            <w:tcW w:w="5080" w:type="dxa"/>
            <w:vAlign w:val="bottom"/>
          </w:tcPr>
          <w:p>
            <w:pPr>
              <w:ind w:left="100"/>
              <w:spacing w:after="0"/>
              <w:rPr>
                <w:sz w:val="20"/>
                <w:szCs w:val="20"/>
                <w:color w:val="auto"/>
              </w:rPr>
            </w:pPr>
            <w:r>
              <w:rPr>
                <w:rFonts w:ascii="Arial" w:cs="Arial" w:eastAsia="Arial" w:hAnsi="Arial"/>
                <w:sz w:val="14"/>
                <w:szCs w:val="14"/>
                <w:b w:val="1"/>
                <w:bCs w:val="1"/>
                <w:color w:val="58595B"/>
              </w:rPr>
              <w:t>All directors, nominees for director and executive</w:t>
            </w:r>
          </w:p>
        </w:tc>
        <w:tc>
          <w:tcPr>
            <w:tcW w:w="1000" w:type="dxa"/>
            <w:vAlign w:val="bottom"/>
            <w:vMerge w:val="restart"/>
          </w:tcPr>
          <w:p>
            <w:pPr>
              <w:jc w:val="center"/>
              <w:ind w:left="48"/>
              <w:spacing w:after="0"/>
              <w:rPr>
                <w:sz w:val="20"/>
                <w:szCs w:val="20"/>
                <w:color w:val="auto"/>
              </w:rPr>
            </w:pPr>
            <w:r>
              <w:rPr>
                <w:rFonts w:ascii="Arial" w:cs="Arial" w:eastAsia="Arial" w:hAnsi="Arial"/>
                <w:sz w:val="14"/>
                <w:szCs w:val="14"/>
                <w:color w:val="58595B"/>
              </w:rPr>
              <w:t>2,638,952</w:t>
            </w:r>
          </w:p>
        </w:tc>
        <w:tc>
          <w:tcPr>
            <w:tcW w:w="440" w:type="dxa"/>
            <w:vAlign w:val="bottom"/>
          </w:tcPr>
          <w:p>
            <w:pPr>
              <w:spacing w:after="0"/>
              <w:rPr>
                <w:sz w:val="16"/>
                <w:szCs w:val="16"/>
                <w:color w:val="auto"/>
              </w:rPr>
            </w:pPr>
          </w:p>
        </w:tc>
        <w:tc>
          <w:tcPr>
            <w:tcW w:w="1580" w:type="dxa"/>
            <w:vAlign w:val="bottom"/>
            <w:vMerge w:val="restart"/>
          </w:tcPr>
          <w:p>
            <w:pPr>
              <w:jc w:val="center"/>
              <w:ind w:right="148"/>
              <w:spacing w:after="0"/>
              <w:rPr>
                <w:sz w:val="20"/>
                <w:szCs w:val="20"/>
                <w:color w:val="auto"/>
              </w:rPr>
            </w:pPr>
            <w:r>
              <w:rPr>
                <w:rFonts w:ascii="Arial" w:cs="Arial" w:eastAsia="Arial" w:hAnsi="Arial"/>
                <w:sz w:val="14"/>
                <w:szCs w:val="14"/>
                <w:color w:val="58595B"/>
              </w:rPr>
              <w:t>351,833</w:t>
            </w:r>
          </w:p>
        </w:tc>
        <w:tc>
          <w:tcPr>
            <w:tcW w:w="1140" w:type="dxa"/>
            <w:vAlign w:val="bottom"/>
            <w:vMerge w:val="restart"/>
          </w:tcPr>
          <w:p>
            <w:pPr>
              <w:jc w:val="center"/>
              <w:ind w:left="108"/>
              <w:spacing w:after="0"/>
              <w:rPr>
                <w:sz w:val="20"/>
                <w:szCs w:val="20"/>
                <w:color w:val="auto"/>
              </w:rPr>
            </w:pPr>
            <w:r>
              <w:rPr>
                <w:rFonts w:ascii="Arial" w:cs="Arial" w:eastAsia="Arial" w:hAnsi="Arial"/>
                <w:sz w:val="14"/>
                <w:szCs w:val="14"/>
                <w:color w:val="58595B"/>
              </w:rPr>
              <w:t>2,990,785</w:t>
            </w:r>
          </w:p>
        </w:tc>
        <w:tc>
          <w:tcPr>
            <w:tcW w:w="660" w:type="dxa"/>
            <w:vAlign w:val="bottom"/>
          </w:tcPr>
          <w:p>
            <w:pPr>
              <w:spacing w:after="0"/>
              <w:rPr>
                <w:sz w:val="16"/>
                <w:szCs w:val="16"/>
                <w:color w:val="auto"/>
              </w:rPr>
            </w:pPr>
          </w:p>
        </w:tc>
        <w:tc>
          <w:tcPr>
            <w:tcW w:w="1340" w:type="dxa"/>
            <w:vAlign w:val="bottom"/>
            <w:vMerge w:val="restart"/>
          </w:tcPr>
          <w:p>
            <w:pPr>
              <w:jc w:val="center"/>
              <w:ind w:right="68"/>
              <w:spacing w:after="0"/>
              <w:rPr>
                <w:sz w:val="20"/>
                <w:szCs w:val="20"/>
                <w:color w:val="auto"/>
              </w:rPr>
            </w:pPr>
            <w:r>
              <w:rPr>
                <w:rFonts w:ascii="Arial" w:cs="Arial" w:eastAsia="Arial" w:hAnsi="Arial"/>
                <w:sz w:val="14"/>
                <w:szCs w:val="14"/>
                <w:color w:val="58595B"/>
              </w:rPr>
              <w:t>3.84%</w:t>
            </w:r>
          </w:p>
        </w:tc>
        <w:tc>
          <w:tcPr>
            <w:tcW w:w="0" w:type="dxa"/>
            <w:vAlign w:val="bottom"/>
          </w:tcPr>
          <w:p>
            <w:pPr>
              <w:spacing w:after="0"/>
              <w:rPr>
                <w:sz w:val="1"/>
                <w:szCs w:val="1"/>
                <w:color w:val="auto"/>
              </w:rPr>
            </w:pPr>
          </w:p>
        </w:tc>
      </w:tr>
      <w:tr>
        <w:trPr>
          <w:trHeight w:val="96"/>
        </w:trPr>
        <w:tc>
          <w:tcPr>
            <w:tcW w:w="5080" w:type="dxa"/>
            <w:vAlign w:val="bottom"/>
            <w:vMerge w:val="restart"/>
          </w:tcPr>
          <w:p>
            <w:pPr>
              <w:ind w:left="220"/>
              <w:spacing w:after="0"/>
              <w:rPr>
                <w:sz w:val="20"/>
                <w:szCs w:val="20"/>
                <w:color w:val="auto"/>
              </w:rPr>
            </w:pPr>
            <w:r>
              <w:rPr>
                <w:rFonts w:ascii="Arial" w:cs="Arial" w:eastAsia="Arial" w:hAnsi="Arial"/>
                <w:sz w:val="14"/>
                <w:szCs w:val="14"/>
                <w:b w:val="1"/>
                <w:bCs w:val="1"/>
                <w:color w:val="58595B"/>
              </w:rPr>
              <w:t>officers as a group (15 persons)</w:t>
            </w:r>
          </w:p>
        </w:tc>
        <w:tc>
          <w:tcPr>
            <w:tcW w:w="10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080" w:type="dxa"/>
            <w:vAlign w:val="bottom"/>
            <w:tcBorders>
              <w:bottom w:val="single" w:sz="8" w:color="58595B"/>
            </w:tcBorders>
            <w:vMerge w:val="continue"/>
          </w:tcPr>
          <w:p>
            <w:pPr>
              <w:spacing w:after="0"/>
              <w:rPr>
                <w:sz w:val="9"/>
                <w:szCs w:val="9"/>
                <w:color w:val="auto"/>
              </w:rPr>
            </w:pPr>
          </w:p>
        </w:tc>
        <w:tc>
          <w:tcPr>
            <w:tcW w:w="1000" w:type="dxa"/>
            <w:vAlign w:val="bottom"/>
            <w:tcBorders>
              <w:bottom w:val="single" w:sz="8" w:color="58595B"/>
            </w:tcBorders>
          </w:tcPr>
          <w:p>
            <w:pPr>
              <w:spacing w:after="0"/>
              <w:rPr>
                <w:sz w:val="9"/>
                <w:szCs w:val="9"/>
                <w:color w:val="auto"/>
              </w:rPr>
            </w:pPr>
          </w:p>
        </w:tc>
        <w:tc>
          <w:tcPr>
            <w:tcW w:w="440" w:type="dxa"/>
            <w:vAlign w:val="bottom"/>
            <w:tcBorders>
              <w:bottom w:val="single" w:sz="8" w:color="58595B"/>
            </w:tcBorders>
          </w:tcPr>
          <w:p>
            <w:pPr>
              <w:spacing w:after="0"/>
              <w:rPr>
                <w:sz w:val="9"/>
                <w:szCs w:val="9"/>
                <w:color w:val="auto"/>
              </w:rPr>
            </w:pPr>
          </w:p>
        </w:tc>
        <w:tc>
          <w:tcPr>
            <w:tcW w:w="1580" w:type="dxa"/>
            <w:vAlign w:val="bottom"/>
            <w:tcBorders>
              <w:bottom w:val="single" w:sz="8" w:color="58595B"/>
            </w:tcBorders>
          </w:tcPr>
          <w:p>
            <w:pPr>
              <w:spacing w:after="0"/>
              <w:rPr>
                <w:sz w:val="9"/>
                <w:szCs w:val="9"/>
                <w:color w:val="auto"/>
              </w:rPr>
            </w:pPr>
          </w:p>
        </w:tc>
        <w:tc>
          <w:tcPr>
            <w:tcW w:w="1140" w:type="dxa"/>
            <w:vAlign w:val="bottom"/>
            <w:tcBorders>
              <w:bottom w:val="single" w:sz="8" w:color="58595B"/>
            </w:tcBorders>
          </w:tcPr>
          <w:p>
            <w:pPr>
              <w:spacing w:after="0"/>
              <w:rPr>
                <w:sz w:val="9"/>
                <w:szCs w:val="9"/>
                <w:color w:val="auto"/>
              </w:rPr>
            </w:pPr>
          </w:p>
        </w:tc>
        <w:tc>
          <w:tcPr>
            <w:tcW w:w="660" w:type="dxa"/>
            <w:vAlign w:val="bottom"/>
            <w:tcBorders>
              <w:bottom w:val="single" w:sz="8" w:color="58595B"/>
            </w:tcBorders>
          </w:tcPr>
          <w:p>
            <w:pPr>
              <w:spacing w:after="0"/>
              <w:rPr>
                <w:sz w:val="9"/>
                <w:szCs w:val="9"/>
                <w:color w:val="auto"/>
              </w:rPr>
            </w:pPr>
          </w:p>
        </w:tc>
        <w:tc>
          <w:tcPr>
            <w:tcW w:w="1340" w:type="dxa"/>
            <w:vAlign w:val="bottom"/>
            <w:tcBorders>
              <w:bottom w:val="single" w:sz="8" w:color="58595B"/>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-2459355</wp:posOffset>
            </wp:positionV>
            <wp:extent cx="391731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119"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69"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Excludes shares of common stock that may be acquired through stock option exercises, restricted stock units or performance stock units.</w:t>
      </w:r>
    </w:p>
    <w:p>
      <w:pPr>
        <w:spacing w:after="0" w:line="68" w:lineRule="exact"/>
        <w:rPr>
          <w:rFonts w:ascii="Arial" w:cs="Arial" w:eastAsia="Arial" w:hAnsi="Arial"/>
          <w:sz w:val="14"/>
          <w:szCs w:val="14"/>
          <w:color w:val="auto"/>
        </w:rPr>
      </w:pPr>
    </w:p>
    <w:p>
      <w:pPr>
        <w:ind w:left="340" w:right="40" w:hanging="332"/>
        <w:spacing w:after="0" w:line="285" w:lineRule="auto"/>
        <w:tabs>
          <w:tab w:leader="none" w:pos="338" w:val="left"/>
        </w:tabs>
        <w:numPr>
          <w:ilvl w:val="0"/>
          <w:numId w:val="63"/>
        </w:numPr>
        <w:rPr>
          <w:rFonts w:ascii="Arial" w:cs="Arial" w:eastAsia="Arial" w:hAnsi="Arial"/>
          <w:sz w:val="14"/>
          <w:szCs w:val="14"/>
          <w:color w:val="auto"/>
        </w:rPr>
      </w:pPr>
      <w:r>
        <w:rPr>
          <w:rFonts w:ascii="Arial" w:cs="Arial" w:eastAsia="Arial" w:hAnsi="Arial"/>
          <w:sz w:val="14"/>
          <w:szCs w:val="14"/>
          <w:color w:val="auto"/>
        </w:rPr>
        <w:t>Shares not outstanding but deemed beneficially owned by virtue of the right of an individual to acquire them within 60 days of March 1, 2026 upon the exercise of an option or other convertible security.</w:t>
      </w:r>
    </w:p>
    <w:p>
      <w:pPr>
        <w:spacing w:after="0" w:line="9" w:lineRule="exact"/>
        <w:rPr>
          <w:rFonts w:ascii="Arial" w:cs="Arial" w:eastAsia="Arial" w:hAnsi="Arial"/>
          <w:sz w:val="14"/>
          <w:szCs w:val="14"/>
          <w:color w:val="auto"/>
        </w:rPr>
      </w:pPr>
    </w:p>
    <w:p>
      <w:pPr>
        <w:ind w:left="340" w:right="700" w:hanging="332"/>
        <w:spacing w:after="0" w:line="301" w:lineRule="auto"/>
        <w:tabs>
          <w:tab w:leader="none" w:pos="338" w:val="left"/>
        </w:tabs>
        <w:numPr>
          <w:ilvl w:val="0"/>
          <w:numId w:val="63"/>
        </w:numPr>
        <w:rPr>
          <w:rFonts w:ascii="Arial" w:cs="Arial" w:eastAsia="Arial" w:hAnsi="Arial"/>
          <w:sz w:val="14"/>
          <w:szCs w:val="14"/>
          <w:color w:val="auto"/>
        </w:rPr>
      </w:pPr>
      <w:r>
        <w:rPr>
          <w:rFonts w:ascii="Arial" w:cs="Arial" w:eastAsia="Arial" w:hAnsi="Arial"/>
          <w:sz w:val="14"/>
          <w:szCs w:val="14"/>
          <w:color w:val="auto"/>
        </w:rPr>
        <w:t>Applicable percentage ownership as of March 1, 2026 is based upon 77,937,208 shares of our common stock outstanding. Beneficial ownership is determined in accordance with the rules and regulations of the SEC and includes voting and investment power with respect to shares.</w:t>
      </w:r>
    </w:p>
    <w:p>
      <w:pPr>
        <w:spacing w:after="0" w:line="1" w:lineRule="exact"/>
        <w:rPr>
          <w:rFonts w:ascii="Arial" w:cs="Arial" w:eastAsia="Arial" w:hAnsi="Arial"/>
          <w:sz w:val="14"/>
          <w:szCs w:val="14"/>
          <w:color w:val="auto"/>
        </w:rPr>
      </w:pPr>
    </w:p>
    <w:p>
      <w:pPr>
        <w:ind w:left="340" w:right="260" w:hanging="332"/>
        <w:spacing w:after="0" w:line="291" w:lineRule="auto"/>
        <w:tabs>
          <w:tab w:leader="none" w:pos="338"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De Witte retired, effective as of January 6, 2025. Mr. De Witte’s beneficial ownership information is based on information contained in the last Form 4 filed by Mr. De Witte with the SEC prior to the effectiveness of his retirement.</w:t>
      </w:r>
    </w:p>
    <w:p>
      <w:pPr>
        <w:spacing w:after="0" w:line="1" w:lineRule="exact"/>
        <w:rPr>
          <w:rFonts w:ascii="Arial" w:cs="Arial" w:eastAsia="Arial" w:hAnsi="Arial"/>
          <w:sz w:val="14"/>
          <w:szCs w:val="14"/>
          <w:color w:val="auto"/>
        </w:rPr>
      </w:pPr>
    </w:p>
    <w:p>
      <w:pPr>
        <w:ind w:left="340" w:right="100" w:hanging="332"/>
        <w:spacing w:after="0" w:line="301" w:lineRule="auto"/>
        <w:tabs>
          <w:tab w:leader="none" w:pos="338"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121,517 shares held in GRAT E, 200,000 shares held in a grantor trust for which Dr. Essig's spouse is the trustee, and 213,115 shares of common stock held in a family trust for which Dr. Essig’s spouse is the trustee.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36,350 shares held in a revocable trust for which Ms. Hill is trustee.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89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95" w:name="page96"/>
    <w:bookmarkEnd w:id="95"/>
    <w:p>
      <w:pPr>
        <w:spacing w:after="0"/>
        <w:rPr>
          <w:sz w:val="20"/>
          <w:szCs w:val="20"/>
          <w:color w:val="auto"/>
        </w:rPr>
      </w:pPr>
      <w:r>
        <w:rPr>
          <w:rFonts w:ascii="Arial" w:cs="Arial" w:eastAsia="Arial" w:hAnsi="Arial"/>
          <w:sz w:val="13"/>
          <w:szCs w:val="13"/>
          <w:b w:val="1"/>
          <w:bCs w:val="1"/>
          <w:color w:val="009845"/>
        </w:rPr>
        <w:t>Stock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Principal Stockholders</w:t>
      </w:r>
    </w:p>
    <w:p>
      <w:pPr>
        <w:spacing w:after="0" w:line="193" w:lineRule="exact"/>
        <w:rPr>
          <w:sz w:val="20"/>
          <w:szCs w:val="20"/>
          <w:color w:val="auto"/>
        </w:rPr>
      </w:pPr>
    </w:p>
    <w:p>
      <w:pPr>
        <w:jc w:val="both"/>
        <w:ind w:right="80"/>
        <w:spacing w:after="0" w:line="328" w:lineRule="auto"/>
        <w:rPr>
          <w:sz w:val="20"/>
          <w:szCs w:val="20"/>
          <w:color w:val="auto"/>
        </w:rPr>
      </w:pPr>
      <w:r>
        <w:rPr>
          <w:rFonts w:ascii="Arial" w:cs="Arial" w:eastAsia="Arial" w:hAnsi="Arial"/>
          <w:sz w:val="16"/>
          <w:szCs w:val="16"/>
          <w:color w:val="58595B"/>
        </w:rPr>
        <w:t>The following table sets forth, as of March 1, 2026 (except as otherwise noted), certain information with respect to beneficial ownership of common stock by the only persons known by us to be the beneficial owners of more than 5% of our common stock based on filings with the SEC pursuant to Section 13(d) or 13(g) of the Exchange Act.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60" w:type="dxa"/>
            <w:vAlign w:val="bottom"/>
            <w:shd w:val="clear" w:color="auto" w:fill="009845"/>
          </w:tcPr>
          <w:p>
            <w:pPr>
              <w:spacing w:after="0"/>
              <w:rPr>
                <w:sz w:val="15"/>
                <w:szCs w:val="15"/>
                <w:color w:val="auto"/>
              </w:rPr>
            </w:pPr>
          </w:p>
        </w:tc>
        <w:tc>
          <w:tcPr>
            <w:tcW w:w="1200" w:type="dxa"/>
            <w:vAlign w:val="bottom"/>
            <w:shd w:val="clear" w:color="auto" w:fill="009845"/>
          </w:tcPr>
          <w:p>
            <w:pPr>
              <w:ind w:left="420"/>
              <w:spacing w:after="0"/>
              <w:rPr>
                <w:sz w:val="20"/>
                <w:szCs w:val="20"/>
                <w:color w:val="auto"/>
              </w:rPr>
            </w:pPr>
            <w:r>
              <w:rPr>
                <w:rFonts w:ascii="Arial" w:cs="Arial" w:eastAsia="Arial" w:hAnsi="Arial"/>
                <w:sz w:val="14"/>
                <w:szCs w:val="14"/>
                <w:b w:val="1"/>
                <w:bCs w:val="1"/>
                <w:color w:val="FFFFFF"/>
              </w:rPr>
              <w:t>Number of</w:t>
            </w:r>
          </w:p>
        </w:tc>
        <w:tc>
          <w:tcPr>
            <w:tcW w:w="480" w:type="dxa"/>
            <w:vAlign w:val="bottom"/>
            <w:shd w:val="clear" w:color="auto" w:fill="009845"/>
          </w:tcPr>
          <w:p>
            <w:pPr>
              <w:spacing w:after="0"/>
              <w:rPr>
                <w:sz w:val="15"/>
                <w:szCs w:val="15"/>
                <w:color w:val="auto"/>
              </w:rPr>
            </w:pPr>
          </w:p>
        </w:tc>
        <w:tc>
          <w:tcPr>
            <w:tcW w:w="1360" w:type="dxa"/>
            <w:vAlign w:val="bottom"/>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210"/>
        </w:trPr>
        <w:tc>
          <w:tcPr>
            <w:tcW w:w="80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 and Address of Beneficial Owner*</w:t>
            </w:r>
          </w:p>
        </w:tc>
        <w:tc>
          <w:tcPr>
            <w:tcW w:w="1680" w:type="dxa"/>
            <w:vAlign w:val="bottom"/>
            <w:gridSpan w:val="2"/>
            <w:shd w:val="clear" w:color="auto" w:fill="009845"/>
          </w:tcPr>
          <w:p>
            <w:pPr>
              <w:jc w:val="right"/>
              <w:ind w:right="328"/>
              <w:spacing w:after="0"/>
              <w:rPr>
                <w:sz w:val="20"/>
                <w:szCs w:val="20"/>
                <w:color w:val="auto"/>
              </w:rPr>
            </w:pPr>
            <w:r>
              <w:rPr>
                <w:rFonts w:ascii="Arial" w:cs="Arial" w:eastAsia="Arial" w:hAnsi="Arial"/>
                <w:sz w:val="14"/>
                <w:szCs w:val="14"/>
                <w:b w:val="1"/>
                <w:bCs w:val="1"/>
                <w:color w:val="FFFFFF"/>
              </w:rPr>
              <w:t>Shares Owned</w:t>
            </w:r>
          </w:p>
        </w:tc>
        <w:tc>
          <w:tcPr>
            <w:tcW w:w="1360" w:type="dxa"/>
            <w:vAlign w:val="bottom"/>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Class</w:t>
            </w:r>
          </w:p>
        </w:tc>
        <w:tc>
          <w:tcPr>
            <w:tcW w:w="0" w:type="dxa"/>
            <w:vAlign w:val="bottom"/>
          </w:tcPr>
          <w:p>
            <w:pPr>
              <w:spacing w:after="0"/>
              <w:rPr>
                <w:sz w:val="1"/>
                <w:szCs w:val="1"/>
                <w:color w:val="auto"/>
              </w:rPr>
            </w:pPr>
          </w:p>
        </w:tc>
      </w:tr>
      <w:tr>
        <w:trPr>
          <w:trHeight w:val="70"/>
        </w:trPr>
        <w:tc>
          <w:tcPr>
            <w:tcW w:w="8060" w:type="dxa"/>
            <w:vAlign w:val="bottom"/>
            <w:shd w:val="clear" w:color="auto" w:fill="009845"/>
          </w:tcPr>
          <w:p>
            <w:pPr>
              <w:spacing w:after="0"/>
              <w:rPr>
                <w:sz w:val="6"/>
                <w:szCs w:val="6"/>
                <w:color w:val="auto"/>
              </w:rPr>
            </w:pPr>
          </w:p>
        </w:tc>
        <w:tc>
          <w:tcPr>
            <w:tcW w:w="1200" w:type="dxa"/>
            <w:vAlign w:val="bottom"/>
            <w:shd w:val="clear" w:color="auto" w:fill="009845"/>
          </w:tcPr>
          <w:p>
            <w:pPr>
              <w:spacing w:after="0"/>
              <w:rPr>
                <w:sz w:val="6"/>
                <w:szCs w:val="6"/>
                <w:color w:val="auto"/>
              </w:rPr>
            </w:pPr>
          </w:p>
        </w:tc>
        <w:tc>
          <w:tcPr>
            <w:tcW w:w="480" w:type="dxa"/>
            <w:vAlign w:val="bottom"/>
            <w:shd w:val="clear" w:color="auto" w:fill="009845"/>
          </w:tcPr>
          <w:p>
            <w:pPr>
              <w:spacing w:after="0"/>
              <w:rPr>
                <w:sz w:val="6"/>
                <w:szCs w:val="6"/>
                <w:color w:val="auto"/>
              </w:rPr>
            </w:pPr>
          </w:p>
        </w:tc>
        <w:tc>
          <w:tcPr>
            <w:tcW w:w="1360" w:type="dxa"/>
            <w:vAlign w:val="bottom"/>
            <w:shd w:val="clear" w:color="auto" w:fill="009845"/>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8060" w:type="dxa"/>
            <w:vAlign w:val="bottom"/>
            <w:shd w:val="clear" w:color="auto" w:fill="EFEDED"/>
          </w:tcPr>
          <w:p>
            <w:pPr>
              <w:ind w:left="180"/>
              <w:spacing w:after="0"/>
              <w:rPr>
                <w:sz w:val="20"/>
                <w:szCs w:val="20"/>
                <w:color w:val="auto"/>
              </w:rPr>
            </w:pPr>
            <w:r>
              <w:rPr>
                <w:rFonts w:ascii="Arial" w:cs="Arial" w:eastAsia="Arial" w:hAnsi="Arial"/>
                <w:sz w:val="14"/>
                <w:szCs w:val="14"/>
                <w:color w:val="58595B"/>
              </w:rPr>
              <w:t>BlackRock, Inc.</w:t>
            </w:r>
          </w:p>
        </w:tc>
        <w:tc>
          <w:tcPr>
            <w:tcW w:w="1200" w:type="dxa"/>
            <w:vAlign w:val="bottom"/>
            <w:vMerge w:val="restart"/>
            <w:shd w:val="clear" w:color="auto" w:fill="EFEDED"/>
          </w:tcPr>
          <w:p>
            <w:pPr>
              <w:jc w:val="center"/>
              <w:ind w:right="8"/>
              <w:spacing w:after="0"/>
              <w:rPr>
                <w:sz w:val="20"/>
                <w:szCs w:val="20"/>
                <w:color w:val="auto"/>
              </w:rPr>
            </w:pPr>
            <w:r>
              <w:rPr>
                <w:rFonts w:ascii="Arial" w:cs="Arial" w:eastAsia="Arial" w:hAnsi="Arial"/>
                <w:sz w:val="14"/>
                <w:szCs w:val="14"/>
                <w:color w:val="58595B"/>
              </w:rPr>
              <w:t>10,282,705</w:t>
            </w:r>
          </w:p>
        </w:tc>
        <w:tc>
          <w:tcPr>
            <w:tcW w:w="480" w:type="dxa"/>
            <w:vAlign w:val="bottom"/>
            <w:vMerge w:val="restart"/>
            <w:shd w:val="clear" w:color="auto" w:fill="EFEDED"/>
          </w:tcPr>
          <w:p>
            <w:pPr>
              <w:jc w:val="right"/>
              <w:ind w:right="188"/>
              <w:spacing w:after="0"/>
              <w:rPr>
                <w:sz w:val="20"/>
                <w:szCs w:val="20"/>
                <w:color w:val="auto"/>
              </w:rPr>
            </w:pPr>
            <w:r>
              <w:rPr>
                <w:rFonts w:ascii="Arial" w:cs="Arial" w:eastAsia="Arial" w:hAnsi="Arial"/>
                <w:sz w:val="14"/>
                <w:szCs w:val="14"/>
                <w:color w:val="58595B"/>
              </w:rPr>
              <w:t>(1)</w:t>
            </w:r>
          </w:p>
        </w:tc>
        <w:tc>
          <w:tcPr>
            <w:tcW w:w="1360" w:type="dxa"/>
            <w:vAlign w:val="bottom"/>
            <w:vMerge w:val="restart"/>
            <w:shd w:val="clear" w:color="auto" w:fill="EFEDED"/>
          </w:tcPr>
          <w:p>
            <w:pPr>
              <w:jc w:val="center"/>
              <w:ind w:right="48"/>
              <w:spacing w:after="0"/>
              <w:rPr>
                <w:sz w:val="20"/>
                <w:szCs w:val="20"/>
                <w:color w:val="auto"/>
              </w:rPr>
            </w:pPr>
            <w:r>
              <w:rPr>
                <w:rFonts w:ascii="Arial" w:cs="Arial" w:eastAsia="Arial" w:hAnsi="Arial"/>
                <w:sz w:val="14"/>
                <w:szCs w:val="14"/>
                <w:color w:val="58595B"/>
              </w:rPr>
              <w:t>13.19%</w:t>
            </w:r>
          </w:p>
        </w:tc>
        <w:tc>
          <w:tcPr>
            <w:tcW w:w="0" w:type="dxa"/>
            <w:vAlign w:val="bottom"/>
          </w:tcPr>
          <w:p>
            <w:pPr>
              <w:spacing w:after="0"/>
              <w:rPr>
                <w:sz w:val="1"/>
                <w:szCs w:val="1"/>
                <w:color w:val="auto"/>
              </w:rPr>
            </w:pPr>
          </w:p>
        </w:tc>
      </w:tr>
      <w:tr>
        <w:trPr>
          <w:trHeight w:val="109"/>
        </w:trPr>
        <w:tc>
          <w:tcPr>
            <w:tcW w:w="8060" w:type="dxa"/>
            <w:vAlign w:val="bottom"/>
            <w:vMerge w:val="restart"/>
            <w:shd w:val="clear" w:color="auto" w:fill="EFEDED"/>
          </w:tcPr>
          <w:p>
            <w:pPr>
              <w:ind w:left="180"/>
              <w:spacing w:after="0"/>
              <w:rPr>
                <w:sz w:val="20"/>
                <w:szCs w:val="20"/>
                <w:color w:val="auto"/>
              </w:rPr>
            </w:pPr>
            <w:r>
              <w:rPr>
                <w:rFonts w:ascii="Arial" w:cs="Arial" w:eastAsia="Arial" w:hAnsi="Arial"/>
                <w:sz w:val="14"/>
                <w:szCs w:val="14"/>
                <w:color w:val="58595B"/>
              </w:rPr>
              <w:t>55 East 52nd Street New York, NY 10055</w:t>
            </w:r>
          </w:p>
        </w:tc>
        <w:tc>
          <w:tcPr>
            <w:tcW w:w="1200" w:type="dxa"/>
            <w:vAlign w:val="bottom"/>
            <w:vMerge w:val="continue"/>
            <w:shd w:val="clear" w:color="auto" w:fill="EFEDED"/>
          </w:tcPr>
          <w:p>
            <w:pPr>
              <w:spacing w:after="0"/>
              <w:rPr>
                <w:sz w:val="9"/>
                <w:szCs w:val="9"/>
                <w:color w:val="auto"/>
              </w:rPr>
            </w:pPr>
          </w:p>
        </w:tc>
        <w:tc>
          <w:tcPr>
            <w:tcW w:w="480" w:type="dxa"/>
            <w:vAlign w:val="bottom"/>
            <w:vMerge w:val="continue"/>
            <w:shd w:val="clear" w:color="auto" w:fill="EFEDED"/>
          </w:tcPr>
          <w:p>
            <w:pPr>
              <w:spacing w:after="0"/>
              <w:rPr>
                <w:sz w:val="9"/>
                <w:szCs w:val="9"/>
                <w:color w:val="auto"/>
              </w:rPr>
            </w:pPr>
          </w:p>
        </w:tc>
        <w:tc>
          <w:tcPr>
            <w:tcW w:w="1360" w:type="dxa"/>
            <w:vAlign w:val="bottom"/>
            <w:vMerge w:val="continue"/>
            <w:shd w:val="clear" w:color="auto" w:fill="EFEDED"/>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60" w:type="dxa"/>
            <w:vAlign w:val="bottom"/>
            <w:tcBorders>
              <w:bottom w:val="single" w:sz="8" w:color="EFEDED"/>
            </w:tcBorders>
            <w:vMerge w:val="continue"/>
            <w:shd w:val="clear" w:color="auto" w:fill="EFEDED"/>
          </w:tcPr>
          <w:p>
            <w:pPr>
              <w:spacing w:after="0"/>
              <w:rPr>
                <w:sz w:val="8"/>
                <w:szCs w:val="8"/>
                <w:color w:val="auto"/>
              </w:rPr>
            </w:pPr>
          </w:p>
        </w:tc>
        <w:tc>
          <w:tcPr>
            <w:tcW w:w="1200" w:type="dxa"/>
            <w:vAlign w:val="bottom"/>
            <w:tcBorders>
              <w:bottom w:val="single" w:sz="8" w:color="EFEDED"/>
            </w:tcBorders>
            <w:shd w:val="clear" w:color="auto" w:fill="EFEDED"/>
          </w:tcPr>
          <w:p>
            <w:pPr>
              <w:spacing w:after="0"/>
              <w:rPr>
                <w:sz w:val="8"/>
                <w:szCs w:val="8"/>
                <w:color w:val="auto"/>
              </w:rPr>
            </w:pPr>
          </w:p>
        </w:tc>
        <w:tc>
          <w:tcPr>
            <w:tcW w:w="480" w:type="dxa"/>
            <w:vAlign w:val="bottom"/>
            <w:tcBorders>
              <w:bottom w:val="single" w:sz="8" w:color="EFEDED"/>
            </w:tcBorders>
            <w:shd w:val="clear" w:color="auto" w:fill="EFEDED"/>
          </w:tcPr>
          <w:p>
            <w:pPr>
              <w:spacing w:after="0"/>
              <w:rPr>
                <w:sz w:val="8"/>
                <w:szCs w:val="8"/>
                <w:color w:val="auto"/>
              </w:rPr>
            </w:pPr>
          </w:p>
        </w:tc>
        <w:tc>
          <w:tcPr>
            <w:tcW w:w="1360" w:type="dxa"/>
            <w:vAlign w:val="bottom"/>
            <w:tcBorders>
              <w:bottom w:val="single" w:sz="8" w:color="EFEDED"/>
            </w:tcBorders>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58595B"/>
              </w:rPr>
              <w:t>Tru St Partnership LP and Provco Leasing Corporation</w:t>
            </w:r>
          </w:p>
        </w:tc>
        <w:tc>
          <w:tcPr>
            <w:tcW w:w="1200" w:type="dxa"/>
            <w:vAlign w:val="bottom"/>
            <w:vMerge w:val="restart"/>
          </w:tcPr>
          <w:p>
            <w:pPr>
              <w:jc w:val="center"/>
              <w:ind w:right="8"/>
              <w:spacing w:after="0"/>
              <w:rPr>
                <w:sz w:val="20"/>
                <w:szCs w:val="20"/>
                <w:color w:val="auto"/>
              </w:rPr>
            </w:pPr>
            <w:r>
              <w:rPr>
                <w:rFonts w:ascii="Arial" w:cs="Arial" w:eastAsia="Arial" w:hAnsi="Arial"/>
                <w:sz w:val="14"/>
                <w:szCs w:val="14"/>
                <w:color w:val="58595B"/>
              </w:rPr>
              <w:t>8,515,930</w:t>
            </w:r>
          </w:p>
        </w:tc>
        <w:tc>
          <w:tcPr>
            <w:tcW w:w="480" w:type="dxa"/>
            <w:vAlign w:val="bottom"/>
            <w:vMerge w:val="restart"/>
          </w:tcPr>
          <w:p>
            <w:pPr>
              <w:jc w:val="right"/>
              <w:ind w:right="188"/>
              <w:spacing w:after="0"/>
              <w:rPr>
                <w:sz w:val="20"/>
                <w:szCs w:val="20"/>
                <w:color w:val="auto"/>
              </w:rPr>
            </w:pPr>
            <w:r>
              <w:rPr>
                <w:rFonts w:ascii="Arial" w:cs="Arial" w:eastAsia="Arial" w:hAnsi="Arial"/>
                <w:sz w:val="14"/>
                <w:szCs w:val="14"/>
                <w:color w:val="58595B"/>
              </w:rPr>
              <w:t>(2)</w:t>
            </w:r>
          </w:p>
        </w:tc>
        <w:tc>
          <w:tcPr>
            <w:tcW w:w="1360" w:type="dxa"/>
            <w:vAlign w:val="bottom"/>
            <w:vMerge w:val="restart"/>
          </w:tcPr>
          <w:p>
            <w:pPr>
              <w:jc w:val="center"/>
              <w:ind w:right="48"/>
              <w:spacing w:after="0"/>
              <w:rPr>
                <w:sz w:val="20"/>
                <w:szCs w:val="20"/>
                <w:color w:val="auto"/>
              </w:rPr>
            </w:pPr>
            <w:r>
              <w:rPr>
                <w:rFonts w:ascii="Arial" w:cs="Arial" w:eastAsia="Arial" w:hAnsi="Arial"/>
                <w:sz w:val="14"/>
                <w:szCs w:val="14"/>
                <w:color w:val="58595B"/>
              </w:rPr>
              <w:t>10.93%</w:t>
            </w:r>
          </w:p>
        </w:tc>
        <w:tc>
          <w:tcPr>
            <w:tcW w:w="0" w:type="dxa"/>
            <w:vAlign w:val="bottom"/>
          </w:tcPr>
          <w:p>
            <w:pPr>
              <w:spacing w:after="0"/>
              <w:rPr>
                <w:sz w:val="1"/>
                <w:szCs w:val="1"/>
                <w:color w:val="auto"/>
              </w:rPr>
            </w:pPr>
          </w:p>
        </w:tc>
      </w:tr>
      <w:tr>
        <w:trPr>
          <w:trHeight w:val="109"/>
        </w:trPr>
        <w:tc>
          <w:tcPr>
            <w:tcW w:w="8060" w:type="dxa"/>
            <w:vAlign w:val="bottom"/>
            <w:vMerge w:val="restart"/>
          </w:tcPr>
          <w:p>
            <w:pPr>
              <w:ind w:left="180"/>
              <w:spacing w:after="0"/>
              <w:rPr>
                <w:sz w:val="20"/>
                <w:szCs w:val="20"/>
                <w:color w:val="auto"/>
              </w:rPr>
            </w:pPr>
            <w:r>
              <w:rPr>
                <w:rFonts w:ascii="Arial" w:cs="Arial" w:eastAsia="Arial" w:hAnsi="Arial"/>
                <w:sz w:val="14"/>
                <w:szCs w:val="14"/>
                <w:color w:val="58595B"/>
              </w:rPr>
              <w:t>795 E. Lancaster Avenue, Suite 200, Villanova, PA 19085</w:t>
            </w:r>
          </w:p>
        </w:tc>
        <w:tc>
          <w:tcPr>
            <w:tcW w:w="12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8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060" w:type="dxa"/>
            <w:vAlign w:val="bottom"/>
            <w:shd w:val="clear" w:color="auto" w:fill="EFEDED"/>
          </w:tcPr>
          <w:p>
            <w:pPr>
              <w:ind w:left="180"/>
              <w:spacing w:after="0"/>
              <w:rPr>
                <w:sz w:val="20"/>
                <w:szCs w:val="20"/>
                <w:color w:val="auto"/>
              </w:rPr>
            </w:pPr>
            <w:r>
              <w:rPr>
                <w:rFonts w:ascii="Arial" w:cs="Arial" w:eastAsia="Arial" w:hAnsi="Arial"/>
                <w:sz w:val="14"/>
                <w:szCs w:val="14"/>
                <w:color w:val="58595B"/>
              </w:rPr>
              <w:t>Rubric Capital Management LP</w:t>
            </w:r>
          </w:p>
        </w:tc>
        <w:tc>
          <w:tcPr>
            <w:tcW w:w="1200" w:type="dxa"/>
            <w:vAlign w:val="bottom"/>
            <w:vMerge w:val="restart"/>
            <w:shd w:val="clear" w:color="auto" w:fill="EFEDED"/>
          </w:tcPr>
          <w:p>
            <w:pPr>
              <w:jc w:val="center"/>
              <w:ind w:right="8"/>
              <w:spacing w:after="0"/>
              <w:rPr>
                <w:sz w:val="20"/>
                <w:szCs w:val="20"/>
                <w:color w:val="auto"/>
              </w:rPr>
            </w:pPr>
            <w:r>
              <w:rPr>
                <w:rFonts w:ascii="Arial" w:cs="Arial" w:eastAsia="Arial" w:hAnsi="Arial"/>
                <w:sz w:val="14"/>
                <w:szCs w:val="14"/>
                <w:color w:val="58595B"/>
              </w:rPr>
              <w:t>7,353,934</w:t>
            </w:r>
          </w:p>
        </w:tc>
        <w:tc>
          <w:tcPr>
            <w:tcW w:w="480" w:type="dxa"/>
            <w:vAlign w:val="bottom"/>
            <w:vMerge w:val="restart"/>
            <w:shd w:val="clear" w:color="auto" w:fill="EFEDED"/>
          </w:tcPr>
          <w:p>
            <w:pPr>
              <w:jc w:val="right"/>
              <w:ind w:right="188"/>
              <w:spacing w:after="0"/>
              <w:rPr>
                <w:sz w:val="20"/>
                <w:szCs w:val="20"/>
                <w:color w:val="auto"/>
              </w:rPr>
            </w:pPr>
            <w:r>
              <w:rPr>
                <w:rFonts w:ascii="Arial" w:cs="Arial" w:eastAsia="Arial" w:hAnsi="Arial"/>
                <w:sz w:val="14"/>
                <w:szCs w:val="14"/>
                <w:color w:val="58595B"/>
              </w:rPr>
              <w:t>(3)</w:t>
            </w:r>
          </w:p>
        </w:tc>
        <w:tc>
          <w:tcPr>
            <w:tcW w:w="1360" w:type="dxa"/>
            <w:vAlign w:val="bottom"/>
            <w:vMerge w:val="restart"/>
            <w:shd w:val="clear" w:color="auto" w:fill="EFEDED"/>
          </w:tcPr>
          <w:p>
            <w:pPr>
              <w:jc w:val="center"/>
              <w:ind w:right="48"/>
              <w:spacing w:after="0"/>
              <w:rPr>
                <w:sz w:val="20"/>
                <w:szCs w:val="20"/>
                <w:color w:val="auto"/>
              </w:rPr>
            </w:pPr>
            <w:r>
              <w:rPr>
                <w:rFonts w:ascii="Arial" w:cs="Arial" w:eastAsia="Arial" w:hAnsi="Arial"/>
                <w:sz w:val="14"/>
                <w:szCs w:val="14"/>
                <w:color w:val="58595B"/>
              </w:rPr>
              <w:t>9.44%</w:t>
            </w:r>
          </w:p>
        </w:tc>
        <w:tc>
          <w:tcPr>
            <w:tcW w:w="0" w:type="dxa"/>
            <w:vAlign w:val="bottom"/>
          </w:tcPr>
          <w:p>
            <w:pPr>
              <w:spacing w:after="0"/>
              <w:rPr>
                <w:sz w:val="1"/>
                <w:szCs w:val="1"/>
                <w:color w:val="auto"/>
              </w:rPr>
            </w:pPr>
          </w:p>
        </w:tc>
      </w:tr>
      <w:tr>
        <w:trPr>
          <w:trHeight w:val="109"/>
        </w:trPr>
        <w:tc>
          <w:tcPr>
            <w:tcW w:w="8060" w:type="dxa"/>
            <w:vAlign w:val="bottom"/>
            <w:vMerge w:val="restart"/>
            <w:shd w:val="clear" w:color="auto" w:fill="EFEDED"/>
          </w:tcPr>
          <w:p>
            <w:pPr>
              <w:ind w:left="180"/>
              <w:spacing w:after="0"/>
              <w:rPr>
                <w:sz w:val="20"/>
                <w:szCs w:val="20"/>
                <w:color w:val="auto"/>
              </w:rPr>
            </w:pPr>
            <w:r>
              <w:rPr>
                <w:rFonts w:ascii="Arial" w:cs="Arial" w:eastAsia="Arial" w:hAnsi="Arial"/>
                <w:sz w:val="14"/>
                <w:szCs w:val="14"/>
                <w:color w:val="58595B"/>
              </w:rPr>
              <w:t>55 East 44th St., Suite 1630, New York, NY 10017</w:t>
            </w:r>
          </w:p>
        </w:tc>
        <w:tc>
          <w:tcPr>
            <w:tcW w:w="1200" w:type="dxa"/>
            <w:vAlign w:val="bottom"/>
            <w:vMerge w:val="continue"/>
            <w:shd w:val="clear" w:color="auto" w:fill="EFEDED"/>
          </w:tcPr>
          <w:p>
            <w:pPr>
              <w:spacing w:after="0"/>
              <w:rPr>
                <w:sz w:val="9"/>
                <w:szCs w:val="9"/>
                <w:color w:val="auto"/>
              </w:rPr>
            </w:pPr>
          </w:p>
        </w:tc>
        <w:tc>
          <w:tcPr>
            <w:tcW w:w="480" w:type="dxa"/>
            <w:vAlign w:val="bottom"/>
            <w:vMerge w:val="continue"/>
            <w:shd w:val="clear" w:color="auto" w:fill="EFEDED"/>
          </w:tcPr>
          <w:p>
            <w:pPr>
              <w:spacing w:after="0"/>
              <w:rPr>
                <w:sz w:val="9"/>
                <w:szCs w:val="9"/>
                <w:color w:val="auto"/>
              </w:rPr>
            </w:pPr>
          </w:p>
        </w:tc>
        <w:tc>
          <w:tcPr>
            <w:tcW w:w="1360" w:type="dxa"/>
            <w:vAlign w:val="bottom"/>
            <w:vMerge w:val="continue"/>
            <w:shd w:val="clear" w:color="auto" w:fill="EFEDED"/>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60" w:type="dxa"/>
            <w:vAlign w:val="bottom"/>
            <w:tcBorders>
              <w:bottom w:val="single" w:sz="8" w:color="EFEDED"/>
            </w:tcBorders>
            <w:vMerge w:val="continue"/>
            <w:shd w:val="clear" w:color="auto" w:fill="EFEDED"/>
          </w:tcPr>
          <w:p>
            <w:pPr>
              <w:spacing w:after="0"/>
              <w:rPr>
                <w:sz w:val="8"/>
                <w:szCs w:val="8"/>
                <w:color w:val="auto"/>
              </w:rPr>
            </w:pPr>
          </w:p>
        </w:tc>
        <w:tc>
          <w:tcPr>
            <w:tcW w:w="1200" w:type="dxa"/>
            <w:vAlign w:val="bottom"/>
            <w:tcBorders>
              <w:bottom w:val="single" w:sz="8" w:color="EFEDED"/>
            </w:tcBorders>
            <w:shd w:val="clear" w:color="auto" w:fill="EFEDED"/>
          </w:tcPr>
          <w:p>
            <w:pPr>
              <w:spacing w:after="0"/>
              <w:rPr>
                <w:sz w:val="8"/>
                <w:szCs w:val="8"/>
                <w:color w:val="auto"/>
              </w:rPr>
            </w:pPr>
          </w:p>
        </w:tc>
        <w:tc>
          <w:tcPr>
            <w:tcW w:w="480" w:type="dxa"/>
            <w:vAlign w:val="bottom"/>
            <w:tcBorders>
              <w:bottom w:val="single" w:sz="8" w:color="EFEDED"/>
            </w:tcBorders>
            <w:shd w:val="clear" w:color="auto" w:fill="EFEDED"/>
          </w:tcPr>
          <w:p>
            <w:pPr>
              <w:spacing w:after="0"/>
              <w:rPr>
                <w:sz w:val="8"/>
                <w:szCs w:val="8"/>
                <w:color w:val="auto"/>
              </w:rPr>
            </w:pPr>
          </w:p>
        </w:tc>
        <w:tc>
          <w:tcPr>
            <w:tcW w:w="1360" w:type="dxa"/>
            <w:vAlign w:val="bottom"/>
            <w:tcBorders>
              <w:bottom w:val="single" w:sz="8" w:color="EFEDED"/>
            </w:tcBorders>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060" w:type="dxa"/>
            <w:vAlign w:val="bottom"/>
            <w:shd w:val="clear" w:color="auto" w:fill="58595B"/>
          </w:tcPr>
          <w:p>
            <w:pPr>
              <w:spacing w:after="0" w:line="20" w:lineRule="exact"/>
              <w:rPr>
                <w:sz w:val="1"/>
                <w:szCs w:val="1"/>
                <w:color w:val="auto"/>
              </w:rPr>
            </w:pPr>
          </w:p>
        </w:tc>
        <w:tc>
          <w:tcPr>
            <w:tcW w:w="1200" w:type="dxa"/>
            <w:vAlign w:val="bottom"/>
            <w:shd w:val="clear" w:color="auto" w:fill="58595B"/>
          </w:tcPr>
          <w:p>
            <w:pPr>
              <w:spacing w:after="0" w:line="20" w:lineRule="exact"/>
              <w:rPr>
                <w:sz w:val="1"/>
                <w:szCs w:val="1"/>
                <w:color w:val="auto"/>
              </w:rPr>
            </w:pPr>
          </w:p>
        </w:tc>
        <w:tc>
          <w:tcPr>
            <w:tcW w:w="480" w:type="dxa"/>
            <w:vAlign w:val="bottom"/>
            <w:shd w:val="clear" w:color="auto" w:fill="58595B"/>
          </w:tcPr>
          <w:p>
            <w:pPr>
              <w:spacing w:after="0" w:line="20" w:lineRule="exact"/>
              <w:rPr>
                <w:sz w:val="1"/>
                <w:szCs w:val="1"/>
                <w:color w:val="auto"/>
              </w:rPr>
            </w:pPr>
          </w:p>
        </w:tc>
        <w:tc>
          <w:tcPr>
            <w:tcW w:w="1360" w:type="dxa"/>
            <w:vAlign w:val="bottom"/>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340" w:right="120" w:hanging="332"/>
        <w:spacing w:after="0" w:line="248" w:lineRule="auto"/>
        <w:tabs>
          <w:tab w:leader="none" w:pos="272"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a Schedule 13G/A filed with the SEC on August 12, 2024, The Vanguard Group ("Vanguard") reported aggregate beneficial ownership of 7,802,615 shares of common stock, which would constitute approximately 10.01% of all shares of common stock of the Company. However, in a Schedule 13G/A filed with the SEC on March 27, 2026 Vanguard reported that it beneficially owns 0.0% as of March 27, 2026, following an internal organization pursuant to which Vanguard’s beneficial ownership has been disaggregated. In its Schedule 13G/A, Vanguard noted that (i) certain subsidiaries or business divisions of subsidiaries of Vanguard that formerly had, or were deemed to have, beneficial ownership with Vanguard will report beneficial ownership separately (on a disaggregated basis) from Vanguard and (ii) that Vanguard no longer has, or is deemed to have, beneficial ownership over securities beneficially owned by such subsidiaries and/or business divisions. Accordingly, Vanguard is not included among the 5% beneficial owners presented in the table.</w:t>
      </w:r>
    </w:p>
    <w:p>
      <w:pPr>
        <w:spacing w:after="0" w:line="37" w:lineRule="exact"/>
        <w:rPr>
          <w:sz w:val="20"/>
          <w:szCs w:val="20"/>
          <w:color w:val="auto"/>
        </w:rPr>
      </w:pPr>
    </w:p>
    <w:p>
      <w:pPr>
        <w:ind w:left="340" w:right="20" w:hanging="332"/>
        <w:spacing w:after="0" w:line="269" w:lineRule="auto"/>
        <w:tabs>
          <w:tab w:leader="none" w:pos="338" w:val="left"/>
        </w:tabs>
        <w:numPr>
          <w:ilvl w:val="0"/>
          <w:numId w:val="65"/>
        </w:numPr>
        <w:rPr>
          <w:rFonts w:ascii="Arial" w:cs="Arial" w:eastAsia="Arial" w:hAnsi="Arial"/>
          <w:sz w:val="14"/>
          <w:szCs w:val="14"/>
          <w:color w:val="auto"/>
        </w:rPr>
      </w:pPr>
      <w:r>
        <w:rPr>
          <w:rFonts w:ascii="Arial" w:cs="Arial" w:eastAsia="Arial" w:hAnsi="Arial"/>
          <w:sz w:val="14"/>
          <w:szCs w:val="14"/>
          <w:color w:val="auto"/>
        </w:rPr>
        <w:t>BlackRock, Inc. has sole voting power of 10,115,629 shares of the total 10,282,705 shares of common stock of which BlackRock, Inc. may be deemed the beneficial owner and for which it has sole dispositive power. The foregoing information has been included solely in reliance upon, and without independent investigation of, the disclosures contained in the Schedule 13G/A filed by BlackRock, Inc. with the SEC on July 17, 2025. Ownership percentage assumes continued ownership of the shares reflected in the table above as of March 1, 2026.</w:t>
      </w:r>
    </w:p>
    <w:p>
      <w:pPr>
        <w:spacing w:after="0" w:line="20" w:lineRule="exact"/>
        <w:rPr>
          <w:rFonts w:ascii="Arial" w:cs="Arial" w:eastAsia="Arial" w:hAnsi="Arial"/>
          <w:sz w:val="14"/>
          <w:szCs w:val="14"/>
          <w:color w:val="auto"/>
        </w:rPr>
      </w:pPr>
    </w:p>
    <w:p>
      <w:pPr>
        <w:ind w:left="340" w:right="40" w:hanging="332"/>
        <w:spacing w:after="0" w:line="267" w:lineRule="auto"/>
        <w:tabs>
          <w:tab w:leader="none" w:pos="338" w:val="left"/>
        </w:tabs>
        <w:numPr>
          <w:ilvl w:val="0"/>
          <w:numId w:val="65"/>
        </w:numPr>
        <w:rPr>
          <w:rFonts w:ascii="Arial" w:cs="Arial" w:eastAsia="Arial" w:hAnsi="Arial"/>
          <w:sz w:val="14"/>
          <w:szCs w:val="14"/>
          <w:color w:val="auto"/>
        </w:rPr>
      </w:pPr>
      <w:r>
        <w:rPr>
          <w:rFonts w:ascii="Arial" w:cs="Arial" w:eastAsia="Arial" w:hAnsi="Arial"/>
          <w:sz w:val="14"/>
          <w:szCs w:val="14"/>
          <w:color w:val="auto"/>
        </w:rPr>
        <w:t>Tru St Partnership LP (“Tru St”) may be deemed the beneficial owner of 8,515,930 shares of common stock. Provco Leasing Corporation (“Provco Leasing”) was the corporate general partner of Tru St as of December 31, 2022. Provco, LLC became the general partner of Tru St as of January 1, 2023. Provco Leasing was, as of December 31, 2022, the beneficial owner of 0 shares of common stock. The foregoing information has been included solely in reliance upon, and without independent investigation of, the disclosures contained in the Schedule 13G/A filed by Tru St with the SEC on February 14, 2023. Ownership percentage assumes continued ownership of the shares reflected in the table above as of March 1, 2026.</w:t>
      </w:r>
    </w:p>
    <w:p>
      <w:pPr>
        <w:spacing w:after="0" w:line="22" w:lineRule="exact"/>
        <w:rPr>
          <w:rFonts w:ascii="Arial" w:cs="Arial" w:eastAsia="Arial" w:hAnsi="Arial"/>
          <w:sz w:val="14"/>
          <w:szCs w:val="14"/>
          <w:color w:val="auto"/>
        </w:rPr>
      </w:pPr>
    </w:p>
    <w:p>
      <w:pPr>
        <w:ind w:left="340" w:right="160" w:hanging="332"/>
        <w:spacing w:after="0" w:line="267" w:lineRule="auto"/>
        <w:tabs>
          <w:tab w:leader="none" w:pos="338" w:val="left"/>
        </w:tabs>
        <w:numPr>
          <w:ilvl w:val="0"/>
          <w:numId w:val="65"/>
        </w:numPr>
        <w:rPr>
          <w:rFonts w:ascii="Arial" w:cs="Arial" w:eastAsia="Arial" w:hAnsi="Arial"/>
          <w:sz w:val="14"/>
          <w:szCs w:val="14"/>
          <w:color w:val="auto"/>
        </w:rPr>
      </w:pPr>
      <w:r>
        <w:rPr>
          <w:rFonts w:ascii="Arial" w:cs="Arial" w:eastAsia="Arial" w:hAnsi="Arial"/>
          <w:sz w:val="14"/>
          <w:szCs w:val="14"/>
          <w:color w:val="auto"/>
        </w:rPr>
        <w:t>Rubric Capital Management has shared voting and shared dispositive power as to 7,353,934 shares. David Rosen has shared voting and shared dispositive power as to 7,353,934 shares. Rubric Capital Management is the investment adviser to certain investment funds and/or accounts (collectively, “Rubric Funds”) that hold the shares of our common stock, and David Rosen is Managing Member of Rubric Capital Management GP LLC, the general partner of Rubric Capital Management. The foregoing information has been included solely in reliance upon, and without independent investigation of, the disclosures contained in the Schedule 13G/A filed by Rubric Capital and David Rosen with the SEC on July 9, 2025. Ownership percentage assumes continued ownership of the shares reflected in the table above as of March 1, 2026.</w:t>
      </w:r>
    </w:p>
    <w:p>
      <w:pPr>
        <w:spacing w:after="0" w:line="33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90</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Arial" w:cs="Arial" w:eastAsia="Arial" w:hAnsi="Arial"/>
          <w:sz w:val="36"/>
          <w:szCs w:val="36"/>
          <w:color w:val="009845"/>
        </w:rPr>
        <w:t>DELINQUENT SECTION 16(a) REPORTS</w:t>
      </w:r>
    </w:p>
    <w:p>
      <w:pPr>
        <w:spacing w:after="0" w:line="200" w:lineRule="exact"/>
        <w:rPr>
          <w:sz w:val="20"/>
          <w:szCs w:val="20"/>
          <w:color w:val="auto"/>
        </w:rPr>
      </w:pPr>
    </w:p>
    <w:p>
      <w:pPr>
        <w:spacing w:after="0" w:line="220" w:lineRule="exact"/>
        <w:rPr>
          <w:sz w:val="20"/>
          <w:szCs w:val="20"/>
          <w:color w:val="auto"/>
        </w:rPr>
      </w:pPr>
    </w:p>
    <w:p>
      <w:pPr>
        <w:jc w:val="both"/>
        <w:ind w:right="280"/>
        <w:spacing w:after="0" w:line="318" w:lineRule="auto"/>
        <w:rPr>
          <w:sz w:val="20"/>
          <w:szCs w:val="20"/>
          <w:color w:val="auto"/>
        </w:rPr>
      </w:pPr>
      <w:r>
        <w:rPr>
          <w:rFonts w:ascii="Arial" w:cs="Arial" w:eastAsia="Arial" w:hAnsi="Arial"/>
          <w:sz w:val="16"/>
          <w:szCs w:val="16"/>
          <w:color w:val="58595B"/>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58595B"/>
        </w:rPr>
        <w:t>Based solely upon a review of SEC filings, all Covered Persons complied with these reporting requirements during 2025.</w:t>
      </w:r>
    </w:p>
    <w:p>
      <w:pPr>
        <w:spacing w:after="0" w:line="238" w:lineRule="exact"/>
        <w:rPr>
          <w:sz w:val="20"/>
          <w:szCs w:val="20"/>
          <w:color w:val="auto"/>
        </w:rPr>
      </w:pPr>
    </w:p>
    <w:p>
      <w:pPr>
        <w:ind w:right="600"/>
        <w:spacing w:after="0" w:line="287" w:lineRule="auto"/>
        <w:rPr>
          <w:sz w:val="20"/>
          <w:szCs w:val="20"/>
          <w:color w:val="auto"/>
        </w:rPr>
      </w:pPr>
      <w:r>
        <w:rPr>
          <w:rFonts w:ascii="Arial" w:cs="Arial" w:eastAsia="Arial" w:hAnsi="Arial"/>
          <w:sz w:val="36"/>
          <w:szCs w:val="36"/>
          <w:color w:val="009845"/>
        </w:rPr>
        <w:t>GENERAL INFORMATION ABOUT THE ANNUAL MEETING AND VOTING</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009845"/>
        </w:rPr>
        <w:t>Purpose of the Annual Meeting</w:t>
      </w:r>
    </w:p>
    <w:p>
      <w:pPr>
        <w:spacing w:after="0" w:line="193"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58595B"/>
        </w:rPr>
        <w:t>The Company is making this proxy statement and other Annual Meeting materials available to you because the Board is soliciting your proxy to vote at our Annual Meeting of Stockholders to be held on May 7, 2026 at 9:00 a.m., Eastern Time, at our offices, 1100 Campus Road, Princeton, New Jersey 08540, and at any adjournment(s) or postponement(s) thereof. The mailing address of the principal executive office of the Company is 1100 Campus Road, Princeton, NJ 08540. You are invited to attend the Annual Meeting and are requested to vote on the proposals described in this proxy statement.</w:t>
      </w:r>
    </w:p>
    <w:p>
      <w:pPr>
        <w:spacing w:after="0" w:line="113" w:lineRule="exact"/>
        <w:rPr>
          <w:sz w:val="20"/>
          <w:szCs w:val="20"/>
          <w:color w:val="auto"/>
        </w:rPr>
      </w:pPr>
    </w:p>
    <w:p>
      <w:pPr>
        <w:ind w:right="60"/>
        <w:spacing w:after="0" w:line="349" w:lineRule="auto"/>
        <w:rPr>
          <w:sz w:val="20"/>
          <w:szCs w:val="20"/>
          <w:color w:val="auto"/>
        </w:rPr>
      </w:pPr>
      <w:r>
        <w:rPr>
          <w:rFonts w:ascii="Arial" w:cs="Arial" w:eastAsia="Arial" w:hAnsi="Arial"/>
          <w:sz w:val="16"/>
          <w:szCs w:val="16"/>
          <w:b w:val="1"/>
          <w:bCs w:val="1"/>
          <w:color w:val="58595B"/>
        </w:rPr>
        <w:t>IMPORTANT NOTICE REGARDING THE AVAILABILITY OF PROXY MATERIALS FOR THE STOCKHOLDER MEETING TO BE HELD ON MAY 7, 2026. The proxy statement and 2025 annual report are available on our internet site at http://investor.integralife.com/financials.cfm</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009845"/>
        </w:rPr>
        <w:t>Proposals and Voting Recommendation of Our Board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summarizes each proposal, the Board's voting recommendation for each proposal and the vote required for each proposal to pass: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97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46" w:lineRule="exact"/>
        <w:rPr>
          <w:sz w:val="20"/>
          <w:szCs w:val="20"/>
          <w:color w:val="auto"/>
        </w:rPr>
      </w:pPr>
    </w:p>
    <w:p>
      <w:pPr>
        <w:ind w:left="100"/>
        <w:spacing w:after="0"/>
        <w:tabs>
          <w:tab w:leader="none" w:pos="6680" w:val="left"/>
          <w:tab w:leader="none" w:pos="8520" w:val="left"/>
        </w:tabs>
        <w:rPr>
          <w:sz w:val="20"/>
          <w:szCs w:val="20"/>
          <w:color w:val="auto"/>
        </w:rPr>
      </w:pPr>
      <w:r>
        <w:rPr>
          <w:rFonts w:ascii="Arial" w:cs="Arial" w:eastAsia="Arial" w:hAnsi="Arial"/>
          <w:sz w:val="14"/>
          <w:szCs w:val="14"/>
          <w:b w:val="1"/>
          <w:bCs w:val="1"/>
          <w:color w:val="FFFFFF"/>
        </w:rPr>
        <w:t>Proposal</w:t>
      </w:r>
      <w:r>
        <w:rPr>
          <w:sz w:val="20"/>
          <w:szCs w:val="20"/>
          <w:color w:val="auto"/>
        </w:rPr>
        <w:tab/>
      </w:r>
      <w:r>
        <w:rPr>
          <w:rFonts w:ascii="Arial" w:cs="Arial" w:eastAsia="Arial" w:hAnsi="Arial"/>
          <w:sz w:val="14"/>
          <w:szCs w:val="14"/>
          <w:b w:val="1"/>
          <w:bCs w:val="1"/>
          <w:color w:val="FFFFFF"/>
        </w:rPr>
        <w:t>Board Recommendation</w:t>
        <w:tab/>
        <w:t>Page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6660" w:type="dxa"/>
            <w:vAlign w:val="bottom"/>
            <w:shd w:val="clear" w:color="auto" w:fill="EFEDED"/>
          </w:tcPr>
          <w:p>
            <w:pPr>
              <w:ind w:left="100"/>
              <w:spacing w:after="0"/>
              <w:rPr>
                <w:sz w:val="20"/>
                <w:szCs w:val="20"/>
                <w:color w:val="auto"/>
              </w:rPr>
            </w:pPr>
            <w:r>
              <w:rPr>
                <w:rFonts w:ascii="Arial" w:cs="Arial" w:eastAsia="Arial" w:hAnsi="Arial"/>
                <w:sz w:val="16"/>
                <w:szCs w:val="16"/>
                <w:b w:val="1"/>
                <w:bCs w:val="1"/>
                <w:color w:val="009845"/>
              </w:rPr>
              <w:t xml:space="preserve">1. </w:t>
            </w:r>
            <w:r>
              <w:rPr>
                <w:rFonts w:ascii="Arial" w:cs="Arial" w:eastAsia="Arial" w:hAnsi="Arial"/>
                <w:sz w:val="16"/>
                <w:szCs w:val="16"/>
                <w:color w:val="58595B"/>
              </w:rPr>
              <w:t>To elect eight directors of the Company to serve until the next annual meeting of</w:t>
            </w:r>
          </w:p>
        </w:tc>
        <w:tc>
          <w:tcPr>
            <w:tcW w:w="1680" w:type="dxa"/>
            <w:vAlign w:val="bottom"/>
            <w:tcBorders>
              <w:top w:val="single" w:sz="8" w:color="009845"/>
            </w:tcBorders>
            <w:shd w:val="clear" w:color="auto" w:fill="EFEDED"/>
          </w:tcPr>
          <w:p>
            <w:pPr>
              <w:ind w:left="720"/>
              <w:spacing w:after="0"/>
              <w:rPr>
                <w:sz w:val="20"/>
                <w:szCs w:val="20"/>
                <w:color w:val="auto"/>
              </w:rPr>
            </w:pPr>
            <w:r>
              <w:rPr>
                <w:rFonts w:ascii="Arial" w:cs="Arial" w:eastAsia="Arial" w:hAnsi="Arial"/>
                <w:sz w:val="14"/>
                <w:szCs w:val="14"/>
                <w:b w:val="1"/>
                <w:bCs w:val="1"/>
                <w:color w:val="009845"/>
              </w:rPr>
              <w:t>FOR</w:t>
            </w:r>
          </w:p>
        </w:tc>
        <w:tc>
          <w:tcPr>
            <w:tcW w:w="580" w:type="dxa"/>
            <w:vAlign w:val="bottom"/>
            <w:tcBorders>
              <w:top w:val="single" w:sz="8" w:color="009845"/>
            </w:tcBorders>
            <w:vMerge w:val="restart"/>
            <w:shd w:val="clear" w:color="auto" w:fill="EFEDED"/>
          </w:tcPr>
          <w:p>
            <w:pPr>
              <w:jc w:val="right"/>
              <w:ind w:right="79"/>
              <w:spacing w:after="0"/>
              <w:rPr>
                <w:sz w:val="20"/>
                <w:szCs w:val="20"/>
                <w:color w:val="auto"/>
              </w:rPr>
            </w:pPr>
            <w:r>
              <w:rPr>
                <w:rFonts w:ascii="Arial" w:cs="Arial" w:eastAsia="Arial" w:hAnsi="Arial"/>
                <w:sz w:val="16"/>
                <w:szCs w:val="16"/>
                <w:color w:val="58595B"/>
              </w:rPr>
              <w:t>8</w:t>
            </w:r>
          </w:p>
        </w:tc>
        <w:tc>
          <w:tcPr>
            <w:tcW w:w="2320" w:type="dxa"/>
            <w:vAlign w:val="bottom"/>
            <w:tcBorders>
              <w:top w:val="single" w:sz="8" w:color="009845"/>
            </w:tcBorders>
            <w:shd w:val="clear" w:color="auto" w:fill="EFEDED"/>
          </w:tcPr>
          <w:p>
            <w:pPr>
              <w:jc w:val="center"/>
              <w:ind w:left="39"/>
              <w:spacing w:after="0"/>
              <w:rPr>
                <w:sz w:val="20"/>
                <w:szCs w:val="20"/>
                <w:color w:val="auto"/>
              </w:rPr>
            </w:pPr>
            <w:r>
              <w:rPr>
                <w:rFonts w:ascii="Arial" w:cs="Arial" w:eastAsia="Arial" w:hAnsi="Arial"/>
                <w:sz w:val="16"/>
                <w:szCs w:val="16"/>
                <w:color w:val="58595B"/>
              </w:rPr>
              <w:t>Majority of votes cast for each</w:t>
            </w:r>
          </w:p>
        </w:tc>
        <w:tc>
          <w:tcPr>
            <w:tcW w:w="0" w:type="dxa"/>
            <w:vAlign w:val="bottom"/>
          </w:tcPr>
          <w:p>
            <w:pPr>
              <w:spacing w:after="0"/>
              <w:rPr>
                <w:sz w:val="1"/>
                <w:szCs w:val="1"/>
                <w:color w:val="auto"/>
              </w:rPr>
            </w:pPr>
          </w:p>
        </w:tc>
      </w:tr>
      <w:tr>
        <w:trPr>
          <w:trHeight w:val="114"/>
        </w:trPr>
        <w:tc>
          <w:tcPr>
            <w:tcW w:w="6660" w:type="dxa"/>
            <w:vAlign w:val="bottom"/>
            <w:vMerge w:val="restart"/>
            <w:shd w:val="clear" w:color="auto" w:fill="EFEDED"/>
          </w:tcPr>
          <w:p>
            <w:pPr>
              <w:ind w:left="360"/>
              <w:spacing w:after="0"/>
              <w:rPr>
                <w:sz w:val="20"/>
                <w:szCs w:val="20"/>
                <w:color w:val="auto"/>
              </w:rPr>
            </w:pPr>
            <w:r>
              <w:rPr>
                <w:rFonts w:ascii="Arial" w:cs="Arial" w:eastAsia="Arial" w:hAnsi="Arial"/>
                <w:sz w:val="16"/>
                <w:szCs w:val="16"/>
                <w:color w:val="58595B"/>
              </w:rPr>
              <w:t>stockholders and until their successors are duly elected and qualified.</w:t>
            </w:r>
          </w:p>
        </w:tc>
        <w:tc>
          <w:tcPr>
            <w:tcW w:w="1680" w:type="dxa"/>
            <w:vAlign w:val="bottom"/>
            <w:shd w:val="clear" w:color="auto" w:fill="EFEDED"/>
          </w:tcPr>
          <w:p>
            <w:pPr>
              <w:spacing w:after="0"/>
              <w:rPr>
                <w:sz w:val="9"/>
                <w:szCs w:val="9"/>
                <w:color w:val="auto"/>
              </w:rPr>
            </w:pPr>
          </w:p>
        </w:tc>
        <w:tc>
          <w:tcPr>
            <w:tcW w:w="580" w:type="dxa"/>
            <w:vAlign w:val="bottom"/>
            <w:vMerge w:val="continue"/>
            <w:shd w:val="clear" w:color="auto" w:fill="EFEDED"/>
          </w:tcPr>
          <w:p>
            <w:pPr>
              <w:spacing w:after="0"/>
              <w:rPr>
                <w:sz w:val="9"/>
                <w:szCs w:val="9"/>
                <w:color w:val="auto"/>
              </w:rPr>
            </w:pPr>
          </w:p>
        </w:tc>
        <w:tc>
          <w:tcPr>
            <w:tcW w:w="2320" w:type="dxa"/>
            <w:vAlign w:val="bottom"/>
            <w:vMerge w:val="restart"/>
            <w:shd w:val="clear" w:color="auto" w:fill="EFEDED"/>
          </w:tcPr>
          <w:p>
            <w:pPr>
              <w:jc w:val="center"/>
              <w:ind w:left="19"/>
              <w:spacing w:after="0"/>
              <w:rPr>
                <w:sz w:val="20"/>
                <w:szCs w:val="20"/>
                <w:color w:val="auto"/>
              </w:rPr>
            </w:pPr>
            <w:r>
              <w:rPr>
                <w:rFonts w:ascii="Arial" w:cs="Arial" w:eastAsia="Arial" w:hAnsi="Arial"/>
                <w:sz w:val="16"/>
                <w:szCs w:val="16"/>
                <w:color w:val="58595B"/>
              </w:rPr>
              <w:t>director</w:t>
            </w:r>
          </w:p>
        </w:tc>
        <w:tc>
          <w:tcPr>
            <w:tcW w:w="0" w:type="dxa"/>
            <w:vAlign w:val="bottom"/>
          </w:tcPr>
          <w:p>
            <w:pPr>
              <w:spacing w:after="0"/>
              <w:rPr>
                <w:sz w:val="1"/>
                <w:szCs w:val="1"/>
                <w:color w:val="auto"/>
              </w:rPr>
            </w:pPr>
          </w:p>
        </w:tc>
      </w:tr>
      <w:tr>
        <w:trPr>
          <w:trHeight w:val="108"/>
        </w:trPr>
        <w:tc>
          <w:tcPr>
            <w:tcW w:w="6660" w:type="dxa"/>
            <w:vAlign w:val="bottom"/>
            <w:vMerge w:val="continue"/>
            <w:shd w:val="clear" w:color="auto" w:fill="EFEDED"/>
          </w:tcPr>
          <w:p>
            <w:pPr>
              <w:spacing w:after="0"/>
              <w:rPr>
                <w:sz w:val="9"/>
                <w:szCs w:val="9"/>
                <w:color w:val="auto"/>
              </w:rPr>
            </w:pPr>
          </w:p>
        </w:tc>
        <w:tc>
          <w:tcPr>
            <w:tcW w:w="1680" w:type="dxa"/>
            <w:vAlign w:val="bottom"/>
            <w:vMerge w:val="restart"/>
            <w:shd w:val="clear" w:color="auto" w:fill="EFEDED"/>
          </w:tcPr>
          <w:p>
            <w:pPr>
              <w:ind w:left="460"/>
              <w:spacing w:after="0"/>
              <w:rPr>
                <w:sz w:val="20"/>
                <w:szCs w:val="20"/>
                <w:color w:val="auto"/>
              </w:rPr>
            </w:pPr>
            <w:r>
              <w:rPr>
                <w:rFonts w:ascii="Arial" w:cs="Arial" w:eastAsia="Arial" w:hAnsi="Arial"/>
                <w:sz w:val="14"/>
                <w:szCs w:val="14"/>
                <w:color w:val="58595B"/>
              </w:rPr>
              <w:t>each nominee</w:t>
            </w:r>
          </w:p>
        </w:tc>
        <w:tc>
          <w:tcPr>
            <w:tcW w:w="580" w:type="dxa"/>
            <w:vAlign w:val="bottom"/>
            <w:shd w:val="clear" w:color="auto" w:fill="EFEDED"/>
          </w:tcPr>
          <w:p>
            <w:pPr>
              <w:spacing w:after="0"/>
              <w:rPr>
                <w:sz w:val="9"/>
                <w:szCs w:val="9"/>
                <w:color w:val="auto"/>
              </w:rPr>
            </w:pPr>
          </w:p>
        </w:tc>
        <w:tc>
          <w:tcPr>
            <w:tcW w:w="2320" w:type="dxa"/>
            <w:vAlign w:val="bottom"/>
            <w:vMerge w:val="continue"/>
            <w:shd w:val="clear" w:color="auto" w:fill="EFEDED"/>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660" w:type="dxa"/>
            <w:vAlign w:val="bottom"/>
            <w:shd w:val="clear" w:color="auto" w:fill="EFEDED"/>
          </w:tcPr>
          <w:p>
            <w:pPr>
              <w:spacing w:after="0"/>
              <w:rPr>
                <w:sz w:val="7"/>
                <w:szCs w:val="7"/>
                <w:color w:val="auto"/>
              </w:rPr>
            </w:pPr>
          </w:p>
        </w:tc>
        <w:tc>
          <w:tcPr>
            <w:tcW w:w="1680" w:type="dxa"/>
            <w:vAlign w:val="bottom"/>
            <w:vMerge w:val="continue"/>
            <w:shd w:val="clear" w:color="auto" w:fill="EFEDED"/>
          </w:tcPr>
          <w:p>
            <w:pPr>
              <w:spacing w:after="0"/>
              <w:rPr>
                <w:sz w:val="7"/>
                <w:szCs w:val="7"/>
                <w:color w:val="auto"/>
              </w:rPr>
            </w:pPr>
          </w:p>
        </w:tc>
        <w:tc>
          <w:tcPr>
            <w:tcW w:w="580" w:type="dxa"/>
            <w:vAlign w:val="bottom"/>
            <w:shd w:val="clear" w:color="auto" w:fill="EFEDED"/>
          </w:tcPr>
          <w:p>
            <w:pPr>
              <w:spacing w:after="0"/>
              <w:rPr>
                <w:sz w:val="7"/>
                <w:szCs w:val="7"/>
                <w:color w:val="auto"/>
              </w:rPr>
            </w:pPr>
          </w:p>
        </w:tc>
        <w:tc>
          <w:tcPr>
            <w:tcW w:w="232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660" w:type="dxa"/>
            <w:vAlign w:val="bottom"/>
            <w:shd w:val="clear" w:color="auto" w:fill="EFEDED"/>
          </w:tcPr>
          <w:p>
            <w:pPr>
              <w:spacing w:after="0"/>
              <w:rPr>
                <w:sz w:val="19"/>
                <w:szCs w:val="19"/>
                <w:color w:val="auto"/>
              </w:rPr>
            </w:pPr>
          </w:p>
        </w:tc>
        <w:tc>
          <w:tcPr>
            <w:tcW w:w="1680" w:type="dxa"/>
            <w:vAlign w:val="bottom"/>
            <w:shd w:val="clear" w:color="auto" w:fill="EFEDED"/>
          </w:tcPr>
          <w:p>
            <w:pPr>
              <w:spacing w:after="0"/>
              <w:rPr>
                <w:sz w:val="19"/>
                <w:szCs w:val="19"/>
                <w:color w:val="auto"/>
              </w:rPr>
            </w:pPr>
          </w:p>
        </w:tc>
        <w:tc>
          <w:tcPr>
            <w:tcW w:w="580" w:type="dxa"/>
            <w:vAlign w:val="bottom"/>
            <w:shd w:val="clear" w:color="auto" w:fill="EFEDED"/>
          </w:tcPr>
          <w:p>
            <w:pPr>
              <w:spacing w:after="0"/>
              <w:rPr>
                <w:sz w:val="19"/>
                <w:szCs w:val="19"/>
                <w:color w:val="auto"/>
              </w:rPr>
            </w:pPr>
          </w:p>
        </w:tc>
        <w:tc>
          <w:tcPr>
            <w:tcW w:w="2320" w:type="dxa"/>
            <w:vAlign w:val="bottom"/>
            <w:shd w:val="clear" w:color="auto" w:fill="EFEDED"/>
          </w:tcPr>
          <w:p>
            <w:pPr>
              <w:spacing w:after="0"/>
              <w:rPr>
                <w:sz w:val="19"/>
                <w:szCs w:val="1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240"/>
          </w:cols>
          <w:pgMar w:left="320" w:top="1249" w:right="339" w:bottom="1440" w:gutter="0" w:footer="0" w:header="0"/>
        </w:sectPr>
      </w:pPr>
    </w:p>
    <w:p>
      <w:pPr>
        <w:ind w:left="360" w:right="820" w:hanging="253"/>
        <w:spacing w:after="0" w:line="339" w:lineRule="auto"/>
        <w:tabs>
          <w:tab w:leader="none" w:pos="360" w:val="left"/>
        </w:tabs>
        <w:numPr>
          <w:ilvl w:val="0"/>
          <w:numId w:val="66"/>
        </w:numPr>
        <w:rPr>
          <w:rFonts w:ascii="Arial" w:cs="Arial" w:eastAsia="Arial" w:hAnsi="Arial"/>
          <w:sz w:val="16"/>
          <w:szCs w:val="16"/>
          <w:b w:val="1"/>
          <w:bCs w:val="1"/>
          <w:color w:val="0057B9"/>
        </w:rPr>
      </w:pPr>
      <w:r>
        <w:rPr>
          <w:rFonts w:ascii="Arial" w:cs="Arial" w:eastAsia="Arial" w:hAnsi="Arial"/>
          <w:sz w:val="16"/>
          <w:szCs w:val="16"/>
          <w:color w:val="58595B"/>
        </w:rPr>
        <w:t>To ratify the appointment of PricewaterhouseCoopers LLP as the Company’s independent registered public accounting firm for the fiscal year 2026.</w:t>
      </w:r>
    </w:p>
    <w:p>
      <w:pPr>
        <w:spacing w:after="0" w:line="168" w:lineRule="exact"/>
        <w:rPr>
          <w:rFonts w:ascii="Arial" w:cs="Arial" w:eastAsia="Arial" w:hAnsi="Arial"/>
          <w:sz w:val="16"/>
          <w:szCs w:val="16"/>
          <w:b w:val="1"/>
          <w:bCs w:val="1"/>
          <w:color w:val="0057B9"/>
        </w:rPr>
      </w:pPr>
    </w:p>
    <w:p>
      <w:pPr>
        <w:ind w:left="360" w:right="720" w:hanging="253"/>
        <w:spacing w:after="0" w:line="339" w:lineRule="auto"/>
        <w:tabs>
          <w:tab w:leader="none" w:pos="360" w:val="left"/>
        </w:tabs>
        <w:numPr>
          <w:ilvl w:val="0"/>
          <w:numId w:val="66"/>
        </w:numPr>
        <w:rPr>
          <w:rFonts w:ascii="Arial" w:cs="Arial" w:eastAsia="Arial" w:hAnsi="Arial"/>
          <w:sz w:val="16"/>
          <w:szCs w:val="16"/>
          <w:b w:val="1"/>
          <w:bCs w:val="1"/>
          <w:color w:val="6C4194"/>
        </w:rPr>
      </w:pPr>
      <w:r>
        <w:rPr>
          <w:rFonts w:ascii="Arial" w:cs="Arial" w:eastAsia="Arial" w:hAnsi="Arial"/>
          <w:sz w:val="16"/>
          <w:szCs w:val="16"/>
          <w:color w:val="58595B"/>
        </w:rPr>
        <w:t>To approve, on a non-binding, advisory basis, the compensation of our named executive officers.</w:t>
      </w:r>
    </w:p>
    <w:p>
      <w:pPr>
        <w:spacing w:after="0" w:line="168" w:lineRule="exact"/>
        <w:rPr>
          <w:rFonts w:ascii="Arial" w:cs="Arial" w:eastAsia="Arial" w:hAnsi="Arial"/>
          <w:sz w:val="16"/>
          <w:szCs w:val="16"/>
          <w:b w:val="1"/>
          <w:bCs w:val="1"/>
          <w:color w:val="6C4194"/>
        </w:rPr>
      </w:pPr>
    </w:p>
    <w:p>
      <w:pPr>
        <w:ind w:left="360" w:right="260" w:hanging="253"/>
        <w:spacing w:after="0" w:line="339" w:lineRule="auto"/>
        <w:tabs>
          <w:tab w:leader="none" w:pos="360" w:val="left"/>
        </w:tabs>
        <w:numPr>
          <w:ilvl w:val="0"/>
          <w:numId w:val="66"/>
        </w:numPr>
        <w:rPr>
          <w:rFonts w:ascii="Arial" w:cs="Arial" w:eastAsia="Arial" w:hAnsi="Arial"/>
          <w:sz w:val="16"/>
          <w:szCs w:val="16"/>
          <w:b w:val="1"/>
          <w:bCs w:val="1"/>
          <w:color w:val="DD6F27"/>
        </w:rPr>
      </w:pPr>
      <w:r>
        <w:rPr>
          <w:rFonts w:ascii="Arial" w:cs="Arial" w:eastAsia="Arial" w:hAnsi="Arial"/>
          <w:sz w:val="16"/>
          <w:szCs w:val="16"/>
          <w:color w:val="58595B"/>
        </w:rPr>
        <w:t>To approve Amendment No. 3 to the Integra LifeSciences Holdings Corporation Fifth Amended and Restated 2003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-783590</wp:posOffset>
            </wp:positionV>
            <wp:extent cx="7132320" cy="4368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80" w:type="dxa"/>
            <w:vAlign w:val="bottom"/>
          </w:tcPr>
          <w:p>
            <w:pPr>
              <w:spacing w:after="0"/>
              <w:rPr>
                <w:sz w:val="18"/>
                <w:szCs w:val="18"/>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color w:val="58595B"/>
              </w:rPr>
              <w:t>76</w:t>
            </w:r>
          </w:p>
        </w:tc>
        <w:tc>
          <w:tcPr>
            <w:tcW w:w="2140" w:type="dxa"/>
            <w:vAlign w:val="bottom"/>
          </w:tcPr>
          <w:p>
            <w:pPr>
              <w:jc w:val="center"/>
              <w:ind w:left="99"/>
              <w:spacing w:after="0"/>
              <w:rPr>
                <w:sz w:val="20"/>
                <w:szCs w:val="20"/>
                <w:color w:val="auto"/>
              </w:rPr>
            </w:pPr>
            <w:r>
              <w:rPr>
                <w:rFonts w:ascii="Arial" w:cs="Arial" w:eastAsia="Arial" w:hAnsi="Arial"/>
                <w:sz w:val="16"/>
                <w:szCs w:val="16"/>
                <w:color w:val="58595B"/>
              </w:rPr>
              <w:t>Majority of shares present</w:t>
            </w:r>
          </w:p>
        </w:tc>
        <w:tc>
          <w:tcPr>
            <w:tcW w:w="0" w:type="dxa"/>
            <w:vAlign w:val="bottom"/>
          </w:tcPr>
          <w:p>
            <w:pPr>
              <w:spacing w:after="0"/>
              <w:rPr>
                <w:sz w:val="1"/>
                <w:szCs w:val="1"/>
                <w:color w:val="auto"/>
              </w:rPr>
            </w:pPr>
          </w:p>
        </w:tc>
      </w:tr>
      <w:tr>
        <w:trPr>
          <w:trHeight w:val="122"/>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009845"/>
              </w:rPr>
              <w:t>FOR</w:t>
            </w:r>
          </w:p>
        </w:tc>
        <w:tc>
          <w:tcPr>
            <w:tcW w:w="820" w:type="dxa"/>
            <w:vAlign w:val="bottom"/>
            <w:vMerge w:val="continue"/>
          </w:tcPr>
          <w:p>
            <w:pPr>
              <w:spacing w:after="0"/>
              <w:rPr>
                <w:sz w:val="10"/>
                <w:szCs w:val="10"/>
                <w:color w:val="auto"/>
              </w:rPr>
            </w:pPr>
          </w:p>
        </w:tc>
        <w:tc>
          <w:tcPr>
            <w:tcW w:w="2140" w:type="dxa"/>
            <w:vAlign w:val="bottom"/>
            <w:vMerge w:val="restart"/>
          </w:tcPr>
          <w:p>
            <w:pPr>
              <w:jc w:val="center"/>
              <w:ind w:left="99"/>
              <w:spacing w:after="0"/>
              <w:rPr>
                <w:sz w:val="20"/>
                <w:szCs w:val="20"/>
                <w:color w:val="auto"/>
              </w:rPr>
            </w:pPr>
            <w:r>
              <w:rPr>
                <w:rFonts w:ascii="Arial" w:cs="Arial" w:eastAsia="Arial" w:hAnsi="Arial"/>
                <w:sz w:val="16"/>
                <w:szCs w:val="16"/>
                <w:color w:val="58595B"/>
              </w:rPr>
              <w:t>and entitled to vote thereon</w:t>
            </w:r>
          </w:p>
        </w:tc>
        <w:tc>
          <w:tcPr>
            <w:tcW w:w="0" w:type="dxa"/>
            <w:vAlign w:val="bottom"/>
          </w:tcPr>
          <w:p>
            <w:pPr>
              <w:spacing w:after="0"/>
              <w:rPr>
                <w:sz w:val="1"/>
                <w:szCs w:val="1"/>
                <w:color w:val="auto"/>
              </w:rPr>
            </w:pPr>
          </w:p>
        </w:tc>
      </w:tr>
      <w:tr>
        <w:trPr>
          <w:trHeight w:val="108"/>
        </w:trPr>
        <w:tc>
          <w:tcPr>
            <w:tcW w:w="7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color w:val="58595B"/>
              </w:rPr>
              <w:t>79</w:t>
            </w:r>
          </w:p>
        </w:tc>
        <w:tc>
          <w:tcPr>
            <w:tcW w:w="2140" w:type="dxa"/>
            <w:vAlign w:val="bottom"/>
          </w:tcPr>
          <w:p>
            <w:pPr>
              <w:jc w:val="center"/>
              <w:ind w:left="99"/>
              <w:spacing w:after="0"/>
              <w:rPr>
                <w:sz w:val="20"/>
                <w:szCs w:val="20"/>
                <w:color w:val="auto"/>
              </w:rPr>
            </w:pPr>
            <w:r>
              <w:rPr>
                <w:rFonts w:ascii="Arial" w:cs="Arial" w:eastAsia="Arial" w:hAnsi="Arial"/>
                <w:sz w:val="16"/>
                <w:szCs w:val="16"/>
                <w:color w:val="58595B"/>
              </w:rPr>
              <w:t>Majority of shares present</w:t>
            </w:r>
          </w:p>
        </w:tc>
        <w:tc>
          <w:tcPr>
            <w:tcW w:w="0" w:type="dxa"/>
            <w:vAlign w:val="bottom"/>
          </w:tcPr>
          <w:p>
            <w:pPr>
              <w:spacing w:after="0"/>
              <w:rPr>
                <w:sz w:val="1"/>
                <w:szCs w:val="1"/>
                <w:color w:val="auto"/>
              </w:rPr>
            </w:pPr>
          </w:p>
        </w:tc>
      </w:tr>
      <w:tr>
        <w:trPr>
          <w:trHeight w:val="12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009845"/>
              </w:rPr>
              <w:t>FOR</w:t>
            </w:r>
          </w:p>
        </w:tc>
        <w:tc>
          <w:tcPr>
            <w:tcW w:w="820" w:type="dxa"/>
            <w:vAlign w:val="bottom"/>
            <w:vMerge w:val="continue"/>
          </w:tcPr>
          <w:p>
            <w:pPr>
              <w:spacing w:after="0"/>
              <w:rPr>
                <w:sz w:val="10"/>
                <w:szCs w:val="10"/>
                <w:color w:val="auto"/>
              </w:rPr>
            </w:pPr>
          </w:p>
        </w:tc>
        <w:tc>
          <w:tcPr>
            <w:tcW w:w="2140" w:type="dxa"/>
            <w:vAlign w:val="bottom"/>
            <w:vMerge w:val="restart"/>
          </w:tcPr>
          <w:p>
            <w:pPr>
              <w:jc w:val="center"/>
              <w:ind w:left="99"/>
              <w:spacing w:after="0"/>
              <w:rPr>
                <w:sz w:val="20"/>
                <w:szCs w:val="20"/>
                <w:color w:val="auto"/>
              </w:rPr>
            </w:pPr>
            <w:r>
              <w:rPr>
                <w:rFonts w:ascii="Arial" w:cs="Arial" w:eastAsia="Arial" w:hAnsi="Arial"/>
                <w:sz w:val="16"/>
                <w:szCs w:val="16"/>
                <w:color w:val="58595B"/>
              </w:rPr>
              <w:t>and entitled to vote thereon</w:t>
            </w:r>
          </w:p>
        </w:tc>
        <w:tc>
          <w:tcPr>
            <w:tcW w:w="0" w:type="dxa"/>
            <w:vAlign w:val="bottom"/>
          </w:tcPr>
          <w:p>
            <w:pPr>
              <w:spacing w:after="0"/>
              <w:rPr>
                <w:sz w:val="1"/>
                <w:szCs w:val="1"/>
                <w:color w:val="auto"/>
              </w:rPr>
            </w:pPr>
          </w:p>
        </w:tc>
      </w:tr>
      <w:tr>
        <w:trPr>
          <w:trHeight w:val="108"/>
        </w:trPr>
        <w:tc>
          <w:tcPr>
            <w:tcW w:w="7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color w:val="58595B"/>
              </w:rPr>
              <w:t>80</w:t>
            </w:r>
          </w:p>
        </w:tc>
        <w:tc>
          <w:tcPr>
            <w:tcW w:w="2140" w:type="dxa"/>
            <w:vAlign w:val="bottom"/>
          </w:tcPr>
          <w:p>
            <w:pPr>
              <w:jc w:val="center"/>
              <w:ind w:left="99"/>
              <w:spacing w:after="0"/>
              <w:rPr>
                <w:sz w:val="20"/>
                <w:szCs w:val="20"/>
                <w:color w:val="auto"/>
              </w:rPr>
            </w:pPr>
            <w:r>
              <w:rPr>
                <w:rFonts w:ascii="Arial" w:cs="Arial" w:eastAsia="Arial" w:hAnsi="Arial"/>
                <w:sz w:val="16"/>
                <w:szCs w:val="16"/>
                <w:color w:val="58595B"/>
              </w:rPr>
              <w:t>Majority of shares present</w:t>
            </w:r>
          </w:p>
        </w:tc>
        <w:tc>
          <w:tcPr>
            <w:tcW w:w="0" w:type="dxa"/>
            <w:vAlign w:val="bottom"/>
          </w:tcPr>
          <w:p>
            <w:pPr>
              <w:spacing w:after="0"/>
              <w:rPr>
                <w:sz w:val="1"/>
                <w:szCs w:val="1"/>
                <w:color w:val="auto"/>
              </w:rPr>
            </w:pPr>
          </w:p>
        </w:tc>
      </w:tr>
      <w:tr>
        <w:trPr>
          <w:trHeight w:val="12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009845"/>
              </w:rPr>
              <w:t>FOR</w:t>
            </w:r>
          </w:p>
        </w:tc>
        <w:tc>
          <w:tcPr>
            <w:tcW w:w="820" w:type="dxa"/>
            <w:vAlign w:val="bottom"/>
            <w:vMerge w:val="continue"/>
          </w:tcPr>
          <w:p>
            <w:pPr>
              <w:spacing w:after="0"/>
              <w:rPr>
                <w:sz w:val="10"/>
                <w:szCs w:val="10"/>
                <w:color w:val="auto"/>
              </w:rPr>
            </w:pPr>
          </w:p>
        </w:tc>
        <w:tc>
          <w:tcPr>
            <w:tcW w:w="2140" w:type="dxa"/>
            <w:vAlign w:val="bottom"/>
            <w:vMerge w:val="restart"/>
          </w:tcPr>
          <w:p>
            <w:pPr>
              <w:jc w:val="center"/>
              <w:ind w:left="99"/>
              <w:spacing w:after="0"/>
              <w:rPr>
                <w:sz w:val="20"/>
                <w:szCs w:val="20"/>
                <w:color w:val="auto"/>
              </w:rPr>
            </w:pPr>
            <w:r>
              <w:rPr>
                <w:rFonts w:ascii="Arial" w:cs="Arial" w:eastAsia="Arial" w:hAnsi="Arial"/>
                <w:sz w:val="16"/>
                <w:szCs w:val="16"/>
                <w:color w:val="58595B"/>
              </w:rPr>
              <w:t>and entitled to vote thereon</w:t>
            </w:r>
          </w:p>
        </w:tc>
        <w:tc>
          <w:tcPr>
            <w:tcW w:w="0" w:type="dxa"/>
            <w:vAlign w:val="bottom"/>
          </w:tcPr>
          <w:p>
            <w:pPr>
              <w:spacing w:after="0"/>
              <w:rPr>
                <w:sz w:val="1"/>
                <w:szCs w:val="1"/>
                <w:color w:val="auto"/>
              </w:rPr>
            </w:pPr>
          </w:p>
        </w:tc>
      </w:tr>
      <w:tr>
        <w:trPr>
          <w:trHeight w:val="108"/>
        </w:trPr>
        <w:tc>
          <w:tcPr>
            <w:tcW w:w="7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ectPr>
          <w:pgSz w:w="11900" w:h="16838" w:orient="portrait"/>
          <w:cols w:equalWidth="0" w:num="2">
            <w:col w:w="6660" w:space="720"/>
            <w:col w:w="3860"/>
          </w:cols>
          <w:pgMar w:left="320" w:top="1249" w:right="339" w:bottom="1440" w:gutter="0" w:footer="0" w:header="0"/>
          <w:type w:val="continuous"/>
        </w:sectPr>
      </w:pPr>
    </w:p>
    <w:p>
      <w:pPr>
        <w:spacing w:after="0" w:line="198" w:lineRule="exact"/>
        <w:rPr>
          <w:sz w:val="20"/>
          <w:szCs w:val="20"/>
          <w:color w:val="auto"/>
        </w:rPr>
      </w:pPr>
    </w:p>
    <w:p>
      <w:pPr>
        <w:ind w:right="60"/>
        <w:spacing w:after="0" w:line="356" w:lineRule="auto"/>
        <w:rPr>
          <w:sz w:val="20"/>
          <w:szCs w:val="20"/>
          <w:color w:val="auto"/>
        </w:rPr>
      </w:pPr>
      <w:r>
        <w:rPr>
          <w:rFonts w:ascii="Arial" w:cs="Arial" w:eastAsia="Arial" w:hAnsi="Arial"/>
          <w:sz w:val="16"/>
          <w:szCs w:val="16"/>
          <w:color w:val="58595B"/>
        </w:rPr>
        <w:t>For purposes of the foregoing table, "majority of shares present and entitled to vote thereon" means the majority of shares present, in person or represented by proxy, at the Annual Meeting and entitled to vote thereon.</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91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3"/>
          <w:szCs w:val="13"/>
          <w:b w:val="1"/>
          <w:bCs w:val="1"/>
          <w:color w:val="009845"/>
        </w:rPr>
        <w:t>General Information about the Annual Meeting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318" w:lineRule="auto"/>
        <w:rPr>
          <w:sz w:val="20"/>
          <w:szCs w:val="20"/>
          <w:color w:val="auto"/>
        </w:rPr>
      </w:pPr>
      <w:r>
        <w:rPr>
          <w:rFonts w:ascii="Arial" w:cs="Arial" w:eastAsia="Arial" w:hAnsi="Arial"/>
          <w:sz w:val="16"/>
          <w:szCs w:val="16"/>
          <w:color w:val="58595B"/>
        </w:rPr>
        <w:t>Other than as set out in this proxy statement, the Board knows of no other matter to be presented at the Annual Meeting. If any other matters are presented at the Annual Meeting, the proxyholders have discretionary authority to vote all proxies in accordance with their best judgment. Your signed proxy card, or internet or telephone vote, provides this authority. Under our Bylaws, notice of any matter (including director nominations outside of our proxy access process) to be presented by a stockholder for a vote at the Annual Meeting must have been received by February 8, 2026, and must have been accompanied by certain information about the stockholder presenting it.</w:t>
      </w:r>
    </w:p>
    <w:p>
      <w:pPr>
        <w:spacing w:after="0" w:line="118"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58595B"/>
        </w:rPr>
        <w:t>The preliminary voting results will be announced at the Annual Meeting. The final voting results will be tallied by the inspector of elections and published in a Current Report on Form 8-K, which we are required to file with the SEC within four business days following the conclusion of the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color w:val="009845"/>
        </w:rPr>
        <w:t>Record Date</w:t>
      </w:r>
    </w:p>
    <w:p>
      <w:pPr>
        <w:spacing w:after="0" w:line="193" w:lineRule="exact"/>
        <w:rPr>
          <w:sz w:val="20"/>
          <w:szCs w:val="20"/>
          <w:color w:val="auto"/>
        </w:rPr>
      </w:pPr>
    </w:p>
    <w:p>
      <w:pPr>
        <w:ind w:right="100"/>
        <w:spacing w:after="0" w:line="318" w:lineRule="auto"/>
        <w:rPr>
          <w:sz w:val="20"/>
          <w:szCs w:val="20"/>
          <w:color w:val="auto"/>
        </w:rPr>
      </w:pPr>
      <w:r>
        <w:rPr>
          <w:rFonts w:ascii="Arial" w:cs="Arial" w:eastAsia="Arial" w:hAnsi="Arial"/>
          <w:sz w:val="16"/>
          <w:szCs w:val="16"/>
          <w:color w:val="58595B"/>
        </w:rPr>
        <w:t>Our Board has fixed the close of business on March 13, 2026 as the record date (the "Record Date"). Accordingly, only holders of record of our common stock, $0.01 par value per share, as of the close of business on the Record Date will be entitled to notice of, and to vote at, the Annual Meeting or any adjournment(s) or postponement(s) thereof. A stockholder of record is a person or entity who held shares on the record date registered in the stockholder's name on the records of Equiniti Trust Company, LLC, Integra’s stock transfer agent. Persons who held shares on the record date through a broker, bank, or other nominee are referred to as beneficial owners.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58595B"/>
        </w:rPr>
        <w:t>As of the Record Date, 77,826,049 shares of our common stock were outstanding.</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color w:val="009845"/>
        </w:rPr>
        <w:t>General Information Regarding Voting and Revocability of Proxies</w:t>
      </w:r>
    </w:p>
    <w:p>
      <w:pPr>
        <w:spacing w:after="0" w:line="193" w:lineRule="exact"/>
        <w:rPr>
          <w:sz w:val="20"/>
          <w:szCs w:val="20"/>
          <w:color w:val="auto"/>
        </w:rPr>
      </w:pPr>
    </w:p>
    <w:p>
      <w:pPr>
        <w:ind w:right="260"/>
        <w:spacing w:after="0" w:line="328" w:lineRule="auto"/>
        <w:rPr>
          <w:sz w:val="20"/>
          <w:szCs w:val="20"/>
          <w:color w:val="auto"/>
        </w:rPr>
      </w:pPr>
      <w:r>
        <w:rPr>
          <w:rFonts w:ascii="Arial" w:cs="Arial" w:eastAsia="Arial" w:hAnsi="Arial"/>
          <w:sz w:val="16"/>
          <w:szCs w:val="16"/>
          <w:color w:val="58595B"/>
        </w:rPr>
        <w:t>Each share of our common stock entitles the holder of record thereof to one vote. Each stockholder may vote in person or by proxy on all matters that properly come before the Annual Meeting and any adjournment or postponement thereof. The presence, in person or by proxy, of stockholders entitled to vote a majority of the shares of common stock outstanding on the record date will constitute a quorum for purposes of voting at the Annual Meeting.</w:t>
      </w:r>
    </w:p>
    <w:p>
      <w:pPr>
        <w:spacing w:after="0" w:line="110" w:lineRule="exact"/>
        <w:rPr>
          <w:sz w:val="20"/>
          <w:szCs w:val="20"/>
          <w:color w:val="auto"/>
        </w:rPr>
      </w:pPr>
    </w:p>
    <w:p>
      <w:pPr>
        <w:spacing w:after="0" w:line="312" w:lineRule="auto"/>
        <w:rPr>
          <w:sz w:val="20"/>
          <w:szCs w:val="20"/>
          <w:color w:val="auto"/>
        </w:rPr>
      </w:pPr>
      <w:r>
        <w:rPr>
          <w:rFonts w:ascii="Arial" w:cs="Arial" w:eastAsia="Arial" w:hAnsi="Arial"/>
          <w:sz w:val="16"/>
          <w:szCs w:val="16"/>
          <w:color w:val="58595B"/>
        </w:rPr>
        <w:t>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 Brokers and other nominees have discretionary voting power to vote generally only on routine proposals. At the Annual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2026 fiscal year (Proposal 2). In all other instances, brokers and other shareowners of record who serve as nominees for a beneficial owner may not vote on a proposal without having voting instructions from the beneficial owner.</w:t>
      </w:r>
    </w:p>
    <w:p>
      <w:pPr>
        <w:spacing w:after="0" w:line="125"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rPr>
        <w:t>If we fail to obtain a quorum for the Annual Meeting or a sufficient number of votes to approve a proposal, we may adjourn the Annual Meeting for the purpose of obtaining additional proxies or votes or for any other purpose. At any subsequent reconvening of the Annual Meeting, all proxies will be voted in the same manner as they would have been voted at the original Meeting (except for any proxies that have theretofore effectively been revoked or withdrawn). Proxies voting against a proposal set forth herein will not be used to adjourn the Annual Meeting to obtain additional proxies or votes with respect to such proposal.</w:t>
      </w:r>
    </w:p>
    <w:p>
      <w:pPr>
        <w:spacing w:after="0" w:line="118" w:lineRule="exact"/>
        <w:rPr>
          <w:sz w:val="20"/>
          <w:szCs w:val="20"/>
          <w:color w:val="auto"/>
        </w:rPr>
      </w:pPr>
    </w:p>
    <w:p>
      <w:pPr>
        <w:spacing w:after="0" w:line="323" w:lineRule="auto"/>
        <w:rPr>
          <w:sz w:val="20"/>
          <w:szCs w:val="20"/>
          <w:color w:val="auto"/>
        </w:rPr>
      </w:pPr>
      <w:r>
        <w:rPr>
          <w:rFonts w:ascii="Arial" w:cs="Arial" w:eastAsia="Arial" w:hAnsi="Arial"/>
          <w:sz w:val="16"/>
          <w:szCs w:val="16"/>
          <w:color w:val="58595B"/>
        </w:rPr>
        <w:t>The Board is soliciting the enclosed proxy for use in connection with the Annual Meeting and any postponement or adjournment thereof. All properly executed proxies received prior to or at the Annual Meeting or any postponement or adjournment thereof and not revoked in the manner described below will be voted in accordance with any instructions indicated on such proxies. For Proposals 1, 2, 3, and 4 you may vote “FOR,” “AGAINST” or “ABSTAIN.” If you sign your proxy card or broker voting instruction card with no further instructions, your shares will be voted in accordance with the recommendations of the Board.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92</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jc w:val="right"/>
        <w:spacing w:after="0"/>
        <w:rPr>
          <w:sz w:val="20"/>
          <w:szCs w:val="20"/>
          <w:color w:val="auto"/>
        </w:rPr>
      </w:pPr>
      <w:r>
        <w:rPr>
          <w:rFonts w:ascii="Arial" w:cs="Arial" w:eastAsia="Arial" w:hAnsi="Arial"/>
          <w:sz w:val="13"/>
          <w:szCs w:val="13"/>
          <w:b w:val="1"/>
          <w:bCs w:val="1"/>
          <w:color w:val="009845"/>
        </w:rPr>
        <w:t>General Information about the Annual Meeting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How to Vote in Advance or at the Annual Meeting</w:t>
      </w:r>
    </w:p>
    <w:p>
      <w:pPr>
        <w:spacing w:after="0" w:line="193"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58595B"/>
        </w:rPr>
        <w:t>You may vote in person or by proxy. Your execution of a proxy will not in any way affect your right to attend the Annual Meeting and vote in person. If you are a stockholder of record (that is, if you hold shares that are directly registered in your own name), there are four ways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39370</wp:posOffset>
            </wp:positionV>
            <wp:extent cx="8255" cy="26485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264858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39370</wp:posOffset>
            </wp:positionV>
            <wp:extent cx="8890" cy="26485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264858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39370</wp:posOffset>
            </wp:positionV>
            <wp:extent cx="8890" cy="26485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264858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595B"/>
        </w:rPr>
        <w:t xml:space="preserve">By Internet </w:t>
      </w:r>
      <w:r>
        <w:rPr>
          <w:sz w:val="1"/>
          <w:szCs w:val="1"/>
          <w:color w:val="auto"/>
        </w:rPr>
        <w:drawing>
          <wp:inline distT="0" distB="0" distL="0" distR="0">
            <wp:extent cx="145415" cy="154305"/>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p>
    <w:p>
      <w:pPr>
        <w:spacing w:after="0" w:line="115" w:lineRule="exact"/>
        <w:rPr>
          <w:sz w:val="20"/>
          <w:szCs w:val="20"/>
          <w:color w:val="auto"/>
        </w:rPr>
      </w:pPr>
    </w:p>
    <w:p>
      <w:pPr>
        <w:ind w:left="20" w:right="120"/>
        <w:spacing w:after="0" w:line="314" w:lineRule="auto"/>
        <w:rPr>
          <w:sz w:val="20"/>
          <w:szCs w:val="20"/>
          <w:color w:val="auto"/>
        </w:rPr>
      </w:pPr>
      <w:r>
        <w:rPr>
          <w:rFonts w:ascii="Arial" w:cs="Arial" w:eastAsia="Arial" w:hAnsi="Arial"/>
          <w:sz w:val="16"/>
          <w:szCs w:val="16"/>
          <w:color w:val="58595B"/>
        </w:rPr>
        <w:t>If you have internet access you may submit your proxy by following the voting instructions on the proxy card. If you vote by Internet, you should not return your proxy card.</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You may vote at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www.proxyvote.com, from</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anywhere in the world, 24 hours a</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day, 7 days a week, up until 11:59</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p.m., Eastern Time, on May 6,</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2026.</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By Mail </w:t>
      </w:r>
      <w:r>
        <w:rPr>
          <w:sz w:val="1"/>
          <w:szCs w:val="1"/>
          <w:color w:val="auto"/>
        </w:rPr>
        <w:drawing>
          <wp:inline distT="0" distB="0" distL="0" distR="0">
            <wp:extent cx="137160" cy="120015"/>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7160" cy="120015"/>
                    </a:xfrm>
                    <a:prstGeom prst="rect">
                      <a:avLst/>
                    </a:prstGeom>
                    <a:noFill/>
                    <a:ln>
                      <a:noFill/>
                    </a:ln>
                  </pic:spPr>
                </pic:pic>
              </a:graphicData>
            </a:graphic>
          </wp:inline>
        </w:drawing>
      </w:r>
    </w:p>
    <w:p>
      <w:pPr>
        <w:spacing w:after="0" w:line="97" w:lineRule="exact"/>
        <w:rPr>
          <w:sz w:val="20"/>
          <w:szCs w:val="20"/>
          <w:color w:val="auto"/>
        </w:rPr>
      </w:pPr>
    </w:p>
    <w:p>
      <w:pPr>
        <w:spacing w:after="0" w:line="310" w:lineRule="auto"/>
        <w:rPr>
          <w:sz w:val="20"/>
          <w:szCs w:val="20"/>
          <w:color w:val="auto"/>
        </w:rPr>
      </w:pPr>
      <w:r>
        <w:rPr>
          <w:rFonts w:ascii="Arial" w:cs="Arial" w:eastAsia="Arial" w:hAnsi="Arial"/>
          <w:sz w:val="16"/>
          <w:szCs w:val="16"/>
          <w:color w:val="58595B"/>
        </w:rPr>
        <w:t>You may vote by mail by completing, dating and signing your proxy card and mailing it in the envelope provided. You must sign your name exactly as it appears on the proxy card. If you are signing in a representative capacity (for example, as officer of a corporation, guardian, executor, trustee or custodian), you must indicate your name and title or capacity.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By Telephone </w:t>
      </w:r>
      <w:r>
        <w:rPr>
          <w:sz w:val="1"/>
          <w:szCs w:val="1"/>
          <w:color w:val="auto"/>
        </w:rPr>
        <w:drawing>
          <wp:inline distT="0" distB="0" distL="0" distR="0">
            <wp:extent cx="154305" cy="154305"/>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p>
    <w:p>
      <w:pPr>
        <w:spacing w:after="0" w:line="115"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You may vote by proxy via telephone by calling the toll-free number found on the proxy card.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In Person </w:t>
      </w:r>
      <w:r>
        <w:rPr>
          <w:sz w:val="1"/>
          <w:szCs w:val="1"/>
          <w:color w:val="auto"/>
        </w:rPr>
        <w:drawing>
          <wp:inline distT="0" distB="0" distL="0" distR="0">
            <wp:extent cx="128905" cy="17145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p>
    <w:p>
      <w:pPr>
        <w:spacing w:after="0" w:line="115" w:lineRule="exact"/>
        <w:rPr>
          <w:sz w:val="20"/>
          <w:szCs w:val="20"/>
          <w:color w:val="auto"/>
        </w:rPr>
      </w:pPr>
    </w:p>
    <w:p>
      <w:pPr>
        <w:ind w:right="80"/>
        <w:spacing w:after="0" w:line="308" w:lineRule="auto"/>
        <w:rPr>
          <w:sz w:val="20"/>
          <w:szCs w:val="20"/>
          <w:color w:val="auto"/>
        </w:rPr>
      </w:pPr>
      <w:r>
        <w:rPr>
          <w:rFonts w:ascii="Arial" w:cs="Arial" w:eastAsia="Arial" w:hAnsi="Arial"/>
          <w:sz w:val="16"/>
          <w:szCs w:val="16"/>
          <w:color w:val="58595B"/>
        </w:rPr>
        <w:t>You may vote in person at the Annual Meeting. We will provide you with a ballot when you arrive. Stockholders who plan to attend the Annual Meeting must present valid photo identification. Stockholders of record will be verified against an official list available at the registration area. We reserve the right to deny admittance to anyone who cannot show valid identification or sufficient proof of share ownership as of the record date.</w:t>
      </w:r>
    </w:p>
    <w:p>
      <w:pPr>
        <w:spacing w:after="0" w:line="200" w:lineRule="exact"/>
        <w:rPr>
          <w:sz w:val="20"/>
          <w:szCs w:val="20"/>
          <w:color w:val="auto"/>
        </w:rPr>
      </w:pPr>
    </w:p>
    <w:p>
      <w:pPr>
        <w:sectPr>
          <w:pgSz w:w="11900" w:h="16838" w:orient="portrait"/>
          <w:cols w:equalWidth="0" w:num="4">
            <w:col w:w="2460" w:space="500"/>
            <w:col w:w="2640" w:space="500"/>
            <w:col w:w="2280" w:space="480"/>
            <w:col w:w="2380"/>
          </w:cols>
          <w:pgMar w:left="320" w:top="121" w:right="339" w:bottom="1440" w:gutter="0" w:footer="0" w:header="0"/>
          <w:type w:val="continuous"/>
        </w:sectPr>
      </w:pPr>
    </w:p>
    <w:p>
      <w:pPr>
        <w:spacing w:after="0" w:line="281" w:lineRule="exact"/>
        <w:rPr>
          <w:sz w:val="20"/>
          <w:szCs w:val="20"/>
          <w:color w:val="auto"/>
        </w:rPr>
      </w:pPr>
    </w:p>
    <w:p>
      <w:pPr>
        <w:ind w:right="300"/>
        <w:spacing w:after="0" w:line="328" w:lineRule="auto"/>
        <w:rPr>
          <w:sz w:val="20"/>
          <w:szCs w:val="20"/>
          <w:color w:val="auto"/>
        </w:rPr>
      </w:pPr>
      <w:r>
        <w:rPr>
          <w:rFonts w:ascii="Arial" w:cs="Arial" w:eastAsia="Arial" w:hAnsi="Arial"/>
          <w:sz w:val="16"/>
          <w:szCs w:val="16"/>
          <w:color w:val="58595B"/>
        </w:rPr>
        <w:t>If your shares are held in the name of a bank, broker or other holder of record, which is known as being held in “street name,” you will receive separate voting instructions with your proxy materials. If you hold your shares in street name, your ability to vote by internet or by telephone depends on the voting process of the bank, broker or other holder of record that holds your shares.</w:t>
      </w:r>
    </w:p>
    <w:p>
      <w:pPr>
        <w:spacing w:after="0" w:line="110"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Although most banks, brokers and other holders of record also offer internet and telephone voting, availability and specific procedures will depend on their voting arrangements. Please follow their directions carefully. If you want to vote shares that you hold in street name at the Annual Meeting, you must request a legal proxy from the bank, broker, or other holder of record that holds your shares and present that proxy, along with valid photo identification and sufficient proof of share ownership as of the record date, at the Annual Meeting. We reserve the right to deny admittance to anyone who cannot show valid identification or sufficient proof of share ownership as of the record date.</w:t>
      </w:r>
    </w:p>
    <w:p>
      <w:pPr>
        <w:spacing w:after="0" w:line="11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58595B"/>
        </w:rPr>
        <w:t>You may revoke your proxy by (a) delivering to the Secretary of the Company at or before the Annual Meeting a written notice of revocation bearing a later date than the proxy, (b) duly executing a subsequent proxy relating to the same shares of common stock and delivering it to the Secretary of the Company at or before the Annual Meeting or (c) attending the Annual Meeting and voting in person (although attendance at the Annual Meeting will not in and of itself constitute a revocation of a proxy). Any written notice revoking a proxy should be delivered in a timely manner prior to the Annual Meeting to: Integra LifeSciences Holdings Corporation, 1100 Campus Road, Princeton, New Jersey 08540, Attention: Executive Vice President, Chief Legal Officer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93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36"/>
          <w:szCs w:val="36"/>
          <w:color w:val="009845"/>
        </w:rPr>
        <w:t>OTHER MATTERS</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color w:val="009845"/>
        </w:rPr>
        <w:t>Expenses of Solicitation</w:t>
      </w:r>
    </w:p>
    <w:p>
      <w:pPr>
        <w:spacing w:after="0" w:line="193" w:lineRule="exact"/>
        <w:rPr>
          <w:sz w:val="20"/>
          <w:szCs w:val="20"/>
          <w:color w:val="auto"/>
        </w:rPr>
      </w:pPr>
    </w:p>
    <w:p>
      <w:pPr>
        <w:ind w:right="200"/>
        <w:spacing w:after="0" w:line="318" w:lineRule="auto"/>
        <w:rPr>
          <w:sz w:val="20"/>
          <w:szCs w:val="20"/>
          <w:color w:val="auto"/>
        </w:rPr>
      </w:pPr>
      <w:r>
        <w:rPr>
          <w:rFonts w:ascii="Arial" w:cs="Arial" w:eastAsia="Arial" w:hAnsi="Arial"/>
          <w:sz w:val="16"/>
          <w:szCs w:val="16"/>
          <w:color w:val="58595B"/>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In addition, the Company has retained D.F. King &amp; Co., Inc. to assist in the solicitation of proxies and will pay such firm a fee of $12,000 plus reasonable expenses. We will also reimburse banks, brokerage firms and other custodians, nominees and fiduciaries for reasonable expenses incurred by them in sending proxy soliciting materials to beneficial owners of shares of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009845"/>
        </w:rPr>
        <w:t>Stockholder Proposals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Deadline for Stockholder Proposals to be Considered for Inclusion in the Company’s Proxy Materials Pursuant to Rule 14a-8</w:t>
      </w:r>
    </w:p>
    <w:p>
      <w:pPr>
        <w:spacing w:after="0" w:line="206"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Any stockholder who intends to present a proposal pursuant to Rule 14a-8 under the Exchange Act at Integra’s Annual Meeting of Stockholders to be held in 2027, and who wishes to have a proposal included in Integra’s proxy statement for that meeting, must deliver the proposal to the Corporate Secretary. All proposals must be received by the Corporate Secretary no later than December 7, 2026 and must satisfy the rules and regulations of the SEC as well as the applicable provisions of our Bylaws to be eligible for inclusion in the proxy statement for that meeting.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Requirements for Stockholder Nominations for Director and Stockholder Proposals Outside of Rule 14a-8 to be brought before the Annual Meeting.</w:t>
      </w:r>
    </w:p>
    <w:p>
      <w:pPr>
        <w:spacing w:after="0" w:line="206" w:lineRule="exact"/>
        <w:rPr>
          <w:sz w:val="20"/>
          <w:szCs w:val="20"/>
          <w:color w:val="auto"/>
        </w:rPr>
      </w:pPr>
    </w:p>
    <w:p>
      <w:pPr>
        <w:spacing w:after="0" w:line="309" w:lineRule="auto"/>
        <w:rPr>
          <w:sz w:val="20"/>
          <w:szCs w:val="20"/>
          <w:color w:val="auto"/>
        </w:rPr>
      </w:pPr>
      <w:r>
        <w:rPr>
          <w:rFonts w:ascii="Arial" w:cs="Arial" w:eastAsia="Arial" w:hAnsi="Arial"/>
          <w:sz w:val="16"/>
          <w:szCs w:val="16"/>
          <w:color w:val="58595B"/>
        </w:rPr>
        <w:t>To be eligible for consideration at the Annual Meeting of Stockholders to be held in 2027, any proposal that is a proper subject for consideration which has not been submitted by the deadline for inclusion in the proxy statement (as set forth above) and any nomination for director that is made outside of the proxy access procedures (as described above) must comply with the procedures specified in our Bylaws. These procedures require, among other things, that any such proposal or nomination be received by the Corporate Secretary between close of business on January 7, 2027 and February 6, 2027; provided, however, if the date of the 2027 Annual Meeting of Stockholders is more than thirty (30) days before or more than sixty (60) days after May 7, 2027, notice by the stockholder to be timely must be so delivered, or mailed and received, not later than the ninetieth (90th) day prior to the 2027 Annual Meeting of Stockholders or, if later, the tenth (10th) day following the day on which public disclosure of the date of the 2027 Annual Meeting of Stockholders is first made by us. This advance notice period is intended to allow all stockholders an opportunity to consider all business and nominees expected to be considered at the meeting. Further, to comply with the universal proxy rules, if a stockholder intends to solicit proxies in support of director nominees submitted under these advance notice provisions, then proper written notice that sets forth all information required by Rule 14a-19 under the Exchange Act must be received by the Corporate Secretary at our principal executive offices no later than March 8, 2027, except that, if the date of the 2027 Annual Meeting of Stockholders changes by more than 30 calendar days from the previous year, then notice must be provided by the later of 60 calendar days prior to the date of the 2027 Annual Meeting of Stockholders or the 10th calendar day following the day on which public announcement of the date of the 2027 Annual Meeting of Stockholders is first made by us. The notice requirement under Rule 14a-19 is in addition to the applicable advance notice requirements under our Bylaws.</w:t>
      </w:r>
    </w:p>
    <w:p>
      <w:pPr>
        <w:spacing w:after="0" w:line="140"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58595B"/>
        </w:rPr>
        <w:t>All submissions to, or requests of, the Corporate Secretary should be made to Integra’s principal executive offices at 1100 Campus Road, Princeton, New Jersey 08540.</w:t>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94</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3"/>
          <w:szCs w:val="13"/>
          <w:b w:val="1"/>
          <w:bCs w:val="1"/>
          <w:color w:val="009845"/>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Delivery of Documents to Stockholders Sharing an Address</w:t>
      </w:r>
    </w:p>
    <w:p>
      <w:pPr>
        <w:spacing w:after="0" w:line="193"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The SEC has adopted rules regarding delivery of proxy statements and annual reports to stockholders sharing the same address. The Company may satisfy these delivery rules by delivering a single proxy statement and annual report to an address shared by two or more of its stockholders who are not participating in electronic proxy material delivery. This delivery method, referred to as “householding,” results in significant cost savings for the Company. In order to take advantage of this opportunity, the company has delivered only one proxy statement and annual report to multiple stockholders who share an address unless Integra has received contrary instructions from one or more of the stockholders. Integra will deliver promptly, upon written or oral request, a separate copy of the proxy statement and annual report to a stockholder at a shared address to which a single copy of the documents was delivered.</w:t>
      </w:r>
    </w:p>
    <w:p>
      <w:pPr>
        <w:spacing w:after="0" w:line="135"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58595B"/>
        </w:rPr>
        <w:t>If you are a registered stockholder residing at an address with other registered stockholders, you will receive only one copy of the proxy statement or annual report unless you indicate otherwise. If you wish to receive a separate copy of the proxy statement or annual report, or if you do not wish to participate in householding and prefer to receive separate copies of these documents in the future, please contact our mailing agent, Broadridge, either by calling toll-free at 1-866-540-7095, or by writing to Broadridge, Householding Department, 51 Mercedes Way, Edgewood, New York 11717. If you are a beneficial holder, you will need to contact your broker, bank or other nominee to request that only a single copy of each document be mailed to all stockholders at the shared address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009845"/>
        </w:rPr>
        <w:t>Incorporation by Reference</w:t>
      </w:r>
    </w:p>
    <w:p>
      <w:pPr>
        <w:spacing w:after="0" w:line="193"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color w:val="58595B"/>
        </w:rPr>
        <w:t>To the extent that this proxy statement has been or will be specifically incorporated by reference into any filing made by us under the Securities Act of 1933, as amended, or the Exchange Act, the sections of the proxy statement entitled “Compensation Committee Report” and “Audit and Finance Committee Report” shall not be deemed to be so incorporated, unless specifically provided in any such filing.</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color w:val="009845"/>
        </w:rPr>
        <w:t>Availability of Supplemental Documents</w:t>
      </w:r>
    </w:p>
    <w:p>
      <w:pPr>
        <w:spacing w:after="0" w:line="193"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A copy of the Company’s 2025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Finance, Nominating and Corporate Governance, and Quality Committees are accessible via our website at www.integralife.com through the “Investors” link under the heading “Corporate Governance.” We intend to post any amendment or waiver to our Code of Conduct on our website within the time period required by the SEC.</w:t>
      </w:r>
    </w:p>
    <w:p>
      <w:pPr>
        <w:spacing w:after="0" w:line="118" w:lineRule="exact"/>
        <w:rPr>
          <w:sz w:val="20"/>
          <w:szCs w:val="20"/>
          <w:color w:val="auto"/>
        </w:rPr>
      </w:pPr>
    </w:p>
    <w:p>
      <w:pPr>
        <w:ind w:right="120"/>
        <w:spacing w:after="0" w:line="322" w:lineRule="auto"/>
        <w:rPr>
          <w:sz w:val="20"/>
          <w:szCs w:val="20"/>
          <w:color w:val="auto"/>
        </w:rPr>
      </w:pPr>
      <w:r>
        <w:rPr>
          <w:rFonts w:ascii="Arial" w:cs="Arial" w:eastAsia="Arial" w:hAnsi="Arial"/>
          <w:sz w:val="16"/>
          <w:szCs w:val="16"/>
          <w:b w:val="1"/>
          <w:bCs w:val="1"/>
          <w:color w:val="58595B"/>
        </w:rPr>
        <w:t>The Company, upon request, will furnish to record and beneficial holders of its common stock, free of charge, a copy of its Annual Report on Form 10-K (including financial statements and schedules, but without exhibits) for the fiscal year ended December 31, 2025 as filed with the SEC on February 26, 2026.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58595B"/>
        </w:rPr>
        <w:t>By order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/s/ Michael Hutchinson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Michael Hutchinson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Executive Vice President, Chief Legal Officer and Secretary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58595B"/>
        </w:rPr>
        <w:t>Princeton, New Jersey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58595B"/>
        </w:rPr>
        <w:t>April 6, 2026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95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3"/>
          <w:szCs w:val="13"/>
          <w:b w:val="1"/>
          <w:bCs w:val="1"/>
          <w:color w:val="009845"/>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6"/>
          <w:szCs w:val="36"/>
          <w:color w:val="009845"/>
        </w:rPr>
        <w:t>APPENDIX A</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Non-GAAP Financial Measures</w:t>
      </w:r>
    </w:p>
    <w:p>
      <w:pPr>
        <w:spacing w:after="0" w:line="72" w:lineRule="exact"/>
        <w:rPr>
          <w:sz w:val="20"/>
          <w:szCs w:val="20"/>
          <w:color w:val="auto"/>
        </w:rPr>
      </w:pPr>
    </w:p>
    <w:p>
      <w:pPr>
        <w:jc w:val="both"/>
        <w:ind w:right="220"/>
        <w:spacing w:after="0" w:line="318" w:lineRule="auto"/>
        <w:rPr>
          <w:sz w:val="20"/>
          <w:szCs w:val="20"/>
          <w:color w:val="auto"/>
        </w:rPr>
      </w:pPr>
      <w:r>
        <w:rPr>
          <w:rFonts w:ascii="Arial" w:cs="Arial" w:eastAsia="Arial" w:hAnsi="Arial"/>
          <w:sz w:val="16"/>
          <w:szCs w:val="16"/>
          <w:color w:val="58595B"/>
        </w:rPr>
        <w:t>This proxy statement contains financial measures, including organic revenues and adjusted earnings before interest, taxes, depreciation and amortization ("EBITDA") and adjusted EBITDA margin, each of which are considered “non-GAAP” financial measures under applicable SEC rules and regulations. The presentation of non-GAAP financial measures in this proxy statement are critical for evaluating and understanding both our business performance and our executive compensation plans.</w:t>
      </w:r>
    </w:p>
    <w:p>
      <w:pPr>
        <w:spacing w:after="0" w:line="132" w:lineRule="exact"/>
        <w:rPr>
          <w:sz w:val="20"/>
          <w:szCs w:val="20"/>
          <w:color w:val="auto"/>
        </w:rPr>
      </w:pPr>
    </w:p>
    <w:p>
      <w:pPr>
        <w:spacing w:after="0" w:line="305" w:lineRule="auto"/>
        <w:rPr>
          <w:sz w:val="20"/>
          <w:szCs w:val="20"/>
          <w:color w:val="auto"/>
        </w:rPr>
      </w:pPr>
      <w:r>
        <w:rPr>
          <w:rFonts w:ascii="Arial" w:cs="Arial" w:eastAsia="Arial" w:hAnsi="Arial"/>
          <w:sz w:val="16"/>
          <w:szCs w:val="16"/>
          <w:color w:val="58595B"/>
        </w:rPr>
        <w:t>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(v) impairment charges; and (vi) those operating expenses also excluded from adjusted net income. The measure of adjusted EBITDA margin is calculated by dividing adjusted EBITDA by GAAP revenues. The measure of adjusted net income consists of GAAP net income, excluding: (i) structural optimization charges; (ii) divestiture, acquisition and integration-related charges; (iii) EU Medical Device Regulation-related charges; (iv) charges related to the voluntary global recall of products manufactured at the Company’s Boston, Massachusetts facility and distributed between March 1, 2018 and May 22, 2023, as previously disclosed in the Company’s Current Report on Form 8-K filed with the Securities and Exchange Commission on May 23, 2023 (the “recall”) and the transition of Boston-related manufacturing operations to the Company’s Braintree, Massachusetts facility;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58595B"/>
        </w:rPr>
        <w:t>(v) intangible asset amortization expense; (vi) income tax impact from adjustments; and (vii) impairment charges.</w:t>
      </w:r>
    </w:p>
    <w:p>
      <w:pPr>
        <w:spacing w:after="0" w:line="208" w:lineRule="exact"/>
        <w:rPr>
          <w:sz w:val="20"/>
          <w:szCs w:val="20"/>
          <w:color w:val="auto"/>
        </w:rPr>
      </w:pPr>
    </w:p>
    <w:p>
      <w:pPr>
        <w:spacing w:after="0" w:line="311" w:lineRule="auto"/>
        <w:rPr>
          <w:sz w:val="20"/>
          <w:szCs w:val="20"/>
          <w:color w:val="auto"/>
        </w:rPr>
      </w:pPr>
      <w:r>
        <w:rPr>
          <w:rFonts w:ascii="Arial" w:cs="Arial" w:eastAsia="Arial" w:hAnsi="Arial"/>
          <w:sz w:val="16"/>
          <w:szCs w:val="16"/>
          <w:color w:val="58595B"/>
        </w:rPr>
        <w:t>Integra's management believes that non-GAAP financial measures provide information useful to management and investors regarding financial and business trends relating to the Company's financial condition and results of operations. Management uses non-GAAP financial measures in the form of organic revenues, adjusted EBITDA, and adjusted EBITDA margin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Non-GAAP financial measures should be considered supplemental to and not a substitute for financial information prepared in accordance with GAAP principles, and investors are cautioned that Integra may calculate non-GAAP financial measures in a way that is different from other companies. Management strongly encourages investors to review the company’s consolidated financial statements and publicly filed reports in their entirety.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58595B"/>
        </w:rPr>
        <w:t>In reviewing the following reconciliations, please note that some amounts may not add due to rounding.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Reconciliation of GAAP Total Revenues to Organic Revenues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60" w:type="dxa"/>
            <w:vAlign w:val="bottom"/>
            <w:shd w:val="clear" w:color="auto" w:fill="009845"/>
          </w:tcPr>
          <w:p>
            <w:pPr>
              <w:spacing w:after="0"/>
              <w:rPr>
                <w:sz w:val="15"/>
                <w:szCs w:val="15"/>
                <w:color w:val="auto"/>
              </w:rPr>
            </w:pPr>
          </w:p>
        </w:tc>
        <w:tc>
          <w:tcPr>
            <w:tcW w:w="220" w:type="dxa"/>
            <w:vAlign w:val="bottom"/>
            <w:shd w:val="clear" w:color="auto" w:fill="009845"/>
          </w:tcPr>
          <w:p>
            <w:pPr>
              <w:spacing w:after="0"/>
              <w:rPr>
                <w:sz w:val="15"/>
                <w:szCs w:val="15"/>
                <w:color w:val="auto"/>
              </w:rPr>
            </w:pPr>
          </w:p>
        </w:tc>
        <w:tc>
          <w:tcPr>
            <w:tcW w:w="260" w:type="dxa"/>
            <w:vAlign w:val="bottom"/>
            <w:shd w:val="clear" w:color="auto" w:fill="009845"/>
          </w:tcPr>
          <w:p>
            <w:pPr>
              <w:spacing w:after="0"/>
              <w:rPr>
                <w:sz w:val="15"/>
                <w:szCs w:val="15"/>
                <w:color w:val="auto"/>
              </w:rPr>
            </w:pPr>
          </w:p>
        </w:tc>
        <w:tc>
          <w:tcPr>
            <w:tcW w:w="2240" w:type="dxa"/>
            <w:vAlign w:val="bottom"/>
            <w:gridSpan w:val="3"/>
            <w:shd w:val="clear" w:color="auto" w:fill="009845"/>
          </w:tcPr>
          <w:p>
            <w:pPr>
              <w:jc w:val="right"/>
              <w:ind w:right="8"/>
              <w:spacing w:after="0"/>
              <w:rPr>
                <w:sz w:val="20"/>
                <w:szCs w:val="20"/>
                <w:color w:val="auto"/>
              </w:rPr>
            </w:pPr>
            <w:r>
              <w:rPr>
                <w:rFonts w:ascii="Arial" w:cs="Arial" w:eastAsia="Arial" w:hAnsi="Arial"/>
                <w:sz w:val="14"/>
                <w:szCs w:val="14"/>
                <w:b w:val="1"/>
                <w:bCs w:val="1"/>
                <w:color w:val="FFFFFF"/>
              </w:rPr>
              <w:t>Twelve Months Ended</w:t>
            </w:r>
          </w:p>
        </w:tc>
        <w:tc>
          <w:tcPr>
            <w:tcW w:w="860" w:type="dxa"/>
            <w:vAlign w:val="bottom"/>
            <w:shd w:val="clear" w:color="auto" w:fill="00984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009845"/>
          </w:tcPr>
          <w:p>
            <w:pPr>
              <w:spacing w:after="0"/>
              <w:rPr>
                <w:sz w:val="17"/>
                <w:szCs w:val="17"/>
                <w:color w:val="auto"/>
              </w:rPr>
            </w:pPr>
          </w:p>
        </w:tc>
        <w:tc>
          <w:tcPr>
            <w:tcW w:w="220" w:type="dxa"/>
            <w:vAlign w:val="bottom"/>
            <w:shd w:val="clear" w:color="auto" w:fill="009845"/>
          </w:tcPr>
          <w:p>
            <w:pPr>
              <w:spacing w:after="0"/>
              <w:rPr>
                <w:sz w:val="17"/>
                <w:szCs w:val="17"/>
                <w:color w:val="auto"/>
              </w:rPr>
            </w:pPr>
          </w:p>
        </w:tc>
        <w:tc>
          <w:tcPr>
            <w:tcW w:w="260" w:type="dxa"/>
            <w:vAlign w:val="bottom"/>
            <w:shd w:val="clear" w:color="auto" w:fill="009845"/>
          </w:tcPr>
          <w:p>
            <w:pPr>
              <w:spacing w:after="0"/>
              <w:rPr>
                <w:sz w:val="17"/>
                <w:szCs w:val="17"/>
                <w:color w:val="auto"/>
              </w:rPr>
            </w:pPr>
          </w:p>
        </w:tc>
        <w:tc>
          <w:tcPr>
            <w:tcW w:w="920" w:type="dxa"/>
            <w:vAlign w:val="bottom"/>
            <w:shd w:val="clear" w:color="auto" w:fill="009845"/>
          </w:tcPr>
          <w:p>
            <w:pPr>
              <w:spacing w:after="0"/>
              <w:rPr>
                <w:sz w:val="17"/>
                <w:szCs w:val="17"/>
                <w:color w:val="auto"/>
              </w:rPr>
            </w:pPr>
          </w:p>
        </w:tc>
        <w:tc>
          <w:tcPr>
            <w:tcW w:w="1320" w:type="dxa"/>
            <w:vAlign w:val="bottom"/>
            <w:gridSpan w:val="2"/>
            <w:shd w:val="clear" w:color="auto" w:fill="009845"/>
          </w:tcPr>
          <w:p>
            <w:pPr>
              <w:ind w:left="40"/>
              <w:spacing w:after="0"/>
              <w:rPr>
                <w:sz w:val="20"/>
                <w:szCs w:val="20"/>
                <w:color w:val="auto"/>
              </w:rPr>
            </w:pPr>
            <w:r>
              <w:rPr>
                <w:rFonts w:ascii="Arial" w:cs="Arial" w:eastAsia="Arial" w:hAnsi="Arial"/>
                <w:sz w:val="14"/>
                <w:szCs w:val="14"/>
                <w:b w:val="1"/>
                <w:bCs w:val="1"/>
                <w:color w:val="FFFFFF"/>
              </w:rPr>
              <w:t>December 31,</w:t>
            </w:r>
          </w:p>
        </w:tc>
        <w:tc>
          <w:tcPr>
            <w:tcW w:w="860" w:type="dxa"/>
            <w:vAlign w:val="bottom"/>
            <w:shd w:val="clear" w:color="auto" w:fill="009845"/>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(in thousands)</w:t>
            </w:r>
          </w:p>
        </w:tc>
        <w:tc>
          <w:tcPr>
            <w:tcW w:w="220" w:type="dxa"/>
            <w:vAlign w:val="bottom"/>
            <w:shd w:val="clear" w:color="auto" w:fill="009845"/>
          </w:tcPr>
          <w:p>
            <w:pPr>
              <w:spacing w:after="0"/>
              <w:rPr>
                <w:sz w:val="22"/>
                <w:szCs w:val="22"/>
                <w:color w:val="auto"/>
              </w:rPr>
            </w:pPr>
          </w:p>
        </w:tc>
        <w:tc>
          <w:tcPr>
            <w:tcW w:w="260" w:type="dxa"/>
            <w:vAlign w:val="bottom"/>
            <w:shd w:val="clear" w:color="auto" w:fill="009845"/>
          </w:tcPr>
          <w:p>
            <w:pPr>
              <w:spacing w:after="0"/>
              <w:rPr>
                <w:sz w:val="22"/>
                <w:szCs w:val="22"/>
                <w:color w:val="auto"/>
              </w:rPr>
            </w:pPr>
          </w:p>
        </w:tc>
        <w:tc>
          <w:tcPr>
            <w:tcW w:w="920" w:type="dxa"/>
            <w:vAlign w:val="bottom"/>
            <w:shd w:val="clear" w:color="auto" w:fill="009845"/>
          </w:tcPr>
          <w:p>
            <w:pPr>
              <w:jc w:val="right"/>
              <w:ind w:right="348"/>
              <w:spacing w:after="0"/>
              <w:rPr>
                <w:sz w:val="20"/>
                <w:szCs w:val="20"/>
                <w:color w:val="auto"/>
              </w:rPr>
            </w:pPr>
            <w:r>
              <w:rPr>
                <w:rFonts w:ascii="Arial" w:cs="Arial" w:eastAsia="Arial" w:hAnsi="Arial"/>
                <w:sz w:val="14"/>
                <w:szCs w:val="14"/>
                <w:b w:val="1"/>
                <w:bCs w:val="1"/>
                <w:color w:val="FFFFFF"/>
              </w:rPr>
              <w:t>2025</w:t>
            </w:r>
          </w:p>
        </w:tc>
        <w:tc>
          <w:tcPr>
            <w:tcW w:w="260" w:type="dxa"/>
            <w:vAlign w:val="bottom"/>
            <w:shd w:val="clear" w:color="auto" w:fill="009845"/>
          </w:tcPr>
          <w:p>
            <w:pPr>
              <w:spacing w:after="0"/>
              <w:rPr>
                <w:sz w:val="22"/>
                <w:szCs w:val="22"/>
                <w:color w:val="auto"/>
              </w:rPr>
            </w:pPr>
          </w:p>
        </w:tc>
        <w:tc>
          <w:tcPr>
            <w:tcW w:w="1060" w:type="dxa"/>
            <w:vAlign w:val="bottom"/>
            <w:shd w:val="clear" w:color="auto" w:fill="009845"/>
          </w:tcPr>
          <w:p>
            <w:pPr>
              <w:jc w:val="right"/>
              <w:ind w:right="508"/>
              <w:spacing w:after="0"/>
              <w:rPr>
                <w:sz w:val="20"/>
                <w:szCs w:val="20"/>
                <w:color w:val="auto"/>
              </w:rPr>
            </w:pPr>
            <w:r>
              <w:rPr>
                <w:rFonts w:ascii="Arial" w:cs="Arial" w:eastAsia="Arial" w:hAnsi="Arial"/>
                <w:sz w:val="14"/>
                <w:szCs w:val="14"/>
                <w:b w:val="1"/>
                <w:bCs w:val="1"/>
                <w:color w:val="FFFFFF"/>
              </w:rPr>
              <w:t>2024</w:t>
            </w:r>
          </w:p>
        </w:tc>
        <w:tc>
          <w:tcPr>
            <w:tcW w:w="860" w:type="dxa"/>
            <w:vAlign w:val="bottom"/>
            <w:shd w:val="clear" w:color="auto" w:fill="009845"/>
          </w:tcPr>
          <w:p>
            <w:pPr>
              <w:jc w:val="right"/>
              <w:ind w:right="168"/>
              <w:spacing w:after="0"/>
              <w:rPr>
                <w:sz w:val="20"/>
                <w:szCs w:val="20"/>
                <w:color w:val="auto"/>
              </w:rPr>
            </w:pPr>
            <w:r>
              <w:rPr>
                <w:rFonts w:ascii="Arial" w:cs="Arial" w:eastAsia="Arial" w:hAnsi="Arial"/>
                <w:sz w:val="14"/>
                <w:szCs w:val="14"/>
                <w:b w:val="1"/>
                <w:bCs w:val="1"/>
                <w:color w:val="FFFFFF"/>
              </w:rPr>
              <w:t>Change</w:t>
            </w:r>
          </w:p>
        </w:tc>
        <w:tc>
          <w:tcPr>
            <w:tcW w:w="0" w:type="dxa"/>
            <w:vAlign w:val="bottom"/>
          </w:tcPr>
          <w:p>
            <w:pPr>
              <w:spacing w:after="0"/>
              <w:rPr>
                <w:sz w:val="1"/>
                <w:szCs w:val="1"/>
                <w:color w:val="auto"/>
              </w:rPr>
            </w:pPr>
          </w:p>
        </w:tc>
      </w:tr>
      <w:tr>
        <w:trPr>
          <w:trHeight w:val="70"/>
        </w:trPr>
        <w:tc>
          <w:tcPr>
            <w:tcW w:w="7660" w:type="dxa"/>
            <w:vAlign w:val="bottom"/>
            <w:shd w:val="clear" w:color="auto" w:fill="009845"/>
          </w:tcPr>
          <w:p>
            <w:pPr>
              <w:spacing w:after="0"/>
              <w:rPr>
                <w:sz w:val="6"/>
                <w:szCs w:val="6"/>
                <w:color w:val="auto"/>
              </w:rPr>
            </w:pPr>
          </w:p>
        </w:tc>
        <w:tc>
          <w:tcPr>
            <w:tcW w:w="220" w:type="dxa"/>
            <w:vAlign w:val="bottom"/>
            <w:shd w:val="clear" w:color="auto" w:fill="009845"/>
          </w:tcPr>
          <w:p>
            <w:pPr>
              <w:spacing w:after="0"/>
              <w:rPr>
                <w:sz w:val="6"/>
                <w:szCs w:val="6"/>
                <w:color w:val="auto"/>
              </w:rPr>
            </w:pPr>
          </w:p>
        </w:tc>
        <w:tc>
          <w:tcPr>
            <w:tcW w:w="260" w:type="dxa"/>
            <w:vAlign w:val="bottom"/>
            <w:shd w:val="clear" w:color="auto" w:fill="009845"/>
          </w:tcPr>
          <w:p>
            <w:pPr>
              <w:spacing w:after="0"/>
              <w:rPr>
                <w:sz w:val="6"/>
                <w:szCs w:val="6"/>
                <w:color w:val="auto"/>
              </w:rPr>
            </w:pPr>
          </w:p>
        </w:tc>
        <w:tc>
          <w:tcPr>
            <w:tcW w:w="920" w:type="dxa"/>
            <w:vAlign w:val="bottom"/>
            <w:shd w:val="clear" w:color="auto" w:fill="009845"/>
          </w:tcPr>
          <w:p>
            <w:pPr>
              <w:spacing w:after="0"/>
              <w:rPr>
                <w:sz w:val="6"/>
                <w:szCs w:val="6"/>
                <w:color w:val="auto"/>
              </w:rPr>
            </w:pPr>
          </w:p>
        </w:tc>
        <w:tc>
          <w:tcPr>
            <w:tcW w:w="260" w:type="dxa"/>
            <w:vAlign w:val="bottom"/>
            <w:shd w:val="clear" w:color="auto" w:fill="009845"/>
          </w:tcPr>
          <w:p>
            <w:pPr>
              <w:spacing w:after="0"/>
              <w:rPr>
                <w:sz w:val="6"/>
                <w:szCs w:val="6"/>
                <w:color w:val="auto"/>
              </w:rPr>
            </w:pPr>
          </w:p>
        </w:tc>
        <w:tc>
          <w:tcPr>
            <w:tcW w:w="1060" w:type="dxa"/>
            <w:vAlign w:val="bottom"/>
            <w:shd w:val="clear" w:color="auto" w:fill="009845"/>
          </w:tcPr>
          <w:p>
            <w:pPr>
              <w:spacing w:after="0"/>
              <w:rPr>
                <w:sz w:val="6"/>
                <w:szCs w:val="6"/>
                <w:color w:val="auto"/>
              </w:rPr>
            </w:pPr>
          </w:p>
        </w:tc>
        <w:tc>
          <w:tcPr>
            <w:tcW w:w="860" w:type="dxa"/>
            <w:vAlign w:val="bottom"/>
            <w:shd w:val="clear" w:color="auto" w:fill="009845"/>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76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GAAP Total Reported Revenues</w:t>
            </w:r>
          </w:p>
        </w:tc>
        <w:tc>
          <w:tcPr>
            <w:tcW w:w="220" w:type="dxa"/>
            <w:vAlign w:val="bottom"/>
            <w:tcBorders>
              <w:bottom w:val="single" w:sz="8" w:color="EFEDED"/>
            </w:tcBorders>
            <w:shd w:val="clear" w:color="auto" w:fill="EFEDED"/>
          </w:tcPr>
          <w:p>
            <w:pPr>
              <w:spacing w:after="0"/>
              <w:rPr>
                <w:sz w:val="21"/>
                <w:szCs w:val="21"/>
                <w:color w:val="auto"/>
              </w:rPr>
            </w:pPr>
          </w:p>
        </w:tc>
        <w:tc>
          <w:tcPr>
            <w:tcW w:w="260" w:type="dxa"/>
            <w:vAlign w:val="bottom"/>
            <w:tcBorders>
              <w:bottom w:val="single" w:sz="8" w:color="auto"/>
            </w:tcBorders>
            <w:shd w:val="clear" w:color="auto" w:fill="EFEDED"/>
          </w:tcPr>
          <w:p>
            <w:pPr>
              <w:spacing w:after="0"/>
              <w:rPr>
                <w:sz w:val="21"/>
                <w:szCs w:val="21"/>
                <w:color w:val="auto"/>
              </w:rPr>
            </w:pPr>
          </w:p>
        </w:tc>
        <w:tc>
          <w:tcPr>
            <w:tcW w:w="920" w:type="dxa"/>
            <w:vAlign w:val="bottom"/>
            <w:tcBorders>
              <w:bottom w:val="single" w:sz="8" w:color="auto"/>
            </w:tcBorders>
            <w:shd w:val="clear" w:color="auto" w:fill="EFEDED"/>
          </w:tcPr>
          <w:p>
            <w:pPr>
              <w:jc w:val="right"/>
              <w:spacing w:after="0"/>
              <w:rPr>
                <w:sz w:val="20"/>
                <w:szCs w:val="20"/>
                <w:color w:val="auto"/>
              </w:rPr>
            </w:pPr>
            <w:r>
              <w:rPr>
                <w:rFonts w:ascii="Arial" w:cs="Arial" w:eastAsia="Arial" w:hAnsi="Arial"/>
                <w:sz w:val="14"/>
                <w:szCs w:val="14"/>
                <w:color w:val="58595B"/>
              </w:rPr>
              <w:t>1,635.2</w:t>
            </w:r>
          </w:p>
        </w:tc>
        <w:tc>
          <w:tcPr>
            <w:tcW w:w="260" w:type="dxa"/>
            <w:vAlign w:val="bottom"/>
            <w:tcBorders>
              <w:bottom w:val="single" w:sz="8" w:color="auto"/>
            </w:tcBorders>
            <w:shd w:val="clear" w:color="auto" w:fill="EFEDED"/>
          </w:tcPr>
          <w:p>
            <w:pPr>
              <w:spacing w:after="0"/>
              <w:rPr>
                <w:sz w:val="21"/>
                <w:szCs w:val="21"/>
                <w:color w:val="auto"/>
              </w:rPr>
            </w:pPr>
          </w:p>
        </w:tc>
        <w:tc>
          <w:tcPr>
            <w:tcW w:w="1060" w:type="dxa"/>
            <w:vAlign w:val="bottom"/>
            <w:tcBorders>
              <w:bottom w:val="single" w:sz="8" w:color="auto"/>
            </w:tcBorders>
            <w:shd w:val="clear" w:color="auto" w:fill="EFEDED"/>
          </w:tcPr>
          <w:p>
            <w:pPr>
              <w:jc w:val="right"/>
              <w:ind w:right="168"/>
              <w:spacing w:after="0"/>
              <w:rPr>
                <w:sz w:val="20"/>
                <w:szCs w:val="20"/>
                <w:color w:val="auto"/>
              </w:rPr>
            </w:pPr>
            <w:r>
              <w:rPr>
                <w:rFonts w:ascii="Arial" w:cs="Arial" w:eastAsia="Arial" w:hAnsi="Arial"/>
                <w:sz w:val="14"/>
                <w:szCs w:val="14"/>
                <w:color w:val="58595B"/>
              </w:rPr>
              <w:t>1,610.5</w:t>
            </w:r>
          </w:p>
        </w:tc>
        <w:tc>
          <w:tcPr>
            <w:tcW w:w="860" w:type="dxa"/>
            <w:vAlign w:val="bottom"/>
            <w:tcBorders>
              <w:bottom w:val="single" w:sz="8" w:color="auto"/>
            </w:tcBorders>
            <w:shd w:val="clear" w:color="auto" w:fill="EFEDED"/>
          </w:tcPr>
          <w:p>
            <w:pPr>
              <w:jc w:val="right"/>
              <w:spacing w:after="0"/>
              <w:rPr>
                <w:sz w:val="20"/>
                <w:szCs w:val="20"/>
                <w:color w:val="auto"/>
              </w:rPr>
            </w:pPr>
            <w:r>
              <w:rPr>
                <w:rFonts w:ascii="Arial" w:cs="Arial" w:eastAsia="Arial" w:hAnsi="Arial"/>
                <w:sz w:val="14"/>
                <w:szCs w:val="14"/>
                <w:color w:val="58595B"/>
              </w:rPr>
              <w:t>1.5%</w:t>
            </w:r>
          </w:p>
        </w:tc>
        <w:tc>
          <w:tcPr>
            <w:tcW w:w="0" w:type="dxa"/>
            <w:vAlign w:val="bottom"/>
          </w:tcPr>
          <w:p>
            <w:pPr>
              <w:spacing w:after="0"/>
              <w:rPr>
                <w:sz w:val="1"/>
                <w:szCs w:val="1"/>
                <w:color w:val="auto"/>
              </w:rPr>
            </w:pPr>
          </w:p>
        </w:tc>
      </w:tr>
      <w:tr>
        <w:trPr>
          <w:trHeight w:val="20"/>
        </w:trPr>
        <w:tc>
          <w:tcPr>
            <w:tcW w:w="7660" w:type="dxa"/>
            <w:vAlign w:val="bottom"/>
            <w:tcBorders>
              <w:top w:val="single" w:sz="8" w:color="EFEDED"/>
              <w:bottom w:val="single" w:sz="8" w:color="EFEDED"/>
            </w:tcBorders>
            <w:vMerge w:val="restart"/>
          </w:tcPr>
          <w:p>
            <w:pPr>
              <w:ind w:left="100"/>
              <w:spacing w:after="0"/>
              <w:rPr>
                <w:sz w:val="20"/>
                <w:szCs w:val="20"/>
                <w:color w:val="auto"/>
              </w:rPr>
            </w:pPr>
            <w:r>
              <w:rPr>
                <w:rFonts w:ascii="Arial" w:cs="Arial" w:eastAsia="Arial" w:hAnsi="Arial"/>
                <w:sz w:val="14"/>
                <w:szCs w:val="14"/>
                <w:b w:val="1"/>
                <w:bCs w:val="1"/>
                <w:color w:val="58595B"/>
              </w:rPr>
              <w:t>Non-GAAP Adjustments</w:t>
            </w:r>
          </w:p>
        </w:tc>
        <w:tc>
          <w:tcPr>
            <w:tcW w:w="220" w:type="dxa"/>
            <w:vAlign w:val="bottom"/>
            <w:tcBorders>
              <w:top w:val="single" w:sz="8" w:color="EFEDED"/>
            </w:tcBorders>
          </w:tcPr>
          <w:p>
            <w:pPr>
              <w:spacing w:after="0" w:line="20" w:lineRule="exact"/>
              <w:rPr>
                <w:sz w:val="1"/>
                <w:szCs w:val="1"/>
                <w:color w:val="auto"/>
              </w:rPr>
            </w:pPr>
          </w:p>
        </w:tc>
        <w:tc>
          <w:tcPr>
            <w:tcW w:w="260" w:type="dxa"/>
            <w:vAlign w:val="bottom"/>
            <w:tcBorders>
              <w:top w:val="single" w:sz="8" w:color="EFEDED"/>
              <w:bottom w:val="single" w:sz="8" w:color="auto"/>
            </w:tcBorders>
          </w:tcPr>
          <w:p>
            <w:pPr>
              <w:spacing w:after="0" w:line="20" w:lineRule="exact"/>
              <w:rPr>
                <w:sz w:val="1"/>
                <w:szCs w:val="1"/>
                <w:color w:val="auto"/>
              </w:rPr>
            </w:pPr>
          </w:p>
        </w:tc>
        <w:tc>
          <w:tcPr>
            <w:tcW w:w="920" w:type="dxa"/>
            <w:vAlign w:val="bottom"/>
            <w:tcBorders>
              <w:top w:val="single" w:sz="8" w:color="EFEDED"/>
              <w:bottom w:val="single" w:sz="8" w:color="auto"/>
            </w:tcBorders>
          </w:tcPr>
          <w:p>
            <w:pPr>
              <w:spacing w:after="0" w:line="20" w:lineRule="exact"/>
              <w:rPr>
                <w:sz w:val="1"/>
                <w:szCs w:val="1"/>
                <w:color w:val="auto"/>
              </w:rPr>
            </w:pPr>
          </w:p>
        </w:tc>
        <w:tc>
          <w:tcPr>
            <w:tcW w:w="260" w:type="dxa"/>
            <w:vAlign w:val="bottom"/>
            <w:tcBorders>
              <w:top w:val="single" w:sz="8" w:color="EFEDED"/>
              <w:bottom w:val="single" w:sz="8" w:color="auto"/>
            </w:tcBorders>
          </w:tcPr>
          <w:p>
            <w:pPr>
              <w:spacing w:after="0" w:line="20" w:lineRule="exact"/>
              <w:rPr>
                <w:sz w:val="1"/>
                <w:szCs w:val="1"/>
                <w:color w:val="auto"/>
              </w:rPr>
            </w:pPr>
          </w:p>
        </w:tc>
        <w:tc>
          <w:tcPr>
            <w:tcW w:w="1060" w:type="dxa"/>
            <w:vAlign w:val="bottom"/>
            <w:tcBorders>
              <w:top w:val="single" w:sz="8" w:color="EFEDED"/>
              <w:bottom w:val="single" w:sz="8" w:color="auto"/>
            </w:tcBorders>
          </w:tcPr>
          <w:p>
            <w:pPr>
              <w:spacing w:after="0" w:line="20" w:lineRule="exact"/>
              <w:rPr>
                <w:sz w:val="1"/>
                <w:szCs w:val="1"/>
                <w:color w:val="auto"/>
              </w:rPr>
            </w:pPr>
          </w:p>
        </w:tc>
        <w:tc>
          <w:tcPr>
            <w:tcW w:w="860" w:type="dxa"/>
            <w:vAlign w:val="bottom"/>
            <w:tcBorders>
              <w:top w:val="single" w:sz="8" w:color="EF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66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4"/>
                <w:szCs w:val="14"/>
                <w:color w:val="58595B"/>
              </w:rPr>
              <w:t>Impact of changes in currency exchange rates</w:t>
            </w:r>
          </w:p>
        </w:tc>
        <w:tc>
          <w:tcPr>
            <w:tcW w:w="220" w:type="dxa"/>
            <w:vAlign w:val="bottom"/>
            <w:tcBorders>
              <w:bottom w:val="single" w:sz="8" w:color="EFEDED"/>
            </w:tcBorders>
            <w:shd w:val="clear" w:color="auto" w:fill="EFEDED"/>
          </w:tcPr>
          <w:p>
            <w:pPr>
              <w:spacing w:after="0"/>
              <w:rPr>
                <w:sz w:val="18"/>
                <w:szCs w:val="18"/>
                <w:color w:val="auto"/>
              </w:rPr>
            </w:pPr>
          </w:p>
        </w:tc>
        <w:tc>
          <w:tcPr>
            <w:tcW w:w="260" w:type="dxa"/>
            <w:vAlign w:val="bottom"/>
            <w:tcBorders>
              <w:bottom w:val="single" w:sz="8" w:color="EFEDED"/>
            </w:tcBorders>
            <w:shd w:val="clear" w:color="auto" w:fill="EFEDED"/>
          </w:tcPr>
          <w:p>
            <w:pPr>
              <w:spacing w:after="0"/>
              <w:rPr>
                <w:sz w:val="18"/>
                <w:szCs w:val="18"/>
                <w:color w:val="auto"/>
              </w:rPr>
            </w:pPr>
          </w:p>
        </w:tc>
        <w:tc>
          <w:tcPr>
            <w:tcW w:w="92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(6.7)</w:t>
            </w:r>
          </w:p>
        </w:tc>
        <w:tc>
          <w:tcPr>
            <w:tcW w:w="260" w:type="dxa"/>
            <w:vAlign w:val="bottom"/>
            <w:tcBorders>
              <w:bottom w:val="single" w:sz="8" w:color="EFEDED"/>
            </w:tcBorders>
            <w:shd w:val="clear" w:color="auto" w:fill="EFEDED"/>
          </w:tcPr>
          <w:p>
            <w:pPr>
              <w:spacing w:after="0"/>
              <w:rPr>
                <w:sz w:val="18"/>
                <w:szCs w:val="18"/>
                <w:color w:val="auto"/>
              </w:rPr>
            </w:pPr>
          </w:p>
        </w:tc>
        <w:tc>
          <w:tcPr>
            <w:tcW w:w="1060" w:type="dxa"/>
            <w:vAlign w:val="bottom"/>
            <w:tcBorders>
              <w:bottom w:val="single" w:sz="8" w:color="EFEDED"/>
            </w:tcBorders>
            <w:shd w:val="clear" w:color="auto" w:fill="EFEDED"/>
          </w:tcPr>
          <w:p>
            <w:pPr>
              <w:jc w:val="right"/>
              <w:ind w:right="168"/>
              <w:spacing w:after="0"/>
              <w:rPr>
                <w:sz w:val="20"/>
                <w:szCs w:val="20"/>
                <w:color w:val="auto"/>
              </w:rPr>
            </w:pPr>
            <w:r>
              <w:rPr>
                <w:rFonts w:ascii="Arial" w:cs="Arial" w:eastAsia="Arial" w:hAnsi="Arial"/>
                <w:sz w:val="14"/>
                <w:szCs w:val="14"/>
                <w:color w:val="58595B"/>
              </w:rPr>
              <w:t>—</w:t>
            </w:r>
          </w:p>
        </w:tc>
        <w:tc>
          <w:tcPr>
            <w:tcW w:w="860" w:type="dxa"/>
            <w:vAlign w:val="bottom"/>
            <w:tcBorders>
              <w:bottom w:val="single" w:sz="8" w:color="EFEDED"/>
            </w:tcBorders>
            <w:shd w:val="clear" w:color="auto" w:fill="EFEDED"/>
          </w:tcPr>
          <w:p>
            <w:pPr>
              <w:jc w:val="right"/>
              <w:ind w:right="10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08"/>
        </w:trPr>
        <w:tc>
          <w:tcPr>
            <w:tcW w:w="7660" w:type="dxa"/>
            <w:vAlign w:val="bottom"/>
          </w:tcPr>
          <w:p>
            <w:pPr>
              <w:ind w:left="260"/>
              <w:spacing w:after="0"/>
              <w:rPr>
                <w:sz w:val="20"/>
                <w:szCs w:val="20"/>
                <w:color w:val="auto"/>
              </w:rPr>
            </w:pPr>
            <w:r>
              <w:rPr>
                <w:rFonts w:ascii="Arial" w:cs="Arial" w:eastAsia="Arial" w:hAnsi="Arial"/>
                <w:sz w:val="14"/>
                <w:szCs w:val="14"/>
                <w:color w:val="58595B"/>
              </w:rPr>
              <w:t>Less contribution of revenues from acquisitions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58595B"/>
              </w:rPr>
              <w:t>(29.1)</w:t>
            </w:r>
          </w:p>
        </w:tc>
        <w:tc>
          <w:tcPr>
            <w:tcW w:w="260" w:type="dxa"/>
            <w:vAlign w:val="bottom"/>
          </w:tcPr>
          <w:p>
            <w:pPr>
              <w:spacing w:after="0"/>
              <w:rPr>
                <w:sz w:val="18"/>
                <w:szCs w:val="18"/>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58595B"/>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
        </w:trPr>
        <w:tc>
          <w:tcPr>
            <w:tcW w:w="7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4"/>
                <w:szCs w:val="14"/>
                <w:color w:val="58595B"/>
              </w:rPr>
              <w:t>Less contribution of revenues from divested products</w:t>
            </w:r>
          </w:p>
        </w:tc>
        <w:tc>
          <w:tcPr>
            <w:tcW w:w="220" w:type="dxa"/>
            <w:vAlign w:val="bottom"/>
            <w:tcBorders>
              <w:bottom w:val="single" w:sz="8" w:color="EFEDED"/>
            </w:tcBorders>
            <w:shd w:val="clear" w:color="auto" w:fill="EFEDED"/>
          </w:tcPr>
          <w:p>
            <w:pPr>
              <w:spacing w:after="0"/>
              <w:rPr>
                <w:sz w:val="18"/>
                <w:szCs w:val="18"/>
                <w:color w:val="auto"/>
              </w:rPr>
            </w:pPr>
          </w:p>
        </w:tc>
        <w:tc>
          <w:tcPr>
            <w:tcW w:w="260" w:type="dxa"/>
            <w:vAlign w:val="bottom"/>
            <w:tcBorders>
              <w:bottom w:val="single" w:sz="8" w:color="EFEDED"/>
            </w:tcBorders>
            <w:shd w:val="clear" w:color="auto" w:fill="EFEDED"/>
          </w:tcPr>
          <w:p>
            <w:pPr>
              <w:spacing w:after="0"/>
              <w:rPr>
                <w:sz w:val="18"/>
                <w:szCs w:val="18"/>
                <w:color w:val="auto"/>
              </w:rPr>
            </w:pPr>
          </w:p>
        </w:tc>
        <w:tc>
          <w:tcPr>
            <w:tcW w:w="92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260" w:type="dxa"/>
            <w:vAlign w:val="bottom"/>
            <w:tcBorders>
              <w:bottom w:val="single" w:sz="8" w:color="EFEDED"/>
            </w:tcBorders>
            <w:shd w:val="clear" w:color="auto" w:fill="EFEDED"/>
          </w:tcPr>
          <w:p>
            <w:pPr>
              <w:spacing w:after="0"/>
              <w:rPr>
                <w:sz w:val="18"/>
                <w:szCs w:val="18"/>
                <w:color w:val="auto"/>
              </w:rPr>
            </w:pPr>
          </w:p>
        </w:tc>
        <w:tc>
          <w:tcPr>
            <w:tcW w:w="1060" w:type="dxa"/>
            <w:vAlign w:val="bottom"/>
            <w:tcBorders>
              <w:bottom w:val="single" w:sz="8" w:color="EFEDED"/>
            </w:tcBorders>
            <w:shd w:val="clear" w:color="auto" w:fill="EFEDED"/>
          </w:tcPr>
          <w:p>
            <w:pPr>
              <w:jc w:val="right"/>
              <w:ind w:right="168"/>
              <w:spacing w:after="0"/>
              <w:rPr>
                <w:sz w:val="20"/>
                <w:szCs w:val="20"/>
                <w:color w:val="auto"/>
              </w:rPr>
            </w:pPr>
            <w:r>
              <w:rPr>
                <w:rFonts w:ascii="Arial" w:cs="Arial" w:eastAsia="Arial" w:hAnsi="Arial"/>
                <w:sz w:val="14"/>
                <w:szCs w:val="14"/>
                <w:color w:val="58595B"/>
              </w:rPr>
              <w:t>—</w:t>
            </w:r>
          </w:p>
        </w:tc>
        <w:tc>
          <w:tcPr>
            <w:tcW w:w="860" w:type="dxa"/>
            <w:vAlign w:val="bottom"/>
            <w:tcBorders>
              <w:bottom w:val="single" w:sz="8" w:color="EFEDED"/>
            </w:tcBorders>
            <w:shd w:val="clear" w:color="auto" w:fill="EFEDED"/>
          </w:tcPr>
          <w:p>
            <w:pPr>
              <w:jc w:val="right"/>
              <w:ind w:right="10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08"/>
        </w:trPr>
        <w:tc>
          <w:tcPr>
            <w:tcW w:w="7660" w:type="dxa"/>
            <w:vAlign w:val="bottom"/>
          </w:tcPr>
          <w:p>
            <w:pPr>
              <w:ind w:left="260"/>
              <w:spacing w:after="0"/>
              <w:rPr>
                <w:sz w:val="20"/>
                <w:szCs w:val="20"/>
                <w:color w:val="auto"/>
              </w:rPr>
            </w:pPr>
            <w:r>
              <w:rPr>
                <w:rFonts w:ascii="Arial" w:cs="Arial" w:eastAsia="Arial" w:hAnsi="Arial"/>
                <w:sz w:val="14"/>
                <w:szCs w:val="14"/>
                <w:color w:val="58595B"/>
              </w:rPr>
              <w:t>Less contribution of revenues from discontinued products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58595B"/>
              </w:rPr>
              <w:t>—</w:t>
            </w:r>
          </w:p>
        </w:tc>
        <w:tc>
          <w:tcPr>
            <w:tcW w:w="260" w:type="dxa"/>
            <w:vAlign w:val="bottom"/>
          </w:tcPr>
          <w:p>
            <w:pPr>
              <w:spacing w:after="0"/>
              <w:rPr>
                <w:sz w:val="18"/>
                <w:szCs w:val="18"/>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58595B"/>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
        </w:trPr>
        <w:tc>
          <w:tcPr>
            <w:tcW w:w="7660" w:type="dxa"/>
            <w:vAlign w:val="bottom"/>
            <w:tcBorders>
              <w:bottom w:val="single" w:sz="8" w:color="EFEDED"/>
            </w:tcBorders>
          </w:tcPr>
          <w:p>
            <w:pPr>
              <w:spacing w:after="0" w:line="20" w:lineRule="exact"/>
              <w:rPr>
                <w:sz w:val="1"/>
                <w:szCs w:val="1"/>
                <w:color w:val="auto"/>
              </w:rPr>
            </w:pPr>
          </w:p>
        </w:tc>
        <w:tc>
          <w:tcPr>
            <w:tcW w:w="220" w:type="dxa"/>
            <w:vAlign w:val="bottom"/>
            <w:tcBorders>
              <w:bottom w:val="single" w:sz="8" w:color="EFED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Subtotal of non-GAAP adjustments</w:t>
            </w:r>
          </w:p>
        </w:tc>
        <w:tc>
          <w:tcPr>
            <w:tcW w:w="220" w:type="dxa"/>
            <w:vAlign w:val="bottom"/>
            <w:tcBorders>
              <w:bottom w:val="single" w:sz="8" w:color="EFEDED"/>
            </w:tcBorders>
            <w:shd w:val="clear" w:color="auto" w:fill="EFEDED"/>
          </w:tcPr>
          <w:p>
            <w:pPr>
              <w:spacing w:after="0"/>
              <w:rPr>
                <w:sz w:val="19"/>
                <w:szCs w:val="19"/>
                <w:color w:val="auto"/>
              </w:rPr>
            </w:pPr>
          </w:p>
        </w:tc>
        <w:tc>
          <w:tcPr>
            <w:tcW w:w="260" w:type="dxa"/>
            <w:vAlign w:val="bottom"/>
            <w:tcBorders>
              <w:bottom w:val="single" w:sz="8" w:color="EFEDED"/>
            </w:tcBorders>
            <w:shd w:val="clear" w:color="auto" w:fill="EFEDED"/>
          </w:tcPr>
          <w:p>
            <w:pPr>
              <w:jc w:val="right"/>
              <w:ind w:right="88"/>
              <w:spacing w:after="0"/>
              <w:rPr>
                <w:sz w:val="20"/>
                <w:szCs w:val="20"/>
                <w:color w:val="auto"/>
              </w:rPr>
            </w:pPr>
            <w:r>
              <w:rPr>
                <w:rFonts w:ascii="Arial" w:cs="Arial" w:eastAsia="Arial" w:hAnsi="Arial"/>
                <w:sz w:val="14"/>
                <w:szCs w:val="14"/>
                <w:color w:val="58595B"/>
              </w:rPr>
              <w:t>$</w:t>
            </w:r>
          </w:p>
        </w:tc>
        <w:tc>
          <w:tcPr>
            <w:tcW w:w="92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(35.8)</w:t>
            </w:r>
          </w:p>
        </w:tc>
        <w:tc>
          <w:tcPr>
            <w:tcW w:w="26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color w:val="58595B"/>
              </w:rPr>
              <w:t>$</w:t>
            </w:r>
          </w:p>
        </w:tc>
        <w:tc>
          <w:tcPr>
            <w:tcW w:w="1060" w:type="dxa"/>
            <w:vAlign w:val="bottom"/>
            <w:tcBorders>
              <w:bottom w:val="single" w:sz="8" w:color="EFEDED"/>
            </w:tcBorders>
            <w:shd w:val="clear" w:color="auto" w:fill="EFEDED"/>
          </w:tcPr>
          <w:p>
            <w:pPr>
              <w:jc w:val="right"/>
              <w:ind w:right="168"/>
              <w:spacing w:after="0"/>
              <w:rPr>
                <w:sz w:val="20"/>
                <w:szCs w:val="20"/>
                <w:color w:val="auto"/>
              </w:rPr>
            </w:pPr>
            <w:r>
              <w:rPr>
                <w:rFonts w:ascii="Arial" w:cs="Arial" w:eastAsia="Arial" w:hAnsi="Arial"/>
                <w:sz w:val="14"/>
                <w:szCs w:val="14"/>
                <w:color w:val="58595B"/>
              </w:rPr>
              <w:t>—</w:t>
            </w:r>
          </w:p>
        </w:tc>
        <w:tc>
          <w:tcPr>
            <w:tcW w:w="860" w:type="dxa"/>
            <w:vAlign w:val="bottom"/>
            <w:tcBorders>
              <w:bottom w:val="single" w:sz="8" w:color="EFEDED"/>
            </w:tcBorders>
            <w:shd w:val="clear" w:color="auto" w:fill="EFEDED"/>
          </w:tcPr>
          <w:p>
            <w:pPr>
              <w:jc w:val="right"/>
              <w:ind w:right="10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58595B"/>
            </w:tcBorders>
          </w:tcPr>
          <w:p>
            <w:pPr>
              <w:ind w:left="100"/>
              <w:spacing w:after="0"/>
              <w:rPr>
                <w:sz w:val="20"/>
                <w:szCs w:val="20"/>
                <w:color w:val="auto"/>
              </w:rPr>
            </w:pPr>
            <w:r>
              <w:rPr>
                <w:rFonts w:ascii="Arial" w:cs="Arial" w:eastAsia="Arial" w:hAnsi="Arial"/>
                <w:sz w:val="14"/>
                <w:szCs w:val="14"/>
                <w:color w:val="58595B"/>
              </w:rPr>
              <w:t>Total Organic Revenues</w:t>
            </w:r>
            <w:r>
              <w:rPr>
                <w:rFonts w:ascii="Arial" w:cs="Arial" w:eastAsia="Arial" w:hAnsi="Arial"/>
                <w:sz w:val="18"/>
                <w:szCs w:val="18"/>
                <w:color w:val="58595B"/>
                <w:vertAlign w:val="superscript"/>
              </w:rPr>
              <w:t>(1)</w:t>
            </w:r>
          </w:p>
        </w:tc>
        <w:tc>
          <w:tcPr>
            <w:tcW w:w="220" w:type="dxa"/>
            <w:vAlign w:val="bottom"/>
            <w:tcBorders>
              <w:bottom w:val="single" w:sz="8" w:color="58595B"/>
            </w:tcBorders>
          </w:tcPr>
          <w:p>
            <w:pPr>
              <w:spacing w:after="0"/>
              <w:rPr>
                <w:sz w:val="19"/>
                <w:szCs w:val="19"/>
                <w:color w:val="auto"/>
              </w:rPr>
            </w:pPr>
          </w:p>
        </w:tc>
        <w:tc>
          <w:tcPr>
            <w:tcW w:w="260" w:type="dxa"/>
            <w:vAlign w:val="bottom"/>
            <w:tcBorders>
              <w:top w:val="single" w:sz="8" w:color="auto"/>
              <w:bottom w:val="single" w:sz="8" w:color="58595B"/>
            </w:tcBorders>
          </w:tcPr>
          <w:p>
            <w:pPr>
              <w:jc w:val="right"/>
              <w:ind w:right="88"/>
              <w:spacing w:after="0"/>
              <w:rPr>
                <w:sz w:val="20"/>
                <w:szCs w:val="20"/>
                <w:color w:val="auto"/>
              </w:rPr>
            </w:pPr>
            <w:r>
              <w:rPr>
                <w:rFonts w:ascii="Arial" w:cs="Arial" w:eastAsia="Arial" w:hAnsi="Arial"/>
                <w:sz w:val="14"/>
                <w:szCs w:val="14"/>
                <w:color w:val="58595B"/>
              </w:rPr>
              <w:t>$</w:t>
            </w:r>
          </w:p>
        </w:tc>
        <w:tc>
          <w:tcPr>
            <w:tcW w:w="920" w:type="dxa"/>
            <w:vAlign w:val="bottom"/>
            <w:tcBorders>
              <w:top w:val="single" w:sz="8" w:color="auto"/>
              <w:bottom w:val="single" w:sz="8" w:color="58595B"/>
            </w:tcBorders>
          </w:tcPr>
          <w:p>
            <w:pPr>
              <w:jc w:val="right"/>
              <w:spacing w:after="0"/>
              <w:rPr>
                <w:sz w:val="20"/>
                <w:szCs w:val="20"/>
                <w:color w:val="auto"/>
              </w:rPr>
            </w:pPr>
            <w:r>
              <w:rPr>
                <w:rFonts w:ascii="Arial" w:cs="Arial" w:eastAsia="Arial" w:hAnsi="Arial"/>
                <w:sz w:val="14"/>
                <w:szCs w:val="14"/>
                <w:color w:val="58595B"/>
              </w:rPr>
              <w:t>1,599.4</w:t>
            </w:r>
          </w:p>
        </w:tc>
        <w:tc>
          <w:tcPr>
            <w:tcW w:w="260" w:type="dxa"/>
            <w:vAlign w:val="bottom"/>
            <w:tcBorders>
              <w:top w:val="single" w:sz="8" w:color="auto"/>
              <w:bottom w:val="single" w:sz="8" w:color="58595B"/>
            </w:tcBorders>
          </w:tcPr>
          <w:p>
            <w:pPr>
              <w:ind w:left="20"/>
              <w:spacing w:after="0"/>
              <w:rPr>
                <w:sz w:val="20"/>
                <w:szCs w:val="20"/>
                <w:color w:val="auto"/>
              </w:rPr>
            </w:pPr>
            <w:r>
              <w:rPr>
                <w:rFonts w:ascii="Arial" w:cs="Arial" w:eastAsia="Arial" w:hAnsi="Arial"/>
                <w:sz w:val="14"/>
                <w:szCs w:val="14"/>
                <w:color w:val="58595B"/>
              </w:rPr>
              <w:t>$</w:t>
            </w:r>
          </w:p>
        </w:tc>
        <w:tc>
          <w:tcPr>
            <w:tcW w:w="1060" w:type="dxa"/>
            <w:vAlign w:val="bottom"/>
            <w:tcBorders>
              <w:top w:val="single" w:sz="8" w:color="auto"/>
              <w:bottom w:val="single" w:sz="8" w:color="58595B"/>
            </w:tcBorders>
          </w:tcPr>
          <w:p>
            <w:pPr>
              <w:jc w:val="right"/>
              <w:ind w:right="168"/>
              <w:spacing w:after="0"/>
              <w:rPr>
                <w:sz w:val="20"/>
                <w:szCs w:val="20"/>
                <w:color w:val="auto"/>
              </w:rPr>
            </w:pPr>
            <w:r>
              <w:rPr>
                <w:rFonts w:ascii="Arial" w:cs="Arial" w:eastAsia="Arial" w:hAnsi="Arial"/>
                <w:sz w:val="14"/>
                <w:szCs w:val="14"/>
                <w:color w:val="58595B"/>
              </w:rPr>
              <w:t>1,610.5</w:t>
            </w:r>
          </w:p>
        </w:tc>
        <w:tc>
          <w:tcPr>
            <w:tcW w:w="860" w:type="dxa"/>
            <w:vAlign w:val="bottom"/>
            <w:tcBorders>
              <w:top w:val="single" w:sz="8" w:color="auto"/>
              <w:bottom w:val="single" w:sz="8" w:color="58595B"/>
            </w:tcBorders>
          </w:tcPr>
          <w:p>
            <w:pPr>
              <w:jc w:val="right"/>
              <w:spacing w:after="0"/>
              <w:rPr>
                <w:sz w:val="20"/>
                <w:szCs w:val="20"/>
                <w:color w:val="auto"/>
              </w:rPr>
            </w:pPr>
            <w:r>
              <w:rPr>
                <w:rFonts w:ascii="Arial" w:cs="Arial" w:eastAsia="Arial" w:hAnsi="Arial"/>
                <w:sz w:val="14"/>
                <w:szCs w:val="14"/>
                <w:color w:val="58595B"/>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-1396365</wp:posOffset>
            </wp:positionV>
            <wp:extent cx="21342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06"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Organic revenues have been adjusted to exclude foreign currency (current period), acquisitions and to account for divested and discontinued products.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100" w:type="dxa"/>
            <w:vAlign w:val="bottom"/>
          </w:tcPr>
          <w:p>
            <w:pPr>
              <w:ind w:left="4880"/>
              <w:spacing w:after="0"/>
              <w:rPr>
                <w:sz w:val="20"/>
                <w:szCs w:val="20"/>
                <w:color w:val="auto"/>
              </w:rPr>
            </w:pPr>
            <w:r>
              <w:rPr>
                <w:rFonts w:ascii="Arial" w:cs="Arial" w:eastAsia="Arial" w:hAnsi="Arial"/>
                <w:sz w:val="13"/>
                <w:szCs w:val="13"/>
                <w:b w:val="1"/>
                <w:bCs w:val="1"/>
                <w:color w:val="009845"/>
                <w:w w:val="95"/>
              </w:rPr>
              <w:t>A-1</w:t>
            </w:r>
          </w:p>
        </w:tc>
      </w:tr>
      <w:tr>
        <w:trPr>
          <w:trHeight w:val="231"/>
        </w:trPr>
        <w:tc>
          <w:tcPr>
            <w:tcW w:w="6140" w:type="dxa"/>
            <w:vAlign w:val="bottom"/>
            <w:tcBorders>
              <w:bottom w:val="single" w:sz="8" w:color="9A9A9A"/>
            </w:tcBorders>
          </w:tcPr>
          <w:p>
            <w:pPr>
              <w:spacing w:after="0"/>
              <w:rPr>
                <w:sz w:val="20"/>
                <w:szCs w:val="20"/>
                <w:color w:val="auto"/>
              </w:rPr>
            </w:pPr>
          </w:p>
        </w:tc>
        <w:tc>
          <w:tcPr>
            <w:tcW w:w="51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color w:val="009845"/>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Reconciliation of GAAP Net Income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shd w:val="clear" w:color="auto" w:fill="009845"/>
          </w:tcPr>
          <w:p>
            <w:pPr>
              <w:spacing w:after="0"/>
              <w:rPr>
                <w:sz w:val="16"/>
                <w:szCs w:val="16"/>
                <w:color w:val="auto"/>
              </w:rPr>
            </w:pPr>
          </w:p>
        </w:tc>
        <w:tc>
          <w:tcPr>
            <w:tcW w:w="320" w:type="dxa"/>
            <w:vAlign w:val="bottom"/>
            <w:shd w:val="clear" w:color="auto" w:fill="009845"/>
          </w:tcPr>
          <w:p>
            <w:pPr>
              <w:spacing w:after="0"/>
              <w:rPr>
                <w:sz w:val="16"/>
                <w:szCs w:val="16"/>
                <w:color w:val="auto"/>
              </w:rPr>
            </w:pPr>
          </w:p>
        </w:tc>
        <w:tc>
          <w:tcPr>
            <w:tcW w:w="2680" w:type="dxa"/>
            <w:vAlign w:val="bottom"/>
            <w:gridSpan w:val="4"/>
            <w:shd w:val="clear" w:color="auto" w:fill="009845"/>
          </w:tcPr>
          <w:p>
            <w:pPr>
              <w:jc w:val="right"/>
              <w:ind w:right="668"/>
              <w:spacing w:after="0"/>
              <w:rPr>
                <w:sz w:val="20"/>
                <w:szCs w:val="20"/>
                <w:color w:val="auto"/>
              </w:rPr>
            </w:pPr>
            <w:r>
              <w:rPr>
                <w:rFonts w:ascii="Arial" w:cs="Arial" w:eastAsia="Arial" w:hAnsi="Arial"/>
                <w:sz w:val="14"/>
                <w:szCs w:val="14"/>
                <w:b w:val="1"/>
                <w:bCs w:val="1"/>
                <w:color w:val="FFFFFF"/>
              </w:rPr>
              <w:t>Twelve Months Ended</w:t>
            </w:r>
          </w:p>
        </w:tc>
      </w:tr>
      <w:tr>
        <w:trPr>
          <w:trHeight w:val="196"/>
        </w:trPr>
        <w:tc>
          <w:tcPr>
            <w:tcW w:w="8240" w:type="dxa"/>
            <w:vAlign w:val="bottom"/>
            <w:shd w:val="clear" w:color="auto" w:fill="009845"/>
          </w:tcPr>
          <w:p>
            <w:pPr>
              <w:spacing w:after="0"/>
              <w:rPr>
                <w:sz w:val="17"/>
                <w:szCs w:val="17"/>
                <w:color w:val="auto"/>
              </w:rPr>
            </w:pPr>
          </w:p>
        </w:tc>
        <w:tc>
          <w:tcPr>
            <w:tcW w:w="320" w:type="dxa"/>
            <w:vAlign w:val="bottom"/>
            <w:shd w:val="clear" w:color="auto" w:fill="009845"/>
          </w:tcPr>
          <w:p>
            <w:pPr>
              <w:spacing w:after="0"/>
              <w:rPr>
                <w:sz w:val="17"/>
                <w:szCs w:val="17"/>
                <w:color w:val="auto"/>
              </w:rPr>
            </w:pPr>
          </w:p>
        </w:tc>
        <w:tc>
          <w:tcPr>
            <w:tcW w:w="1760" w:type="dxa"/>
            <w:vAlign w:val="bottom"/>
            <w:gridSpan w:val="3"/>
            <w:shd w:val="clear" w:color="auto" w:fill="009845"/>
          </w:tcPr>
          <w:p>
            <w:pPr>
              <w:jc w:val="right"/>
              <w:ind w:right="48"/>
              <w:spacing w:after="0"/>
              <w:rPr>
                <w:sz w:val="20"/>
                <w:szCs w:val="20"/>
                <w:color w:val="auto"/>
              </w:rPr>
            </w:pPr>
            <w:r>
              <w:rPr>
                <w:rFonts w:ascii="Arial" w:cs="Arial" w:eastAsia="Arial" w:hAnsi="Arial"/>
                <w:sz w:val="14"/>
                <w:szCs w:val="14"/>
                <w:b w:val="1"/>
                <w:bCs w:val="1"/>
                <w:color w:val="FFFFFF"/>
              </w:rPr>
              <w:t>December 31,</w:t>
            </w:r>
          </w:p>
        </w:tc>
        <w:tc>
          <w:tcPr>
            <w:tcW w:w="920" w:type="dxa"/>
            <w:vAlign w:val="bottom"/>
            <w:shd w:val="clear" w:color="auto" w:fill="009845"/>
          </w:tcPr>
          <w:p>
            <w:pPr>
              <w:spacing w:after="0"/>
              <w:rPr>
                <w:sz w:val="17"/>
                <w:szCs w:val="17"/>
                <w:color w:val="auto"/>
              </w:rPr>
            </w:pPr>
          </w:p>
        </w:tc>
      </w:tr>
      <w:tr>
        <w:trPr>
          <w:trHeight w:val="243"/>
        </w:trPr>
        <w:tc>
          <w:tcPr>
            <w:tcW w:w="824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(in millions)</w:t>
            </w:r>
          </w:p>
        </w:tc>
        <w:tc>
          <w:tcPr>
            <w:tcW w:w="320" w:type="dxa"/>
            <w:vAlign w:val="bottom"/>
            <w:shd w:val="clear" w:color="auto" w:fill="009845"/>
          </w:tcPr>
          <w:p>
            <w:pPr>
              <w:spacing w:after="0"/>
              <w:rPr>
                <w:sz w:val="21"/>
                <w:szCs w:val="21"/>
                <w:color w:val="auto"/>
              </w:rPr>
            </w:pPr>
          </w:p>
        </w:tc>
        <w:tc>
          <w:tcPr>
            <w:tcW w:w="1080" w:type="dxa"/>
            <w:vAlign w:val="bottom"/>
            <w:shd w:val="clear" w:color="auto" w:fill="009845"/>
          </w:tcPr>
          <w:p>
            <w:pPr>
              <w:jc w:val="right"/>
              <w:ind w:right="468"/>
              <w:spacing w:after="0"/>
              <w:rPr>
                <w:sz w:val="20"/>
                <w:szCs w:val="20"/>
                <w:color w:val="auto"/>
              </w:rPr>
            </w:pPr>
            <w:r>
              <w:rPr>
                <w:rFonts w:ascii="Arial" w:cs="Arial" w:eastAsia="Arial" w:hAnsi="Arial"/>
                <w:sz w:val="14"/>
                <w:szCs w:val="14"/>
                <w:b w:val="1"/>
                <w:bCs w:val="1"/>
                <w:color w:val="FFFFFF"/>
              </w:rPr>
              <w:t>2025</w:t>
            </w:r>
          </w:p>
        </w:tc>
        <w:tc>
          <w:tcPr>
            <w:tcW w:w="280" w:type="dxa"/>
            <w:vAlign w:val="bottom"/>
            <w:shd w:val="clear" w:color="auto" w:fill="009845"/>
          </w:tcPr>
          <w:p>
            <w:pPr>
              <w:spacing w:after="0"/>
              <w:rPr>
                <w:sz w:val="21"/>
                <w:szCs w:val="21"/>
                <w:color w:val="auto"/>
              </w:rPr>
            </w:pPr>
          </w:p>
        </w:tc>
        <w:tc>
          <w:tcPr>
            <w:tcW w:w="400" w:type="dxa"/>
            <w:vAlign w:val="bottom"/>
            <w:shd w:val="clear" w:color="auto" w:fill="009845"/>
          </w:tcPr>
          <w:p>
            <w:pPr>
              <w:spacing w:after="0"/>
              <w:rPr>
                <w:sz w:val="21"/>
                <w:szCs w:val="21"/>
                <w:color w:val="auto"/>
              </w:rPr>
            </w:pPr>
          </w:p>
        </w:tc>
        <w:tc>
          <w:tcPr>
            <w:tcW w:w="920" w:type="dxa"/>
            <w:vAlign w:val="bottom"/>
            <w:shd w:val="clear" w:color="auto" w:fill="009845"/>
          </w:tcPr>
          <w:p>
            <w:pPr>
              <w:jc w:val="right"/>
              <w:ind w:right="428"/>
              <w:spacing w:after="0"/>
              <w:rPr>
                <w:sz w:val="20"/>
                <w:szCs w:val="20"/>
                <w:color w:val="auto"/>
              </w:rPr>
            </w:pPr>
            <w:r>
              <w:rPr>
                <w:rFonts w:ascii="Arial" w:cs="Arial" w:eastAsia="Arial" w:hAnsi="Arial"/>
                <w:sz w:val="14"/>
                <w:szCs w:val="14"/>
                <w:b w:val="1"/>
                <w:bCs w:val="1"/>
                <w:color w:val="FFFFFF"/>
              </w:rPr>
              <w:t>2024</w:t>
            </w:r>
          </w:p>
        </w:tc>
      </w:tr>
      <w:tr>
        <w:trPr>
          <w:trHeight w:val="70"/>
        </w:trPr>
        <w:tc>
          <w:tcPr>
            <w:tcW w:w="8240" w:type="dxa"/>
            <w:vAlign w:val="bottom"/>
            <w:shd w:val="clear" w:color="auto" w:fill="009845"/>
          </w:tcPr>
          <w:p>
            <w:pPr>
              <w:spacing w:after="0"/>
              <w:rPr>
                <w:sz w:val="6"/>
                <w:szCs w:val="6"/>
                <w:color w:val="auto"/>
              </w:rPr>
            </w:pPr>
          </w:p>
        </w:tc>
        <w:tc>
          <w:tcPr>
            <w:tcW w:w="320" w:type="dxa"/>
            <w:vAlign w:val="bottom"/>
            <w:shd w:val="clear" w:color="auto" w:fill="009845"/>
          </w:tcPr>
          <w:p>
            <w:pPr>
              <w:spacing w:after="0"/>
              <w:rPr>
                <w:sz w:val="6"/>
                <w:szCs w:val="6"/>
                <w:color w:val="auto"/>
              </w:rPr>
            </w:pPr>
          </w:p>
        </w:tc>
        <w:tc>
          <w:tcPr>
            <w:tcW w:w="1080" w:type="dxa"/>
            <w:vAlign w:val="bottom"/>
            <w:shd w:val="clear" w:color="auto" w:fill="009845"/>
          </w:tcPr>
          <w:p>
            <w:pPr>
              <w:spacing w:after="0"/>
              <w:rPr>
                <w:sz w:val="6"/>
                <w:szCs w:val="6"/>
                <w:color w:val="auto"/>
              </w:rPr>
            </w:pPr>
          </w:p>
        </w:tc>
        <w:tc>
          <w:tcPr>
            <w:tcW w:w="280" w:type="dxa"/>
            <w:vAlign w:val="bottom"/>
            <w:shd w:val="clear" w:color="auto" w:fill="009845"/>
          </w:tcPr>
          <w:p>
            <w:pPr>
              <w:spacing w:after="0"/>
              <w:rPr>
                <w:sz w:val="6"/>
                <w:szCs w:val="6"/>
                <w:color w:val="auto"/>
              </w:rPr>
            </w:pPr>
          </w:p>
        </w:tc>
        <w:tc>
          <w:tcPr>
            <w:tcW w:w="400" w:type="dxa"/>
            <w:vAlign w:val="bottom"/>
            <w:shd w:val="clear" w:color="auto" w:fill="009845"/>
          </w:tcPr>
          <w:p>
            <w:pPr>
              <w:spacing w:after="0"/>
              <w:rPr>
                <w:sz w:val="6"/>
                <w:szCs w:val="6"/>
                <w:color w:val="auto"/>
              </w:rPr>
            </w:pPr>
          </w:p>
        </w:tc>
        <w:tc>
          <w:tcPr>
            <w:tcW w:w="920" w:type="dxa"/>
            <w:vAlign w:val="bottom"/>
            <w:shd w:val="clear" w:color="auto" w:fill="009845"/>
          </w:tcPr>
          <w:p>
            <w:pPr>
              <w:spacing w:after="0"/>
              <w:rPr>
                <w:sz w:val="6"/>
                <w:szCs w:val="6"/>
                <w:color w:val="auto"/>
              </w:rPr>
            </w:pPr>
          </w:p>
        </w:tc>
      </w:tr>
      <w:tr>
        <w:trPr>
          <w:trHeight w:val="229"/>
        </w:trPr>
        <w:tc>
          <w:tcPr>
            <w:tcW w:w="8240" w:type="dxa"/>
            <w:vAlign w:val="bottom"/>
            <w:shd w:val="clear" w:color="auto" w:fill="ECEDED"/>
          </w:tcPr>
          <w:p>
            <w:pPr>
              <w:ind w:left="100"/>
              <w:spacing w:after="0"/>
              <w:rPr>
                <w:sz w:val="20"/>
                <w:szCs w:val="20"/>
                <w:color w:val="auto"/>
              </w:rPr>
            </w:pPr>
            <w:r>
              <w:rPr>
                <w:rFonts w:ascii="Arial" w:cs="Arial" w:eastAsia="Arial" w:hAnsi="Arial"/>
                <w:sz w:val="14"/>
                <w:szCs w:val="14"/>
                <w:b w:val="1"/>
                <w:bCs w:val="1"/>
                <w:color w:val="58595B"/>
              </w:rPr>
              <w:t>GAAP net (loss)</w:t>
            </w:r>
          </w:p>
        </w:tc>
        <w:tc>
          <w:tcPr>
            <w:tcW w:w="320" w:type="dxa"/>
            <w:vAlign w:val="bottom"/>
            <w:shd w:val="clear" w:color="auto" w:fill="ECEDED"/>
          </w:tcPr>
          <w:p>
            <w:pPr>
              <w:jc w:val="right"/>
              <w:ind w:right="148"/>
              <w:spacing w:after="0"/>
              <w:rPr>
                <w:sz w:val="20"/>
                <w:szCs w:val="20"/>
                <w:color w:val="auto"/>
              </w:rPr>
            </w:pPr>
            <w:r>
              <w:rPr>
                <w:rFonts w:ascii="Arial" w:cs="Arial" w:eastAsia="Arial" w:hAnsi="Arial"/>
                <w:sz w:val="14"/>
                <w:szCs w:val="14"/>
                <w:color w:val="58595B"/>
              </w:rPr>
              <w:t>$</w:t>
            </w:r>
          </w:p>
        </w:tc>
        <w:tc>
          <w:tcPr>
            <w:tcW w:w="1080" w:type="dxa"/>
            <w:vAlign w:val="bottom"/>
            <w:shd w:val="clear" w:color="auto" w:fill="ECEDED"/>
          </w:tcPr>
          <w:p>
            <w:pPr>
              <w:jc w:val="right"/>
              <w:ind w:right="88"/>
              <w:spacing w:after="0"/>
              <w:rPr>
                <w:sz w:val="20"/>
                <w:szCs w:val="20"/>
                <w:color w:val="auto"/>
              </w:rPr>
            </w:pPr>
            <w:r>
              <w:rPr>
                <w:rFonts w:ascii="Arial" w:cs="Arial" w:eastAsia="Arial" w:hAnsi="Arial"/>
                <w:sz w:val="14"/>
                <w:szCs w:val="14"/>
                <w:color w:val="58595B"/>
              </w:rPr>
              <w:t>(516.5)</w:t>
            </w:r>
          </w:p>
        </w:tc>
        <w:tc>
          <w:tcPr>
            <w:tcW w:w="680" w:type="dxa"/>
            <w:vAlign w:val="bottom"/>
            <w:gridSpan w:val="2"/>
            <w:shd w:val="clear" w:color="auto" w:fill="ECEDED"/>
          </w:tcPr>
          <w:p>
            <w:pPr>
              <w:jc w:val="right"/>
              <w:ind w:right="228"/>
              <w:spacing w:after="0"/>
              <w:rPr>
                <w:sz w:val="20"/>
                <w:szCs w:val="20"/>
                <w:color w:val="auto"/>
              </w:rPr>
            </w:pPr>
            <w:r>
              <w:rPr>
                <w:rFonts w:ascii="Arial" w:cs="Arial" w:eastAsia="Arial" w:hAnsi="Arial"/>
                <w:sz w:val="14"/>
                <w:szCs w:val="14"/>
                <w:color w:val="58595B"/>
              </w:rPr>
              <w:t>$</w:t>
            </w:r>
          </w:p>
        </w:tc>
        <w:tc>
          <w:tcPr>
            <w:tcW w:w="920" w:type="dxa"/>
            <w:vAlign w:val="bottom"/>
            <w:shd w:val="clear" w:color="auto" w:fill="ECEDED"/>
          </w:tcPr>
          <w:p>
            <w:pPr>
              <w:jc w:val="right"/>
              <w:ind w:right="68"/>
              <w:spacing w:after="0"/>
              <w:rPr>
                <w:sz w:val="20"/>
                <w:szCs w:val="20"/>
                <w:color w:val="auto"/>
              </w:rPr>
            </w:pPr>
            <w:r>
              <w:rPr>
                <w:rFonts w:ascii="Arial" w:cs="Arial" w:eastAsia="Arial" w:hAnsi="Arial"/>
                <w:sz w:val="14"/>
                <w:szCs w:val="14"/>
                <w:color w:val="58595B"/>
              </w:rPr>
              <w:t>(6.9)</w:t>
            </w:r>
          </w:p>
        </w:tc>
      </w:tr>
      <w:tr>
        <w:trPr>
          <w:trHeight w:val="222"/>
        </w:trPr>
        <w:tc>
          <w:tcPr>
            <w:tcW w:w="8240" w:type="dxa"/>
            <w:vAlign w:val="bottom"/>
          </w:tcPr>
          <w:p>
            <w:pPr>
              <w:ind w:left="100"/>
              <w:spacing w:after="0"/>
              <w:rPr>
                <w:sz w:val="20"/>
                <w:szCs w:val="20"/>
                <w:color w:val="auto"/>
              </w:rPr>
            </w:pPr>
            <w:r>
              <w:rPr>
                <w:rFonts w:ascii="Arial" w:cs="Arial" w:eastAsia="Arial" w:hAnsi="Arial"/>
                <w:sz w:val="14"/>
                <w:szCs w:val="14"/>
                <w:b w:val="1"/>
                <w:bCs w:val="1"/>
                <w:color w:val="58595B"/>
              </w:rPr>
              <w:t>Non-GAAP adjustments: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7"/>
        </w:trPr>
        <w:tc>
          <w:tcPr>
            <w:tcW w:w="8240" w:type="dxa"/>
            <w:vAlign w:val="bottom"/>
            <w:tcBorders>
              <w:bottom w:val="single" w:sz="8" w:color="ECEDED"/>
            </w:tcBorders>
            <w:shd w:val="clear" w:color="auto" w:fill="ECEDED"/>
          </w:tcPr>
          <w:p>
            <w:pPr>
              <w:ind w:left="260"/>
              <w:spacing w:after="0"/>
              <w:rPr>
                <w:sz w:val="20"/>
                <w:szCs w:val="20"/>
                <w:color w:val="auto"/>
              </w:rPr>
            </w:pPr>
            <w:r>
              <w:rPr>
                <w:rFonts w:ascii="Arial" w:cs="Arial" w:eastAsia="Arial" w:hAnsi="Arial"/>
                <w:sz w:val="14"/>
                <w:szCs w:val="14"/>
                <w:color w:val="58595B"/>
              </w:rPr>
              <w:t>Depreciation and intangible asset amortization expense</w:t>
            </w:r>
          </w:p>
        </w:tc>
        <w:tc>
          <w:tcPr>
            <w:tcW w:w="320" w:type="dxa"/>
            <w:vAlign w:val="bottom"/>
            <w:tcBorders>
              <w:bottom w:val="single" w:sz="8" w:color="ECEDED"/>
            </w:tcBorders>
            <w:shd w:val="clear" w:color="auto" w:fill="ECEDED"/>
          </w:tcPr>
          <w:p>
            <w:pPr>
              <w:jc w:val="right"/>
              <w:ind w:right="148"/>
              <w:spacing w:after="0"/>
              <w:rPr>
                <w:sz w:val="20"/>
                <w:szCs w:val="20"/>
                <w:color w:val="auto"/>
              </w:rPr>
            </w:pPr>
            <w:r>
              <w:rPr>
                <w:rFonts w:ascii="Arial" w:cs="Arial" w:eastAsia="Arial" w:hAnsi="Arial"/>
                <w:sz w:val="14"/>
                <w:szCs w:val="14"/>
                <w:color w:val="58595B"/>
              </w:rPr>
              <w:t>$</w:t>
            </w:r>
          </w:p>
        </w:tc>
        <w:tc>
          <w:tcPr>
            <w:tcW w:w="1080" w:type="dxa"/>
            <w:vAlign w:val="bottom"/>
            <w:tcBorders>
              <w:bottom w:val="single" w:sz="8" w:color="ECEDED"/>
            </w:tcBorders>
            <w:shd w:val="clear" w:color="auto" w:fill="ECEDED"/>
          </w:tcPr>
          <w:p>
            <w:pPr>
              <w:jc w:val="right"/>
              <w:ind w:right="128"/>
              <w:spacing w:after="0"/>
              <w:rPr>
                <w:sz w:val="20"/>
                <w:szCs w:val="20"/>
                <w:color w:val="auto"/>
              </w:rPr>
            </w:pPr>
            <w:r>
              <w:rPr>
                <w:rFonts w:ascii="Arial" w:cs="Arial" w:eastAsia="Arial" w:hAnsi="Arial"/>
                <w:sz w:val="14"/>
                <w:szCs w:val="14"/>
                <w:color w:val="58595B"/>
              </w:rPr>
              <w:t>151.0</w:t>
            </w:r>
          </w:p>
        </w:tc>
        <w:tc>
          <w:tcPr>
            <w:tcW w:w="680" w:type="dxa"/>
            <w:vAlign w:val="bottom"/>
            <w:tcBorders>
              <w:bottom w:val="single" w:sz="8" w:color="ECEDED"/>
            </w:tcBorders>
            <w:gridSpan w:val="2"/>
            <w:shd w:val="clear" w:color="auto" w:fill="ECEDED"/>
          </w:tcPr>
          <w:p>
            <w:pPr>
              <w:jc w:val="right"/>
              <w:ind w:right="228"/>
              <w:spacing w:after="0"/>
              <w:rPr>
                <w:sz w:val="20"/>
                <w:szCs w:val="20"/>
                <w:color w:val="auto"/>
              </w:rPr>
            </w:pPr>
            <w:r>
              <w:rPr>
                <w:rFonts w:ascii="Arial" w:cs="Arial" w:eastAsia="Arial" w:hAnsi="Arial"/>
                <w:sz w:val="14"/>
                <w:szCs w:val="14"/>
                <w:color w:val="58595B"/>
              </w:rPr>
              <w:t>$</w:t>
            </w:r>
          </w:p>
        </w:tc>
        <w:tc>
          <w:tcPr>
            <w:tcW w:w="920" w:type="dxa"/>
            <w:vAlign w:val="bottom"/>
            <w:tcBorders>
              <w:bottom w:val="single" w:sz="8" w:color="ECEDED"/>
            </w:tcBorders>
            <w:shd w:val="clear" w:color="auto" w:fill="ECEDED"/>
          </w:tcPr>
          <w:p>
            <w:pPr>
              <w:jc w:val="right"/>
              <w:ind w:right="108"/>
              <w:spacing w:after="0"/>
              <w:rPr>
                <w:sz w:val="20"/>
                <w:szCs w:val="20"/>
                <w:color w:val="auto"/>
              </w:rPr>
            </w:pPr>
            <w:r>
              <w:rPr>
                <w:rFonts w:ascii="Arial" w:cs="Arial" w:eastAsia="Arial" w:hAnsi="Arial"/>
                <w:sz w:val="14"/>
                <w:szCs w:val="14"/>
                <w:color w:val="58595B"/>
              </w:rPr>
              <w:t>146.7</w:t>
            </w:r>
          </w:p>
        </w:tc>
      </w:tr>
      <w:tr>
        <w:trPr>
          <w:trHeight w:val="208"/>
        </w:trPr>
        <w:tc>
          <w:tcPr>
            <w:tcW w:w="8240" w:type="dxa"/>
            <w:vAlign w:val="bottom"/>
          </w:tcPr>
          <w:p>
            <w:pPr>
              <w:ind w:left="260"/>
              <w:spacing w:after="0"/>
              <w:rPr>
                <w:sz w:val="20"/>
                <w:szCs w:val="20"/>
                <w:color w:val="auto"/>
              </w:rPr>
            </w:pPr>
            <w:r>
              <w:rPr>
                <w:rFonts w:ascii="Arial" w:cs="Arial" w:eastAsia="Arial" w:hAnsi="Arial"/>
                <w:sz w:val="14"/>
                <w:szCs w:val="14"/>
                <w:color w:val="58595B"/>
              </w:rPr>
              <w:t>Goodwill impairment charges</w:t>
            </w:r>
          </w:p>
        </w:tc>
        <w:tc>
          <w:tcPr>
            <w:tcW w:w="320" w:type="dxa"/>
            <w:vAlign w:val="bottom"/>
          </w:tcPr>
          <w:p>
            <w:pPr>
              <w:jc w:val="right"/>
              <w:ind w:right="148"/>
              <w:spacing w:after="0"/>
              <w:rPr>
                <w:sz w:val="20"/>
                <w:szCs w:val="20"/>
                <w:color w:val="auto"/>
              </w:rPr>
            </w:pPr>
            <w:r>
              <w:rPr>
                <w:rFonts w:ascii="Arial" w:cs="Arial" w:eastAsia="Arial" w:hAnsi="Arial"/>
                <w:sz w:val="14"/>
                <w:szCs w:val="14"/>
                <w:color w:val="58595B"/>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58595B"/>
              </w:rPr>
              <w:t>511.4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8240" w:type="dxa"/>
            <w:vAlign w:val="bottom"/>
            <w:tcBorders>
              <w:bottom w:val="single" w:sz="8" w:color="ECEDED"/>
            </w:tcBorders>
            <w:shd w:val="clear" w:color="auto" w:fill="ECEDED"/>
          </w:tcPr>
          <w:p>
            <w:pPr>
              <w:ind w:left="260"/>
              <w:spacing w:after="0"/>
              <w:rPr>
                <w:sz w:val="20"/>
                <w:szCs w:val="20"/>
                <w:color w:val="auto"/>
              </w:rPr>
            </w:pPr>
            <w:r>
              <w:rPr>
                <w:rFonts w:ascii="Arial" w:cs="Arial" w:eastAsia="Arial" w:hAnsi="Arial"/>
                <w:sz w:val="14"/>
                <w:szCs w:val="14"/>
                <w:color w:val="58595B"/>
              </w:rPr>
              <w:t>Other (income), net</w:t>
            </w:r>
          </w:p>
        </w:tc>
        <w:tc>
          <w:tcPr>
            <w:tcW w:w="320" w:type="dxa"/>
            <w:vAlign w:val="bottom"/>
            <w:tcBorders>
              <w:bottom w:val="single" w:sz="8" w:color="ECEDED"/>
            </w:tcBorders>
            <w:shd w:val="clear" w:color="auto" w:fill="ECEDED"/>
          </w:tcPr>
          <w:p>
            <w:pPr>
              <w:jc w:val="right"/>
              <w:ind w:right="148"/>
              <w:spacing w:after="0"/>
              <w:rPr>
                <w:sz w:val="20"/>
                <w:szCs w:val="20"/>
                <w:color w:val="auto"/>
              </w:rPr>
            </w:pPr>
            <w:r>
              <w:rPr>
                <w:rFonts w:ascii="Arial" w:cs="Arial" w:eastAsia="Arial" w:hAnsi="Arial"/>
                <w:sz w:val="14"/>
                <w:szCs w:val="14"/>
                <w:color w:val="58595B"/>
              </w:rPr>
              <w:t>$</w:t>
            </w:r>
          </w:p>
        </w:tc>
        <w:tc>
          <w:tcPr>
            <w:tcW w:w="1080" w:type="dxa"/>
            <w:vAlign w:val="bottom"/>
            <w:tcBorders>
              <w:bottom w:val="single" w:sz="8" w:color="ECEDED"/>
            </w:tcBorders>
            <w:shd w:val="clear" w:color="auto" w:fill="ECEDED"/>
          </w:tcPr>
          <w:p>
            <w:pPr>
              <w:jc w:val="right"/>
              <w:ind w:right="128"/>
              <w:spacing w:after="0"/>
              <w:rPr>
                <w:sz w:val="20"/>
                <w:szCs w:val="20"/>
                <w:color w:val="auto"/>
              </w:rPr>
            </w:pPr>
            <w:r>
              <w:rPr>
                <w:rFonts w:ascii="Arial" w:cs="Arial" w:eastAsia="Arial" w:hAnsi="Arial"/>
                <w:sz w:val="14"/>
                <w:szCs w:val="14"/>
                <w:color w:val="58595B"/>
              </w:rPr>
              <w:t>2.6</w:t>
            </w:r>
          </w:p>
        </w:tc>
        <w:tc>
          <w:tcPr>
            <w:tcW w:w="680" w:type="dxa"/>
            <w:vAlign w:val="bottom"/>
            <w:tcBorders>
              <w:bottom w:val="single" w:sz="8" w:color="ECEDED"/>
            </w:tcBorders>
            <w:gridSpan w:val="2"/>
            <w:shd w:val="clear" w:color="auto" w:fill="ECEDED"/>
          </w:tcPr>
          <w:p>
            <w:pPr>
              <w:jc w:val="right"/>
              <w:ind w:right="228"/>
              <w:spacing w:after="0"/>
              <w:rPr>
                <w:sz w:val="20"/>
                <w:szCs w:val="20"/>
                <w:color w:val="auto"/>
              </w:rPr>
            </w:pPr>
            <w:r>
              <w:rPr>
                <w:rFonts w:ascii="Arial" w:cs="Arial" w:eastAsia="Arial" w:hAnsi="Arial"/>
                <w:sz w:val="14"/>
                <w:szCs w:val="14"/>
                <w:color w:val="58595B"/>
              </w:rPr>
              <w:t>$</w:t>
            </w:r>
          </w:p>
        </w:tc>
        <w:tc>
          <w:tcPr>
            <w:tcW w:w="920" w:type="dxa"/>
            <w:vAlign w:val="bottom"/>
            <w:tcBorders>
              <w:bottom w:val="single" w:sz="8" w:color="ECEDED"/>
            </w:tcBorders>
            <w:shd w:val="clear" w:color="auto" w:fill="ECEDED"/>
          </w:tcPr>
          <w:p>
            <w:pPr>
              <w:jc w:val="right"/>
              <w:ind w:right="68"/>
              <w:spacing w:after="0"/>
              <w:rPr>
                <w:sz w:val="20"/>
                <w:szCs w:val="20"/>
                <w:color w:val="auto"/>
              </w:rPr>
            </w:pPr>
            <w:r>
              <w:rPr>
                <w:rFonts w:ascii="Arial" w:cs="Arial" w:eastAsia="Arial" w:hAnsi="Arial"/>
                <w:sz w:val="14"/>
                <w:szCs w:val="14"/>
                <w:color w:val="58595B"/>
              </w:rPr>
              <w:t>(4.2)</w:t>
            </w:r>
          </w:p>
        </w:tc>
      </w:tr>
      <w:tr>
        <w:trPr>
          <w:trHeight w:val="208"/>
        </w:trPr>
        <w:tc>
          <w:tcPr>
            <w:tcW w:w="8240" w:type="dxa"/>
            <w:vAlign w:val="bottom"/>
          </w:tcPr>
          <w:p>
            <w:pPr>
              <w:ind w:left="260"/>
              <w:spacing w:after="0"/>
              <w:rPr>
                <w:sz w:val="20"/>
                <w:szCs w:val="20"/>
                <w:color w:val="auto"/>
              </w:rPr>
            </w:pPr>
            <w:r>
              <w:rPr>
                <w:rFonts w:ascii="Arial" w:cs="Arial" w:eastAsia="Arial" w:hAnsi="Arial"/>
                <w:sz w:val="14"/>
                <w:szCs w:val="14"/>
                <w:color w:val="58595B"/>
              </w:rPr>
              <w:t>Interest expense, net</w:t>
            </w:r>
          </w:p>
        </w:tc>
        <w:tc>
          <w:tcPr>
            <w:tcW w:w="320" w:type="dxa"/>
            <w:vAlign w:val="bottom"/>
          </w:tcPr>
          <w:p>
            <w:pPr>
              <w:jc w:val="right"/>
              <w:ind w:right="148"/>
              <w:spacing w:after="0"/>
              <w:rPr>
                <w:sz w:val="20"/>
                <w:szCs w:val="20"/>
                <w:color w:val="auto"/>
              </w:rPr>
            </w:pPr>
            <w:r>
              <w:rPr>
                <w:rFonts w:ascii="Arial" w:cs="Arial" w:eastAsia="Arial" w:hAnsi="Arial"/>
                <w:sz w:val="14"/>
                <w:szCs w:val="14"/>
                <w:color w:val="58595B"/>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58595B"/>
              </w:rPr>
              <w:t>66.2</w:t>
            </w:r>
          </w:p>
        </w:tc>
        <w:tc>
          <w:tcPr>
            <w:tcW w:w="680" w:type="dxa"/>
            <w:vAlign w:val="bottom"/>
            <w:gridSpan w:val="2"/>
          </w:tcPr>
          <w:p>
            <w:pPr>
              <w:jc w:val="right"/>
              <w:ind w:right="228"/>
              <w:spacing w:after="0"/>
              <w:rPr>
                <w:sz w:val="20"/>
                <w:szCs w:val="20"/>
                <w:color w:val="auto"/>
              </w:rPr>
            </w:pPr>
            <w:r>
              <w:rPr>
                <w:rFonts w:ascii="Arial" w:cs="Arial" w:eastAsia="Arial" w:hAnsi="Arial"/>
                <w:sz w:val="14"/>
                <w:szCs w:val="14"/>
                <w:color w:val="58595B"/>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58595B"/>
              </w:rPr>
              <w:t>50.6</w:t>
            </w:r>
          </w:p>
        </w:tc>
      </w:tr>
      <w:tr>
        <w:trPr>
          <w:trHeight w:val="22"/>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8240" w:type="dxa"/>
            <w:vAlign w:val="bottom"/>
            <w:tcBorders>
              <w:bottom w:val="single" w:sz="8" w:color="ECEDED"/>
            </w:tcBorders>
            <w:shd w:val="clear" w:color="auto" w:fill="ECEDED"/>
          </w:tcPr>
          <w:p>
            <w:pPr>
              <w:ind w:left="260"/>
              <w:spacing w:after="0"/>
              <w:rPr>
                <w:sz w:val="20"/>
                <w:szCs w:val="20"/>
                <w:color w:val="auto"/>
              </w:rPr>
            </w:pPr>
            <w:r>
              <w:rPr>
                <w:rFonts w:ascii="Arial" w:cs="Arial" w:eastAsia="Arial" w:hAnsi="Arial"/>
                <w:sz w:val="14"/>
                <w:szCs w:val="14"/>
                <w:color w:val="58595B"/>
              </w:rPr>
              <w:t>Income tax expense (benefit)</w:t>
            </w:r>
          </w:p>
        </w:tc>
        <w:tc>
          <w:tcPr>
            <w:tcW w:w="320" w:type="dxa"/>
            <w:vAlign w:val="bottom"/>
            <w:tcBorders>
              <w:bottom w:val="single" w:sz="8" w:color="ECEDED"/>
            </w:tcBorders>
            <w:shd w:val="clear" w:color="auto" w:fill="ECEDED"/>
          </w:tcPr>
          <w:p>
            <w:pPr>
              <w:jc w:val="right"/>
              <w:ind w:right="148"/>
              <w:spacing w:after="0"/>
              <w:rPr>
                <w:sz w:val="20"/>
                <w:szCs w:val="20"/>
                <w:color w:val="auto"/>
              </w:rPr>
            </w:pPr>
            <w:r>
              <w:rPr>
                <w:rFonts w:ascii="Arial" w:cs="Arial" w:eastAsia="Arial" w:hAnsi="Arial"/>
                <w:sz w:val="14"/>
                <w:szCs w:val="14"/>
                <w:color w:val="58595B"/>
              </w:rPr>
              <w:t>$</w:t>
            </w:r>
          </w:p>
        </w:tc>
        <w:tc>
          <w:tcPr>
            <w:tcW w:w="1080" w:type="dxa"/>
            <w:vAlign w:val="bottom"/>
            <w:tcBorders>
              <w:bottom w:val="single" w:sz="8" w:color="ECEDED"/>
            </w:tcBorders>
            <w:shd w:val="clear" w:color="auto" w:fill="ECEDED"/>
          </w:tcPr>
          <w:p>
            <w:pPr>
              <w:jc w:val="right"/>
              <w:ind w:right="88"/>
              <w:spacing w:after="0"/>
              <w:rPr>
                <w:sz w:val="20"/>
                <w:szCs w:val="20"/>
                <w:color w:val="auto"/>
              </w:rPr>
            </w:pPr>
            <w:r>
              <w:rPr>
                <w:rFonts w:ascii="Arial" w:cs="Arial" w:eastAsia="Arial" w:hAnsi="Arial"/>
                <w:sz w:val="14"/>
                <w:szCs w:val="14"/>
                <w:color w:val="58595B"/>
              </w:rPr>
              <w:t>(47.0)</w:t>
            </w:r>
          </w:p>
        </w:tc>
        <w:tc>
          <w:tcPr>
            <w:tcW w:w="680" w:type="dxa"/>
            <w:vAlign w:val="bottom"/>
            <w:tcBorders>
              <w:bottom w:val="single" w:sz="8" w:color="ECEDED"/>
            </w:tcBorders>
            <w:gridSpan w:val="2"/>
            <w:shd w:val="clear" w:color="auto" w:fill="ECEDED"/>
          </w:tcPr>
          <w:p>
            <w:pPr>
              <w:jc w:val="right"/>
              <w:ind w:right="228"/>
              <w:spacing w:after="0"/>
              <w:rPr>
                <w:sz w:val="20"/>
                <w:szCs w:val="20"/>
                <w:color w:val="auto"/>
              </w:rPr>
            </w:pPr>
            <w:r>
              <w:rPr>
                <w:rFonts w:ascii="Arial" w:cs="Arial" w:eastAsia="Arial" w:hAnsi="Arial"/>
                <w:sz w:val="14"/>
                <w:szCs w:val="14"/>
                <w:color w:val="58595B"/>
              </w:rPr>
              <w:t>$</w:t>
            </w:r>
          </w:p>
        </w:tc>
        <w:tc>
          <w:tcPr>
            <w:tcW w:w="920" w:type="dxa"/>
            <w:vAlign w:val="bottom"/>
            <w:tcBorders>
              <w:bottom w:val="single" w:sz="8" w:color="ECEDED"/>
            </w:tcBorders>
            <w:shd w:val="clear" w:color="auto" w:fill="ECEDED"/>
          </w:tcPr>
          <w:p>
            <w:pPr>
              <w:jc w:val="right"/>
              <w:ind w:right="68"/>
              <w:spacing w:after="0"/>
              <w:rPr>
                <w:sz w:val="20"/>
                <w:szCs w:val="20"/>
                <w:color w:val="auto"/>
              </w:rPr>
            </w:pPr>
            <w:r>
              <w:rPr>
                <w:rFonts w:ascii="Arial" w:cs="Arial" w:eastAsia="Arial" w:hAnsi="Arial"/>
                <w:sz w:val="14"/>
                <w:szCs w:val="14"/>
                <w:color w:val="58595B"/>
              </w:rPr>
              <w:t>(11.3)</w:t>
            </w:r>
          </w:p>
        </w:tc>
      </w:tr>
      <w:tr>
        <w:trPr>
          <w:trHeight w:val="208"/>
        </w:trPr>
        <w:tc>
          <w:tcPr>
            <w:tcW w:w="8240" w:type="dxa"/>
            <w:vAlign w:val="bottom"/>
          </w:tcPr>
          <w:p>
            <w:pPr>
              <w:ind w:left="260"/>
              <w:spacing w:after="0"/>
              <w:rPr>
                <w:sz w:val="20"/>
                <w:szCs w:val="20"/>
                <w:color w:val="auto"/>
              </w:rPr>
            </w:pPr>
            <w:r>
              <w:rPr>
                <w:rFonts w:ascii="Arial" w:cs="Arial" w:eastAsia="Arial" w:hAnsi="Arial"/>
                <w:sz w:val="14"/>
                <w:szCs w:val="14"/>
                <w:color w:val="58595B"/>
              </w:rPr>
              <w:t>Structural optimization charges</w:t>
            </w:r>
          </w:p>
        </w:tc>
        <w:tc>
          <w:tcPr>
            <w:tcW w:w="320" w:type="dxa"/>
            <w:vAlign w:val="bottom"/>
          </w:tcPr>
          <w:p>
            <w:pPr>
              <w:jc w:val="right"/>
              <w:ind w:right="148"/>
              <w:spacing w:after="0"/>
              <w:rPr>
                <w:sz w:val="20"/>
                <w:szCs w:val="20"/>
                <w:color w:val="auto"/>
              </w:rPr>
            </w:pPr>
            <w:r>
              <w:rPr>
                <w:rFonts w:ascii="Arial" w:cs="Arial" w:eastAsia="Arial" w:hAnsi="Arial"/>
                <w:sz w:val="14"/>
                <w:szCs w:val="14"/>
                <w:color w:val="58595B"/>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58595B"/>
              </w:rPr>
              <w:t>48.0</w:t>
            </w:r>
          </w:p>
        </w:tc>
        <w:tc>
          <w:tcPr>
            <w:tcW w:w="680" w:type="dxa"/>
            <w:vAlign w:val="bottom"/>
            <w:gridSpan w:val="2"/>
          </w:tcPr>
          <w:p>
            <w:pPr>
              <w:jc w:val="right"/>
              <w:ind w:right="228"/>
              <w:spacing w:after="0"/>
              <w:rPr>
                <w:sz w:val="20"/>
                <w:szCs w:val="20"/>
                <w:color w:val="auto"/>
              </w:rPr>
            </w:pPr>
            <w:r>
              <w:rPr>
                <w:rFonts w:ascii="Arial" w:cs="Arial" w:eastAsia="Arial" w:hAnsi="Arial"/>
                <w:sz w:val="14"/>
                <w:szCs w:val="14"/>
                <w:color w:val="58595B"/>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58595B"/>
              </w:rPr>
              <w:t>24.2</w:t>
            </w:r>
          </w:p>
        </w:tc>
      </w:tr>
      <w:tr>
        <w:trPr>
          <w:trHeight w:val="22"/>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8240" w:type="dxa"/>
            <w:vAlign w:val="bottom"/>
            <w:tcBorders>
              <w:bottom w:val="single" w:sz="8" w:color="ECEDED"/>
            </w:tcBorders>
            <w:shd w:val="clear" w:color="auto" w:fill="ECEDED"/>
          </w:tcPr>
          <w:p>
            <w:pPr>
              <w:ind w:left="260"/>
              <w:spacing w:after="0"/>
              <w:rPr>
                <w:sz w:val="20"/>
                <w:szCs w:val="20"/>
                <w:color w:val="auto"/>
              </w:rPr>
            </w:pPr>
            <w:r>
              <w:rPr>
                <w:rFonts w:ascii="Arial" w:cs="Arial" w:eastAsia="Arial" w:hAnsi="Arial"/>
                <w:sz w:val="14"/>
                <w:szCs w:val="14"/>
                <w:color w:val="58595B"/>
              </w:rPr>
              <w:t>EU Medical Device Regulation charges</w:t>
            </w:r>
          </w:p>
        </w:tc>
        <w:tc>
          <w:tcPr>
            <w:tcW w:w="320" w:type="dxa"/>
            <w:vAlign w:val="bottom"/>
            <w:tcBorders>
              <w:bottom w:val="single" w:sz="8" w:color="ECEDED"/>
            </w:tcBorders>
            <w:shd w:val="clear" w:color="auto" w:fill="ECEDED"/>
          </w:tcPr>
          <w:p>
            <w:pPr>
              <w:jc w:val="right"/>
              <w:ind w:right="148"/>
              <w:spacing w:after="0"/>
              <w:rPr>
                <w:sz w:val="20"/>
                <w:szCs w:val="20"/>
                <w:color w:val="auto"/>
              </w:rPr>
            </w:pPr>
            <w:r>
              <w:rPr>
                <w:rFonts w:ascii="Arial" w:cs="Arial" w:eastAsia="Arial" w:hAnsi="Arial"/>
                <w:sz w:val="14"/>
                <w:szCs w:val="14"/>
                <w:color w:val="58595B"/>
              </w:rPr>
              <w:t>$</w:t>
            </w:r>
          </w:p>
        </w:tc>
        <w:tc>
          <w:tcPr>
            <w:tcW w:w="1080" w:type="dxa"/>
            <w:vAlign w:val="bottom"/>
            <w:tcBorders>
              <w:bottom w:val="single" w:sz="8" w:color="ECEDED"/>
            </w:tcBorders>
            <w:shd w:val="clear" w:color="auto" w:fill="ECEDED"/>
          </w:tcPr>
          <w:p>
            <w:pPr>
              <w:jc w:val="right"/>
              <w:ind w:right="128"/>
              <w:spacing w:after="0"/>
              <w:rPr>
                <w:sz w:val="20"/>
                <w:szCs w:val="20"/>
                <w:color w:val="auto"/>
              </w:rPr>
            </w:pPr>
            <w:r>
              <w:rPr>
                <w:rFonts w:ascii="Arial" w:cs="Arial" w:eastAsia="Arial" w:hAnsi="Arial"/>
                <w:sz w:val="14"/>
                <w:szCs w:val="14"/>
                <w:color w:val="58595B"/>
              </w:rPr>
              <w:t>41.9</w:t>
            </w:r>
          </w:p>
        </w:tc>
        <w:tc>
          <w:tcPr>
            <w:tcW w:w="680" w:type="dxa"/>
            <w:vAlign w:val="bottom"/>
            <w:tcBorders>
              <w:bottom w:val="single" w:sz="8" w:color="ECEDED"/>
            </w:tcBorders>
            <w:gridSpan w:val="2"/>
            <w:shd w:val="clear" w:color="auto" w:fill="ECEDED"/>
          </w:tcPr>
          <w:p>
            <w:pPr>
              <w:jc w:val="right"/>
              <w:ind w:right="228"/>
              <w:spacing w:after="0"/>
              <w:rPr>
                <w:sz w:val="20"/>
                <w:szCs w:val="20"/>
                <w:color w:val="auto"/>
              </w:rPr>
            </w:pPr>
            <w:r>
              <w:rPr>
                <w:rFonts w:ascii="Arial" w:cs="Arial" w:eastAsia="Arial" w:hAnsi="Arial"/>
                <w:sz w:val="14"/>
                <w:szCs w:val="14"/>
                <w:color w:val="58595B"/>
              </w:rPr>
              <w:t>$</w:t>
            </w:r>
          </w:p>
        </w:tc>
        <w:tc>
          <w:tcPr>
            <w:tcW w:w="920" w:type="dxa"/>
            <w:vAlign w:val="bottom"/>
            <w:tcBorders>
              <w:bottom w:val="single" w:sz="8" w:color="ECEDED"/>
            </w:tcBorders>
            <w:shd w:val="clear" w:color="auto" w:fill="ECEDED"/>
          </w:tcPr>
          <w:p>
            <w:pPr>
              <w:jc w:val="right"/>
              <w:ind w:right="108"/>
              <w:spacing w:after="0"/>
              <w:rPr>
                <w:sz w:val="20"/>
                <w:szCs w:val="20"/>
                <w:color w:val="auto"/>
              </w:rPr>
            </w:pPr>
            <w:r>
              <w:rPr>
                <w:rFonts w:ascii="Arial" w:cs="Arial" w:eastAsia="Arial" w:hAnsi="Arial"/>
                <w:sz w:val="14"/>
                <w:szCs w:val="14"/>
                <w:color w:val="58595B"/>
              </w:rPr>
              <w:t>44.6</w:t>
            </w:r>
          </w:p>
        </w:tc>
      </w:tr>
      <w:tr>
        <w:trPr>
          <w:trHeight w:val="208"/>
        </w:trPr>
        <w:tc>
          <w:tcPr>
            <w:tcW w:w="8240" w:type="dxa"/>
            <w:vAlign w:val="bottom"/>
          </w:tcPr>
          <w:p>
            <w:pPr>
              <w:ind w:left="260"/>
              <w:spacing w:after="0"/>
              <w:rPr>
                <w:sz w:val="20"/>
                <w:szCs w:val="20"/>
                <w:color w:val="auto"/>
              </w:rPr>
            </w:pPr>
            <w:r>
              <w:rPr>
                <w:rFonts w:ascii="Arial" w:cs="Arial" w:eastAsia="Arial" w:hAnsi="Arial"/>
                <w:sz w:val="14"/>
                <w:szCs w:val="14"/>
                <w:color w:val="58595B"/>
              </w:rPr>
              <w:t>Boston Recall</w:t>
            </w:r>
          </w:p>
        </w:tc>
        <w:tc>
          <w:tcPr>
            <w:tcW w:w="320" w:type="dxa"/>
            <w:vAlign w:val="bottom"/>
          </w:tcPr>
          <w:p>
            <w:pPr>
              <w:jc w:val="right"/>
              <w:ind w:right="148"/>
              <w:spacing w:after="0"/>
              <w:rPr>
                <w:sz w:val="20"/>
                <w:szCs w:val="20"/>
                <w:color w:val="auto"/>
              </w:rPr>
            </w:pPr>
            <w:r>
              <w:rPr>
                <w:rFonts w:ascii="Arial" w:cs="Arial" w:eastAsia="Arial" w:hAnsi="Arial"/>
                <w:sz w:val="14"/>
                <w:szCs w:val="14"/>
                <w:color w:val="58595B"/>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58595B"/>
              </w:rPr>
              <w:t>56.2</w:t>
            </w:r>
          </w:p>
        </w:tc>
        <w:tc>
          <w:tcPr>
            <w:tcW w:w="680" w:type="dxa"/>
            <w:vAlign w:val="bottom"/>
            <w:gridSpan w:val="2"/>
          </w:tcPr>
          <w:p>
            <w:pPr>
              <w:jc w:val="right"/>
              <w:ind w:right="228"/>
              <w:spacing w:after="0"/>
              <w:rPr>
                <w:sz w:val="20"/>
                <w:szCs w:val="20"/>
                <w:color w:val="auto"/>
              </w:rPr>
            </w:pPr>
            <w:r>
              <w:rPr>
                <w:rFonts w:ascii="Arial" w:cs="Arial" w:eastAsia="Arial" w:hAnsi="Arial"/>
                <w:sz w:val="14"/>
                <w:szCs w:val="14"/>
                <w:color w:val="58595B"/>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58595B"/>
              </w:rPr>
              <w:t>45.0</w:t>
            </w:r>
          </w:p>
        </w:tc>
      </w:tr>
      <w:tr>
        <w:trPr>
          <w:trHeight w:val="22"/>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8240" w:type="dxa"/>
            <w:vAlign w:val="bottom"/>
            <w:tcBorders>
              <w:bottom w:val="single" w:sz="8" w:color="ECEDED"/>
            </w:tcBorders>
            <w:shd w:val="clear" w:color="auto" w:fill="ECEDED"/>
          </w:tcPr>
          <w:p>
            <w:pPr>
              <w:ind w:left="260"/>
              <w:spacing w:after="0"/>
              <w:rPr>
                <w:sz w:val="20"/>
                <w:szCs w:val="20"/>
                <w:color w:val="auto"/>
              </w:rPr>
            </w:pPr>
            <w:r>
              <w:rPr>
                <w:rFonts w:ascii="Arial" w:cs="Arial" w:eastAsia="Arial" w:hAnsi="Arial"/>
                <w:sz w:val="14"/>
                <w:szCs w:val="14"/>
                <w:color w:val="58595B"/>
              </w:rPr>
              <w:t>Acquisition, divestiture and integration-related charges (1)</w:t>
            </w:r>
          </w:p>
        </w:tc>
        <w:tc>
          <w:tcPr>
            <w:tcW w:w="320" w:type="dxa"/>
            <w:vAlign w:val="bottom"/>
            <w:tcBorders>
              <w:bottom w:val="single" w:sz="8" w:color="ECEDED"/>
            </w:tcBorders>
            <w:shd w:val="clear" w:color="auto" w:fill="ECEDED"/>
          </w:tcPr>
          <w:p>
            <w:pPr>
              <w:jc w:val="right"/>
              <w:ind w:right="148"/>
              <w:spacing w:after="0"/>
              <w:rPr>
                <w:sz w:val="20"/>
                <w:szCs w:val="20"/>
                <w:color w:val="auto"/>
              </w:rPr>
            </w:pPr>
            <w:r>
              <w:rPr>
                <w:rFonts w:ascii="Arial" w:cs="Arial" w:eastAsia="Arial" w:hAnsi="Arial"/>
                <w:sz w:val="14"/>
                <w:szCs w:val="14"/>
                <w:color w:val="58595B"/>
              </w:rPr>
              <w:t>$</w:t>
            </w:r>
          </w:p>
        </w:tc>
        <w:tc>
          <w:tcPr>
            <w:tcW w:w="1080" w:type="dxa"/>
            <w:vAlign w:val="bottom"/>
            <w:tcBorders>
              <w:bottom w:val="single" w:sz="8" w:color="ECEDED"/>
            </w:tcBorders>
            <w:shd w:val="clear" w:color="auto" w:fill="ECEDED"/>
          </w:tcPr>
          <w:p>
            <w:pPr>
              <w:jc w:val="right"/>
              <w:ind w:right="128"/>
              <w:spacing w:after="0"/>
              <w:rPr>
                <w:sz w:val="20"/>
                <w:szCs w:val="20"/>
                <w:color w:val="auto"/>
              </w:rPr>
            </w:pPr>
            <w:r>
              <w:rPr>
                <w:rFonts w:ascii="Arial" w:cs="Arial" w:eastAsia="Arial" w:hAnsi="Arial"/>
                <w:sz w:val="14"/>
                <w:szCs w:val="14"/>
                <w:color w:val="58595B"/>
              </w:rPr>
              <w:t>3.6</w:t>
            </w:r>
          </w:p>
        </w:tc>
        <w:tc>
          <w:tcPr>
            <w:tcW w:w="680" w:type="dxa"/>
            <w:vAlign w:val="bottom"/>
            <w:tcBorders>
              <w:bottom w:val="single" w:sz="8" w:color="ECEDED"/>
            </w:tcBorders>
            <w:gridSpan w:val="2"/>
            <w:shd w:val="clear" w:color="auto" w:fill="ECEDED"/>
          </w:tcPr>
          <w:p>
            <w:pPr>
              <w:jc w:val="right"/>
              <w:ind w:right="228"/>
              <w:spacing w:after="0"/>
              <w:rPr>
                <w:sz w:val="20"/>
                <w:szCs w:val="20"/>
                <w:color w:val="auto"/>
              </w:rPr>
            </w:pPr>
            <w:r>
              <w:rPr>
                <w:rFonts w:ascii="Arial" w:cs="Arial" w:eastAsia="Arial" w:hAnsi="Arial"/>
                <w:sz w:val="14"/>
                <w:szCs w:val="14"/>
                <w:color w:val="58595B"/>
              </w:rPr>
              <w:t>$</w:t>
            </w:r>
          </w:p>
        </w:tc>
        <w:tc>
          <w:tcPr>
            <w:tcW w:w="920" w:type="dxa"/>
            <w:vAlign w:val="bottom"/>
            <w:tcBorders>
              <w:bottom w:val="single" w:sz="8" w:color="ECEDED"/>
            </w:tcBorders>
            <w:shd w:val="clear" w:color="auto" w:fill="ECEDED"/>
          </w:tcPr>
          <w:p>
            <w:pPr>
              <w:jc w:val="right"/>
              <w:ind w:right="108"/>
              <w:spacing w:after="0"/>
              <w:rPr>
                <w:sz w:val="20"/>
                <w:szCs w:val="20"/>
                <w:color w:val="auto"/>
              </w:rPr>
            </w:pPr>
            <w:r>
              <w:rPr>
                <w:rFonts w:ascii="Arial" w:cs="Arial" w:eastAsia="Arial" w:hAnsi="Arial"/>
                <w:sz w:val="14"/>
                <w:szCs w:val="14"/>
                <w:color w:val="58595B"/>
              </w:rPr>
              <w:t>33.6</w:t>
            </w:r>
          </w:p>
        </w:tc>
      </w:tr>
      <w:tr>
        <w:trPr>
          <w:trHeight w:val="223"/>
        </w:trPr>
        <w:tc>
          <w:tcPr>
            <w:tcW w:w="8240" w:type="dxa"/>
            <w:vAlign w:val="bottom"/>
            <w:tcBorders>
              <w:bottom w:val="single" w:sz="8" w:color="ECEDED"/>
            </w:tcBorders>
          </w:tcPr>
          <w:p>
            <w:pPr>
              <w:ind w:left="100"/>
              <w:spacing w:after="0"/>
              <w:rPr>
                <w:sz w:val="20"/>
                <w:szCs w:val="20"/>
                <w:color w:val="auto"/>
              </w:rPr>
            </w:pPr>
            <w:r>
              <w:rPr>
                <w:rFonts w:ascii="Arial" w:cs="Arial" w:eastAsia="Arial" w:hAnsi="Arial"/>
                <w:sz w:val="14"/>
                <w:szCs w:val="14"/>
                <w:b w:val="1"/>
                <w:bCs w:val="1"/>
                <w:color w:val="58595B"/>
              </w:rPr>
              <w:t>Total of non-GAAP adjustments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58595B"/>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58595B"/>
              </w:rPr>
              <w:t>833.9</w:t>
            </w:r>
          </w:p>
        </w:tc>
        <w:tc>
          <w:tcPr>
            <w:tcW w:w="280" w:type="dxa"/>
            <w:vAlign w:val="bottom"/>
            <w:tcBorders>
              <w:bottom w:val="single" w:sz="8" w:color="ECEDED"/>
            </w:tcBorders>
          </w:tcPr>
          <w:p>
            <w:pPr>
              <w:spacing w:after="0"/>
              <w:rPr>
                <w:sz w:val="19"/>
                <w:szCs w:val="19"/>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58595B"/>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58595B"/>
              </w:rPr>
              <w:t>329.2</w:t>
            </w:r>
          </w:p>
        </w:tc>
      </w:tr>
      <w:tr>
        <w:trPr>
          <w:trHeight w:val="229"/>
        </w:trPr>
        <w:tc>
          <w:tcPr>
            <w:tcW w:w="8240" w:type="dxa"/>
            <w:vAlign w:val="bottom"/>
            <w:tcBorders>
              <w:bottom w:val="single" w:sz="8" w:color="ECEDED"/>
            </w:tcBorders>
            <w:shd w:val="clear" w:color="auto" w:fill="ECEDED"/>
          </w:tcPr>
          <w:p>
            <w:pPr>
              <w:ind w:left="100"/>
              <w:spacing w:after="0"/>
              <w:rPr>
                <w:sz w:val="20"/>
                <w:szCs w:val="20"/>
                <w:color w:val="auto"/>
              </w:rPr>
            </w:pPr>
            <w:r>
              <w:rPr>
                <w:rFonts w:ascii="Arial" w:cs="Arial" w:eastAsia="Arial" w:hAnsi="Arial"/>
                <w:sz w:val="14"/>
                <w:szCs w:val="14"/>
                <w:b w:val="1"/>
                <w:bCs w:val="1"/>
                <w:color w:val="58595B"/>
              </w:rPr>
              <w:t>Adjusted EBITDA</w:t>
            </w:r>
          </w:p>
        </w:tc>
        <w:tc>
          <w:tcPr>
            <w:tcW w:w="320" w:type="dxa"/>
            <w:vAlign w:val="bottom"/>
            <w:tcBorders>
              <w:bottom w:val="single" w:sz="8" w:color="ECEDED"/>
            </w:tcBorders>
            <w:shd w:val="clear" w:color="auto" w:fill="ECEDED"/>
          </w:tcPr>
          <w:p>
            <w:pPr>
              <w:jc w:val="right"/>
              <w:ind w:right="148"/>
              <w:spacing w:after="0"/>
              <w:rPr>
                <w:sz w:val="20"/>
                <w:szCs w:val="20"/>
                <w:color w:val="auto"/>
              </w:rPr>
            </w:pPr>
            <w:r>
              <w:rPr>
                <w:rFonts w:ascii="Arial" w:cs="Arial" w:eastAsia="Arial" w:hAnsi="Arial"/>
                <w:sz w:val="14"/>
                <w:szCs w:val="14"/>
                <w:color w:val="58595B"/>
              </w:rPr>
              <w:t>$</w:t>
            </w:r>
          </w:p>
        </w:tc>
        <w:tc>
          <w:tcPr>
            <w:tcW w:w="1080" w:type="dxa"/>
            <w:vAlign w:val="bottom"/>
            <w:tcBorders>
              <w:bottom w:val="single" w:sz="8" w:color="ECEDED"/>
            </w:tcBorders>
            <w:shd w:val="clear" w:color="auto" w:fill="ECEDED"/>
          </w:tcPr>
          <w:p>
            <w:pPr>
              <w:jc w:val="right"/>
              <w:ind w:right="128"/>
              <w:spacing w:after="0"/>
              <w:rPr>
                <w:sz w:val="20"/>
                <w:szCs w:val="20"/>
                <w:color w:val="auto"/>
              </w:rPr>
            </w:pPr>
            <w:r>
              <w:rPr>
                <w:rFonts w:ascii="Arial" w:cs="Arial" w:eastAsia="Arial" w:hAnsi="Arial"/>
                <w:sz w:val="14"/>
                <w:szCs w:val="14"/>
                <w:color w:val="58595B"/>
              </w:rPr>
              <w:t>317.4</w:t>
            </w:r>
          </w:p>
        </w:tc>
        <w:tc>
          <w:tcPr>
            <w:tcW w:w="680" w:type="dxa"/>
            <w:vAlign w:val="bottom"/>
            <w:tcBorders>
              <w:bottom w:val="single" w:sz="8" w:color="ECEDED"/>
            </w:tcBorders>
            <w:gridSpan w:val="2"/>
            <w:shd w:val="clear" w:color="auto" w:fill="ECEDED"/>
          </w:tcPr>
          <w:p>
            <w:pPr>
              <w:jc w:val="right"/>
              <w:ind w:right="228"/>
              <w:spacing w:after="0"/>
              <w:rPr>
                <w:sz w:val="20"/>
                <w:szCs w:val="20"/>
                <w:color w:val="auto"/>
              </w:rPr>
            </w:pPr>
            <w:r>
              <w:rPr>
                <w:rFonts w:ascii="Arial" w:cs="Arial" w:eastAsia="Arial" w:hAnsi="Arial"/>
                <w:sz w:val="14"/>
                <w:szCs w:val="14"/>
                <w:color w:val="58595B"/>
              </w:rPr>
              <w:t>$</w:t>
            </w:r>
          </w:p>
        </w:tc>
        <w:tc>
          <w:tcPr>
            <w:tcW w:w="920" w:type="dxa"/>
            <w:vAlign w:val="bottom"/>
            <w:tcBorders>
              <w:bottom w:val="single" w:sz="8" w:color="ECEDED"/>
            </w:tcBorders>
            <w:shd w:val="clear" w:color="auto" w:fill="ECEDED"/>
          </w:tcPr>
          <w:p>
            <w:pPr>
              <w:jc w:val="right"/>
              <w:ind w:right="108"/>
              <w:spacing w:after="0"/>
              <w:rPr>
                <w:sz w:val="20"/>
                <w:szCs w:val="20"/>
                <w:color w:val="auto"/>
              </w:rPr>
            </w:pPr>
            <w:r>
              <w:rPr>
                <w:rFonts w:ascii="Arial" w:cs="Arial" w:eastAsia="Arial" w:hAnsi="Arial"/>
                <w:sz w:val="14"/>
                <w:szCs w:val="14"/>
                <w:color w:val="58595B"/>
              </w:rPr>
              <w:t>322.3</w:t>
            </w:r>
          </w:p>
        </w:tc>
      </w:tr>
      <w:tr>
        <w:trPr>
          <w:trHeight w:val="202"/>
        </w:trPr>
        <w:tc>
          <w:tcPr>
            <w:tcW w:w="8240" w:type="dxa"/>
            <w:vAlign w:val="bottom"/>
          </w:tcPr>
          <w:p>
            <w:pPr>
              <w:ind w:left="100"/>
              <w:spacing w:after="0"/>
              <w:rPr>
                <w:sz w:val="20"/>
                <w:szCs w:val="20"/>
                <w:color w:val="auto"/>
              </w:rPr>
            </w:pPr>
            <w:r>
              <w:rPr>
                <w:rFonts w:ascii="Arial" w:cs="Arial" w:eastAsia="Arial" w:hAnsi="Arial"/>
                <w:sz w:val="14"/>
                <w:szCs w:val="14"/>
                <w:b w:val="1"/>
                <w:bCs w:val="1"/>
                <w:color w:val="58595B"/>
              </w:rPr>
              <w:t>Total Revenues</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58595B"/>
              </w:rPr>
              <w:t>$</w:t>
            </w:r>
          </w:p>
        </w:tc>
        <w:tc>
          <w:tcPr>
            <w:tcW w:w="10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58595B"/>
              </w:rPr>
              <w:t>1,635.2</w:t>
            </w:r>
          </w:p>
        </w:tc>
        <w:tc>
          <w:tcPr>
            <w:tcW w:w="280" w:type="dxa"/>
            <w:vAlign w:val="bottom"/>
          </w:tcPr>
          <w:p>
            <w:pPr>
              <w:spacing w:after="0"/>
              <w:rPr>
                <w:sz w:val="17"/>
                <w:szCs w:val="17"/>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58595B"/>
              </w:rPr>
              <w:t>$</w:t>
            </w:r>
          </w:p>
        </w:tc>
        <w:tc>
          <w:tcPr>
            <w:tcW w:w="9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58595B"/>
              </w:rPr>
              <w:t>1,610.5</w:t>
            </w:r>
          </w:p>
        </w:tc>
      </w:tr>
      <w:tr>
        <w:trPr>
          <w:trHeight w:val="22"/>
        </w:trPr>
        <w:tc>
          <w:tcPr>
            <w:tcW w:w="8240" w:type="dxa"/>
            <w:vAlign w:val="bottom"/>
            <w:tcBorders>
              <w:bottom w:val="single" w:sz="8" w:color="ECED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ECEDE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3"/>
        </w:trPr>
        <w:tc>
          <w:tcPr>
            <w:tcW w:w="8240" w:type="dxa"/>
            <w:vAlign w:val="bottom"/>
            <w:tcBorders>
              <w:bottom w:val="single" w:sz="8" w:color="ECEDED"/>
            </w:tcBorders>
            <w:shd w:val="clear" w:color="auto" w:fill="ECEDED"/>
          </w:tcPr>
          <w:p>
            <w:pPr>
              <w:ind w:left="100"/>
              <w:spacing w:after="0"/>
              <w:rPr>
                <w:sz w:val="20"/>
                <w:szCs w:val="20"/>
                <w:color w:val="auto"/>
              </w:rPr>
            </w:pPr>
            <w:r>
              <w:rPr>
                <w:rFonts w:ascii="Arial" w:cs="Arial" w:eastAsia="Arial" w:hAnsi="Arial"/>
                <w:sz w:val="14"/>
                <w:szCs w:val="14"/>
                <w:b w:val="1"/>
                <w:bCs w:val="1"/>
                <w:color w:val="58595B"/>
              </w:rPr>
              <w:t>Adjusted EBITDA Margin</w:t>
            </w:r>
          </w:p>
        </w:tc>
        <w:tc>
          <w:tcPr>
            <w:tcW w:w="320" w:type="dxa"/>
            <w:vAlign w:val="bottom"/>
            <w:tcBorders>
              <w:bottom w:val="single" w:sz="8" w:color="ECEDED"/>
            </w:tcBorders>
            <w:shd w:val="clear" w:color="auto" w:fill="ECEDED"/>
          </w:tcPr>
          <w:p>
            <w:pPr>
              <w:spacing w:after="0"/>
              <w:rPr>
                <w:sz w:val="17"/>
                <w:szCs w:val="17"/>
                <w:color w:val="auto"/>
              </w:rPr>
            </w:pPr>
          </w:p>
        </w:tc>
        <w:tc>
          <w:tcPr>
            <w:tcW w:w="1080" w:type="dxa"/>
            <w:vAlign w:val="bottom"/>
            <w:tcBorders>
              <w:bottom w:val="single" w:sz="8" w:color="ECEDED"/>
            </w:tcBorders>
            <w:shd w:val="clear" w:color="auto" w:fill="ECEDED"/>
          </w:tcPr>
          <w:p>
            <w:pPr>
              <w:jc w:val="right"/>
              <w:spacing w:after="0"/>
              <w:rPr>
                <w:sz w:val="20"/>
                <w:szCs w:val="20"/>
                <w:color w:val="auto"/>
              </w:rPr>
            </w:pPr>
            <w:r>
              <w:rPr>
                <w:rFonts w:ascii="Arial" w:cs="Arial" w:eastAsia="Arial" w:hAnsi="Arial"/>
                <w:sz w:val="14"/>
                <w:szCs w:val="14"/>
                <w:color w:val="58595B"/>
              </w:rPr>
              <w:t>19.4%</w:t>
            </w:r>
          </w:p>
        </w:tc>
        <w:tc>
          <w:tcPr>
            <w:tcW w:w="280" w:type="dxa"/>
            <w:vAlign w:val="bottom"/>
            <w:tcBorders>
              <w:bottom w:val="single" w:sz="8" w:color="ECEDED"/>
            </w:tcBorders>
            <w:shd w:val="clear" w:color="auto" w:fill="ECEDED"/>
          </w:tcPr>
          <w:p>
            <w:pPr>
              <w:spacing w:after="0"/>
              <w:rPr>
                <w:sz w:val="17"/>
                <w:szCs w:val="17"/>
                <w:color w:val="auto"/>
              </w:rPr>
            </w:pPr>
          </w:p>
        </w:tc>
        <w:tc>
          <w:tcPr>
            <w:tcW w:w="400" w:type="dxa"/>
            <w:vAlign w:val="bottom"/>
            <w:tcBorders>
              <w:bottom w:val="single" w:sz="8" w:color="ECEDED"/>
            </w:tcBorders>
            <w:shd w:val="clear" w:color="auto" w:fill="ECEDED"/>
          </w:tcPr>
          <w:p>
            <w:pPr>
              <w:spacing w:after="0"/>
              <w:rPr>
                <w:sz w:val="17"/>
                <w:szCs w:val="17"/>
                <w:color w:val="auto"/>
              </w:rPr>
            </w:pPr>
          </w:p>
        </w:tc>
        <w:tc>
          <w:tcPr>
            <w:tcW w:w="920" w:type="dxa"/>
            <w:vAlign w:val="bottom"/>
            <w:tcBorders>
              <w:bottom w:val="single" w:sz="8" w:color="ECEDED"/>
            </w:tcBorders>
            <w:shd w:val="clear" w:color="auto" w:fill="ECEDED"/>
          </w:tcPr>
          <w:p>
            <w:pPr>
              <w:jc w:val="right"/>
              <w:spacing w:after="0"/>
              <w:rPr>
                <w:sz w:val="20"/>
                <w:szCs w:val="20"/>
                <w:color w:val="auto"/>
              </w:rPr>
            </w:pPr>
            <w:r>
              <w:rPr>
                <w:rFonts w:ascii="Arial" w:cs="Arial" w:eastAsia="Arial" w:hAnsi="Arial"/>
                <w:sz w:val="14"/>
                <w:szCs w:val="14"/>
                <w:color w:val="58595B"/>
              </w:rPr>
              <w:t>20.0%</w:t>
            </w:r>
          </w:p>
        </w:tc>
      </w:tr>
      <w:tr>
        <w:trPr>
          <w:trHeight w:val="20"/>
        </w:trPr>
        <w:tc>
          <w:tcPr>
            <w:tcW w:w="8240" w:type="dxa"/>
            <w:vAlign w:val="bottom"/>
            <w:shd w:val="clear" w:color="auto" w:fill="58595B"/>
          </w:tcPr>
          <w:p>
            <w:pPr>
              <w:spacing w:after="0" w:line="20" w:lineRule="exact"/>
              <w:rPr>
                <w:sz w:val="1"/>
                <w:szCs w:val="1"/>
                <w:color w:val="auto"/>
              </w:rPr>
            </w:pPr>
          </w:p>
        </w:tc>
        <w:tc>
          <w:tcPr>
            <w:tcW w:w="320" w:type="dxa"/>
            <w:vAlign w:val="bottom"/>
            <w:shd w:val="clear" w:color="auto" w:fill="58595B"/>
          </w:tcPr>
          <w:p>
            <w:pPr>
              <w:spacing w:after="0" w:line="20" w:lineRule="exact"/>
              <w:rPr>
                <w:sz w:val="1"/>
                <w:szCs w:val="1"/>
                <w:color w:val="auto"/>
              </w:rPr>
            </w:pPr>
          </w:p>
        </w:tc>
        <w:tc>
          <w:tcPr>
            <w:tcW w:w="1080" w:type="dxa"/>
            <w:vAlign w:val="bottom"/>
            <w:shd w:val="clear" w:color="auto" w:fill="58595B"/>
          </w:tcPr>
          <w:p>
            <w:pPr>
              <w:spacing w:after="0" w:line="20" w:lineRule="exact"/>
              <w:rPr>
                <w:sz w:val="1"/>
                <w:szCs w:val="1"/>
                <w:color w:val="auto"/>
              </w:rPr>
            </w:pPr>
          </w:p>
        </w:tc>
        <w:tc>
          <w:tcPr>
            <w:tcW w:w="280" w:type="dxa"/>
            <w:vAlign w:val="bottom"/>
            <w:shd w:val="clear" w:color="auto" w:fill="58595B"/>
          </w:tcPr>
          <w:p>
            <w:pPr>
              <w:spacing w:after="0" w:line="20" w:lineRule="exact"/>
              <w:rPr>
                <w:sz w:val="1"/>
                <w:szCs w:val="1"/>
                <w:color w:val="auto"/>
              </w:rPr>
            </w:pPr>
          </w:p>
        </w:tc>
        <w:tc>
          <w:tcPr>
            <w:tcW w:w="400" w:type="dxa"/>
            <w:vAlign w:val="bottom"/>
            <w:shd w:val="clear" w:color="auto" w:fill="58595B"/>
          </w:tcPr>
          <w:p>
            <w:pPr>
              <w:spacing w:after="0" w:line="20" w:lineRule="exact"/>
              <w:rPr>
                <w:sz w:val="1"/>
                <w:szCs w:val="1"/>
                <w:color w:val="auto"/>
              </w:rPr>
            </w:pPr>
          </w:p>
        </w:tc>
        <w:tc>
          <w:tcPr>
            <w:tcW w:w="920" w:type="dxa"/>
            <w:vAlign w:val="bottom"/>
            <w:shd w:val="clear" w:color="auto" w:fill="58595B"/>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-2407920</wp:posOffset>
            </wp:positionV>
            <wp:extent cx="190309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19" w:lineRule="exact"/>
        <w:rPr>
          <w:sz w:val="20"/>
          <w:szCs w:val="20"/>
          <w:color w:val="auto"/>
        </w:rPr>
      </w:pPr>
    </w:p>
    <w:p>
      <w:pPr>
        <w:ind w:left="340" w:right="480" w:hanging="332"/>
        <w:spacing w:after="0" w:line="285" w:lineRule="auto"/>
        <w:tabs>
          <w:tab w:leader="none" w:pos="338" w:val="left"/>
        </w:tabs>
        <w:numPr>
          <w:ilvl w:val="0"/>
          <w:numId w:val="68"/>
        </w:numPr>
        <w:rPr>
          <w:rFonts w:ascii="Arial" w:cs="Arial" w:eastAsia="Arial" w:hAnsi="Arial"/>
          <w:sz w:val="14"/>
          <w:szCs w:val="14"/>
          <w:color w:val="auto"/>
        </w:rPr>
      </w:pPr>
      <w:r>
        <w:rPr>
          <w:rFonts w:ascii="Arial" w:cs="Arial" w:eastAsia="Arial" w:hAnsi="Arial"/>
          <w:sz w:val="14"/>
          <w:szCs w:val="14"/>
          <w:color w:val="auto"/>
        </w:rPr>
        <w:t>Acquisition, divestiture and integration-related charges are associated with the Acclarent acquisition and also includes banking, legal, consulting, systems, and other expenses.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Reconciliation of Annual Cash Bonus Program Performance Metrics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Reconciliation of Adjusted EBITDA to Adjusted EBITDA for Annual Cash Bonus Purposes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260" w:type="dxa"/>
            <w:vAlign w:val="bottom"/>
            <w:shd w:val="clear" w:color="auto" w:fill="009845"/>
          </w:tcPr>
          <w:p>
            <w:pPr>
              <w:spacing w:after="0"/>
              <w:rPr>
                <w:sz w:val="16"/>
                <w:szCs w:val="16"/>
                <w:color w:val="auto"/>
              </w:rPr>
            </w:pPr>
          </w:p>
        </w:tc>
        <w:tc>
          <w:tcPr>
            <w:tcW w:w="140" w:type="dxa"/>
            <w:vAlign w:val="bottom"/>
            <w:shd w:val="clear" w:color="auto" w:fill="009845"/>
          </w:tcPr>
          <w:p>
            <w:pPr>
              <w:spacing w:after="0"/>
              <w:rPr>
                <w:sz w:val="16"/>
                <w:szCs w:val="16"/>
                <w:color w:val="auto"/>
              </w:rPr>
            </w:pPr>
          </w:p>
        </w:tc>
        <w:tc>
          <w:tcPr>
            <w:tcW w:w="1840" w:type="dxa"/>
            <w:vAlign w:val="bottom"/>
            <w:shd w:val="clear" w:color="auto" w:fill="009845"/>
          </w:tcPr>
          <w:p>
            <w:pPr>
              <w:jc w:val="center"/>
              <w:ind w:right="149"/>
              <w:spacing w:after="0"/>
              <w:rPr>
                <w:sz w:val="20"/>
                <w:szCs w:val="20"/>
                <w:color w:val="auto"/>
              </w:rPr>
            </w:pPr>
            <w:r>
              <w:rPr>
                <w:rFonts w:ascii="Arial" w:cs="Arial" w:eastAsia="Arial" w:hAnsi="Arial"/>
                <w:sz w:val="14"/>
                <w:szCs w:val="14"/>
                <w:b w:val="1"/>
                <w:bCs w:val="1"/>
                <w:color w:val="FFFFFF"/>
              </w:rPr>
              <w:t>Twelve Months Ended</w:t>
            </w:r>
          </w:p>
        </w:tc>
      </w:tr>
      <w:tr>
        <w:trPr>
          <w:trHeight w:val="196"/>
        </w:trPr>
        <w:tc>
          <w:tcPr>
            <w:tcW w:w="9260" w:type="dxa"/>
            <w:vAlign w:val="bottom"/>
            <w:shd w:val="clear" w:color="auto" w:fill="009845"/>
          </w:tcPr>
          <w:p>
            <w:pPr>
              <w:spacing w:after="0"/>
              <w:rPr>
                <w:sz w:val="17"/>
                <w:szCs w:val="17"/>
                <w:color w:val="auto"/>
              </w:rPr>
            </w:pPr>
          </w:p>
        </w:tc>
        <w:tc>
          <w:tcPr>
            <w:tcW w:w="140" w:type="dxa"/>
            <w:vAlign w:val="bottom"/>
            <w:shd w:val="clear" w:color="auto" w:fill="009845"/>
          </w:tcPr>
          <w:p>
            <w:pPr>
              <w:spacing w:after="0"/>
              <w:rPr>
                <w:sz w:val="17"/>
                <w:szCs w:val="17"/>
                <w:color w:val="auto"/>
              </w:rPr>
            </w:pPr>
          </w:p>
        </w:tc>
        <w:tc>
          <w:tcPr>
            <w:tcW w:w="1840" w:type="dxa"/>
            <w:vAlign w:val="bottom"/>
            <w:shd w:val="clear" w:color="auto" w:fill="009845"/>
          </w:tcPr>
          <w:p>
            <w:pPr>
              <w:jc w:val="center"/>
              <w:ind w:right="169"/>
              <w:spacing w:after="0"/>
              <w:rPr>
                <w:sz w:val="20"/>
                <w:szCs w:val="20"/>
                <w:color w:val="auto"/>
              </w:rPr>
            </w:pPr>
            <w:r>
              <w:rPr>
                <w:rFonts w:ascii="Arial" w:cs="Arial" w:eastAsia="Arial" w:hAnsi="Arial"/>
                <w:sz w:val="14"/>
                <w:szCs w:val="14"/>
                <w:b w:val="1"/>
                <w:bCs w:val="1"/>
                <w:color w:val="FFFFFF"/>
              </w:rPr>
              <w:t>December 31,</w:t>
            </w:r>
          </w:p>
        </w:tc>
      </w:tr>
      <w:tr>
        <w:trPr>
          <w:trHeight w:val="230"/>
        </w:trPr>
        <w:tc>
          <w:tcPr>
            <w:tcW w:w="92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(in millions)</w:t>
            </w:r>
          </w:p>
        </w:tc>
        <w:tc>
          <w:tcPr>
            <w:tcW w:w="140" w:type="dxa"/>
            <w:vAlign w:val="bottom"/>
            <w:shd w:val="clear" w:color="auto" w:fill="009845"/>
          </w:tcPr>
          <w:p>
            <w:pPr>
              <w:spacing w:after="0"/>
              <w:rPr>
                <w:sz w:val="19"/>
                <w:szCs w:val="19"/>
                <w:color w:val="auto"/>
              </w:rPr>
            </w:pPr>
          </w:p>
        </w:tc>
        <w:tc>
          <w:tcPr>
            <w:tcW w:w="1840" w:type="dxa"/>
            <w:vAlign w:val="bottom"/>
            <w:shd w:val="clear" w:color="auto" w:fill="009845"/>
          </w:tcPr>
          <w:p>
            <w:pPr>
              <w:jc w:val="center"/>
              <w:ind w:right="169"/>
              <w:spacing w:after="0"/>
              <w:rPr>
                <w:sz w:val="20"/>
                <w:szCs w:val="20"/>
                <w:color w:val="auto"/>
              </w:rPr>
            </w:pPr>
            <w:r>
              <w:rPr>
                <w:rFonts w:ascii="Arial" w:cs="Arial" w:eastAsia="Arial" w:hAnsi="Arial"/>
                <w:sz w:val="14"/>
                <w:szCs w:val="14"/>
                <w:b w:val="1"/>
                <w:bCs w:val="1"/>
                <w:color w:val="FFFFFF"/>
              </w:rPr>
              <w:t>2025</w:t>
            </w:r>
          </w:p>
        </w:tc>
      </w:tr>
      <w:tr>
        <w:trPr>
          <w:trHeight w:val="70"/>
        </w:trPr>
        <w:tc>
          <w:tcPr>
            <w:tcW w:w="9260" w:type="dxa"/>
            <w:vAlign w:val="bottom"/>
            <w:shd w:val="clear" w:color="auto" w:fill="009845"/>
          </w:tcPr>
          <w:p>
            <w:pPr>
              <w:spacing w:after="0"/>
              <w:rPr>
                <w:sz w:val="6"/>
                <w:szCs w:val="6"/>
                <w:color w:val="auto"/>
              </w:rPr>
            </w:pPr>
          </w:p>
        </w:tc>
        <w:tc>
          <w:tcPr>
            <w:tcW w:w="140" w:type="dxa"/>
            <w:vAlign w:val="bottom"/>
            <w:shd w:val="clear" w:color="auto" w:fill="009845"/>
          </w:tcPr>
          <w:p>
            <w:pPr>
              <w:spacing w:after="0"/>
              <w:rPr>
                <w:sz w:val="6"/>
                <w:szCs w:val="6"/>
                <w:color w:val="auto"/>
              </w:rPr>
            </w:pPr>
          </w:p>
        </w:tc>
        <w:tc>
          <w:tcPr>
            <w:tcW w:w="1840" w:type="dxa"/>
            <w:vAlign w:val="bottom"/>
            <w:shd w:val="clear" w:color="auto" w:fill="009845"/>
          </w:tcPr>
          <w:p>
            <w:pPr>
              <w:spacing w:after="0"/>
              <w:rPr>
                <w:sz w:val="6"/>
                <w:szCs w:val="6"/>
                <w:color w:val="auto"/>
              </w:rPr>
            </w:pPr>
          </w:p>
        </w:tc>
      </w:tr>
      <w:tr>
        <w:trPr>
          <w:trHeight w:val="229"/>
        </w:trPr>
        <w:tc>
          <w:tcPr>
            <w:tcW w:w="92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Adjusted EBITDA</w:t>
            </w:r>
          </w:p>
        </w:tc>
        <w:tc>
          <w:tcPr>
            <w:tcW w:w="14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840" w:type="dxa"/>
            <w:vAlign w:val="bottom"/>
            <w:shd w:val="clear" w:color="auto" w:fill="EFEDED"/>
          </w:tcPr>
          <w:p>
            <w:pPr>
              <w:jc w:val="right"/>
              <w:ind w:right="89"/>
              <w:spacing w:after="0"/>
              <w:rPr>
                <w:sz w:val="20"/>
                <w:szCs w:val="20"/>
                <w:color w:val="auto"/>
              </w:rPr>
            </w:pPr>
            <w:r>
              <w:rPr>
                <w:rFonts w:ascii="Arial" w:cs="Arial" w:eastAsia="Arial" w:hAnsi="Arial"/>
                <w:sz w:val="14"/>
                <w:szCs w:val="14"/>
                <w:color w:val="58595B"/>
              </w:rPr>
              <w:t>317.4</w:t>
            </w:r>
          </w:p>
        </w:tc>
      </w:tr>
      <w:tr>
        <w:trPr>
          <w:trHeight w:val="222"/>
        </w:trPr>
        <w:tc>
          <w:tcPr>
            <w:tcW w:w="9260" w:type="dxa"/>
            <w:vAlign w:val="bottom"/>
          </w:tcPr>
          <w:p>
            <w:pPr>
              <w:ind w:left="100"/>
              <w:spacing w:after="0"/>
              <w:rPr>
                <w:sz w:val="20"/>
                <w:szCs w:val="20"/>
                <w:color w:val="auto"/>
              </w:rPr>
            </w:pPr>
            <w:r>
              <w:rPr>
                <w:rFonts w:ascii="Arial" w:cs="Arial" w:eastAsia="Arial" w:hAnsi="Arial"/>
                <w:sz w:val="14"/>
                <w:szCs w:val="14"/>
                <w:b w:val="1"/>
                <w:bCs w:val="1"/>
                <w:color w:val="58595B"/>
              </w:rPr>
              <w:t>Annual Cash Bonus Adjustments</w:t>
            </w: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7"/>
        </w:trPr>
        <w:tc>
          <w:tcPr>
            <w:tcW w:w="926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4"/>
                <w:szCs w:val="14"/>
                <w:color w:val="58595B"/>
              </w:rPr>
              <w:t>Impact of unanticipated tariffs</w:t>
            </w:r>
          </w:p>
        </w:tc>
        <w:tc>
          <w:tcPr>
            <w:tcW w:w="140" w:type="dxa"/>
            <w:vAlign w:val="bottom"/>
            <w:tcBorders>
              <w:bottom w:val="single" w:sz="8" w:color="EFEDED"/>
            </w:tcBorders>
            <w:shd w:val="clear" w:color="auto" w:fill="EFEDED"/>
          </w:tcPr>
          <w:p>
            <w:pPr>
              <w:spacing w:after="0"/>
              <w:rPr>
                <w:sz w:val="20"/>
                <w:szCs w:val="20"/>
                <w:color w:val="auto"/>
              </w:rPr>
            </w:pPr>
          </w:p>
        </w:tc>
        <w:tc>
          <w:tcPr>
            <w:tcW w:w="1840" w:type="dxa"/>
            <w:vAlign w:val="bottom"/>
            <w:tcBorders>
              <w:bottom w:val="single" w:sz="8" w:color="EFEDED"/>
            </w:tcBorders>
            <w:shd w:val="clear" w:color="auto" w:fill="EFEDED"/>
          </w:tcPr>
          <w:p>
            <w:pPr>
              <w:jc w:val="right"/>
              <w:ind w:right="89"/>
              <w:spacing w:after="0"/>
              <w:rPr>
                <w:sz w:val="20"/>
                <w:szCs w:val="20"/>
                <w:color w:val="auto"/>
              </w:rPr>
            </w:pPr>
            <w:r>
              <w:rPr>
                <w:rFonts w:ascii="Arial" w:cs="Arial" w:eastAsia="Arial" w:hAnsi="Arial"/>
                <w:sz w:val="14"/>
                <w:szCs w:val="14"/>
                <w:color w:val="58595B"/>
              </w:rPr>
              <w:t>6.5</w:t>
            </w:r>
          </w:p>
        </w:tc>
      </w:tr>
      <w:tr>
        <w:trPr>
          <w:trHeight w:val="201"/>
        </w:trPr>
        <w:tc>
          <w:tcPr>
            <w:tcW w:w="9260" w:type="dxa"/>
            <w:vAlign w:val="bottom"/>
          </w:tcPr>
          <w:p>
            <w:pPr>
              <w:ind w:left="100"/>
              <w:spacing w:after="0"/>
              <w:rPr>
                <w:sz w:val="20"/>
                <w:szCs w:val="20"/>
                <w:color w:val="auto"/>
              </w:rPr>
            </w:pPr>
            <w:r>
              <w:rPr>
                <w:rFonts w:ascii="Arial" w:cs="Arial" w:eastAsia="Arial" w:hAnsi="Arial"/>
                <w:sz w:val="14"/>
                <w:szCs w:val="14"/>
                <w:b w:val="1"/>
                <w:bCs w:val="1"/>
                <w:color w:val="58595B"/>
              </w:rPr>
              <w:t>Adjusted for Annual Cash Bonus Purposes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58595B"/>
              </w:rPr>
              <w:t>$</w:t>
            </w:r>
          </w:p>
        </w:tc>
        <w:tc>
          <w:tcPr>
            <w:tcW w:w="18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58595B"/>
              </w:rPr>
              <w:t>324</w:t>
            </w:r>
          </w:p>
        </w:tc>
      </w:tr>
      <w:tr>
        <w:trPr>
          <w:trHeight w:val="22"/>
        </w:trPr>
        <w:tc>
          <w:tcPr>
            <w:tcW w:w="9260" w:type="dxa"/>
            <w:vAlign w:val="bottom"/>
            <w:tcBorders>
              <w:bottom w:val="single" w:sz="8" w:color="58595B"/>
            </w:tcBorders>
          </w:tcPr>
          <w:p>
            <w:pPr>
              <w:spacing w:after="0" w:line="20" w:lineRule="exact"/>
              <w:rPr>
                <w:sz w:val="1"/>
                <w:szCs w:val="1"/>
                <w:color w:val="auto"/>
              </w:rPr>
            </w:pPr>
          </w:p>
        </w:tc>
        <w:tc>
          <w:tcPr>
            <w:tcW w:w="140" w:type="dxa"/>
            <w:vAlign w:val="bottom"/>
            <w:tcBorders>
              <w:bottom w:val="single" w:sz="8" w:color="58595B"/>
            </w:tcBorders>
          </w:tcPr>
          <w:p>
            <w:pPr>
              <w:spacing w:after="0" w:line="20" w:lineRule="exact"/>
              <w:rPr>
                <w:sz w:val="1"/>
                <w:szCs w:val="1"/>
                <w:color w:val="auto"/>
              </w:rPr>
            </w:pPr>
          </w:p>
        </w:tc>
        <w:tc>
          <w:tcPr>
            <w:tcW w:w="1840" w:type="dxa"/>
            <w:vAlign w:val="bottom"/>
            <w:tcBorders>
              <w:bottom w:val="single" w:sz="8" w:color="58595B"/>
            </w:tcBorders>
          </w:tcPr>
          <w:p>
            <w:pPr>
              <w:spacing w:after="0" w:line="20" w:lineRule="exact"/>
              <w:rPr>
                <w:sz w:val="1"/>
                <w:szCs w:val="1"/>
                <w:color w:val="auto"/>
              </w:rPr>
            </w:pPr>
          </w:p>
        </w:tc>
      </w:tr>
      <w:tr>
        <w:trPr>
          <w:trHeight w:val="728"/>
        </w:trPr>
        <w:tc>
          <w:tcPr>
            <w:tcW w:w="9260" w:type="dxa"/>
            <w:vAlign w:val="bottom"/>
          </w:tcPr>
          <w:p>
            <w:pPr>
              <w:ind w:left="20"/>
              <w:spacing w:after="0"/>
              <w:rPr>
                <w:sz w:val="20"/>
                <w:szCs w:val="20"/>
                <w:color w:val="auto"/>
              </w:rPr>
            </w:pPr>
            <w:r>
              <w:rPr>
                <w:rFonts w:ascii="Arial" w:cs="Arial" w:eastAsia="Arial" w:hAnsi="Arial"/>
                <w:sz w:val="13"/>
                <w:szCs w:val="13"/>
                <w:b w:val="1"/>
                <w:bCs w:val="1"/>
                <w:color w:val="009845"/>
              </w:rPr>
              <w:t>A-2</w:t>
            </w:r>
          </w:p>
        </w:tc>
        <w:tc>
          <w:tcPr>
            <w:tcW w:w="1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58595B"/>
              </w:rPr>
              <w:t>2026 Proxy Statement</w:t>
            </w:r>
          </w:p>
        </w:tc>
      </w:tr>
      <w:tr>
        <w:trPr>
          <w:trHeight w:val="231"/>
        </w:trPr>
        <w:tc>
          <w:tcPr>
            <w:tcW w:w="926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8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36"/>
          <w:szCs w:val="36"/>
          <w:color w:val="009845"/>
        </w:rPr>
        <w:t>APPENDIX B</w:t>
      </w:r>
    </w:p>
    <w:p>
      <w:pPr>
        <w:spacing w:after="0" w:line="200" w:lineRule="exact"/>
        <w:rPr>
          <w:sz w:val="20"/>
          <w:szCs w:val="20"/>
          <w:color w:val="auto"/>
        </w:rPr>
      </w:pPr>
    </w:p>
    <w:p>
      <w:pPr>
        <w:spacing w:after="0" w:line="220"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58595B"/>
        </w:rPr>
        <w:t>AMENDMENT NO. 3 TO THE</w:t>
      </w:r>
    </w:p>
    <w:p>
      <w:pPr>
        <w:spacing w:after="0" w:line="39"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58595B"/>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8595B"/>
        </w:rPr>
        <w:t>FIFTH AMENDED AND RESTATED 2003 EQUITY INCENTIVE PLAN</w:t>
      </w:r>
    </w:p>
    <w:p>
      <w:pPr>
        <w:spacing w:after="0" w:line="246" w:lineRule="exact"/>
        <w:rPr>
          <w:sz w:val="20"/>
          <w:szCs w:val="20"/>
          <w:color w:val="auto"/>
        </w:rPr>
      </w:pPr>
    </w:p>
    <w:p>
      <w:pPr>
        <w:ind w:right="440"/>
        <w:spacing w:after="0" w:line="356" w:lineRule="auto"/>
        <w:rPr>
          <w:sz w:val="20"/>
          <w:szCs w:val="20"/>
          <w:color w:val="auto"/>
        </w:rPr>
      </w:pPr>
      <w:r>
        <w:rPr>
          <w:rFonts w:ascii="Arial" w:cs="Arial" w:eastAsia="Arial" w:hAnsi="Arial"/>
          <w:sz w:val="16"/>
          <w:szCs w:val="16"/>
          <w:color w:val="58595B"/>
        </w:rPr>
        <w:t>THIS AMENDMENT (the “Amendment”) of the Integra LifeSciences Holdings Corporation Fifth Amended and Restated 2003 Equity Incentive Plan (the "Plan") is dated as of April 1, 2026.</w:t>
      </w:r>
    </w:p>
    <w:p>
      <w:pPr>
        <w:spacing w:after="0" w:line="89"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color w:val="58595B"/>
        </w:rPr>
        <w:t>WHEREAS, Integra LifeSciences Holdings Corporation (the “Company”) sponsors and maintains the Integra LifeSciences Holdings Corporation Fifth Amended and Restated 2003 Equity Incentive Plan, as amended (the “Plan”), which was previously adopted by the Board of Directors of the Company (the “Board”) and approved by the stockholders of the Company;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8595B"/>
        </w:rPr>
        <w:t>WHEREAS, pursuant to Section 9(a) of the Plan, the Board of Directors of the Company (the “Board”) has reserved the right to amend the Plan;</w:t>
      </w:r>
    </w:p>
    <w:p>
      <w:pPr>
        <w:spacing w:after="0" w:line="221"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58595B"/>
        </w:rPr>
        <w:t>WHEREAS, the Board believes that the number of shares of common stock of the Company remaining available for issuance under the Plan has become insufficient for the Company’s anticipated future needs under the Plan;</w:t>
      </w:r>
    </w:p>
    <w:p>
      <w:pPr>
        <w:spacing w:after="0" w:line="101" w:lineRule="exact"/>
        <w:rPr>
          <w:sz w:val="20"/>
          <w:szCs w:val="20"/>
          <w:color w:val="auto"/>
        </w:rPr>
      </w:pPr>
    </w:p>
    <w:p>
      <w:pPr>
        <w:jc w:val="both"/>
        <w:ind w:right="60"/>
        <w:spacing w:after="0" w:line="328" w:lineRule="auto"/>
        <w:rPr>
          <w:sz w:val="20"/>
          <w:szCs w:val="20"/>
          <w:color w:val="auto"/>
        </w:rPr>
      </w:pPr>
      <w:r>
        <w:rPr>
          <w:rFonts w:ascii="Arial" w:cs="Arial" w:eastAsia="Arial" w:hAnsi="Arial"/>
          <w:sz w:val="16"/>
          <w:szCs w:val="16"/>
          <w:color w:val="58595B"/>
        </w:rPr>
        <w:t>WHEREAS, the Board has determined, following the recommendation of the Compensation Committee (the “Committee”) and the Committee’s independent compensation consultant, that it is in the best interests of the Company and its stockholders to amend the Plan, subject to stockholder approval, to increase the aggregate number of Shares available for Awards under the Plan; and</w:t>
      </w:r>
    </w:p>
    <w:p>
      <w:pPr>
        <w:spacing w:after="0" w:line="123"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58595B"/>
        </w:rPr>
        <w:t>WHEREAS, the Board has approved the submission of this Amendment to the Company’s stockholders for approval and if, for any reason, the Company’s stockholders fail to approve this Amendment, the existing Plan shall continue in full force and effect.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58595B"/>
        </w:rPr>
        <w:t>NOW, THEREFORE, the Plan is hereby amended, effective as of the Amendment Effective Date (as defined below), as follows:</w:t>
      </w:r>
    </w:p>
    <w:p>
      <w:pPr>
        <w:spacing w:after="0" w:line="192"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20"/>
          <w:szCs w:val="20"/>
          <w:color w:val="58595B"/>
        </w:rPr>
      </w:pPr>
      <w:r>
        <w:rPr>
          <w:rFonts w:ascii="Arial" w:cs="Arial" w:eastAsia="Arial" w:hAnsi="Arial"/>
          <w:sz w:val="16"/>
          <w:szCs w:val="16"/>
          <w:u w:val="single" w:color="auto"/>
          <w:color w:val="58595B"/>
        </w:rPr>
        <w:t>Shares Subject to the Plan</w:t>
      </w:r>
      <w:r>
        <w:rPr>
          <w:rFonts w:ascii="Arial" w:cs="Arial" w:eastAsia="Arial" w:hAnsi="Arial"/>
          <w:sz w:val="16"/>
          <w:szCs w:val="16"/>
          <w:color w:val="58595B"/>
        </w:rPr>
        <w:t>. Section 5 of the Plan is hereby amended and restated to read in its entirety as follows:</w:t>
      </w:r>
    </w:p>
    <w:p>
      <w:pPr>
        <w:spacing w:after="0" w:line="230" w:lineRule="exact"/>
        <w:rPr>
          <w:rFonts w:ascii="Times New Roman" w:cs="Times New Roman" w:eastAsia="Times New Roman" w:hAnsi="Times New Roman"/>
          <w:sz w:val="20"/>
          <w:szCs w:val="20"/>
          <w:color w:val="58595B"/>
        </w:rPr>
      </w:pPr>
    </w:p>
    <w:p>
      <w:pPr>
        <w:ind w:left="1320" w:hanging="340"/>
        <w:spacing w:after="0"/>
        <w:tabs>
          <w:tab w:leader="none" w:pos="1320" w:val="left"/>
        </w:tabs>
        <w:numPr>
          <w:ilvl w:val="1"/>
          <w:numId w:val="69"/>
        </w:numPr>
        <w:rPr>
          <w:rFonts w:ascii="Arial" w:cs="Arial" w:eastAsia="Arial" w:hAnsi="Arial"/>
          <w:sz w:val="16"/>
          <w:szCs w:val="16"/>
          <w:color w:val="58595B"/>
        </w:rPr>
      </w:pPr>
      <w:r>
        <w:rPr>
          <w:rFonts w:ascii="Arial" w:cs="Arial" w:eastAsia="Arial" w:hAnsi="Arial"/>
          <w:sz w:val="16"/>
          <w:szCs w:val="16"/>
          <w:i w:val="1"/>
          <w:iCs w:val="1"/>
          <w:color w:val="58595B"/>
        </w:rPr>
        <w:t>Shares Subject to the Plan</w:t>
      </w:r>
      <w:r>
        <w:rPr>
          <w:rFonts w:ascii="Arial" w:cs="Arial" w:eastAsia="Arial" w:hAnsi="Arial"/>
          <w:sz w:val="16"/>
          <w:szCs w:val="16"/>
          <w:color w:val="58595B"/>
        </w:rPr>
        <w:t>. The aggregate number of Shares that may be delivered under the Plan is 24,250,000 (the “Share Limit”). The</w:t>
      </w:r>
    </w:p>
    <w:p>
      <w:pPr>
        <w:spacing w:after="0" w:line="59" w:lineRule="exact"/>
        <w:rPr>
          <w:rFonts w:ascii="Arial" w:cs="Arial" w:eastAsia="Arial" w:hAnsi="Arial"/>
          <w:sz w:val="16"/>
          <w:szCs w:val="16"/>
          <w:color w:val="58595B"/>
        </w:rPr>
      </w:pPr>
    </w:p>
    <w:p>
      <w:pPr>
        <w:ind w:left="1300" w:right="140"/>
        <w:spacing w:after="0" w:line="305" w:lineRule="auto"/>
        <w:rPr>
          <w:rFonts w:ascii="Arial" w:cs="Arial" w:eastAsia="Arial" w:hAnsi="Arial"/>
          <w:sz w:val="16"/>
          <w:szCs w:val="16"/>
          <w:color w:val="58595B"/>
        </w:rPr>
      </w:pPr>
      <w:r>
        <w:rPr>
          <w:rFonts w:ascii="Arial" w:cs="Arial" w:eastAsia="Arial" w:hAnsi="Arial"/>
          <w:sz w:val="16"/>
          <w:szCs w:val="16"/>
          <w:color w:val="58595B"/>
        </w:rPr>
        <w:t>maximum number of Shares which may be granted as ISOs is 24,250,000. Further, no Key Employee shall receive Awards for more than 2,000,000 Shares in the aggregate during any calendar year under the Plan. However, the limits in the preceding sentences shall be subject to the adjustment described in Sections 8.3 and 8.4. Shares delivered under the Plan may be authorized but unissued Shares,</w:t>
      </w:r>
    </w:p>
    <w:p>
      <w:pPr>
        <w:jc w:val="both"/>
        <w:ind w:left="1300" w:right="320"/>
        <w:spacing w:after="0" w:line="308" w:lineRule="auto"/>
        <w:rPr>
          <w:rFonts w:ascii="Arial" w:cs="Arial" w:eastAsia="Arial" w:hAnsi="Arial"/>
          <w:sz w:val="16"/>
          <w:szCs w:val="16"/>
          <w:color w:val="58595B"/>
        </w:rPr>
      </w:pPr>
      <w:r>
        <w:rPr>
          <w:rFonts w:ascii="Arial" w:cs="Arial" w:eastAsia="Arial" w:hAnsi="Arial"/>
          <w:sz w:val="16"/>
          <w:szCs w:val="16"/>
          <w:color w:val="58595B"/>
        </w:rPr>
        <w:t>treasury Shares or reacquired Shares, and the Company may purchase Shares required for this purpose, from time to time, if it deems such purchase to be advisable. Any Shares still subject to an Option which expires or otherwise terminates for any reason whatsoever</w:t>
      </w:r>
    </w:p>
    <w:p>
      <w:pPr>
        <w:jc w:val="both"/>
        <w:ind w:left="1300" w:right="60"/>
        <w:spacing w:after="0" w:line="319" w:lineRule="auto"/>
        <w:rPr>
          <w:rFonts w:ascii="Arial" w:cs="Arial" w:eastAsia="Arial" w:hAnsi="Arial"/>
          <w:sz w:val="16"/>
          <w:szCs w:val="16"/>
          <w:color w:val="58595B"/>
        </w:rPr>
      </w:pPr>
      <w:r>
        <w:rPr>
          <w:rFonts w:ascii="Arial" w:cs="Arial" w:eastAsia="Arial" w:hAnsi="Arial"/>
          <w:sz w:val="16"/>
          <w:szCs w:val="16"/>
          <w:color w:val="58595B"/>
        </w:rPr>
        <w:t>(including, without limitation, the surrender thereof) without having been exercised in full, any Shares that are still subject to an Award that is forfeited, and the Shares subject to an Award which is payable in Shares or cash and that is satisfied in cash rather than in Shares shall continue to be available for Awards under the Plan.</w:t>
      </w:r>
    </w:p>
    <w:p>
      <w:pPr>
        <w:spacing w:after="0" w:line="103" w:lineRule="exact"/>
        <w:rPr>
          <w:rFonts w:ascii="Arial" w:cs="Arial" w:eastAsia="Arial" w:hAnsi="Arial"/>
          <w:sz w:val="16"/>
          <w:szCs w:val="16"/>
          <w:color w:val="58595B"/>
        </w:rPr>
      </w:pPr>
    </w:p>
    <w:p>
      <w:pPr>
        <w:ind w:left="340" w:right="20" w:hanging="332"/>
        <w:spacing w:after="0" w:line="268" w:lineRule="auto"/>
        <w:tabs>
          <w:tab w:leader="none" w:pos="376" w:val="left"/>
        </w:tabs>
        <w:numPr>
          <w:ilvl w:val="0"/>
          <w:numId w:val="69"/>
        </w:numPr>
        <w:rPr>
          <w:rFonts w:ascii="Arial" w:cs="Arial" w:eastAsia="Arial" w:hAnsi="Arial"/>
          <w:sz w:val="16"/>
          <w:szCs w:val="16"/>
          <w:color w:val="58595B"/>
        </w:rPr>
      </w:pPr>
      <w:r>
        <w:rPr>
          <w:rFonts w:ascii="Arial" w:cs="Arial" w:eastAsia="Arial" w:hAnsi="Arial"/>
          <w:sz w:val="16"/>
          <w:szCs w:val="16"/>
          <w:u w:val="single" w:color="auto"/>
          <w:color w:val="58595B"/>
        </w:rPr>
        <w:t>Effective Date of Amendment</w:t>
      </w:r>
      <w:r>
        <w:rPr>
          <w:rFonts w:ascii="Arial" w:cs="Arial" w:eastAsia="Arial" w:hAnsi="Arial"/>
          <w:sz w:val="16"/>
          <w:szCs w:val="16"/>
          <w:color w:val="58595B"/>
        </w:rPr>
        <w:t>. This Amendment to the Plan shall become effective upon the date that it is approved by the Company’s stockholders (the “Amendment Effective Date”) in accordance with applicable laws and regulations.</w:t>
      </w:r>
    </w:p>
    <w:p>
      <w:pPr>
        <w:spacing w:after="0" w:line="196" w:lineRule="exact"/>
        <w:rPr>
          <w:rFonts w:ascii="Arial" w:cs="Arial" w:eastAsia="Arial" w:hAnsi="Arial"/>
          <w:sz w:val="16"/>
          <w:szCs w:val="16"/>
          <w:color w:val="58595B"/>
        </w:rPr>
      </w:pPr>
    </w:p>
    <w:p>
      <w:pPr>
        <w:ind w:left="340" w:right="660" w:hanging="332"/>
        <w:spacing w:after="0" w:line="286" w:lineRule="auto"/>
        <w:tabs>
          <w:tab w:leader="none" w:pos="376" w:val="left"/>
        </w:tabs>
        <w:numPr>
          <w:ilvl w:val="0"/>
          <w:numId w:val="69"/>
        </w:numPr>
        <w:rPr>
          <w:rFonts w:ascii="Arial" w:cs="Arial" w:eastAsia="Arial" w:hAnsi="Arial"/>
          <w:sz w:val="16"/>
          <w:szCs w:val="16"/>
          <w:color w:val="58595B"/>
        </w:rPr>
      </w:pPr>
      <w:r>
        <w:rPr>
          <w:rFonts w:ascii="Arial" w:cs="Arial" w:eastAsia="Arial" w:hAnsi="Arial"/>
          <w:sz w:val="16"/>
          <w:szCs w:val="16"/>
          <w:u w:val="single" w:color="auto"/>
          <w:color w:val="58595B"/>
        </w:rPr>
        <w:t>Remaining Provisions</w:t>
      </w:r>
      <w:r>
        <w:rPr>
          <w:rFonts w:ascii="Arial" w:cs="Arial" w:eastAsia="Arial" w:hAnsi="Arial"/>
          <w:sz w:val="16"/>
          <w:szCs w:val="16"/>
          <w:color w:val="58595B"/>
        </w:rPr>
        <w:t>. The remaining provisions of the Plan will continue in full force and effect unless and until further modified or amended in accordance with the terms of the Plan.</w:t>
      </w:r>
    </w:p>
    <w:p>
      <w:pPr>
        <w:spacing w:after="0" w:line="182" w:lineRule="exact"/>
        <w:rPr>
          <w:rFonts w:ascii="Arial" w:cs="Arial" w:eastAsia="Arial" w:hAnsi="Arial"/>
          <w:sz w:val="16"/>
          <w:szCs w:val="16"/>
          <w:color w:val="58595B"/>
        </w:rPr>
      </w:pPr>
    </w:p>
    <w:p>
      <w:pPr>
        <w:ind w:left="340" w:right="100" w:hanging="332"/>
        <w:spacing w:after="0" w:line="268" w:lineRule="auto"/>
        <w:tabs>
          <w:tab w:leader="none" w:pos="331" w:val="left"/>
        </w:tabs>
        <w:numPr>
          <w:ilvl w:val="0"/>
          <w:numId w:val="69"/>
        </w:numPr>
        <w:rPr>
          <w:rFonts w:ascii="Arial" w:cs="Arial" w:eastAsia="Arial" w:hAnsi="Arial"/>
          <w:sz w:val="16"/>
          <w:szCs w:val="16"/>
          <w:color w:val="58595B"/>
        </w:rPr>
      </w:pPr>
      <w:r>
        <w:rPr>
          <w:rFonts w:ascii="Arial" w:cs="Arial" w:eastAsia="Arial" w:hAnsi="Arial"/>
          <w:sz w:val="16"/>
          <w:szCs w:val="16"/>
          <w:u w:val="single" w:color="auto"/>
          <w:color w:val="58595B"/>
        </w:rPr>
        <w:t>Capitalized Terms</w:t>
      </w:r>
      <w:r>
        <w:rPr>
          <w:rFonts w:ascii="Arial" w:cs="Arial" w:eastAsia="Arial" w:hAnsi="Arial"/>
          <w:sz w:val="16"/>
          <w:szCs w:val="16"/>
          <w:color w:val="58595B"/>
        </w:rPr>
        <w:t>. Capitalized terms used in this Amendment that are not specifically defined in this Amendment will have the meanings set forth in the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58595B"/>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ind w:left="20"/>
              <w:spacing w:after="0"/>
              <w:rPr>
                <w:sz w:val="20"/>
                <w:szCs w:val="20"/>
                <w:color w:val="auto"/>
              </w:rPr>
            </w:pPr>
            <w:r>
              <w:rPr>
                <w:rFonts w:ascii="Arial" w:cs="Arial" w:eastAsia="Arial" w:hAnsi="Arial"/>
                <w:sz w:val="13"/>
                <w:szCs w:val="13"/>
                <w:color w:val="58595B"/>
              </w:rPr>
              <w:t>2026 Proxy Statement</w:t>
            </w:r>
          </w:p>
        </w:tc>
        <w:tc>
          <w:tcPr>
            <w:tcW w:w="5100" w:type="dxa"/>
            <w:vAlign w:val="bottom"/>
          </w:tcPr>
          <w:p>
            <w:pPr>
              <w:ind w:left="4880"/>
              <w:spacing w:after="0"/>
              <w:rPr>
                <w:sz w:val="20"/>
                <w:szCs w:val="20"/>
                <w:color w:val="auto"/>
              </w:rPr>
            </w:pPr>
            <w:r>
              <w:rPr>
                <w:rFonts w:ascii="Arial" w:cs="Arial" w:eastAsia="Arial" w:hAnsi="Arial"/>
                <w:sz w:val="13"/>
                <w:szCs w:val="13"/>
                <w:b w:val="1"/>
                <w:bCs w:val="1"/>
                <w:color w:val="009845"/>
                <w:w w:val="95"/>
              </w:rPr>
              <w:t>B-1</w:t>
            </w:r>
          </w:p>
        </w:tc>
      </w:tr>
      <w:tr>
        <w:trPr>
          <w:trHeight w:val="231"/>
        </w:trPr>
        <w:tc>
          <w:tcPr>
            <w:tcW w:w="6140" w:type="dxa"/>
            <w:vAlign w:val="bottom"/>
            <w:tcBorders>
              <w:bottom w:val="single" w:sz="8" w:color="9A9A9A"/>
            </w:tcBorders>
          </w:tcPr>
          <w:p>
            <w:pPr>
              <w:spacing w:after="0"/>
              <w:rPr>
                <w:sz w:val="20"/>
                <w:szCs w:val="20"/>
                <w:color w:val="auto"/>
              </w:rPr>
            </w:pPr>
          </w:p>
        </w:tc>
        <w:tc>
          <w:tcPr>
            <w:tcW w:w="51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color w:val="009845"/>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58595B"/>
        </w:rPr>
        <w:t>IN WITNESS WHEREOF, the undersigned Secretary of the Company certifies that the foregoing Amendment to the Plan was duly adopted by the Board of Directors.</w:t>
      </w:r>
    </w:p>
    <w:p>
      <w:pPr>
        <w:spacing w:after="0" w:line="115"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INTEGRA LIFESCIENCES HOLDINGS CORPORATION</w:t>
      </w:r>
    </w:p>
    <w:p>
      <w:pPr>
        <w:spacing w:after="0" w:line="200" w:lineRule="exact"/>
        <w:rPr>
          <w:sz w:val="20"/>
          <w:szCs w:val="20"/>
          <w:color w:val="auto"/>
        </w:rPr>
      </w:pPr>
    </w:p>
    <w:p>
      <w:pPr>
        <w:spacing w:after="0" w:line="399"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 xml:space="preserve">By: </w:t>
      </w:r>
      <w:r>
        <w:rPr>
          <w:rFonts w:ascii="Arial" w:cs="Arial" w:eastAsia="Arial" w:hAnsi="Arial"/>
          <w:sz w:val="16"/>
          <w:szCs w:val="16"/>
          <w:u w:val="single" w:color="auto"/>
          <w:color w:val="58595B"/>
        </w:rPr>
        <w:t>/s/ Michael Hutchinson</w:t>
      </w:r>
    </w:p>
    <w:p>
      <w:pPr>
        <w:spacing w:after="0" w:line="31"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Name: Michael Hutchinson</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Title: Executive Vice President, Chief Legal Officer</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and Secretary</w:t>
      </w:r>
    </w:p>
    <w:p>
      <w:pPr>
        <w:spacing w:after="0" w:line="37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3"/>
          <w:szCs w:val="13"/>
          <w:b w:val="1"/>
          <w:bCs w:val="1"/>
          <w:color w:val="009845"/>
        </w:rPr>
        <w:t>B-2</w:t>
      </w:r>
      <w:r>
        <w:rPr>
          <w:sz w:val="20"/>
          <w:szCs w:val="20"/>
          <w:color w:val="auto"/>
        </w:rPr>
        <w:tab/>
      </w:r>
      <w:r>
        <w:rPr>
          <w:rFonts w:ascii="Arial" w:cs="Arial" w:eastAsia="Arial" w:hAnsi="Arial"/>
          <w:sz w:val="12"/>
          <w:szCs w:val="12"/>
          <w:color w:val="58595B"/>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431800</wp:posOffset>
            </wp:positionV>
            <wp:extent cx="7157720" cy="92627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926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431800</wp:posOffset>
            </wp:positionV>
            <wp:extent cx="6943725" cy="89839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clrChange>
                        <a:clrFrom>
                          <a:srgbClr val="FFFFFF"/>
                        </a:clrFrom>
                        <a:clrTo>
                          <a:srgbClr val="FFFFFF">
                            <a:alpha val="0"/>
                          </a:srgbClr>
                        </a:clrTo>
                      </a:clrChange>
                      <a:extLst>
                        <a:ext uri="{28A0092B-C50C-407E-A947-70E740481C1C}"/>
                      </a:extLst>
                    </a:blip>
                    <a:srcRect/>
                    <a:stretch>
                      <a:fillRect/>
                    </a:stretch>
                  </pic:blipFill>
                  <pic:spPr bwMode="auto">
                    <a:xfrm>
                      <a:off x="0" y="0"/>
                      <a:ext cx="6943725" cy="8983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o"/>
      <w:numFmt w:val="bullet"/>
      <w:start w:val="1"/>
    </w:lvl>
  </w:abstractNum>
  <w:abstractNum w:abstractNumId="1">
    <w:nsid w:val="440BADFC"/>
    <w:multiLevelType w:val="hybridMultilevel"/>
    <w:lvl w:ilvl="0">
      <w:lvlJc w:val="left"/>
      <w:lvlText w:val="x"/>
      <w:numFmt w:val="bullet"/>
      <w:start w:val="1"/>
    </w:lvl>
  </w:abstractNum>
  <w:abstractNum w:abstractNumId="2">
    <w:nsid w:val="5072367"/>
    <w:multiLevelType w:val="hybridMultilevel"/>
    <w:lvl w:ilvl="0">
      <w:lvlJc w:val="left"/>
      <w:lvlText w:val="o"/>
      <w:numFmt w:val="bullet"/>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2"/>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2"/>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2"/>
    </w:lvl>
  </w:abstractNum>
  <w:abstractNum w:abstractNumId="21">
    <w:nsid w:val="7A6D8D3C"/>
    <w:multiLevelType w:val="hybridMultilevel"/>
    <w:lvl w:ilvl="0">
      <w:lvlJc w:val="left"/>
      <w:lvlText w:val="X"/>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1."/>
      <w:numFmt w:val="decimal"/>
      <w:start w:val="2"/>
    </w:lvl>
  </w:abstractNum>
  <w:abstractNum w:abstractNumId="46">
    <w:nsid w:val="235BA861"/>
    <w:multiLevelType w:val="hybridMultilevel"/>
    <w:lvl w:ilvl="0">
      <w:lvlJc w:val="left"/>
      <w:lvlText w:val="%1."/>
      <w:numFmt w:val="decimal"/>
      <w:start w:val="3"/>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lowerRoman"/>
      <w:start w:val="1"/>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1"/>
    </w:lvl>
    <w:lvl w:ilvl="1">
      <w:lvlJc w:val="left"/>
      <w:lvlText w:val="•"/>
      <w:numFmt w:val="bullet"/>
      <w:start w:val="1"/>
    </w:lvl>
  </w:abstractNum>
  <w:abstractNum w:abstractNumId="52">
    <w:nsid w:val="10233C99"/>
    <w:multiLevelType w:val="hybridMultilevel"/>
    <w:lvl w:ilvl="0">
      <w:lvlJc w:val="left"/>
      <w:lvlText w:val="%1."/>
      <w:numFmt w:val="decimal"/>
      <w:start w:val="2"/>
    </w:lvl>
  </w:abstractNum>
  <w:abstractNum w:abstractNumId="53">
    <w:nsid w:val="3F6AB60F"/>
    <w:multiLevelType w:val="hybridMultilevel"/>
    <w:lvl w:ilvl="0">
      <w:lvlJc w:val="left"/>
      <w:lvlText w:val="%1."/>
      <w:numFmt w:val="decimal"/>
      <w:start w:val="3"/>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lowerLetter"/>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2"/>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2"/>
    </w:lvl>
  </w:abstractNum>
  <w:abstractNum w:abstractNumId="66">
    <w:nsid w:val="5DB70AE5"/>
    <w:multiLevelType w:val="hybridMultilevel"/>
    <w:lvl w:ilvl="0">
      <w:lvlJc w:val="left"/>
      <w:lvlText w:val="%1."/>
      <w:numFmt w:val="decimal"/>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2026-04-06T15:50:54Z</dcterms:created>
  <dcterms:modified xsi:type="dcterms:W3CDTF">2026-04-06T15:50:54Z</dcterms:modified>
</cp:coreProperties>
</file>