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22975.xml.htm"/>
      <w:bookmarkStart w:id="1" w:name="kswkform4_17885229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Veillon-Berteloot Chantal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CAMPUS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INTEGRA LIFESCIENCES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IART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16.62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Lesha Shinn; Attorney-in-Fact for Chantal Veillon-Berteloot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905" TargetMode="External"/><Relationship Id="rId5" Type="http://schemas.openxmlformats.org/officeDocument/2006/relationships/hyperlink" Target="http://www.sec.gov/cgi-bin/browse-edgar?action=getcompany&amp;CIK=0000917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3110</Characters>
  <CharactersWithSpaces>3609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