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31, 2012</w:t>
      </w:r>
    </w:p>
    <w:p>
      <w:pPr>
        <w:spacing w:after="0" w:line="343"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412"/>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3" w:lineRule="exact"/>
        <w:rPr>
          <w:sz w:val="24"/>
          <w:szCs w:val="24"/>
          <w:color w:val="auto"/>
        </w:rPr>
      </w:pPr>
    </w:p>
    <w:tbl>
      <w:tblPr>
        <w:tblLayout w:type="fixed"/>
        <w:tblInd w:w="1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360" w:type="dxa"/>
            <w:vAlign w:val="bottom"/>
            <w:gridSpan w:val="2"/>
          </w:tcPr>
          <w:p>
            <w:pPr>
              <w:jc w:val="center"/>
              <w:ind w:right="2060"/>
              <w:spacing w:after="0"/>
              <w:rPr>
                <w:sz w:val="20"/>
                <w:szCs w:val="20"/>
                <w:color w:val="auto"/>
              </w:rPr>
            </w:pPr>
            <w:r>
              <w:rPr>
                <w:rFonts w:ascii="Arial" w:cs="Arial" w:eastAsia="Arial" w:hAnsi="Arial"/>
                <w:sz w:val="16"/>
                <w:szCs w:val="16"/>
                <w:b w:val="1"/>
                <w:bCs w:val="1"/>
                <w:color w:val="auto"/>
                <w:w w:val="91"/>
              </w:rPr>
              <w:t>Title of Each Class</w:t>
            </w:r>
          </w:p>
        </w:tc>
        <w:tc>
          <w:tcPr>
            <w:tcW w:w="398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1"/>
        </w:trPr>
        <w:tc>
          <w:tcPr>
            <w:tcW w:w="420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Common Stock, Par Value $.01 Per Share</w:t>
            </w:r>
          </w:p>
        </w:tc>
        <w:tc>
          <w:tcPr>
            <w:tcW w:w="12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180" w:lineRule="exact"/>
        <w:rPr>
          <w:sz w:val="24"/>
          <w:szCs w:val="24"/>
          <w:color w:val="auto"/>
        </w:rPr>
      </w:pPr>
    </w:p>
    <w:p>
      <w:pPr>
        <w:ind w:right="23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15(d) of the Securities Exchange Act. Yes o No x</w:t>
      </w:r>
    </w:p>
    <w:p>
      <w:pPr>
        <w:spacing w:after="0" w:line="2"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48" w:lineRule="exact"/>
        <w:rPr>
          <w:sz w:val="24"/>
          <w:szCs w:val="24"/>
          <w:color w:val="auto"/>
        </w:rPr>
      </w:pPr>
    </w:p>
    <w:p>
      <w:pPr>
        <w:ind w:right="2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13" w:right="279" w:bottom="1440" w:gutter="0" w:footer="0" w:header="0"/>
        </w:sectPr>
      </w:pPr>
    </w:p>
    <w:bookmarkStart w:id="1" w:name="page2"/>
    <w:bookmarkEnd w:id="1"/>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x</w:t>
            </w:r>
          </w:p>
        </w:tc>
        <w:tc>
          <w:tcPr>
            <w:tcW w:w="570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581"/>
        </w:trPr>
        <w:tc>
          <w:tcPr>
            <w:tcW w:w="18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o</w:t>
            </w:r>
          </w:p>
        </w:tc>
        <w:tc>
          <w:tcPr>
            <w:tcW w:w="570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As of June 30, 2012, the aggregate market value of the registrant’s common stock held by non-affiliates was approximately $726.4 million based upon the closing sales price of the registrant’s common stock on The Nasdaq Global Market on such date. The number of shares of the registrant’s Common Stock, $0.01 par value, outstanding as of February 22, 2013 was 27,989,027.</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portions of the registrant’s definitive proxy statement relating to its scheduled May 22, 2013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10"/>
          </w:tcPr>
          <w:p>
            <w:pPr>
              <w:jc w:val="center"/>
              <w:ind w:right="162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40" w:type="dxa"/>
            <w:vAlign w:val="bottom"/>
            <w:gridSpan w:val="4"/>
          </w:tcPr>
          <w:p>
            <w:pPr>
              <w:ind w:left="4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580" w:type="dxa"/>
            <w:vAlign w:val="bottom"/>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w:t>
              </w:r>
            </w:hyperlink>
          </w:p>
        </w:tc>
        <w:tc>
          <w:tcPr>
            <w:tcW w:w="9560" w:type="dxa"/>
            <w:vAlign w:val="bottom"/>
            <w:gridSpan w:val="19"/>
            <w:vMerge w:val="restart"/>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9560" w:type="dxa"/>
            <w:vAlign w:val="bottom"/>
            <w:gridSpan w:val="19"/>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6"/>
                <w:szCs w:val="16"/>
                <w:color w:val="0000FF"/>
                <w:w w:val="77"/>
              </w:rPr>
            </w:pPr>
            <w:hyperlink w:anchor="page4">
              <w:r>
                <w:rPr>
                  <w:rFonts w:ascii="Arial" w:cs="Arial" w:eastAsia="Arial" w:hAnsi="Arial"/>
                  <w:sz w:val="16"/>
                  <w:szCs w:val="16"/>
                  <w:color w:val="0000FF"/>
                  <w:w w:val="77"/>
                </w:rPr>
                <w:t>Item 1. Business</w:t>
              </w:r>
            </w:hyperlink>
          </w:p>
        </w:tc>
        <w:tc>
          <w:tcPr>
            <w:tcW w:w="8620" w:type="dxa"/>
            <w:vAlign w:val="bottom"/>
            <w:gridSpan w:val="1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00" w:type="dxa"/>
            <w:vAlign w:val="bottom"/>
            <w:gridSpan w:val="4"/>
          </w:tcPr>
          <w:p>
            <w:pPr>
              <w:spacing w:after="0"/>
              <w:rPr>
                <w:rFonts w:ascii="Arial" w:cs="Arial" w:eastAsia="Arial" w:hAnsi="Arial"/>
                <w:sz w:val="16"/>
                <w:szCs w:val="16"/>
                <w:color w:val="0000FF"/>
                <w:w w:val="83"/>
              </w:rPr>
            </w:pPr>
            <w:hyperlink w:anchor="page12">
              <w:r>
                <w:rPr>
                  <w:rFonts w:ascii="Arial" w:cs="Arial" w:eastAsia="Arial" w:hAnsi="Arial"/>
                  <w:sz w:val="16"/>
                  <w:szCs w:val="16"/>
                  <w:color w:val="0000FF"/>
                  <w:w w:val="83"/>
                </w:rPr>
                <w:t>Item 1A. Risk Factors</w:t>
              </w:r>
            </w:hyperlink>
          </w:p>
        </w:tc>
        <w:tc>
          <w:tcPr>
            <w:tcW w:w="8260" w:type="dxa"/>
            <w:vAlign w:val="bottom"/>
            <w:gridSpan w:val="1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12">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1B. Unresolved Staff Comment</w:t>
              </w:r>
            </w:hyperlink>
            <w:r>
              <w:rPr>
                <w:rFonts w:ascii="Arial" w:cs="Arial" w:eastAsia="Arial" w:hAnsi="Arial"/>
                <w:sz w:val="16"/>
                <w:szCs w:val="16"/>
                <w:color w:val="000000"/>
              </w:rPr>
              <w:t>s</w:t>
            </w:r>
          </w:p>
        </w:tc>
        <w:tc>
          <w:tcPr>
            <w:tcW w:w="1240" w:type="dxa"/>
            <w:vAlign w:val="bottom"/>
            <w:gridSpan w:val="4"/>
          </w:tcPr>
          <w:p>
            <w:pPr>
              <w:jc w:val="right"/>
              <w:ind w:right="20"/>
              <w:spacing w:after="0"/>
              <w:rPr>
                <w:rFonts w:ascii="Arial" w:cs="Arial" w:eastAsia="Arial" w:hAnsi="Arial"/>
                <w:sz w:val="16"/>
                <w:szCs w:val="16"/>
                <w:color w:val="0000FF"/>
              </w:rPr>
            </w:pPr>
            <w:hyperlink w:anchor="page24">
              <w:r>
                <w:rPr>
                  <w:rFonts w:ascii="Arial" w:cs="Arial" w:eastAsia="Arial" w:hAnsi="Arial"/>
                  <w:sz w:val="16"/>
                  <w:szCs w:val="16"/>
                  <w:color w:val="0000FF"/>
                </w:rPr>
                <w:t>24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20" w:type="dxa"/>
            <w:vAlign w:val="bottom"/>
            <w:gridSpan w:val="3"/>
          </w:tcPr>
          <w:p>
            <w:pPr>
              <w:spacing w:after="0"/>
              <w:rPr>
                <w:rFonts w:ascii="Arial" w:cs="Arial" w:eastAsia="Arial" w:hAnsi="Arial"/>
                <w:sz w:val="16"/>
                <w:szCs w:val="16"/>
                <w:color w:val="0000FF"/>
                <w:w w:val="79"/>
              </w:rPr>
            </w:pPr>
            <w:hyperlink w:anchor="page24">
              <w:r>
                <w:rPr>
                  <w:rFonts w:ascii="Arial" w:cs="Arial" w:eastAsia="Arial" w:hAnsi="Arial"/>
                  <w:sz w:val="16"/>
                  <w:szCs w:val="16"/>
                  <w:color w:val="0000FF"/>
                  <w:w w:val="79"/>
                </w:rPr>
                <w:t>Item 2. Properties</w:t>
              </w:r>
            </w:hyperlink>
          </w:p>
        </w:tc>
        <w:tc>
          <w:tcPr>
            <w:tcW w:w="1220" w:type="dxa"/>
            <w:vAlign w:val="bottom"/>
            <w:gridSpan w:val="6"/>
          </w:tcPr>
          <w:p>
            <w:pPr>
              <w:spacing w:after="0"/>
              <w:rPr>
                <w:sz w:val="20"/>
                <w:szCs w:val="20"/>
                <w:color w:val="auto"/>
              </w:rPr>
            </w:pPr>
          </w:p>
        </w:tc>
        <w:tc>
          <w:tcPr>
            <w:tcW w:w="7320" w:type="dxa"/>
            <w:vAlign w:val="bottom"/>
            <w:gridSpan w:val="10"/>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4">
              <w:r>
                <w:rPr>
                  <w:rFonts w:ascii="Arial" w:cs="Arial" w:eastAsia="Arial" w:hAnsi="Arial"/>
                  <w:sz w:val="16"/>
                  <w:szCs w:val="16"/>
                  <w:color w:val="0000FF"/>
                </w:rPr>
                <w:t>24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3. Legal Proceedings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24">
              <w:r>
                <w:rPr>
                  <w:rFonts w:ascii="Arial" w:cs="Arial" w:eastAsia="Arial" w:hAnsi="Arial"/>
                  <w:sz w:val="16"/>
                  <w:szCs w:val="16"/>
                  <w:color w:val="0000FF"/>
                </w:rPr>
                <w:t>24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Arial" w:cs="Arial" w:eastAsia="Arial" w:hAnsi="Arial"/>
                <w:sz w:val="16"/>
                <w:szCs w:val="16"/>
                <w:color w:val="0000FF"/>
                <w:w w:val="84"/>
              </w:rPr>
            </w:pPr>
            <w:hyperlink w:anchor="page24">
              <w:r>
                <w:rPr>
                  <w:rFonts w:ascii="Arial" w:cs="Arial" w:eastAsia="Arial" w:hAnsi="Arial"/>
                  <w:sz w:val="16"/>
                  <w:szCs w:val="16"/>
                  <w:color w:val="0000FF"/>
                  <w:w w:val="84"/>
                </w:rPr>
                <w:t>Item 4. Mine Safety Disclosures</w:t>
              </w:r>
            </w:hyperlink>
          </w:p>
        </w:tc>
        <w:tc>
          <w:tcPr>
            <w:tcW w:w="7620" w:type="dxa"/>
            <w:vAlign w:val="bottom"/>
            <w:gridSpan w:val="12"/>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4">
              <w:r>
                <w:rPr>
                  <w:rFonts w:ascii="Arial" w:cs="Arial" w:eastAsia="Arial" w:hAnsi="Arial"/>
                  <w:sz w:val="16"/>
                  <w:szCs w:val="16"/>
                  <w:color w:val="0000FF"/>
                </w:rPr>
                <w:t>24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Borders>
              <w:bottom w:val="single" w:sz="8" w:color="0000FF"/>
            </w:tcBorders>
          </w:tcPr>
          <w:p>
            <w:pPr>
              <w:spacing w:after="0"/>
              <w:rPr>
                <w:rFonts w:ascii="Arial" w:cs="Arial" w:eastAsia="Arial" w:hAnsi="Arial"/>
                <w:sz w:val="16"/>
                <w:szCs w:val="16"/>
                <w:color w:val="0000FF"/>
                <w:w w:val="96"/>
              </w:rPr>
            </w:pPr>
            <w:hyperlink w:anchor="page25">
              <w:r>
                <w:rPr>
                  <w:rFonts w:ascii="Arial" w:cs="Arial" w:eastAsia="Arial" w:hAnsi="Arial"/>
                  <w:sz w:val="16"/>
                  <w:szCs w:val="16"/>
                  <w:color w:val="0000FF"/>
                  <w:w w:val="96"/>
                </w:rPr>
                <w:t>PART II</w:t>
              </w:r>
            </w:hyperlink>
          </w:p>
        </w:tc>
        <w:tc>
          <w:tcPr>
            <w:tcW w:w="9560" w:type="dxa"/>
            <w:vAlign w:val="bottom"/>
            <w:gridSpan w:val="19"/>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20" w:type="dxa"/>
            <w:vAlign w:val="bottom"/>
            <w:gridSpan w:val="18"/>
          </w:tcPr>
          <w:p>
            <w:pPr>
              <w:spacing w:after="0"/>
              <w:rPr>
                <w:rFonts w:ascii="Arial" w:cs="Arial" w:eastAsia="Arial" w:hAnsi="Arial"/>
                <w:sz w:val="16"/>
                <w:szCs w:val="16"/>
                <w:color w:val="0000FF"/>
                <w:w w:val="90"/>
              </w:rPr>
            </w:pPr>
            <w:hyperlink w:anchor="page25">
              <w:r>
                <w:rPr>
                  <w:rFonts w:ascii="Arial" w:cs="Arial" w:eastAsia="Arial" w:hAnsi="Arial"/>
                  <w:sz w:val="16"/>
                  <w:szCs w:val="16"/>
                  <w:color w:val="0000FF"/>
                  <w:w w:val="90"/>
                </w:rPr>
                <w:t>Item 5. Market for Registrant's Common Equity, Related Stockholder Matters and Issuer Purchases of Equity Securities</w:t>
              </w:r>
            </w:hyperlink>
          </w:p>
        </w:tc>
        <w:tc>
          <w:tcPr>
            <w:tcW w:w="194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Arial" w:cs="Arial" w:eastAsia="Arial" w:hAnsi="Arial"/>
                <w:sz w:val="16"/>
                <w:szCs w:val="16"/>
                <w:color w:val="0000FF"/>
                <w:w w:val="85"/>
              </w:rPr>
            </w:pPr>
            <w:hyperlink w:anchor="page25">
              <w:r>
                <w:rPr>
                  <w:rFonts w:ascii="Arial" w:cs="Arial" w:eastAsia="Arial" w:hAnsi="Arial"/>
                  <w:sz w:val="16"/>
                  <w:szCs w:val="16"/>
                  <w:color w:val="0000FF"/>
                  <w:w w:val="85"/>
                </w:rPr>
                <w:t>Item 6. Selected Financial Data</w:t>
              </w:r>
            </w:hyperlink>
          </w:p>
        </w:tc>
        <w:tc>
          <w:tcPr>
            <w:tcW w:w="5680" w:type="dxa"/>
            <w:vAlign w:val="bottom"/>
            <w:gridSpan w:val="11"/>
          </w:tcPr>
          <w:p>
            <w:pPr>
              <w:spacing w:after="0"/>
              <w:rPr>
                <w:sz w:val="20"/>
                <w:szCs w:val="20"/>
                <w:color w:val="auto"/>
              </w:rPr>
            </w:pPr>
          </w:p>
        </w:tc>
        <w:tc>
          <w:tcPr>
            <w:tcW w:w="194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7.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00" w:type="dxa"/>
            <w:vAlign w:val="bottom"/>
            <w:gridSpan w:val="15"/>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Item 7A. Quantitative and Qualitative Disclosures About Market Risk</w:t>
              </w:r>
            </w:hyperlink>
          </w:p>
        </w:tc>
        <w:tc>
          <w:tcPr>
            <w:tcW w:w="336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380" w:type="dxa"/>
            <w:vAlign w:val="bottom"/>
            <w:gridSpan w:val="11"/>
          </w:tcPr>
          <w:p>
            <w:pPr>
              <w:spacing w:after="0"/>
              <w:rPr>
                <w:rFonts w:ascii="Arial" w:cs="Arial" w:eastAsia="Arial" w:hAnsi="Arial"/>
                <w:sz w:val="16"/>
                <w:szCs w:val="16"/>
                <w:color w:val="0000FF"/>
                <w:w w:val="86"/>
              </w:rPr>
            </w:pPr>
            <w:hyperlink w:anchor="page45">
              <w:r>
                <w:rPr>
                  <w:rFonts w:ascii="Arial" w:cs="Arial" w:eastAsia="Arial" w:hAnsi="Arial"/>
                  <w:sz w:val="16"/>
                  <w:szCs w:val="16"/>
                  <w:color w:val="0000FF"/>
                  <w:w w:val="86"/>
                </w:rPr>
                <w:t>Item 8. Financial Statements and Supplementary Data</w:t>
              </w:r>
            </w:hyperlink>
          </w:p>
        </w:tc>
        <w:tc>
          <w:tcPr>
            <w:tcW w:w="1060" w:type="dxa"/>
            <w:vAlign w:val="bottom"/>
            <w:gridSpan w:val="2"/>
          </w:tcPr>
          <w:p>
            <w:pPr>
              <w:spacing w:after="0"/>
              <w:rPr>
                <w:sz w:val="20"/>
                <w:szCs w:val="20"/>
                <w:color w:val="auto"/>
              </w:rPr>
            </w:pPr>
          </w:p>
        </w:tc>
        <w:tc>
          <w:tcPr>
            <w:tcW w:w="512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300" w:type="dxa"/>
            <w:vAlign w:val="bottom"/>
            <w:gridSpan w:val="16"/>
          </w:tcPr>
          <w:p>
            <w:pPr>
              <w:spacing w:after="0"/>
              <w:rPr>
                <w:rFonts w:ascii="Arial" w:cs="Arial" w:eastAsia="Arial" w:hAnsi="Arial"/>
                <w:sz w:val="16"/>
                <w:szCs w:val="16"/>
                <w:color w:val="0000FF"/>
                <w:w w:val="90"/>
              </w:rPr>
            </w:pPr>
            <w:hyperlink w:anchor="page45">
              <w:r>
                <w:rPr>
                  <w:rFonts w:ascii="Arial" w:cs="Arial" w:eastAsia="Arial" w:hAnsi="Arial"/>
                  <w:sz w:val="16"/>
                  <w:szCs w:val="16"/>
                  <w:color w:val="0000FF"/>
                  <w:w w:val="90"/>
                </w:rPr>
                <w:t>Item 9. Changes in and Disagreements with Accountants on Accounting and Financial Disclosures</w:t>
              </w:r>
            </w:hyperlink>
          </w:p>
        </w:tc>
        <w:tc>
          <w:tcPr>
            <w:tcW w:w="3260" w:type="dxa"/>
            <w:vAlign w:val="bottom"/>
            <w:gridSpan w:val="3"/>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gridSpan w:val="8"/>
          </w:tcPr>
          <w:p>
            <w:pPr>
              <w:spacing w:after="0"/>
              <w:rPr>
                <w:rFonts w:ascii="Arial" w:cs="Arial" w:eastAsia="Arial" w:hAnsi="Arial"/>
                <w:sz w:val="16"/>
                <w:szCs w:val="16"/>
                <w:color w:val="0000FF"/>
                <w:w w:val="85"/>
              </w:rPr>
            </w:pPr>
            <w:hyperlink w:anchor="page45">
              <w:r>
                <w:rPr>
                  <w:rFonts w:ascii="Arial" w:cs="Arial" w:eastAsia="Arial" w:hAnsi="Arial"/>
                  <w:sz w:val="16"/>
                  <w:szCs w:val="16"/>
                  <w:color w:val="0000FF"/>
                  <w:w w:val="85"/>
                </w:rPr>
                <w:t>Item 9A. Controls and Procedures</w:t>
              </w:r>
            </w:hyperlink>
          </w:p>
        </w:tc>
        <w:tc>
          <w:tcPr>
            <w:tcW w:w="4200" w:type="dxa"/>
            <w:vAlign w:val="bottom"/>
            <w:gridSpan w:val="8"/>
          </w:tcPr>
          <w:p>
            <w:pPr>
              <w:spacing w:after="0"/>
              <w:rPr>
                <w:sz w:val="20"/>
                <w:szCs w:val="20"/>
                <w:color w:val="auto"/>
              </w:rPr>
            </w:pPr>
          </w:p>
        </w:tc>
        <w:tc>
          <w:tcPr>
            <w:tcW w:w="3260" w:type="dxa"/>
            <w:vAlign w:val="bottom"/>
            <w:gridSpan w:val="3"/>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Item 9B. Other Information</w:t>
              </w:r>
            </w:hyperlink>
          </w:p>
        </w:tc>
        <w:tc>
          <w:tcPr>
            <w:tcW w:w="400" w:type="dxa"/>
            <w:vAlign w:val="bottom"/>
            <w:gridSpan w:val="2"/>
          </w:tcPr>
          <w:p>
            <w:pPr>
              <w:spacing w:after="0"/>
              <w:rPr>
                <w:sz w:val="20"/>
                <w:szCs w:val="20"/>
                <w:color w:val="auto"/>
              </w:rPr>
            </w:pPr>
          </w:p>
        </w:tc>
        <w:tc>
          <w:tcPr>
            <w:tcW w:w="7460" w:type="dxa"/>
            <w:vAlign w:val="bottom"/>
            <w:gridSpan w:val="11"/>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20"/>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PART III</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9560" w:type="dxa"/>
            <w:vAlign w:val="bottom"/>
            <w:gridSpan w:val="19"/>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10. Directors, Executive Officers and Corporate Governance</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60" w:type="dxa"/>
            <w:vAlign w:val="bottom"/>
            <w:gridSpan w:val="12"/>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11. Executive Compensation</w:t>
              </w:r>
            </w:hyperlink>
          </w:p>
        </w:tc>
        <w:tc>
          <w:tcPr>
            <w:tcW w:w="5400" w:type="dxa"/>
            <w:vAlign w:val="bottom"/>
            <w:gridSpan w:val="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12. Security Ownership of Certain Beneficial Owners and Management and Related Stockholder Matter</w:t>
              </w:r>
            </w:hyperlink>
            <w:r>
              <w:rPr>
                <w:rFonts w:ascii="Arial" w:cs="Arial" w:eastAsia="Arial" w:hAnsi="Arial"/>
                <w:sz w:val="16"/>
                <w:szCs w:val="16"/>
                <w:color w:val="000000"/>
              </w:rPr>
              <w:t>s</w:t>
            </w: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160" w:type="dxa"/>
            <w:vAlign w:val="bottom"/>
            <w:gridSpan w:val="14"/>
          </w:tcPr>
          <w:p>
            <w:pPr>
              <w:spacing w:after="0"/>
              <w:rPr>
                <w:rFonts w:ascii="Arial" w:cs="Arial" w:eastAsia="Arial" w:hAnsi="Arial"/>
                <w:sz w:val="16"/>
                <w:szCs w:val="16"/>
                <w:color w:val="0000FF"/>
                <w:w w:val="89"/>
              </w:rPr>
            </w:pPr>
            <w:hyperlink w:anchor="page48">
              <w:r>
                <w:rPr>
                  <w:rFonts w:ascii="Arial" w:cs="Arial" w:eastAsia="Arial" w:hAnsi="Arial"/>
                  <w:sz w:val="16"/>
                  <w:szCs w:val="16"/>
                  <w:color w:val="0000FF"/>
                  <w:w w:val="89"/>
                </w:rPr>
                <w:t>Item 13. Certain Relationships, Related Transactions, and Director Independence</w:t>
              </w:r>
            </w:hyperlink>
          </w:p>
        </w:tc>
        <w:tc>
          <w:tcPr>
            <w:tcW w:w="1820" w:type="dxa"/>
            <w:vAlign w:val="bottom"/>
            <w:gridSpan w:val="3"/>
          </w:tcPr>
          <w:p>
            <w:pPr>
              <w:spacing w:after="0"/>
              <w:rPr>
                <w:sz w:val="20"/>
                <w:szCs w:val="20"/>
                <w:color w:val="auto"/>
              </w:rPr>
            </w:pPr>
          </w:p>
        </w:tc>
        <w:tc>
          <w:tcPr>
            <w:tcW w:w="2580" w:type="dxa"/>
            <w:vAlign w:val="bottom"/>
            <w:gridSpan w:val="2"/>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gridSpan w:val="10"/>
          </w:tcPr>
          <w:p>
            <w:pPr>
              <w:spacing w:after="0"/>
              <w:rPr>
                <w:rFonts w:ascii="Arial" w:cs="Arial" w:eastAsia="Arial" w:hAnsi="Arial"/>
                <w:sz w:val="16"/>
                <w:szCs w:val="16"/>
                <w:color w:val="0000FF"/>
                <w:w w:val="88"/>
              </w:rPr>
            </w:pPr>
            <w:hyperlink w:anchor="page48">
              <w:r>
                <w:rPr>
                  <w:rFonts w:ascii="Arial" w:cs="Arial" w:eastAsia="Arial" w:hAnsi="Arial"/>
                  <w:sz w:val="16"/>
                  <w:szCs w:val="16"/>
                  <w:color w:val="0000FF"/>
                  <w:w w:val="88"/>
                </w:rPr>
                <w:t>Item 14. Principal Accountant Fees and Services</w:t>
              </w:r>
            </w:hyperlink>
          </w:p>
        </w:tc>
        <w:tc>
          <w:tcPr>
            <w:tcW w:w="2100" w:type="dxa"/>
            <w:vAlign w:val="bottom"/>
            <w:gridSpan w:val="4"/>
          </w:tcPr>
          <w:p>
            <w:pPr>
              <w:spacing w:after="0"/>
              <w:rPr>
                <w:sz w:val="20"/>
                <w:szCs w:val="20"/>
                <w:color w:val="auto"/>
              </w:rPr>
            </w:pPr>
          </w:p>
        </w:tc>
        <w:tc>
          <w:tcPr>
            <w:tcW w:w="440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Borders>
              <w:bottom w:val="single" w:sz="8" w:color="0000FF"/>
            </w:tcBorders>
          </w:tcPr>
          <w:p>
            <w:pPr>
              <w:spacing w:after="0"/>
              <w:rPr>
                <w:rFonts w:ascii="Arial" w:cs="Arial" w:eastAsia="Arial" w:hAnsi="Arial"/>
                <w:sz w:val="16"/>
                <w:szCs w:val="16"/>
                <w:color w:val="0000FF"/>
                <w:w w:val="86"/>
              </w:rPr>
            </w:pPr>
            <w:hyperlink w:anchor="page25">
              <w:r>
                <w:rPr>
                  <w:rFonts w:ascii="Arial" w:cs="Arial" w:eastAsia="Arial" w:hAnsi="Arial"/>
                  <w:sz w:val="16"/>
                  <w:szCs w:val="16"/>
                  <w:color w:val="0000FF"/>
                  <w:w w:val="86"/>
                </w:rPr>
                <w:t>PART IV</w:t>
              </w:r>
            </w:hyperlink>
          </w:p>
        </w:tc>
        <w:tc>
          <w:tcPr>
            <w:tcW w:w="9560" w:type="dxa"/>
            <w:vAlign w:val="bottom"/>
            <w:gridSpan w:val="19"/>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15. Exhibits and Financial Statements Schedules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980" w:type="dxa"/>
            <w:vAlign w:val="bottom"/>
            <w:gridSpan w:val="10"/>
            <w:shd w:val="clear" w:color="auto" w:fill="0000FF"/>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20"/>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SIGNATURES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59">
              <w:r>
                <w:rPr>
                  <w:rFonts w:ascii="Arial" w:cs="Arial" w:eastAsia="Arial" w:hAnsi="Arial"/>
                  <w:sz w:val="16"/>
                  <w:szCs w:val="16"/>
                  <w:color w:val="0000FF"/>
                </w:rPr>
                <w:t>59</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gridSpan w:val="1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20"/>
          </w:tcPr>
          <w:p>
            <w:pPr>
              <w:ind w:left="340"/>
              <w:spacing w:after="0"/>
              <w:rPr>
                <w:sz w:val="20"/>
                <w:szCs w:val="20"/>
                <w:color w:val="auto"/>
              </w:rPr>
            </w:pPr>
            <w:r>
              <w:rPr>
                <w:rFonts w:ascii="Arial" w:cs="Arial" w:eastAsia="Arial" w:hAnsi="Arial"/>
                <w:sz w:val="16"/>
                <w:szCs w:val="16"/>
                <w:color w:val="auto"/>
              </w:rPr>
              <w:t>Exhibit 10.8(c)</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10.9(b)</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10.10(c)</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10.38(b)</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10.38(e)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10.38(h)</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21</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23</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31.1</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31.2</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380"/>
          </w:cols>
          <w:pgMar w:left="280" w:top="364"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8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Integra, headquartered in Plainsboro, New Jersey, is a world leader in medical technology. The Company employs approximately 3,500 people around the world who are dedicated to limiting uncertainty for surgeons, so that they can concentrate on providing the best patient care. Integra offers innovative solutions in orthopedic extremity surgery, neurosurgery, spine surgery, and reconstructive and general surgery. Revenues grew to $830.9 million in 2012, an increase of 6.5% from $780.1 million in 2011.</w:t>
      </w:r>
    </w:p>
    <w:p>
      <w:pPr>
        <w:spacing w:after="0" w:line="13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Integra was founded on a technology platform to repair and regenerate tissue with engineered collagen devices. The Company has developed numerous product lines for applications ranging from burn and deep tissue wounds to regeneration of dura mater in the brain and repair of nerve and tendon. Over the past 20 years, Integra has grown by building upon this core regenerative medicine technology, acquiring businesses in markets with overlapping customer bases and developing products to further meet the needs of its target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form our strategic objectives to optimize our infrastructure, to deliver on our commitments through improved planning and communication, and to grow by introducing new products through internal development, expanding geographically, and strategic acquisitions.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is an essential strategic approach for two reasons. First, the costs inherent in operating a medical technology company have increased at an accelerating rate in recent years and are expected to rise. Scale is therefore correlated with rates of profitability in our industry. Second, over the course of the past twelve years, our focus on growing the company through over 40 acquisitions took precedence over optimizing our systems and processes, with the result that our operating footprint is more complex and less efficient than it can be. While we have demonstrated that we can quickly and profitably integrate new products and businesses, and have an active program to evaluate similar opportunities, we must simplify our structure and processes into singular, common systems in order to continue to add scale efficiently and profitably.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 that end, our executive leadership team has set forth several near-term objectives aligned to this strategy:</w:t>
      </w:r>
    </w:p>
    <w:p>
      <w:pPr>
        <w:spacing w:after="0" w:line="17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Portfolio Optimization</w:t>
      </w:r>
      <w:r>
        <w:rPr>
          <w:rFonts w:ascii="Arial" w:cs="Arial" w:eastAsia="Arial" w:hAnsi="Arial"/>
          <w:sz w:val="18"/>
          <w:szCs w:val="18"/>
          <w:color w:val="auto"/>
        </w:rPr>
        <w:t>. Our investments in innovative product development should result in a multi-generational pipeline for our key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Integra's competitive advantage, our product development efforts will focus on regenerative medicine. We are also funding clinical evidence to support successful launches and improved reimbursement for existing products. These activities should result in more targeted and effective product development.</w:t>
      </w:r>
    </w:p>
    <w:p>
      <w:pPr>
        <w:spacing w:after="0" w:line="13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Geographic Expansion</w:t>
      </w:r>
      <w:r>
        <w:rPr>
          <w:rFonts w:ascii="Arial" w:cs="Arial" w:eastAsia="Arial" w:hAnsi="Arial"/>
          <w:sz w:val="18"/>
          <w:szCs w:val="18"/>
          <w:color w:val="auto"/>
        </w:rPr>
        <w:t>. We generate less than one quarter of our revenues from markets outside the United States, and see an opportunity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 revenue growth by increasing our international presence. We are securing ownership or other control of our product registrations and distribution system, and expanding our infrastructure in key markets. We also have a prioritized plan for registering and launching our existing products in countries where we already have some selling presence, but are missing key leading brands. We expect these efforts to increase our international business to a larger proportion of our overall revenues.</w:t>
      </w:r>
    </w:p>
    <w:p>
      <w:pPr>
        <w:spacing w:after="0" w:line="13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Strategic Corporate Development. </w:t>
      </w:r>
      <w:r>
        <w:rPr>
          <w:rFonts w:ascii="Arial" w:cs="Arial" w:eastAsia="Arial" w:hAnsi="Arial"/>
          <w:sz w:val="18"/>
          <w:szCs w:val="18"/>
          <w:color w:val="auto"/>
        </w:rPr>
        <w:t>Over the years, we have successfully acquired and in-licensed businesses, products and technologies to grow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Our corporate development program is a core competency, and an important part of our strategy is to continue to pursue strategic transactions and licensing agreements to increase scale. Acquisitions in particular may add a technology, expand international distribution, leverage one of our existing sales channels, or provide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a new channel for an existing technology. These capabilities are increasingly important to remain competitive in today's environment.</w:t>
      </w:r>
    </w:p>
    <w:p>
      <w:pPr>
        <w:spacing w:after="0" w:line="17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Structural Cost Reduction. </w:t>
      </w:r>
      <w:r>
        <w:rPr>
          <w:rFonts w:ascii="Arial" w:cs="Arial" w:eastAsia="Arial" w:hAnsi="Arial"/>
          <w:sz w:val="18"/>
          <w:szCs w:val="18"/>
          <w:color w:val="auto"/>
        </w:rPr>
        <w:t>We have a large and complex manufacturing and distribution footprint. We have initiated plans to generate higher</w:t>
      </w:r>
      <w:r>
        <w:rPr>
          <w:rFonts w:ascii="Arial" w:cs="Arial" w:eastAsia="Arial" w:hAnsi="Arial"/>
          <w:sz w:val="18"/>
          <w:szCs w:val="18"/>
          <w:i w:val="1"/>
          <w:iCs w:val="1"/>
          <w:color w:val="auto"/>
        </w:rPr>
        <w:t xml:space="preserve"> </w:t>
      </w:r>
      <w:r>
        <w:rPr>
          <w:rFonts w:ascii="Arial" w:cs="Arial" w:eastAsia="Arial" w:hAnsi="Arial"/>
          <w:sz w:val="18"/>
          <w:szCs w:val="18"/>
          <w:color w:val="auto"/>
        </w:rPr>
        <w:t>marginal profit and increase cash flow by optimizing these operations around five centers of excellence. In addition, we have a significant number of suppliers for a company of our size, and have centralized strategic sourcing and procurement efforts. As a result, we expect to reduce our supply base by 30%, which will help us better leverage our spending power to lower our overall costs. In conjunction with these activities, we are optimizing our inventory planning to increase cycles and decrease working capital requirements. Overall, these structural efficiencies should drive significant savings in our P&amp;L and increase our cash flows.</w:t>
      </w:r>
    </w:p>
    <w:p>
      <w:pPr>
        <w:spacing w:after="0" w:line="13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Common Systems Implementations</w:t>
      </w:r>
      <w:r>
        <w:rPr>
          <w:rFonts w:ascii="Arial" w:cs="Arial" w:eastAsia="Arial" w:hAnsi="Arial"/>
          <w:sz w:val="18"/>
          <w:szCs w:val="18"/>
          <w:color w:val="auto"/>
        </w:rPr>
        <w:t>. Our initiatives rely upon complexity reduction and common processes across our global operations. We have two</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efforts underway to enable that simplification. First, we are well along in an implementation of a common ERP system, which will reduce our current 27 systems to a single instance. Second, we recently embarked on a move toward a common corporate quality system, which will enable a consistent approach across locations, reduce redundancies, and increase overall efficiency in this important function. These efforts will help remove costs and complexity from our operations, enable us to leverage our existing capabilities as we grow, and integrate future acquisitions more quickly.</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to ensure that our colleagues work together to achieve these strategic objectives, we are investing in training programs, and developing a strong leadership and return-focused culture. These objectives and investments are building a foundation necessary to support a growing, multi-billion dollar global medical technology company. Taken together, our strategy to execute, optimize and accelerate growth will enable us to become a company that helps limit uncertainty for our customers and touches millions of patients each year, while driving returns for our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Prior to 2012, we operated in one segment. In 2012, due to changes in how the Company internally manages and reports the results of its businesses to its Chief Operating Decision Maker ("CODM"), we began reporting the following five reportable business segments: U.S. Neurosurgery, U.S. Extremities, U.S. Instruments, U.S. Spine and Other, and International. We included financial information regarding our reportable business segments and certain geographic information under "Item 7. Management's Discussion and Analysis of Financial Condition and Results of Operations" and in Note 13, "Segment and Geographic Information" to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Neurosurgery</w:t>
      </w:r>
    </w:p>
    <w:p>
      <w:pPr>
        <w:spacing w:after="0" w:line="9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U.S. Neurosurgery sales organization sells a full line of products specifically for neurosurgery and neuro critical care. We have products for each step of a cranial procedure and the care of the patient after surgery. Our key products include dural repair products, cerebral spinal fluid (“CSF”) management devices, tissue ablation equipment, intracranial monitoring equipment and cranial stabilization equipment. We sell equipment used in the neurosurgery operating room and neurosurgery intensive care unit (“NICU”). We sell our products through directly employed sales representatives.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Extremities</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Extremity reconstruction is a growing area of the orthopedic market. We define extremity reconstruction to mean the repair of soft tissue and the orthopedic reconstruction of bone in the foot, ankle and leg below the knee (Lower Extremity), and the hand, wrist, elbow and shoulder (Upper Extremity). Our key products include bone and joint fixation devices, implants and instruments for osteoarthritis, rheumatoid arthritis, wrist arthroplasty, carpel tunnel syndrome, and cubital tunnel syndrome. Other key products include our regenerative medicine devices for the treatment of acute and chronic wounds, peripheral nerve repair and protection and tendon repair, and bone graft substitutes. We sell our products through a large direct sales organization and through specialty distributors focused on their respective surgical disciplines.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Instruments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U.S. Instruments business is among the largest surgical instrument suppliers in the United States. Our portfolio includes over 60,000 instrument patterns and surgical products sold into a broad universe of users, including hospitals, surgery centers, and physician, dental and veterinary offices. In addition to selling hand-held instruments, we sell surgical headlight systems and table-mounted retractors. Our brands -- Jarit®, Miltex®, Padgett®, Ruggles®, Luxtec® and Omni-Tract® -- are well-known. While we reach the Acute/Hospital segment primarily with a direct sales force, we reach the diverse Alternate Site market with distributors.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U.S. Spine and Other</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U.S. Spine and Other segment offers comprehensive spinal fusion technologies that surgeons use along the full length of the spine, as well as a broad and deferential offering of related orthobiologics. In 2012, our Spine business launched multiple new implants into targeted growth markets, including the integrated interbody fusion device market, the minimally invasive market, and the deformity market. Our key spinal hardware products include integrated interbody fusion devices, minimally invasive solutions, and deformity correction. We market and sell a complete line of orthobiologics, including demineralized bone products, collagen ceramic matrices and pure synthetic bone grafting solutions, to neurosurgeons, and spine, orthopedic, trauma, and foot and ankle surgeons. We sell our products through specialty distributors focused on our spine and orthopedic surgeon customers, as well as through some direct sales representatives.</w:t>
      </w:r>
    </w:p>
    <w:p>
      <w:pPr>
        <w:spacing w:after="0" w:line="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segment also includes private-label sales of a broad set of our regenerative medicine technologies. Our customers are other large medical technology companies that sell to end markets primarily in orthopedics and wound care.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International segment sells similar products to those discussed above, but they are managed through the following geographies: (i) Europe, Middle East and Africa, and (ii) Central/South America, Asia-Pacific and Canada.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OVERVIEW</w:t>
      </w:r>
    </w:p>
    <w:p>
      <w:pPr>
        <w:spacing w:after="0" w:line="9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are a fully integrated medical technology company that offers thousands of products for the medical specialties we target. We distinguish ourselves by emphasizing the importance of regenerative medicine, which we define as surgical implants derived from our proprietary collagen matrix technology and other biologic platforms. Our objective is to develop, acquire or otherwise provide products that will limit uncertainty for hospitals and surgeons. These products include our regenerative medicine implants, metal implants, instruments and equipment for orthopedic surgery, neurosurgery and general surgery.</w:t>
      </w:r>
    </w:p>
    <w:p>
      <w:pPr>
        <w:spacing w:after="0" w:line="1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2012, approximately 24% of our revenues came from collagen-based regenerative medicine products. While these products vary in composition and structure, they operate under similar principles. We build our matrix products from collagen, which is the basic structural protein that binds cells together in the body. Our matrices (whether for the dura mater, dermis, peripheral nerves, tendon or bone) provide a scaffold to support the infiltration of the patient's own cells and the growth of blood vessels. Eventually, those infiltrating cells consume the collagen of the implanted matrix and promote the development of a new native extracellular matrix. In their interaction with the patient's body, our collagen matrices provide an environment to inhibit the formation of scar tissue, so the implant is absorbed over time, leaving healthy native tissue in its place. This basic technology can be applied to many different procedures. We sell these regenerative medicine products through most of our sales channels and reach additional markets through our private-label sales.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research and development activities focus on identifying unmet surgical needs and meeting those needs with innovative solutions and products. We apply our core competency in regenerative medicine to products for neurosurgical, orthopedic and spinal applications, and we have extensive programs in neuro-monitoring, cranial stabilization, tissue ablation, spine, and extremity fixation, and joint arthroplasty. In addition to our activities aimed at acquiring or in-licensing new products, we are optimizing our current portfolio through product franchise review and rationalization. We are focusing our development efforts on innovative products with an emphasis on clinical research and product efficacy.</w:t>
      </w:r>
    </w:p>
    <w:p>
      <w:pPr>
        <w:spacing w:after="0" w:line="1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Regenerative Medicine. </w:t>
      </w:r>
      <w:r>
        <w:rPr>
          <w:rFonts w:ascii="Arial" w:cs="Arial" w:eastAsia="Arial" w:hAnsi="Arial"/>
          <w:sz w:val="18"/>
          <w:szCs w:val="18"/>
          <w:color w:val="auto"/>
        </w:rPr>
        <w:t>Because implants derived from our regenerative medicine platform represent a fast-growing, high-margin opportunity for us, we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 a large portion of our research and development budget to these products. Our regenerative medicine development program applies our expertise in biomaterials and collagen matrices to neurosurgical, orthopedic and spinal surgery applications, as well as dermal regeneration, tendon and nerve repair, and chronic and acute wounds.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Extremity Reconstruction. </w:t>
      </w:r>
      <w:r>
        <w:rPr>
          <w:rFonts w:ascii="Arial" w:cs="Arial" w:eastAsia="Arial" w:hAnsi="Arial"/>
          <w:sz w:val="18"/>
          <w:szCs w:val="18"/>
          <w:color w:val="auto"/>
        </w:rPr>
        <w:t>We develop fixation devices and other implants and instruments for upper and lower extremities.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Spine. </w:t>
      </w:r>
      <w:r>
        <w:rPr>
          <w:rFonts w:ascii="Arial" w:cs="Arial" w:eastAsia="Arial" w:hAnsi="Arial"/>
          <w:sz w:val="18"/>
          <w:szCs w:val="18"/>
          <w:color w:val="auto"/>
        </w:rPr>
        <w:t>Our expertise in implant engineering, biomaterials development and biomechanical testing provides a strong foundation for developing new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spine. Additionally, we hold a number of spine patents that serve as a platform for future products, with particular emphasis in minimally invasive technologies. While we plan to continue filling the gaps in our portfolio so that our current customers can use our products for more procedures, we are also developing novel technologies and new indications.</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based our strong orthobiologic product development capability on our bone matrix technology and our collagen technology, which is the basis of our osteoconductive collagen ceramic scaffold. We continue to develop line extensions based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11" w:right="259" w:bottom="1440" w:gutter="0" w:footer="0" w:header="0"/>
        </w:sectPr>
      </w:pPr>
    </w:p>
    <w:bookmarkStart w:id="6" w:name="page7"/>
    <w:bookmarkEnd w:id="6"/>
    <w:p>
      <w:pPr>
        <w:ind w:right="200"/>
        <w:spacing w:after="0" w:line="277" w:lineRule="auto"/>
        <w:rPr>
          <w:sz w:val="20"/>
          <w:szCs w:val="20"/>
          <w:color w:val="auto"/>
        </w:rPr>
      </w:pPr>
      <w:r>
        <w:rPr>
          <w:rFonts w:ascii="Arial" w:cs="Arial" w:eastAsia="Arial" w:hAnsi="Arial"/>
          <w:sz w:val="18"/>
          <w:szCs w:val="18"/>
          <w:color w:val="auto"/>
        </w:rPr>
        <w:t>on these foundation technologies that further complete our offerings. In 2011, we created a complete portfolio of orthobiologic products specifically for our spine distribution network. We will continue to invest in the development of new novel technologies for bone grafting.</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Neurosurgery. </w:t>
      </w:r>
      <w:r>
        <w:rPr>
          <w:rFonts w:ascii="Arial" w:cs="Arial" w:eastAsia="Arial" w:hAnsi="Arial"/>
          <w:sz w:val="18"/>
          <w:szCs w:val="18"/>
          <w:color w:val="auto"/>
        </w:rPr>
        <w:t>We focus on expanding the market for our dural repair products, developing the next generation tissue ablation system, and a new critical care</w:t>
      </w:r>
      <w:r>
        <w:rPr>
          <w:rFonts w:ascii="Arial" w:cs="Arial" w:eastAsia="Arial" w:hAnsi="Arial"/>
          <w:sz w:val="18"/>
          <w:szCs w:val="18"/>
          <w:i w:val="1"/>
          <w:iCs w:val="1"/>
          <w:color w:val="auto"/>
        </w:rPr>
        <w:t xml:space="preserve"> </w:t>
      </w:r>
      <w:r>
        <w:rPr>
          <w:rFonts w:ascii="Arial" w:cs="Arial" w:eastAsia="Arial" w:hAnsi="Arial"/>
          <w:sz w:val="18"/>
          <w:szCs w:val="18"/>
          <w:color w:val="auto"/>
        </w:rPr>
        <w:t>neuro monitoring system.</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We work with a number of principally German instrument partners to bring new patterns to the market, enabling us to add new instruments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minimal R&amp;D expense. Our lighting franchise is among the more dynamic, leading to ongoing development in LED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competition in extremity reconstruction includes Johnson &amp; Johnson, Synthes, Inc., Stryker Corporation, Tornier, Inc., Wright Medical Group, Inc., Zimmer, Inc., and Small Bone Innovations, Inc., as well as other major orthopedic companies that carry a full line of small bone and joint fixation and soft tissue products.</w:t>
      </w:r>
    </w:p>
    <w:p>
      <w:pPr>
        <w:spacing w:after="0" w:line="12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Competitors in the spine and orthobiologics markets include Medtronic, Inc., Johnson &amp; Johnson, Globus Medical Inc., NuVasive, Inc., Orthofix, Stryker Corporation, Synthes, Inc., Zimmer, Inc., and Alphatec Spine, Inc., and also include several smaller, biologic-focused companies.</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competitors in the neurosurgery markets are Johnson &amp; Johnson, Medtronic, Inc. and Stryker Corporation. In addition, many of our neurosurgery product lines compete with smaller specialized companies and larger companies that do not otherwise focus on neurosurgery.</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Within the instruments market, we compete with the Aesculap division of B. Braun Medical Inc., as well as V. Mueller, a division of CareFusion in the United States. In addition, we compete with Symmetry Medical and many smaller instrument companies in the reusable and disposable specialty instruments markets. We rely on the depth and breadth of our sales and marketing organization and our procurement operation to maintain our competitive position in surgical instruments and allied surgical products.</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distributor, sophistication of our technology and cost effectiveness of our solution to the customer's medical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a manufacturer and marketer of medical devices, we are subject to extensive regulation by the Food and Drug Administrations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Plainsboro, New Jersey manufacturing facility was inspected by the FDA during the third quarter of 2011 which resulted in the issuance of FDA Form 483 observations, and we subsequently received a warning letter from the FDA on December 21, 2011 related to that inspection. The FDA inspected our manufacturing facility in Andover, England in June 2012. Subsequently, on November 5, 2012, we received a warning letter from the FDA related to quality systems issues at the Andover manufacturing facility. Finally, the FDA inspected our Anasco, Puerto Rico facility in October and November 2012, and issued us a warning letter for that facility in February 2013. We have undertaken significant efforts to remediate the observations that the FDA has made since the conclusion of the inspections, and relieving the warning letters is a top priority.</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(the “FD&amp;C Act”), an approved Premarket Approval application (or supplemental PMA application). Obtaining these approvals and clearances can take up to several years and involves preclinical studies and clinical testing. On December 27, 2011 the FDA issued a Draft Guidance, “</w:t>
      </w:r>
      <w:r>
        <w:rPr>
          <w:rFonts w:ascii="Arial" w:cs="Arial" w:eastAsia="Arial" w:hAnsi="Arial"/>
          <w:sz w:val="18"/>
          <w:szCs w:val="18"/>
          <w:i w:val="1"/>
          <w:iCs w:val="1"/>
          <w:color w:val="auto"/>
        </w:rPr>
        <w:t>The 510(k) Program: Evaluating</w:t>
      </w:r>
      <w:r>
        <w:rPr>
          <w:rFonts w:ascii="Arial" w:cs="Arial" w:eastAsia="Arial" w:hAnsi="Arial"/>
          <w:sz w:val="18"/>
          <w:szCs w:val="18"/>
          <w:color w:val="auto"/>
        </w:rPr>
        <w:t xml:space="preserve"> </w:t>
      </w:r>
      <w:r>
        <w:rPr>
          <w:rFonts w:ascii="Arial" w:cs="Arial" w:eastAsia="Arial" w:hAnsi="Arial"/>
          <w:sz w:val="18"/>
          <w:szCs w:val="18"/>
          <w:i w:val="1"/>
          <w:iCs w:val="1"/>
          <w:color w:val="auto"/>
        </w:rPr>
        <w:t>Substantial Equivalence in Premarket Notifications 510(k)</w:t>
      </w:r>
      <w:r>
        <w:rPr>
          <w:rFonts w:ascii="Arial" w:cs="Arial" w:eastAsia="Arial" w:hAnsi="Arial"/>
          <w:sz w:val="18"/>
          <w:szCs w:val="18"/>
          <w:color w:val="auto"/>
        </w:rPr>
        <w:t>.” These changes to the 510(k) Premarket Notification process may result in more extensive testing,</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requirements and other requirements. To perform clinical trials for significant risk devices in the United States on an unapproved product, we are required to obtain an Investigational Device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30" w:right="259" w:bottom="1440" w:gutter="0" w:footer="0" w:header="0"/>
        </w:sectPr>
      </w:pPr>
    </w:p>
    <w:bookmarkStart w:id="7" w:name="page8"/>
    <w:bookmarkEnd w:id="7"/>
    <w:p>
      <w:pPr>
        <w:ind w:right="40"/>
        <w:spacing w:after="0" w:line="255" w:lineRule="auto"/>
        <w:rPr>
          <w:sz w:val="20"/>
          <w:szCs w:val="20"/>
          <w:color w:val="auto"/>
        </w:rPr>
      </w:pPr>
      <w:r>
        <w:rPr>
          <w:rFonts w:ascii="Arial" w:cs="Arial" w:eastAsia="Arial" w:hAnsi="Arial"/>
          <w:sz w:val="18"/>
          <w:szCs w:val="18"/>
          <w:color w:val="auto"/>
        </w:rPr>
        <w:t>Exemption (“IDE”) from the FDA. The FDA may also require a filing for FDA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obtain approval/registration in the country we are exporting to and maintain certain records relating to exports and make these available to the FDA for inspection, if required.</w:t>
      </w:r>
    </w:p>
    <w:p>
      <w:pPr>
        <w:spacing w:after="0" w:line="12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FDA Medical Device User Fee and Modernization Act of 2002 and the FDA Amendments Act of 2007 established regulations governing user fees for certain regulatory submissions to the FDA. Currently user fees are required for 510(k) PMA's, certain PMA supplements, PMA annual reports, FDA establishment registrations and other regulatory submissions.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Integra manufactures medical devices derived from human tissue (demineralized bone tissue).</w:t>
      </w:r>
    </w:p>
    <w:p>
      <w:pPr>
        <w:spacing w:after="0" w:line="17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Some HCT/Ps also meet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12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1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National Organ Transplant Act. </w:t>
      </w:r>
      <w:r>
        <w:rPr>
          <w:rFonts w:ascii="Arial" w:cs="Arial" w:eastAsia="Arial" w:hAnsi="Arial"/>
          <w:sz w:val="16"/>
          <w:szCs w:val="16"/>
          <w:color w:val="auto"/>
        </w:rPr>
        <w:t>Procurement of certain human organs and tissue for transplantation is subject to the restrictions of the National Organ</w:t>
      </w:r>
      <w:r>
        <w:rPr>
          <w:rFonts w:ascii="Arial" w:cs="Arial" w:eastAsia="Arial" w:hAnsi="Arial"/>
          <w:sz w:val="16"/>
          <w:szCs w:val="16"/>
          <w:i w:val="1"/>
          <w:iCs w:val="1"/>
          <w:color w:val="auto"/>
        </w:rPr>
        <w:t xml:space="preserve"> </w:t>
      </w:r>
      <w:r>
        <w:rPr>
          <w:rFonts w:ascii="Arial" w:cs="Arial" w:eastAsia="Arial" w:hAnsi="Arial"/>
          <w:sz w:val="16"/>
          <w:szCs w:val="16"/>
          <w:color w:val="auto"/>
        </w:rPr>
        <w:t>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Postmarket Requirements. </w:t>
      </w:r>
      <w:r>
        <w:rPr>
          <w:rFonts w:ascii="Arial" w:cs="Arial" w:eastAsia="Arial" w:hAnsi="Arial"/>
          <w:sz w:val="17"/>
          <w:szCs w:val="17"/>
          <w:color w:val="auto"/>
        </w:rPr>
        <w:t>After a device is cleared or approved for commercial distribution, numerous regulatory requirements apply. These include the FDA</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w:t>
      </w:r>
    </w:p>
    <w:p>
      <w:pPr>
        <w:spacing w:after="0" w:line="1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also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8" w:name="page9"/>
    <w:bookmarkEnd w:id="8"/>
    <w:p>
      <w:pPr>
        <w:ind w:right="240"/>
        <w:spacing w:after="0" w:line="277" w:lineRule="auto"/>
        <w:rPr>
          <w:sz w:val="20"/>
          <w:szCs w:val="20"/>
          <w:color w:val="auto"/>
        </w:rPr>
      </w:pPr>
      <w:r>
        <w:rPr>
          <w:rFonts w:ascii="Arial" w:cs="Arial" w:eastAsia="Arial" w:hAnsi="Arial"/>
          <w:sz w:val="18"/>
          <w:szCs w:val="18"/>
          <w:color w:val="auto"/>
        </w:rPr>
        <w:t>violations and assess civil penalties against that company, its officers or its employees and may recommend criminal prosecution to the U.S. Department of Justice.</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Medical device regulations also are in effect in many of the countries outside the United States in which we do business.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(the “EU”). CE Mark Certification requires a comprehensive Quality System program, comprehensive technical documentation and data on the product, which are then reviewed by a Notified Body. A Notified Body is an organization designated by the national governments of the European Union member states to make independent judgments about whether a product complies with the requirements established by each CE marking directive. The Medical Device Directive, ISO 9000 series and ISO 13485 are recognized international quality standards that are designed to ensure that we develop and manufacture quality medical devices. Other countries are also instituting regulations regarding medical devices.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these standards.</w:t>
      </w:r>
    </w:p>
    <w:p>
      <w:pPr>
        <w:spacing w:after="0" w:line="1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the EU, our products that contain human derived tissue, including demineralized bone material, are not medical devices as defined in the Medical Device Directive (93/42/EC). They are also not medicinal products as defined in Directive 2001/83/EC. Today, regulations, if applicable, are different from one EU member state to the next. Because of the absence of a harmonized regulatory framework and the proposed regulation for advanced therapy medicinal products in the EU, the approval process for human-derived cell or tissue-based medical products may be extensive, lengthy, expensive, and unpredictable.</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 funded healthcare program. These rules require that we exercise care in structuring our sales and marketing practices and customer discount arrangements. See “Item 1A. Risk Factors - Oversight of the medical device industry might affect the manner in which we may sell medical devices and compete in the marketplace.”</w:t>
      </w:r>
    </w:p>
    <w:p>
      <w:pPr>
        <w:spacing w:after="0" w:line="1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1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research, development and manufacturing processes involve the controlled use of certain hazardous materials. We are subject to 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that may result, and any liability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ind w:right="200"/>
        <w:spacing w:after="0" w:line="312" w:lineRule="auto"/>
        <w:rPr>
          <w:sz w:val="20"/>
          <w:szCs w:val="20"/>
          <w:color w:val="auto"/>
        </w:rPr>
      </w:pPr>
      <w:r>
        <w:rPr>
          <w:rFonts w:ascii="Arial" w:cs="Arial" w:eastAsia="Arial" w:hAnsi="Arial"/>
          <w:sz w:val="16"/>
          <w:szCs w:val="16"/>
          <w:color w:val="auto"/>
        </w:rPr>
        <w:t>safety laws and regulations, we could incur substantial costs to fully comply with future laws and regulations, and our operations, business or assets may be impacted. Furthermore, global environmental, health and safety compliance is an ongoing process. Integra has compliance procedures in place for EHS programs, driven by a centrally led organizational structure that ensures proper implementation, which is essential to our overall business objectives.</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3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Third-Party Reimbursement. </w:t>
      </w:r>
      <w:r>
        <w:rPr>
          <w:rFonts w:ascii="Arial" w:cs="Arial" w:eastAsia="Arial" w:hAnsi="Arial"/>
          <w:sz w:val="16"/>
          <w:szCs w:val="16"/>
          <w:color w:val="auto"/>
        </w:rPr>
        <w:t>Healthcare providers that purchase medical devices generally rely on third-party payors, including the Medicare and Medicaid</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as a result of these changes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United States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32"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 xml:space="preserve">AccuDrain®, Accell®, Accell Evo3®, Advansys®, Atoll ™, Ascension®, Auragen ™, Bold®, Budde®, Buzz ™, Camino®, CRW®, Coral®, CUSA®, Daytona ™, DenLite®, DuraGen®, DynaGraft® II, First Choice®, Hallu®, HeliCote®, HeliPlug®, HeliTape®, HeliMend®, Helistat®, Helitene®, HINTEGRA®, ICOS ™, Inforce®, Integra®, Integra Mozaik ™, Jarit®, Licox®, LimiTorr ™, Luxtec®, Malibu ™, Manta Ray ™, Miltex®, Movement®, NeuraGen®, NeuraWrap ™, NewPort ™, NuGrip ™, Omni-Tract®, OrthoBlast® II, OSV II®, Qwix®, Padgett®, Panta®, Redmond ™, Ruggles®, SafeGuard®, SeaSpine®, Sonoma ™ , Subtalar MBA®, TenoGlide®, Titan ™ , Trel-X ™, Trel-XC®, Trel-XPress </w:t>
      </w:r>
      <w:r>
        <w:rPr>
          <w:rFonts w:ascii="Arial" w:cs="Arial" w:eastAsia="Arial" w:hAnsi="Arial"/>
          <w:sz w:val="24"/>
          <w:szCs w:val="24"/>
          <w:color w:val="auto"/>
          <w:vertAlign w:val="superscript"/>
        </w:rPr>
        <w:t>TM</w:t>
      </w:r>
      <w:r>
        <w:rPr>
          <w:rFonts w:ascii="Arial" w:cs="Arial" w:eastAsia="Arial" w:hAnsi="Arial"/>
          <w:sz w:val="17"/>
          <w:szCs w:val="17"/>
          <w:color w:val="auto"/>
        </w:rPr>
        <w:t>, Tibiaxys®, Uni-CP ™, Uni-Clip®, Universal2 ™, Ventrix®, XKnife®, Zuma ™, and the Integra logo are some of the material trademarks of Integra LifeSciences Corporation and its subsidiaries. MAYFIELD® is a registered trademark of SM USA, Inc., and is used by Integra under license.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 December 31, 2012, we had approximately 3,500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and Mexico, none of our employees is subject to a collective bargaining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Financial information about our geographical areas is set forth under “Item 7. Management's Discussion and Analysis of Financial Condition and Results of Operations - Geographic Product Revenues and Operations” and in our financial statements Note 13, “Segment and Geographic Information,”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SOURCES OF RAW MATERIALS</w:t>
      </w:r>
    </w:p>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1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w:t>
      </w:r>
    </w:p>
    <w:p>
      <w:pPr>
        <w:jc w:val="both"/>
        <w:ind w:right="160"/>
        <w:spacing w:after="0" w:line="302" w:lineRule="auto"/>
        <w:rPr>
          <w:sz w:val="20"/>
          <w:szCs w:val="20"/>
          <w:color w:val="auto"/>
        </w:rPr>
      </w:pPr>
      <w:r>
        <w:rPr>
          <w:rFonts w:ascii="Arial" w:cs="Arial" w:eastAsia="Arial" w:hAnsi="Arial"/>
          <w:sz w:val="16"/>
          <w:szCs w:val="16"/>
          <w:color w:val="auto"/>
        </w:rPr>
        <w:t>24 months old from New Zealand, a country that has never had a reported case of bovine spongiform encephalopathy, or from the United States. The World Health Organization classifies different types of cattle tissue for relative risk of BSE transmission. Deep flexor tendon is in the lowest-risk category for BSE transmission (the same category as milk, for example), and is therefore considered to have a negligible risk of containing the agent that causes BSE.</w:t>
      </w:r>
    </w:p>
    <w:p>
      <w:pPr>
        <w:spacing w:after="0" w:line="10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Certain of our demineralized bone matrix products contain human tissue in the form of ground cortical and cancellous bone. We source the bone tissue only from FDA and the American Association of Tissue Banks (“AATB”) registered and inspected tissue banks. The donors are rigorously screened, tested, and processed in accordance with the FDA and AATB requirements. Only donated tissue from FDA and AATB registered, inspected, non-profit tissue banks is qualified to source for our raw materials. Additionally, each donor must pass all of the FDA-specified bacterial and viral testing before the raw material is distributed to Integra for further processing. We receive with each donor lot a certification of the safety of the raw material from the tissue bank's medical director.</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an added assurance of safety, each lot of bone is released into the manufacturing process only after our staff of quality assurance microbiologists screen the incoming bone and serology test records. During our manufacturing process, the bone particles are subjected to our proprietary process and terminally sterilized. We have demonstrated through our testing that this type of rigorous processing further enhances the safety and effectiveness of our demineralized bone material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Revenues during our fourth quarter tend to be stronger than other quarters because many hospitals increase their purchases of our products during the fourth quarter to coincide with the end of their budget cycles.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8"/>
          <w:szCs w:val="18"/>
          <w:u w:val="single" w:color="auto"/>
          <w:color w:val="auto"/>
        </w:rPr>
        <w:t>www.integralife.com</w:t>
      </w:r>
      <w:r>
        <w:rPr>
          <w:rFonts w:ascii="Arial" w:cs="Arial" w:eastAsia="Arial" w:hAnsi="Arial"/>
          <w:sz w:val="18"/>
          <w:szCs w:val="18"/>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Please call the Securities and Exchange Commission at 1-800-SEC-0330 for further information on the operation of the public reference facilities.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1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collagen-based products in sufficient quantities to meet sales demands;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and working capital requirements and acquisitions;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these products and our ability to secure regulatory approval for products in development;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warning letters that we received or may receive;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171" w:lineRule="exact"/>
        <w:rPr>
          <w:sz w:val="20"/>
          <w:szCs w:val="20"/>
          <w:color w:val="auto"/>
        </w:rPr>
      </w:pPr>
    </w:p>
    <w:p>
      <w:pPr>
        <w:ind w:right="180" w:firstLine="18"/>
        <w:spacing w:after="0" w:line="265"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46"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in the United States or abroad, especially in Europe, which could affect the ability of hospitals and other customers to purchase our products and could result in a reduction in elective and non-reimbursed operative procedures;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10" w:right="239" w:bottom="1440" w:gutter="0" w:footer="0" w:header="0"/>
        </w:sectPr>
      </w:pPr>
    </w:p>
    <w:bookmarkStart w:id="12" w:name="page13"/>
    <w:bookmarkEnd w:id="1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and the British pound;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 actions or recalls;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and private health insurers;</w:t>
      </w:r>
    </w:p>
    <w:p>
      <w:pPr>
        <w:spacing w:after="0" w:line="9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w:t>
      </w:r>
    </w:p>
    <w:p>
      <w:pPr>
        <w:spacing w:after="0" w:line="1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FDA’s reform to the 510(k) Premarket Notification process which could make it more difficult to obtain clearance of our medical devices and could result in the requirement of clinical trial data in order to obtain FDA clearance; and</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1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4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obtain patent protection and to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Additionally, purchasing decisions of our customers may be based on clinical evidence or comparative effectiveness studies and, because of our vast array of products, we might not be able to fund the studies necessary or provide the required information to compete effectively. Other companies may have more resources available to fund such studies. For example, competitors have launched and have been developing products to compete with our duraplasty products, extremity reconstruction implants, neuro critical care monitors and ultrasonic tissue ablation devices, among others.</w:t>
      </w:r>
    </w:p>
    <w:p>
      <w:pPr>
        <w:spacing w:after="0" w:line="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largest competitors in the neurosurgery markets are Medtronic, Inc., Johnson &amp; Johnson and Stryker Corporation. In addition, many of our neurosurgery product lines compete with smaller specialized companies or larger companies that do not otherwise focus on neurosurgery. Our competitors in extremity reconstruction include Johnson &amp; Johnson, Synthes, Inc. and Stryker Corporation,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and orthobiologics markets include Medtronic, Inc., Johnson &amp; Johnson, Synthes, Inc., Stryker Corporation, Zimmer, Inc., NuVasive, Inc., Globus Medical, Inc., Alphatec Spine, Inc., Orthofix and several smaller, biologically focused companies. In surgical instruments, we compete with V. Mueller, as well as the Aesculap division of B. Braun Medical, Inc. In addition, we compete with Symmetry Medical Inc. and many smaller instrument companies in the reusable and disposable specialty instruments markets. Our private-label products face diverse and broad competition, depending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222"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Since the beginning of 2010, we have acquired 4 businesses or product lines at a total cost of approximately $158.9 million.</w:t>
      </w:r>
    </w:p>
    <w:p>
      <w:pPr>
        <w:spacing w:after="0" w:line="3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ongoing development of our business and risks associated with entering markets in which our marketing teams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2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Since we have grown through acquisitions, we have $294.0 million of goodwill and $48.5 million of indefinite-lived intangible assets as of December 31, 2012.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2012, we had $163.8 million of finite-lived intangible assets.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Decisions relating to our trade names may occur over time as our re-branding strategy is implemented.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46"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4" w:name="page15"/>
    <w:bookmarkEnd w:id="14"/>
    <w:p>
      <w:pPr>
        <w:jc w:val="both"/>
        <w:ind w:left="180" w:right="80"/>
        <w:spacing w:after="0" w:line="264" w:lineRule="auto"/>
        <w:rPr>
          <w:sz w:val="20"/>
          <w:szCs w:val="20"/>
          <w:color w:val="auto"/>
        </w:rPr>
      </w:pPr>
      <w:r>
        <w:rPr>
          <w:rFonts w:ascii="Arial" w:cs="Arial" w:eastAsia="Arial" w:hAnsi="Arial"/>
          <w:sz w:val="18"/>
          <w:szCs w:val="18"/>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22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Current economic conditions, especially in Europe,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Governmental austerity policies in Europe and other markets have reduced and could continue to reduce the amount of money available to purchase medical products, including our products.</w:t>
      </w:r>
    </w:p>
    <w:p>
      <w:pPr>
        <w:spacing w:after="0" w:line="199" w:lineRule="exact"/>
        <w:rPr>
          <w:sz w:val="20"/>
          <w:szCs w:val="20"/>
          <w:color w:val="auto"/>
        </w:rPr>
      </w:pPr>
    </w:p>
    <w:p>
      <w:pPr>
        <w:ind w:left="180" w:right="1000"/>
        <w:spacing w:after="0" w:line="381" w:lineRule="auto"/>
        <w:rPr>
          <w:sz w:val="20"/>
          <w:szCs w:val="20"/>
          <w:color w:val="auto"/>
        </w:rPr>
      </w:pPr>
      <w:r>
        <w:rPr>
          <w:rFonts w:ascii="Arial" w:cs="Arial" w:eastAsia="Arial" w:hAnsi="Arial"/>
          <w:sz w:val="15"/>
          <w:szCs w:val="15"/>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1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3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products under development are subject to FDA approval or clearance prior to marketing for commercial use. The process of obtaining necessary FDA approvals or clearances can take years and is expensive and uncertain. The FDA has issued new Guidance Documents regarding the Refuse to Accept Policy for 510(k)s, Acceptance and Filing Reviews for Premarket Approval Process (PMA) and the e-Copy Program for medical device submissions. We must be in substantial compliance with these FDA Guidance Documents for the FDA to review our submissions.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There is also no guarantee that the payors will agree to continue reimbursement or provide additional coverage based upon these clinical trials. These clinical trials could take years to complete and be expensive, and there is no guarantee that the FDA will approve the additional indications for use. If the FDA does not approve the additional indications for use, our ability to obtain reimbursement for these products and our ability to compete against alternative products or technologies could suffer and, consequently, affect our sales.</w:t>
      </w:r>
    </w:p>
    <w:p>
      <w:pPr>
        <w:spacing w:after="0" w:line="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Premarket Approval (PMA) application rather than allowing us to market for approved uses while we seek broader approvals or requires extensive additional clinical data, the time and expense required to obtain the required approval might be significantly increased or approval might not be granted. Furthermore, the timing of approvals in the U.S. and Europe is now dependent on the class of product. Any of our Class III devices (those categorized as supporting or sustaining human life, are of substantial importance in preventing impairment of human health, or which present a potential, unreasonable risk of illness or injury) and products of animal origin take an extensive amount of time to obtain approval in the European Union, and all require clinical reports or clinical trial data which can be costly.</w:t>
      </w:r>
    </w:p>
    <w:p>
      <w:pPr>
        <w:spacing w:after="0" w:line="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FDA Safety and Innovation Act (FDASIA), which includes the Medical Device User Fee Amendments of 2012 (MDUFA III), as well as other medical device provisions, went into effect October 1, 2012. This includes performance goals and user fees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7"/>
          <w:szCs w:val="17"/>
          <w:color w:val="auto"/>
        </w:rPr>
        <w:t>paid to FDA by medical device companies when they register and list with FDA and when they submit an application to market a device in the US. This will affect the fees paid to the FDA over the 5 year period that FDASIA is in effect. As part of FDASIA, there are also new requirements regarding FDA Establishment Registration and Listing of Medical Devices. All foreign manufacturers must register and list medical devices for sale in the U.S. All of our facilities comply with these requirements. However, we also source products from foreign contract manufacturers. From this business practice, it is possible that some of our foreign contract manufacturers will not comply with the new requirements and choose not to register with the FDA. In such an event, we will need to determine if there are alternative foreign contract manufacturers who comply with these requirements. If such a foreign contract manufacturer is a sole supplier of one of our products, there is risk that we may not be able to source another supplier.</w:t>
      </w:r>
    </w:p>
    <w:p>
      <w:pPr>
        <w:spacing w:after="0" w:line="4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3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FDA Form 483 Inspectional Observations, warning letters or enforcement action by the FDA or other agencies, including product seizures, recalls, withdrawal of clearances or approvals, restrictions on or injunctions against marketing our product or products based on our technology, denials of requests for exportation certificates to foreign governments, cessation of operations and civil and criminal penalties, any of which could materially affect our business.</w:t>
      </w:r>
    </w:p>
    <w:p>
      <w:pPr>
        <w:spacing w:after="0" w:line="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received warning letters at our Plainsboro, New Jersey, Andover, England, and Anasco, Puerto Rico facilities. We have incurred, and will incur, expenses to remediate issues identified in those warning letters and other observations issued in connection with other inspections at other facilities, and to prepare our manufacturing facilities for anticipated FDA inspections. The FDA has notified us that it will not grant requests for exportation certificates to foreign governments until the violations identified in the warning letters have been corrected. If such remediation cannot be completed in a timely manner, we may not be able to produce certain products for a period of time or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w:t>
      </w:r>
    </w:p>
    <w:p>
      <w:pPr>
        <w:spacing w:after="0" w:line="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are being implemented in some markets starting in July 2012 and will continue to be adopted over the following years worldwide. If we cannot comply with these standards, we may not be able to sell some of our products in the affected markets. Most of our affected products have already been modified to meet the new standards and are substantially in compliance with these standards. Except in limited circumstances, we do not anticipate any delays in selling our products in the markets that have adopted the IEC updated standards.</w:t>
      </w:r>
    </w:p>
    <w:p>
      <w:pPr>
        <w:spacing w:after="0" w:line="4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also subject to other regulatory requirements of countries outside the United States where we do business. For example, under the European Union Medical Device Directive (MDD),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The EU has revised the Medical Device Directive (93/42/EC as amended by 2007/47/EC).</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Compliance with these regulations requires extensive documentation, clinical reports for all products sold in the EU and other requirements. Requirements to meet these regulations can be costly and are mandatory to market our products in the EU. Many other countries have instituted new medical device regulations and/or revised current medical device regulations. These regulations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often require extensive documentation, including clinical data and could require audits of our manufacturing facilities in order to gain approval to sell our products in that country. There are also associated fees with these new regulations. These regulations are required for all new products and re-registration of our medical devices, and could involve lengthy and expensive reviews.</w:t>
      </w:r>
    </w:p>
    <w:p>
      <w:pPr>
        <w:spacing w:after="0" w:line="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some EU member states have instituted new requirements for additional testing of donors that may prevent our obtaining approval of certain products in those member states.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of our products, including our dermal regeneration products, duraplasty products, biomaterial products for the spine, nerve and tendon repair products and certain other products, contain material derived from bovine tissue. In 2012 approximately 24% of our products contained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cattle tissue for relative risk of BSE transmission. Deep flexor tendon is in the lowest-risk categories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countries, such as Japan, China, Taiwan and Argentina, have issued regulations that require our collagen products be processed from bovine tendon sourced from countries where no cases of BSE have occurred, and the EU has requested that our dural replacement products and other products that are used in neurological tissue be sourced from bovine tendon sourced from a country where no cases of BSE have occurred. Currently, we purchase our tendon from the United States and New Zealand. We received approval in the EU, Japan, Taiwan, China and Argentina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manufacture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HCT/Ps also meet the definition of a biological product, medical device or drug regulated under the FD&amp;C ACT.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 licensed tissue bank. In addition, some states have their own tissue banking regulations. We are licensed or have permits as a tissue bank in California, Florida, New York and Maryland.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7" w:name="page18"/>
    <w:bookmarkEnd w:id="17"/>
    <w:p>
      <w:pPr>
        <w:jc w:val="both"/>
        <w:ind w:firstLine="324"/>
        <w:spacing w:after="0" w:line="270" w:lineRule="auto"/>
        <w:rPr>
          <w:sz w:val="20"/>
          <w:szCs w:val="20"/>
          <w:color w:val="auto"/>
        </w:rPr>
      </w:pPr>
      <w:r>
        <w:rPr>
          <w:rFonts w:ascii="Arial" w:cs="Arial" w:eastAsia="Arial" w:hAnsi="Arial"/>
          <w:sz w:val="17"/>
          <w:szCs w:val="17"/>
          <w:color w:val="auto"/>
        </w:rPr>
        <w:t>In addition, procurement of certain human organs and tissue for transplantation is subject to the restrictions of the National Organ 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4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EU, regulations, if applicable, differ from one EU member state to the next. Because of the absence of a harmonized regulatory framework and the proposed regulation for advanced therapy medicinal products in the EU, as well as for other countries, the approval process for human derived cell or tissue based medical products could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w:t>
      </w:r>
    </w:p>
    <w:p>
      <w:pPr>
        <w:spacing w:after="0" w:line="30"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be certain that our devices and procedures will be able to replace those established treatments or that physicians, the medical community or third-party payors, including Medicare, Medicaid and private health insurers, will accept and utilize our devices or any other medical products that we may develop. For example, market acceptance of our bone graft substitutes will depend on our ability to demonstrate that our bone graft substitutes and technologies are an attractive alternative to existing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or maintain more favorable reimbursement status from third-party payors, including Medicare, Medicaid and third-party health insurance, cost less or are ready for commercial introduction before our products. If we are unable to develop additional commercially viable products, our future prospects could be adversely affected.</w:t>
      </w:r>
    </w:p>
    <w:p>
      <w:pPr>
        <w:spacing w:after="0" w:line="5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and private health insurers, against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third-party payors and providers to reduce healthcare costs, and healthcare reform legislation. One or more of these factors may vary unpredictably, and such variations could have a material adverse effect on our competitive position. We may not be able to adjust our contemplated plan of development to meet changing market demands.</w:t>
      </w:r>
    </w:p>
    <w:p>
      <w:pPr>
        <w:spacing w:after="0" w:line="193" w:lineRule="exact"/>
        <w:rPr>
          <w:sz w:val="20"/>
          <w:szCs w:val="20"/>
          <w:color w:val="auto"/>
        </w:rPr>
      </w:pPr>
    </w:p>
    <w:p>
      <w:pPr>
        <w:ind w:left="220" w:right="48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may take several years.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 attention and resources away from our business. Moreover, in response to our claims against other parties, those parties could assert counterclaims against us.</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 may be difficult to replace some of our suppliers.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309" w:lineRule="exact"/>
        <w:rPr>
          <w:sz w:val="20"/>
          <w:szCs w:val="20"/>
          <w:color w:val="auto"/>
        </w:rPr>
      </w:pPr>
    </w:p>
    <w:p>
      <w:pPr>
        <w:ind w:left="880" w:right="1960" w:hanging="318"/>
        <w:spacing w:after="0" w:line="183" w:lineRule="auto"/>
        <w:tabs>
          <w:tab w:leader="none" w:pos="88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our collagen-based products, such as the INTEGRA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Dermal Regeneration Template and wound dressing products, the DuraGen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products, and our Absorbable Collagen Sponges;</w:t>
      </w:r>
    </w:p>
    <w:p>
      <w:pPr>
        <w:spacing w:after="0" w:line="160" w:lineRule="exact"/>
        <w:rPr>
          <w:rFonts w:ascii="Arial" w:cs="Arial" w:eastAsia="Arial" w:hAnsi="Arial"/>
          <w:sz w:val="36"/>
          <w:szCs w:val="36"/>
          <w:color w:val="auto"/>
          <w:vertAlign w:val="superscript"/>
        </w:rPr>
      </w:pPr>
    </w:p>
    <w:p>
      <w:pPr>
        <w:ind w:left="880" w:hanging="318"/>
        <w:spacing w:after="0"/>
        <w:tabs>
          <w:tab w:leader="none" w:pos="88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our products made from silicone, such as our neurosurgical shunts and drainage systems and hemodynamic shunts;</w:t>
      </w:r>
    </w:p>
    <w:p>
      <w:pPr>
        <w:spacing w:after="0" w:line="377" w:lineRule="exact"/>
        <w:rPr>
          <w:rFonts w:ascii="Arial" w:cs="Arial" w:eastAsia="Arial" w:hAnsi="Arial"/>
          <w:sz w:val="36"/>
          <w:szCs w:val="36"/>
          <w:color w:val="auto"/>
          <w:vertAlign w:val="superscript"/>
        </w:rPr>
      </w:pPr>
    </w:p>
    <w:p>
      <w:pPr>
        <w:jc w:val="center"/>
        <w:ind w:left="5620" w:right="1260" w:hanging="5058"/>
        <w:spacing w:after="0" w:line="413" w:lineRule="auto"/>
        <w:tabs>
          <w:tab w:leader="none" w:pos="869"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products which use many different electronic parts from numerous suppliers, such as our intracranial monitors and catheters; and 19</w:t>
      </w:r>
    </w:p>
    <w:p>
      <w:pPr>
        <w:sectPr>
          <w:pgSz w:w="11900" w:h="16838" w:orient="portrait"/>
          <w:cols w:equalWidth="0" w:num="1">
            <w:col w:w="11420"/>
          </w:cols>
          <w:pgMar w:left="240" w:top="449" w:right="239" w:bottom="1440" w:gutter="0" w:footer="0" w:header="0"/>
        </w:sectPr>
      </w:pPr>
    </w:p>
    <w:bookmarkStart w:id="19" w:name="page20"/>
    <w:bookmarkEnd w:id="19"/>
    <w:p>
      <w:pPr>
        <w:ind w:left="880" w:right="1680" w:hanging="318"/>
        <w:spacing w:after="0" w:line="182" w:lineRule="auto"/>
        <w:tabs>
          <w:tab w:leader="none" w:pos="880"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color w:val="auto"/>
        </w:rPr>
        <w:t>products that use pyrolytic carbon (i.e., PyroCarbon) technology, such as certain of our reconstructive extremity orthopedic implants.</w:t>
      </w:r>
    </w:p>
    <w:p>
      <w:pPr>
        <w:spacing w:after="0" w:line="1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some of our orthobiologics products rely on a small number of tissue banks accredited by the American Association of Tissue Banks, or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were suddenly unable to purchase products from one or more of these companies, we would need a significant period of time to qualify a replacement, and the production of any affected products could be disrupted.</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208"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Damage to our manufacturing, development or research facilities because of fire, extreme weather conditions, natural disaster, power loss, communications failure, unauthorized entry or other events, such as a flu or other health epidemic,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earthquake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4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achieving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we manufacture certain products in Europe and our European headquarters is located in France, which has experienced labor strikes. Thus far, strikes have not had a material impact on our business; however, if such strikes were to occur, there is no assurance that they would not disrupt our business, and any such disruption could have a material adverse effect on our business.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implemented an enterprise business system to support certain of our transaction processing for accounting and financial reporting, supply chain and manufacturing. A third party hosts and maintains this system. Currently, we do not have a comprehensive disaster recovery plan for the Company’s infrastructure but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58" w:lineRule="exact"/>
        <w:rPr>
          <w:sz w:val="20"/>
          <w:szCs w:val="20"/>
          <w:color w:val="auto"/>
        </w:rPr>
      </w:pPr>
    </w:p>
    <w:p>
      <w:pPr>
        <w:ind w:left="180" w:right="660"/>
        <w:spacing w:after="0" w:line="277"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3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have operations based outside the United States and we generate revenues and incur operating expenses in multiple foreign currencies including euros, British pounds, Swiss francs, Canadian dollars, Japanese yen and Australian dollars, we experience currency exchange risk with respect to those foreign currency-denominated revenues and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79" w:right="239" w:bottom="1440" w:gutter="0" w:footer="0" w:header="0"/>
        </w:sectPr>
      </w:pPr>
    </w:p>
    <w:bookmarkStart w:id="20" w:name="page21"/>
    <w:bookmarkEnd w:id="20"/>
    <w:p>
      <w:pPr>
        <w:jc w:val="both"/>
        <w:ind w:firstLine="324"/>
        <w:spacing w:after="0" w:line="264" w:lineRule="auto"/>
        <w:rPr>
          <w:sz w:val="20"/>
          <w:szCs w:val="20"/>
          <w:color w:val="auto"/>
        </w:rPr>
      </w:pPr>
      <w:r>
        <w:rPr>
          <w:rFonts w:ascii="Arial" w:cs="Arial" w:eastAsia="Arial" w:hAnsi="Arial"/>
          <w:sz w:val="18"/>
          <w:szCs w:val="18"/>
          <w:color w:val="auto"/>
        </w:rPr>
        <w:t>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5, “Derivative Instruments.”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predict the consolidated effects of exchange rate fluctuations upon our future operating results because of the number of currencies involved, the variability of currency exposure and the potential volatility of currency exchange rates. 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Local economic conditions, legal, regulatory or political considerations, disruptions from strikes, the effectiveness of our sales representatives and distributors, local competition, in-country reimbursement methodologies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The adoption of healthcare reform in the United States may adversely affect our business, results of operations and/or financial condition.</w:t>
      </w:r>
    </w:p>
    <w:p>
      <w:pPr>
        <w:spacing w:after="0" w:line="1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2010, significant reforms to the U.S. healthcare system were adopted in the form of the Patient Protection and Affordable Care Act (the “PPACA”). The PPACA includes provisions that, among other things, reduce and/or limit Medicare reimbursement, require all individuals to have health insurance (with limited exceptions) and impose new and/or increased taxes. Specifically, the law requires the medical device industry to subsidize healthcare reform by implementing a 2.3% excise tax on the sale of certain medical devices by a manufacturer, producer or importer of such devices in the United States starting after December 31, 2012. The 2013 excise tax is estimated to be between $9 and $12 million. Other elements of this legislation, such as comparative effectiveness research, an independent payment advisory board, payment system reforms (including shared savings pilots) and other provisions, could materially change the way health care is developed and delivered, and result in additional costs for us. The PPACA could reduce medical procedure volumes, impact the demand for our products or the prices at which we sell our products, and could have a material adverse effect on our business and/or results of operations.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the PPACA encourages hospitals and physicians to work collaboratively through shared savings programs, such as accountable care organizations, as well as other bundled payment initiatives, which may ultimately result in the reduction of medical device purchases and the consolidation of medical device suppliers used by hospitals. While passage of the PPACA may ultimately expand the pool of potential end-users of our products, the above-discussed changes could adversely affect our financial results and business.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Various healthcare reform proposals have also emerged at the state level. We cannot predict what healthcare initiatives, if any, will be implemented at the federal or state level, or the effect any future legislation or regulation will have on us.</w:t>
      </w:r>
    </w:p>
    <w:p>
      <w:pPr>
        <w:spacing w:after="0" w:line="35"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397" w:lineRule="exact"/>
        <w:rPr>
          <w:sz w:val="20"/>
          <w:szCs w:val="20"/>
          <w:color w:val="auto"/>
        </w:rPr>
      </w:pPr>
    </w:p>
    <w:p>
      <w:pPr>
        <w:ind w:left="880" w:right="1060" w:hanging="318"/>
        <w:spacing w:after="0" w:line="203" w:lineRule="auto"/>
        <w:tabs>
          <w:tab w:leader="none" w:pos="880" w:val="left"/>
        </w:tabs>
        <w:numPr>
          <w:ilvl w:val="0"/>
          <w:numId w:val="8"/>
        </w:numPr>
        <w:rPr>
          <w:rFonts w:ascii="Arial" w:cs="Arial" w:eastAsia="Arial" w:hAnsi="Arial"/>
          <w:sz w:val="34"/>
          <w:szCs w:val="34"/>
          <w:color w:val="auto"/>
          <w:vertAlign w:val="superscript"/>
        </w:rPr>
      </w:pPr>
      <w:r>
        <w:rPr>
          <w:rFonts w:ascii="Arial" w:cs="Arial" w:eastAsia="Arial" w:hAnsi="Arial"/>
          <w:sz w:val="17"/>
          <w:szCs w:val="17"/>
          <w:color w:val="auto"/>
        </w:rPr>
        <w:t>as mentioned above, new legislation, which is intended to expand access to health insurance coverage over time, will result in major changes in the United States healthcare system that could have an adverse effect on our business, including a 2.3% excise tax on U.S. sales of most medical devices, implemented in 2013, which will adversely effect on our earnings;</w:t>
      </w:r>
    </w:p>
    <w:p>
      <w:pPr>
        <w:spacing w:after="0" w:line="229" w:lineRule="exact"/>
        <w:rPr>
          <w:rFonts w:ascii="Arial" w:cs="Arial" w:eastAsia="Arial" w:hAnsi="Arial"/>
          <w:sz w:val="34"/>
          <w:szCs w:val="34"/>
          <w:color w:val="auto"/>
          <w:vertAlign w:val="superscript"/>
        </w:rPr>
      </w:pPr>
    </w:p>
    <w:p>
      <w:pPr>
        <w:ind w:left="880" w:right="1140" w:hanging="318"/>
        <w:spacing w:after="0" w:line="192" w:lineRule="auto"/>
        <w:tabs>
          <w:tab w:leader="none" w:pos="88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99" w:lineRule="exact"/>
        <w:rPr>
          <w:rFonts w:ascii="Arial" w:cs="Arial" w:eastAsia="Arial" w:hAnsi="Arial"/>
          <w:sz w:val="36"/>
          <w:szCs w:val="36"/>
          <w:color w:val="auto"/>
          <w:vertAlign w:val="superscript"/>
        </w:rPr>
      </w:pPr>
    </w:p>
    <w:p>
      <w:pPr>
        <w:ind w:left="880" w:hanging="318"/>
        <w:spacing w:after="0"/>
        <w:tabs>
          <w:tab w:leader="none" w:pos="88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Medicare, Medicaid and private healthcare insurer cutbacks could create downward price pressure on our products;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1" w:name="page22"/>
    <w:bookmarkEnd w:id="21"/>
    <w:p>
      <w:pPr>
        <w:ind w:left="880" w:right="1300" w:hanging="318"/>
        <w:spacing w:after="0" w:line="192" w:lineRule="auto"/>
        <w:tabs>
          <w:tab w:leader="none" w:pos="88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283" w:lineRule="exact"/>
        <w:rPr>
          <w:rFonts w:ascii="Arial" w:cs="Arial" w:eastAsia="Arial" w:hAnsi="Arial"/>
          <w:sz w:val="36"/>
          <w:szCs w:val="36"/>
          <w:color w:val="auto"/>
          <w:vertAlign w:val="superscript"/>
        </w:rPr>
      </w:pPr>
    </w:p>
    <w:p>
      <w:pPr>
        <w:ind w:left="880" w:right="1300" w:hanging="318"/>
        <w:spacing w:after="0" w:line="192" w:lineRule="auto"/>
        <w:tabs>
          <w:tab w:leader="none" w:pos="88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there has been a consolidation among healthcare facilities and purchasers of medical devices in the United States some of whom prefer to limit the number of suppliers from whom they purchase medical products, and these entities may decide to stop purchasing our products or demand discounts on our prices;</w:t>
      </w:r>
    </w:p>
    <w:p>
      <w:pPr>
        <w:spacing w:after="0" w:line="364" w:lineRule="exact"/>
        <w:rPr>
          <w:rFonts w:ascii="Arial" w:cs="Arial" w:eastAsia="Arial" w:hAnsi="Arial"/>
          <w:sz w:val="36"/>
          <w:szCs w:val="36"/>
          <w:color w:val="auto"/>
          <w:vertAlign w:val="superscript"/>
        </w:rPr>
      </w:pPr>
    </w:p>
    <w:p>
      <w:pPr>
        <w:ind w:left="880" w:right="1060" w:hanging="318"/>
        <w:spacing w:after="0" w:line="192" w:lineRule="auto"/>
        <w:tabs>
          <w:tab w:leader="none" w:pos="88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283" w:lineRule="exact"/>
        <w:rPr>
          <w:rFonts w:ascii="Arial" w:cs="Arial" w:eastAsia="Arial" w:hAnsi="Arial"/>
          <w:sz w:val="36"/>
          <w:szCs w:val="36"/>
          <w:color w:val="auto"/>
          <w:vertAlign w:val="superscript"/>
        </w:rPr>
      </w:pPr>
    </w:p>
    <w:p>
      <w:pPr>
        <w:jc w:val="both"/>
        <w:ind w:left="880" w:right="1280" w:hanging="318"/>
        <w:spacing w:after="0" w:line="192" w:lineRule="auto"/>
        <w:tabs>
          <w:tab w:leader="none" w:pos="88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w:t>
      </w:r>
    </w:p>
    <w:p>
      <w:pPr>
        <w:spacing w:after="0" w:line="364" w:lineRule="exact"/>
        <w:rPr>
          <w:rFonts w:ascii="Arial" w:cs="Arial" w:eastAsia="Arial" w:hAnsi="Arial"/>
          <w:sz w:val="36"/>
          <w:szCs w:val="36"/>
          <w:color w:val="auto"/>
          <w:vertAlign w:val="superscript"/>
        </w:rPr>
      </w:pPr>
    </w:p>
    <w:p>
      <w:pPr>
        <w:ind w:left="880" w:right="1300" w:hanging="318"/>
        <w:spacing w:after="0" w:line="182" w:lineRule="auto"/>
        <w:tabs>
          <w:tab w:leader="none" w:pos="880" w:val="left"/>
        </w:tabs>
        <w:numPr>
          <w:ilvl w:val="0"/>
          <w:numId w:val="9"/>
        </w:numPr>
        <w:rPr>
          <w:rFonts w:ascii="Arial" w:cs="Arial" w:eastAsia="Arial" w:hAnsi="Arial"/>
          <w:sz w:val="34"/>
          <w:szCs w:val="34"/>
          <w:color w:val="auto"/>
          <w:vertAlign w:val="superscript"/>
        </w:rPr>
      </w:pPr>
      <w:r>
        <w:rPr>
          <w:rFonts w:ascii="Arial" w:cs="Arial" w:eastAsia="Arial" w:hAnsi="Arial"/>
          <w:sz w:val="17"/>
          <w:szCs w:val="17"/>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284" w:lineRule="exact"/>
        <w:rPr>
          <w:rFonts w:ascii="Arial" w:cs="Arial" w:eastAsia="Arial" w:hAnsi="Arial"/>
          <w:sz w:val="34"/>
          <w:szCs w:val="34"/>
          <w:color w:val="auto"/>
          <w:vertAlign w:val="superscript"/>
        </w:rPr>
      </w:pPr>
    </w:p>
    <w:p>
      <w:pPr>
        <w:ind w:left="880" w:right="1220" w:hanging="318"/>
        <w:spacing w:after="0" w:line="192" w:lineRule="auto"/>
        <w:tabs>
          <w:tab w:leader="none" w:pos="88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 with healthcare service and goods providers to reduce prices;</w:t>
      </w:r>
    </w:p>
    <w:p>
      <w:pPr>
        <w:spacing w:after="0" w:line="283" w:lineRule="exact"/>
        <w:rPr>
          <w:rFonts w:ascii="Arial" w:cs="Arial" w:eastAsia="Arial" w:hAnsi="Arial"/>
          <w:sz w:val="36"/>
          <w:szCs w:val="36"/>
          <w:color w:val="auto"/>
          <w:vertAlign w:val="superscript"/>
        </w:rPr>
      </w:pPr>
    </w:p>
    <w:p>
      <w:pPr>
        <w:ind w:left="880" w:right="1140" w:hanging="318"/>
        <w:spacing w:after="0" w:line="182" w:lineRule="auto"/>
        <w:tabs>
          <w:tab w:leader="none" w:pos="880" w:val="left"/>
        </w:tabs>
        <w:numPr>
          <w:ilvl w:val="0"/>
          <w:numId w:val="9"/>
        </w:numPr>
        <w:rPr>
          <w:rFonts w:ascii="Arial" w:cs="Arial" w:eastAsia="Arial" w:hAnsi="Arial"/>
          <w:sz w:val="34"/>
          <w:szCs w:val="34"/>
          <w:color w:val="auto"/>
          <w:vertAlign w:val="superscript"/>
        </w:rPr>
      </w:pPr>
      <w:r>
        <w:rPr>
          <w:rFonts w:ascii="Arial" w:cs="Arial" w:eastAsia="Arial" w:hAnsi="Arial"/>
          <w:sz w:val="17"/>
          <w:szCs w:val="17"/>
          <w:color w:val="auto"/>
        </w:rPr>
        <w:t>the growing prevalence of physician-owned distributorships catering to the spinal surgery market has reduced and may continue to reduce our ability to compete effectively for business from surgeons who own such distributorships; and</w:t>
      </w:r>
    </w:p>
    <w:p>
      <w:pPr>
        <w:spacing w:after="0" w:line="284" w:lineRule="exact"/>
        <w:rPr>
          <w:rFonts w:ascii="Arial" w:cs="Arial" w:eastAsia="Arial" w:hAnsi="Arial"/>
          <w:sz w:val="34"/>
          <w:szCs w:val="34"/>
          <w:color w:val="auto"/>
          <w:vertAlign w:val="superscript"/>
        </w:rPr>
      </w:pPr>
    </w:p>
    <w:p>
      <w:pPr>
        <w:ind w:left="880" w:right="1100" w:hanging="318"/>
        <w:spacing w:after="0" w:line="182" w:lineRule="auto"/>
        <w:tabs>
          <w:tab w:leader="none" w:pos="880" w:val="left"/>
        </w:tabs>
        <w:numPr>
          <w:ilvl w:val="0"/>
          <w:numId w:val="9"/>
        </w:numPr>
        <w:rPr>
          <w:rFonts w:ascii="Arial" w:cs="Arial" w:eastAsia="Arial" w:hAnsi="Arial"/>
          <w:sz w:val="34"/>
          <w:szCs w:val="34"/>
          <w:color w:val="auto"/>
          <w:vertAlign w:val="superscript"/>
        </w:rPr>
      </w:pPr>
      <w:r>
        <w:rPr>
          <w:rFonts w:ascii="Arial" w:cs="Arial" w:eastAsia="Arial" w:hAnsi="Arial"/>
          <w:sz w:val="17"/>
          <w:szCs w:val="17"/>
          <w:color w:val="auto"/>
        </w:rPr>
        <w:t>there have been initiatives by third-party payors to challenge the prices charged for medical products that could affect our ability to sell products on a competitive basis.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135" w:lineRule="exact"/>
        <w:rPr>
          <w:sz w:val="20"/>
          <w:szCs w:val="20"/>
          <w:color w:val="auto"/>
        </w:rPr>
      </w:pPr>
    </w:p>
    <w:p>
      <w:pPr>
        <w:ind w:left="880" w:right="1260" w:hanging="485"/>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43" w:lineRule="exact"/>
        <w:rPr>
          <w:rFonts w:ascii="Arial" w:cs="Arial" w:eastAsia="Arial" w:hAnsi="Arial"/>
          <w:sz w:val="18"/>
          <w:szCs w:val="18"/>
          <w:color w:val="auto"/>
        </w:rPr>
      </w:pPr>
    </w:p>
    <w:p>
      <w:pPr>
        <w:ind w:left="880" w:hanging="485"/>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25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Correspondingly, federal and state laws are also sometimes open to interpretation, and from time to time we may find ourselves at a competitive disadvantage if our interpretation differs from that of our competitors. AdvaMed, the principal United States trade association for the medical device industry, promulgates a model code of conduct that sets forth standards by which its members should abide in the promotion of their products. We have in place policies and procedures for compliance that we believe are at least as stringent as those set forth in the revised AdvaMed Code, and we provide routine training to our sales and marketing personnel on our policies regarding sales and marketing practices. Pursuant to the revised AdvaMed Code, we have certified our adoption of the revised AdvaMed Code. Nevertheless, the sales and marketing practices of our industry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40"/>
        <w:spacing w:after="0" w:line="293" w:lineRule="auto"/>
        <w:rPr>
          <w:sz w:val="20"/>
          <w:szCs w:val="20"/>
          <w:color w:val="auto"/>
        </w:rPr>
      </w:pPr>
      <w:r>
        <w:rPr>
          <w:rFonts w:ascii="Arial" w:cs="Arial" w:eastAsia="Arial" w:hAnsi="Arial"/>
          <w:sz w:val="16"/>
          <w:szCs w:val="16"/>
          <w:color w:val="auto"/>
        </w:rPr>
        <w:t>have been the subject of increased scrutiny from federal and state government agencies, and we believe that this trend will continue. For example, recent federal legislation, state legislation and foreign legislation requires detailed disclosure of gifts and other remuneration made to healthcare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private-label business depends in part on our entering into and maintaining collaborative or alliance agreements with third parties concerning product marketing, as well as research and development programs.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requirements relating to hazardous materials which may impose significant compliance or other costs on us.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research, development and manufacturing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handling, treatment, remediation, and disposal of hazardous materials and certain waste products (“Environmental Laws”). For example, our allograft bone tissue processing may generate waste materials, which in the United States, are classified as medical waste under Environmental Laws. Although we believe that our procedures for handling and disposing of hazardous materials comply with the Environmental Laws, the Environmental Laws may be amended in ways that increase our cost of compliance, perhaps materially.</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implementing our new global enterprise resource planning system</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engaged in a multi-year implementation of a new global enterprise resource planning system (“ERP”) to improve our operational efficiency. The ERP is designed to accurately maintain our financial reporting data and provide information to our management team important to the operation of the business. Our ERP has required, and will require, the investment of significant human and financial resources. The implementation of this new ERP system involves numerous risks, including disruption to our normal accounting procedures and internal control over financial reporting, inaccuracies in the conversion of electronic data, difficulties integrating the systems and processes, additional costs to continue to refine the system’s functionality, and disruption of our financial reporting process. We may not be able to successfully implement the ERP without experiencing significant delays, increased costs, or other difficulties. Any significant disruption or deficiency in the design or implementation of the ERP could adversely affect our ability to estimate supply chain needs, plan production requirements, process orders, ship product, send invoices and track payments, fulfill contractual obligations, accurately forecast sales, or otherwise operate our business, all of which could negatively impact sales and profits.</w:t>
      </w:r>
    </w:p>
    <w:p>
      <w:pPr>
        <w:spacing w:after="0" w:line="47"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New regulations related to “conflict minerals” may force us to incur additional expenses, may make our supply chain more complex and may result in damage to our reputation with customers.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22, 2012, the Securities and Exchange Commission adopted new disclosure regulations for public companies that manufacture products that contain certain minerals (i.e., tin, tantalum, tungsten or gold) known as conflict minerals, if these conflict minerals are necessary to the functionality or production of our products. These regulations require such companies to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8"/>
          <w:szCs w:val="18"/>
          <w:color w:val="auto"/>
        </w:rPr>
        <w:t>annually whether or not such conflict minerals originate from the Democratic Republic of Congo (“DRC”) and adjoining countries and in some cases to perform extensive due diligence on their supply chains for such conflict minerals. The implementation of these new requirements could adversely affect the sourcing, availability and pricing of conflict minerals used in the manufacture of medical devices, including our products. In addition, we may incur additional costs to comply with the disclosure requirements, including costs related to determining the source of any of the relevant conflict minerals used in our products. Since our supply chain is complex, the due diligence procedures that we implement may not enable us to determine the origins for these conflict minerals or determine that these conflict minerals are DRC conflict-free, which may harm our reputation. We may also face difficulties in satisfying any customers who may require that our products be certified as DRC conflict-free, which could harm our relationships with these customers and result in a loss of revenue. These new requirements also could have the effect of limiting the pool of suppliers from which we source these conflict minerals, and we may be unable to obtain conflict-free minerals at competitive prices, which could increase our costs and adversely affect our manufacturing operations and our profitability.</w:t>
      </w:r>
    </w:p>
    <w:p>
      <w:pPr>
        <w:spacing w:after="0" w:line="299"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2012 fiscal year.</w:t>
      </w:r>
    </w:p>
    <w:p>
      <w:pPr>
        <w:spacing w:after="0" w:line="19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principal executive offices are located in Plainsboro, New Jersey. Our principal manufacturing and research facilities are located in California, Massachusetts, New Jersey, Ohio, Pennsylvania, France, Germany, Ireland, Mexico, Puerto Rico and the United Kingdom. Our instrument procurement operations are located in Germany. Our primary distribution centers are located in Nevada, Ohio, Pennsylvania, Australia, Belgium, Canada and France. In addition, we lease several smaller facilities to support additional administrative, assembly, and distribution operations. Third parties own and operate the facilities in Nevada and Belgium. We own our facilities in Biot, France and Andover, United Kingdom, and certain facilities in Ohio and Pennsylvania and we lease all of our other facilities. We also have repair centers in California, Massachusetts, Ohio, Australia and Germany.</w:t>
      </w:r>
    </w:p>
    <w:p>
      <w:pPr>
        <w:spacing w:after="0" w:line="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Our Plainsboro, New Jersey manufacturing facility was inspected by the FDA during the third quarter of 2011 which resulted in the issuance of FDA Form 483 observations, and we subsequently received a warning letter from the FDA on December 21, 2011 related to that inspection. The FDA inspected our manufacturing facility in Andover, England in June 2012. Subsequently, on November 5, 2012, we received a warning letter from the FDA related to quality systems issues at the Andover manufacturing facility. Finally, the FDA inspected our manufacturing facility in Anasco, Puerto Rico in October and November 2012, and we received a warning letter in February 2013. We have undertaken significant efforts to remediate the observations that the FDA has made since the conclusion of the inspections.</w:t>
      </w:r>
    </w:p>
    <w:p>
      <w:pPr>
        <w:spacing w:after="0" w:line="1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two sales representatives in a single region within our Extremities Reconstruction division pertaining to the alleged creation of invoices for products that were not sold or surgeries that did not take place for extremities indications. The Company is cooperating with the United States Attorney's office on a voluntary basis and is not a subject or target of an investigation at this time.</w:t>
      </w:r>
    </w:p>
    <w:p>
      <w:pPr>
        <w:spacing w:after="0" w:line="133"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We are subject to various claims, lawsuits and proceedings in the ordinary course of business, including claims by current or former employees, distributors and competitors and with respect to our products and products liability claims. In the opinion of management, such claims are either adequately covered by insurance or otherwise indemnified, or are not expected, individually or in the aggregate, to result in a material adverse effect on our financial condition.</w:t>
      </w:r>
    </w:p>
    <w:p>
      <w:pPr>
        <w:ind w:right="960"/>
        <w:spacing w:after="0" w:line="261" w:lineRule="auto"/>
        <w:rPr>
          <w:sz w:val="20"/>
          <w:szCs w:val="20"/>
          <w:color w:val="auto"/>
        </w:rPr>
      </w:pPr>
      <w:r>
        <w:rPr>
          <w:rFonts w:ascii="Arial" w:cs="Arial" w:eastAsia="Arial" w:hAnsi="Arial"/>
          <w:sz w:val="18"/>
          <w:szCs w:val="18"/>
          <w:color w:val="auto"/>
        </w:rPr>
        <w:t>However, it is possible that our results of operations, financial position and cash flows in a particular period could be materially affected by these contingencies.</w:t>
      </w:r>
    </w:p>
    <w:p>
      <w:pPr>
        <w:spacing w:after="0" w:line="20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80" w:right="600" w:hanging="1039"/>
        <w:spacing w:after="0" w:line="277"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sales prices for our common stock for each quarter for the last two years:</w:t>
      </w:r>
    </w:p>
    <w:p>
      <w:pPr>
        <w:spacing w:after="0" w:line="279"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ind w:right="41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430"/>
              <w:spacing w:after="0"/>
              <w:rPr>
                <w:sz w:val="20"/>
                <w:szCs w:val="20"/>
                <w:color w:val="auto"/>
              </w:rPr>
            </w:pPr>
            <w:r>
              <w:rPr>
                <w:rFonts w:ascii="Arial" w:cs="Arial" w:eastAsia="Arial" w:hAnsi="Arial"/>
                <w:sz w:val="18"/>
                <w:szCs w:val="18"/>
                <w:color w:val="auto"/>
              </w:rPr>
              <w:t>2011</w:t>
            </w:r>
          </w:p>
        </w:tc>
      </w:tr>
      <w:tr>
        <w:trPr>
          <w:trHeight w:val="27"/>
        </w:trPr>
        <w:tc>
          <w:tcPr>
            <w:tcW w:w="5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High</w:t>
            </w:r>
          </w:p>
        </w:tc>
        <w:tc>
          <w:tcPr>
            <w:tcW w:w="780" w:type="dxa"/>
            <w:vAlign w:val="bottom"/>
            <w:gridSpan w:val="2"/>
          </w:tcPr>
          <w:p>
            <w:pPr>
              <w:jc w:val="center"/>
              <w:ind w:right="160"/>
              <w:spacing w:after="0"/>
              <w:rPr>
                <w:sz w:val="20"/>
                <w:szCs w:val="20"/>
                <w:color w:val="auto"/>
              </w:rPr>
            </w:pPr>
            <w:r>
              <w:rPr>
                <w:rFonts w:ascii="Arial" w:cs="Arial" w:eastAsia="Arial" w:hAnsi="Arial"/>
                <w:sz w:val="18"/>
                <w:szCs w:val="18"/>
                <w:color w:val="auto"/>
              </w:rPr>
              <w:t>Low</w:t>
            </w:r>
          </w:p>
        </w:tc>
        <w:tc>
          <w:tcPr>
            <w:tcW w:w="14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High</w:t>
            </w: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Low</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$ 35.99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$28.07</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$ 35.71</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48.26</w:t>
            </w:r>
          </w:p>
        </w:tc>
        <w:tc>
          <w:tcPr>
            <w:tcW w:w="1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$34.92</w:t>
            </w: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$ 31.61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$45.50</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$ 23.22</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51.79</w:t>
            </w:r>
          </w:p>
        </w:tc>
        <w:tc>
          <w:tcPr>
            <w:tcW w:w="1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$44.64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formation. Our credit facility limits the amount of dividends that we may pay. See “Item</w:t>
      </w:r>
    </w:p>
    <w:p>
      <w:pPr>
        <w:spacing w:after="0" w:line="46" w:lineRule="exact"/>
        <w:rPr>
          <w:sz w:val="20"/>
          <w:szCs w:val="20"/>
          <w:color w:val="auto"/>
        </w:rPr>
      </w:pPr>
    </w:p>
    <w:p>
      <w:pPr>
        <w:ind w:right="100" w:firstLine="8"/>
        <w:spacing w:after="0" w:line="30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number of stockholders of record as of February 22, 2013 was approximately 549, which includes stockholders whose shares were held in nominee name.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2012, 2011 or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October 29, 2010, the Company’s Board of Directors authorized the Company to repurchase shares of the Company’s common stock for an aggregate purchase price not to exceed $75.0 million through December 31, 2012. Shares may be purchased either in the open market or in privately negotiated transactions.</w:t>
      </w:r>
    </w:p>
    <w:p>
      <w:pPr>
        <w:spacing w:after="0" w:line="4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addition to the authorization above, on June 3, 2011, the Company’s Board of Directors separately authorized the Company to repurchase shares of common stock from the proceeds of the 2016 Notes in connection with that offering.</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23, 2012, the Company's Board of Directors terminated the October 2010 authorization and authorized the repurchase of up to $75.0 million of its outstanding common stock through December 2014.</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shares of common stock repurchased by the Company under any of these authorizations in the year ended December 31, 2012.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See Note 6, “Treasury Stock,” in our Consolidated Financial Statements for further details.</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40" w:right="239" w:bottom="1440" w:gutter="0" w:footer="0" w:header="0"/>
        </w:sectPr>
      </w:pPr>
    </w:p>
    <w:bookmarkStart w:id="25" w:name="page26"/>
    <w:bookmarkEnd w:id="25"/>
    <w:tbl>
      <w:tblPr>
        <w:tblLayout w:type="fixed"/>
        <w:tblInd w:w="612"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r>
      <w:tr>
        <w:trPr>
          <w:trHeight w:val="250"/>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7"/>
          </w:tcPr>
          <w:p>
            <w:pPr>
              <w:jc w:val="right"/>
              <w:ind w:right="152"/>
              <w:spacing w:after="0"/>
              <w:rPr>
                <w:sz w:val="20"/>
                <w:szCs w:val="20"/>
                <w:color w:val="auto"/>
              </w:rPr>
            </w:pPr>
            <w:r>
              <w:rPr>
                <w:rFonts w:ascii="Arial" w:cs="Arial" w:eastAsia="Arial" w:hAnsi="Arial"/>
                <w:sz w:val="14"/>
                <w:szCs w:val="14"/>
                <w:b w:val="1"/>
                <w:bCs w:val="1"/>
                <w:color w:val="auto"/>
                <w:w w:val="99"/>
              </w:rPr>
              <w:t>(In thousands, except per share data)</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Results:</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57"/>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revenues,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w w:val="86"/>
              </w:rPr>
              <w:t>830,871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w w:val="89"/>
              </w:rPr>
              <w:t>780,078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$ 732,068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682,487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654,604</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 (1)</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6"/>
              </w:rPr>
              <w:t>757,089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9"/>
              </w:rPr>
              <w:t>725,166</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633,374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584,663</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607,193</w:t>
            </w:r>
          </w:p>
        </w:tc>
      </w:tr>
      <w:tr>
        <w:trPr>
          <w:trHeight w:val="31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6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73,782</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54,912</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97,824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47,411</w:t>
            </w:r>
          </w:p>
        </w:tc>
      </w:tr>
      <w:tr>
        <w:trPr>
          <w:trHeight w:val="257"/>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Interest income (expense), net (2) (3)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(21,032)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(27,175)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(18,131)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(22,596)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(27,971)</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52,029</w:t>
            </w: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28,494</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73,152</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18,535</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22,197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(9,192)</w:t>
            </w:r>
          </w:p>
        </w:tc>
      </w:tr>
      <w:tr>
        <w:trPr>
          <w:trHeight w:val="297"/>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41,204</w:t>
            </w:r>
          </w:p>
        </w:tc>
        <w:tc>
          <w:tcPr>
            <w:tcW w:w="1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27,989</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65,669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50,955</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27,727</w:t>
            </w:r>
          </w:p>
        </w:tc>
      </w:tr>
      <w:tr>
        <w:trPr>
          <w:trHeight w:val="237"/>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229"/>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shares outstanding for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diluted net income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28,516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29,495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29,292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28,378</w:t>
            </w:r>
          </w:p>
        </w:tc>
      </w:tr>
      <w:tr>
        <w:trPr>
          <w:trHeight w:val="64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2008</w:t>
            </w:r>
          </w:p>
        </w:tc>
      </w:tr>
      <w:tr>
        <w:trPr>
          <w:trHeight w:val="250"/>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Position:</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Cash,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96,938</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100,808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128,763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71,891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183,546</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980" w:type="dxa"/>
            <w:vAlign w:val="bottom"/>
            <w:gridSpan w:val="3"/>
          </w:tcPr>
          <w:p>
            <w:pPr>
              <w:spacing w:after="0"/>
              <w:rPr>
                <w:sz w:val="2"/>
                <w:szCs w:val="2"/>
                <w:color w:val="auto"/>
              </w:rPr>
            </w:pPr>
          </w:p>
        </w:tc>
        <w:tc>
          <w:tcPr>
            <w:tcW w:w="10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1,163,599</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1,144,109</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1,017,308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940,102</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1,026,014</w:t>
            </w:r>
          </w:p>
        </w:tc>
      </w:tr>
      <w:tr>
        <w:trPr>
          <w:trHeight w:val="229"/>
        </w:trPr>
        <w:tc>
          <w:tcPr>
            <w:tcW w:w="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w w:val="97"/>
              </w:rPr>
              <w:t>Long-term borrowings under the revolving portion of</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the senior credit facility(2)</w:t>
            </w:r>
          </w:p>
        </w:tc>
        <w:tc>
          <w:tcPr>
            <w:tcW w:w="980" w:type="dxa"/>
            <w:vAlign w:val="bottom"/>
            <w:gridSpan w:val="3"/>
          </w:tcPr>
          <w:p>
            <w:pPr>
              <w:jc w:val="right"/>
              <w:ind w:right="33"/>
              <w:spacing w:after="0"/>
              <w:rPr>
                <w:sz w:val="20"/>
                <w:szCs w:val="20"/>
                <w:color w:val="auto"/>
              </w:rPr>
            </w:pPr>
            <w:r>
              <w:rPr>
                <w:rFonts w:ascii="Arial" w:cs="Arial" w:eastAsia="Arial" w:hAnsi="Arial"/>
                <w:sz w:val="18"/>
                <w:szCs w:val="18"/>
                <w:color w:val="auto"/>
              </w:rPr>
              <w:t>321,875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179,688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160,000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160,000</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debt(3)</w:t>
            </w:r>
          </w:p>
        </w:tc>
        <w:tc>
          <w:tcPr>
            <w:tcW w:w="9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197,672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352,576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294,842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148,754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299,480</w:t>
            </w:r>
          </w:p>
        </w:tc>
      </w:tr>
      <w:tr>
        <w:trPr>
          <w:trHeight w:val="243"/>
        </w:trPr>
        <w:tc>
          <w:tcPr>
            <w:tcW w:w="2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980" w:type="dxa"/>
            <w:vAlign w:val="bottom"/>
            <w:gridSpan w:val="3"/>
          </w:tcPr>
          <w:p>
            <w:pPr>
              <w:jc w:val="right"/>
              <w:ind w:right="33"/>
              <w:spacing w:after="0"/>
              <w:rPr>
                <w:sz w:val="20"/>
                <w:szCs w:val="20"/>
                <w:color w:val="auto"/>
              </w:rPr>
            </w:pPr>
            <w:r>
              <w:rPr>
                <w:rFonts w:ascii="Arial" w:cs="Arial" w:eastAsia="Arial" w:hAnsi="Arial"/>
                <w:sz w:val="18"/>
                <w:szCs w:val="18"/>
                <w:color w:val="auto"/>
              </w:rPr>
              <w:t>302,023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260,819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232,830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167,161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116,206</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98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517,775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492,638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499,963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444,885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372,309</w:t>
            </w:r>
          </w:p>
        </w:tc>
      </w:tr>
      <w:tr>
        <w:trPr>
          <w:trHeight w:val="27"/>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12" w:right="20" w:hanging="412"/>
        <w:spacing w:after="0" w:line="264" w:lineRule="auto"/>
        <w:tabs>
          <w:tab w:leader="none" w:pos="4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2008, we recorded an in-process research and development charge of $25.2 million in connection with the Integra Spine (as hereinafter defined) acquisition and we also recorded an $18.0 million stock-based compensation charge related to restricted stock units that were vested on the date of grant.</w:t>
      </w:r>
    </w:p>
    <w:p>
      <w:pPr>
        <w:spacing w:after="0" w:line="235" w:lineRule="exact"/>
        <w:rPr>
          <w:rFonts w:ascii="Arial" w:cs="Arial" w:eastAsia="Arial" w:hAnsi="Arial"/>
          <w:sz w:val="18"/>
          <w:szCs w:val="18"/>
          <w:color w:val="auto"/>
        </w:rPr>
      </w:pPr>
    </w:p>
    <w:p>
      <w:pPr>
        <w:ind w:left="412" w:right="100"/>
        <w:spacing w:after="0" w:line="286" w:lineRule="auto"/>
        <w:rPr>
          <w:rFonts w:ascii="Arial" w:cs="Arial" w:eastAsia="Arial" w:hAnsi="Arial"/>
          <w:sz w:val="18"/>
          <w:szCs w:val="18"/>
          <w:color w:val="auto"/>
        </w:rPr>
      </w:pPr>
      <w:r>
        <w:rPr>
          <w:rFonts w:ascii="Arial" w:cs="Arial" w:eastAsia="Arial" w:hAnsi="Arial"/>
          <w:sz w:val="17"/>
          <w:szCs w:val="17"/>
          <w:color w:val="auto"/>
        </w:rPr>
        <w:t>In 2011, we recorded a total of $13.3 million in stock-based compensation charges related to our former chief executive officer’s employment agreement extension, accelerated vesting of his outstanding shares upon the appointment of the new chief executive officer, and his minimum annual stock-based compensation award which was fully vested on the date of grant.</w:t>
      </w:r>
    </w:p>
    <w:p>
      <w:pPr>
        <w:spacing w:after="0" w:line="354" w:lineRule="exact"/>
        <w:rPr>
          <w:rFonts w:ascii="Arial" w:cs="Arial" w:eastAsia="Arial" w:hAnsi="Arial"/>
          <w:sz w:val="18"/>
          <w:szCs w:val="18"/>
          <w:color w:val="auto"/>
        </w:rPr>
      </w:pPr>
    </w:p>
    <w:p>
      <w:pPr>
        <w:ind w:left="412" w:hanging="412"/>
        <w:spacing w:after="0" w:line="312" w:lineRule="auto"/>
        <w:tabs>
          <w:tab w:leader="none" w:pos="4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each of the periods presented we report the borrowings outstanding under the revolving portion of our senior credit facility as long-term debt based on our current intent and ability to repay the borrowings outside of the following twelve-month periods. At December 31, 2012, we have a total of $321.9 million outstanding on our senior credit facility and $278.1 million available for future borrowings.</w:t>
      </w:r>
    </w:p>
    <w:p>
      <w:pPr>
        <w:spacing w:after="0" w:line="119" w:lineRule="exact"/>
        <w:rPr>
          <w:rFonts w:ascii="Arial" w:cs="Arial" w:eastAsia="Arial" w:hAnsi="Arial"/>
          <w:sz w:val="16"/>
          <w:szCs w:val="16"/>
          <w:color w:val="auto"/>
        </w:rPr>
      </w:pPr>
    </w:p>
    <w:p>
      <w:pPr>
        <w:ind w:left="412" w:right="200" w:hanging="265"/>
        <w:spacing w:after="0" w:line="264" w:lineRule="auto"/>
        <w:tabs>
          <w:tab w:leader="none" w:pos="4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2007, we issued $165.0 million of 2.75% senior convertible notes due 2010 (the “2010 Notes”) and $165.0 million of 2.375% senior convertible notes due 2012 (the “2012 Notes”). The 2010 Notes were paid off in June 2010 in accordance with their terms. The 2012 Notes were repaid in June 2012 in accordance with their terms.</w:t>
      </w:r>
    </w:p>
    <w:p>
      <w:pPr>
        <w:spacing w:after="0" w:line="249" w:lineRule="exact"/>
        <w:rPr>
          <w:sz w:val="20"/>
          <w:szCs w:val="20"/>
          <w:color w:val="auto"/>
        </w:rPr>
      </w:pPr>
    </w:p>
    <w:p>
      <w:pPr>
        <w:ind w:left="412" w:right="480"/>
        <w:spacing w:after="0" w:line="264" w:lineRule="auto"/>
        <w:rPr>
          <w:sz w:val="20"/>
          <w:szCs w:val="20"/>
          <w:color w:val="auto"/>
        </w:rPr>
      </w:pPr>
      <w:r>
        <w:rPr>
          <w:rFonts w:ascii="Arial" w:cs="Arial" w:eastAsia="Arial" w:hAnsi="Arial"/>
          <w:sz w:val="18"/>
          <w:szCs w:val="18"/>
          <w:color w:val="auto"/>
        </w:rPr>
        <w:t>In 2011, we issued $230.0 million of 1.625% convertible senior notes due in 2016 (the “2016 Notes”). We expect to satisfy any conversion of the 2016 Notes with cash up to their principal amount pursuant to the net share settlement mechanism set forth in the indenture and, with respect to any excess conversion value, with shares of common stock.</w:t>
      </w: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52"/>
          </w:cols>
          <w:pgMar w:left="768" w:top="589" w:right="779" w:bottom="1440" w:gutter="0" w:footer="0" w:header="0"/>
        </w:sectPr>
      </w:pPr>
    </w:p>
    <w:bookmarkStart w:id="26" w:name="page27"/>
    <w:bookmarkEnd w:id="26"/>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3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Integra is a world leader in medical devices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U.S. Orthobiologics and Private Label businesses) and International.</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products group includes specialty metal implants for surgery of the extremities, shoulder and spine, orthobiologics products for repair and grafting of bone, dermal regeneration products and tissue-engineered wound dressings and nerve and tendon repair products. Our neurosurgery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manufacture many of our products in plants located in the United States, Puerto Rico, France, Germany, Ireland, the United Kingdom and Mexico. We also source most of our handheld surgical instruments and specialty metal and pyrocarbon implants through specialized third-party vendors.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United States, we have several sales channels. We sell orthopedics products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worldwide and by becoming a top player in all markets in which we compete. Our strategy includes the following key elements: geographic expansion, disciplined focus and execution, global quality assurance and acquiring or in-licensing products that fit existing sales channels, margin expansion and leveraging platform synergies.</w:t>
      </w:r>
    </w:p>
    <w:p>
      <w:pPr>
        <w:spacing w:after="0" w:line="13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internal growth and by acquisitions),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right="2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Regenerative Medicine Platform</w:t>
      </w:r>
      <w:r>
        <w:rPr>
          <w:rFonts w:ascii="Arial" w:cs="Arial" w:eastAsia="Arial" w:hAnsi="Arial"/>
          <w:sz w:val="18"/>
          <w:szCs w:val="18"/>
          <w:color w:val="auto"/>
        </w:rPr>
        <w:t>. 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7" w:name="page28"/>
    <w:bookmarkEnd w:id="27"/>
    <w:p>
      <w:pPr>
        <w:ind w:left="640" w:right="60" w:hanging="321"/>
        <w:spacing w:after="0" w:line="279"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Each of our three selling platforms contributes a different strength to our core business. Orthopedics enables</w:t>
      </w:r>
      <w:r>
        <w:rPr>
          <w:rFonts w:ascii="Arial" w:cs="Arial" w:eastAsia="Arial" w:hAnsi="Arial"/>
          <w:sz w:val="17"/>
          <w:szCs w:val="17"/>
          <w:i w:val="1"/>
          <w:iCs w:val="1"/>
          <w:color w:val="auto"/>
        </w:rPr>
        <w:t xml:space="preserve"> </w:t>
      </w:r>
      <w:r>
        <w:rPr>
          <w:rFonts w:ascii="Arial" w:cs="Arial" w:eastAsia="Arial" w:hAnsi="Arial"/>
          <w:sz w:val="17"/>
          <w:szCs w:val="17"/>
          <w:color w:val="auto"/>
        </w:rPr>
        <w:t>us to grow our top line and increase gross margins. Neurosurgery provides stable growth as a market with few elective procedures. The Instruments business has a strong capacity to generate cash flows. We have unique synergies among these platforms, such as our regenerative medicine technology, instrument sourcing capabilities, and Group Purchasing Organization (“GPO”) contract management.</w:t>
      </w:r>
    </w:p>
    <w:p>
      <w:pPr>
        <w:spacing w:after="0" w:line="117" w:lineRule="exact"/>
        <w:rPr>
          <w:rFonts w:ascii="Arial" w:cs="Arial" w:eastAsia="Arial" w:hAnsi="Arial"/>
          <w:sz w:val="17"/>
          <w:szCs w:val="17"/>
          <w:color w:val="auto"/>
        </w:rPr>
      </w:pPr>
    </w:p>
    <w:p>
      <w:pPr>
        <w:ind w:left="640" w:right="20" w:hanging="321"/>
        <w:spacing w:after="0" w:line="25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Unique Sales Footprint</w:t>
      </w:r>
      <w:r>
        <w:rPr>
          <w:rFonts w:ascii="Arial" w:cs="Arial" w:eastAsia="Arial" w:hAnsi="Arial"/>
          <w:sz w:val="18"/>
          <w:szCs w:val="18"/>
          <w:color w:val="auto"/>
        </w:rPr>
        <w:t>. Our sales footprint provides us with a unique set of customer call-points and synergies. Each of our sales channels can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the GPO and Integrated Delivery Network (“IDN”) relationships that our Instruments group manages. We have market-leading products for neurosurgeons, many of whom also perform spine surgeries, and we have yet to fully leverage those relationships to sell our spine products. We also have clinical expertise across all of our channels in the United States, and have an opportunity to expand and leverage this expertise in markets worldwide.</w:t>
      </w:r>
    </w:p>
    <w:p>
      <w:pPr>
        <w:spacing w:after="0" w:line="134" w:lineRule="exact"/>
        <w:rPr>
          <w:rFonts w:ascii="Arial" w:cs="Arial" w:eastAsia="Arial" w:hAnsi="Arial"/>
          <w:sz w:val="18"/>
          <w:szCs w:val="18"/>
          <w:color w:val="auto"/>
        </w:rPr>
      </w:pPr>
    </w:p>
    <w:p>
      <w:pPr>
        <w:ind w:left="640" w:right="60" w:hanging="321"/>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ourselves. We have demonstrated that we can</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and profitably integrate new products and businesses. This core strength has made it possible for us to grow over the years, and is key to our ability to grow into a multi-billion dollar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strategy for growing our business includes the acquisition of complementary product lines and companies. Our recent acquisitions of businesses, assets and product lines may make our financial results for the year ended December 31, 2012 not directly comparable to those of the corresponding prior-year period. See Note 3, “Acquisitions and Pro Forma Results” to our consolidated financial statements for a further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From January 2010 through December 2012, we acquired the following businesses, assets and product lines: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2011, we acquired Ascension Orthopedics, Inc. (“Ascension”) for $66.0 million, which includes amounts paid for working capital adjustments of $0.2 million less amounts received from our escrow of $0.7 million. Ascension, based in Austin, Texas, develops and distributes a range of implants for the shoulder, elbow, wrist, hand, foot and ankle. In particular, Ascension adds a significant number of new and differentiated products to our extremities portfolio and access to the shoulder market.</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2011, we acquired SeaSpine, Inc. (“SeaSpine”) for approximately $88.7 million, which includes amounts paid for working capital adjustments of $0.3 million and indemnification holdbacks totaling $7.4 million, all of which was released to the seller prior to December 31, 2012. SeaSpine, based in Vista, California, offers spinal fusion products to customers across the U.S. and in select markets in Europe. The addition of the SeaSpine business effectively doubled our distribution footprint and customer base in the U.S. spine hardware market.</w:t>
      </w:r>
    </w:p>
    <w:p>
      <w:pPr>
        <w:spacing w:after="0" w:line="13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September 2010, we acquired certain assets as well as the distribution rights for our extremity reconstruction product lines in Australia from Culley Investments Pty. Ltd. (“Culley”) for approximately $1.6 million (1.7 million Australian dollars) in cash. For eight years, Culley had been our distributor of these products in Australia. The acquisition provides us with the ability to sell orthopedic products directly to our Australian customers.</w:t>
      </w:r>
    </w:p>
    <w:p>
      <w:pPr>
        <w:spacing w:after="0" w:line="1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May 2010, we acquired certain assets and liabilities of the surgical headlight business of Welch Allyn, Inc. (“Welch”) for approximately $2.4 million in cash and $0.2 million of working capital adjustments. The acquired assets have furthered our goal of expanding our reach into the surgical headlight market.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OPTIMIZATION ACTIVITIES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our ongoing acquisition strategy and significant growth in recent years, we have undertaken cost-saving initiatives to consolidate manufacturing and distribution facilities and transfer activities, implement a global enterprise resource planning system, eliminate duplicative positions, realign various sales and marketing activities, and to expand and upgrade production capacity for our regenerative medicine products.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While we expect a positive impact from ongoing restructuring, integration and manufacturing transfer and expansion activities, such results remain uncertain.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20, 2011, the Company’s Board of Directors approved the following changes that went into effect on January 3, 2012: (i) Peter Arduini was promoted from the role of President and Chief Operating Officer to the role of President and Chief Executive Officer ("CEO"), and was appointed to the Board of Directors, (ii) Stuart Essig was appointed Executive Chairman of the Board of Directors, and (iii) Richard Caruso, the former Chairman of the Board of Directors, remained as a director of the Company.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30" w:right="259" w:bottom="1440" w:gutter="0" w:footer="0" w:header="0"/>
        </w:sectPr>
      </w:pPr>
    </w:p>
    <w:bookmarkStart w:id="28" w:name="page29"/>
    <w:bookmarkEnd w:id="28"/>
    <w:p>
      <w:pPr>
        <w:ind w:right="160"/>
        <w:spacing w:after="0" w:line="264" w:lineRule="auto"/>
        <w:rPr>
          <w:sz w:val="20"/>
          <w:szCs w:val="20"/>
          <w:color w:val="auto"/>
        </w:rPr>
      </w:pPr>
      <w:r>
        <w:rPr>
          <w:rFonts w:ascii="Arial" w:cs="Arial" w:eastAsia="Arial" w:hAnsi="Arial"/>
          <w:sz w:val="18"/>
          <w:szCs w:val="18"/>
          <w:color w:val="auto"/>
        </w:rPr>
        <w:t>On June 7, 2012, Stuart Essig terminated his employment with the Company and ceased to serve as Executive Chairman of the Board of Directors and as an officer or employee of the Company and its subsidiaries and affiliates. Mr. Essig continues to serve as Chairman of the Board of Directors and as a non-employee member of the Board.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income in 2012 was $41.2 million, or $1.44 per diluted share, as compared to $28.0 million, or $0.95 per diluted share in 2011 and $65.7 million, or $2.17 per diluted share in 2010.</w:t>
      </w:r>
    </w:p>
    <w:p>
      <w:pPr>
        <w:spacing w:after="0" w:line="3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Revenues over the past three years increased approximately $50.0 million each year, which generated approximately $20.0 to $35.0 million of additional gross margin. Costs and expenses increased sequentially as new headcount, especially in selling general and administrative, joined the Company either through acquisitions or new hires. Costs and expenses in 2011 included an incremental stock-based compensation expense of $13.3 million related to our former CEO's employment agreement and the accelerated vesting of awards upon appointment of our new CEO. These items result in our operating income declining from 2010 to 2011 and increasing from 2011 to 2012.</w:t>
      </w:r>
    </w:p>
    <w:p>
      <w:pPr>
        <w:spacing w:after="0" w:line="5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Changes in income before taxes result from the operating items described above and changes in interest expense, which increased in 2011 and decreased in 2012 as our 2012 convertible notes matured and a portion of our interest cost was capitalized in our construction in progress balance. See Note 2 "Summary of Significant Accounting Policies - Out-of-Period Adjustment" to our consolidated financial statements for a further discussion.</w:t>
      </w:r>
    </w:p>
    <w:p>
      <w:pPr>
        <w:spacing w:after="0" w:line="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Income tax expense declined sharply in 2011 and increase again in 2012 in response to significant changes in U.S. income. These items result in our net income declining from 2010 to 2011 and increasing from 2011 to 2012.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SPECIAL CHARGES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Plainsboro, New Jersey manufacturing facility remediation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ERP implementation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17,068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optimization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Certain employee termination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Acquisition-related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European entity restructuring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 (1)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Certain executive compensation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charges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48,614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65,466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21,149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380" w:hanging="465"/>
        <w:spacing w:after="0" w:line="281"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2012 amount has been reduced by $1.6 million, representing the non-cash interest that was capitalized as a component of the historical cost of assets constructed for the Company's own use. See Note 2 "Summary of Significant Accounting Policies" for more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196"/>
        </w:trPr>
        <w:tc>
          <w:tcPr>
            <w:tcW w:w="6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16,425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102</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23,669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856</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7,125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48,614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65,466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21,149</w:t>
            </w:r>
          </w:p>
        </w:tc>
      </w:tr>
      <w:tr>
        <w:trPr>
          <w:trHeight w:val="27"/>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continued to do so in 2012.</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Remediation activities in our regenerative medicine facility in Plainsboro, New Jersey affected revenues and gross margin in the year 2012. We received a warning letter from the FDA in December 2011, related to quality systems and compliance issues at that plant. The letter resulted from an inspection held at that facility in August 2011, and did not identify any new observations that were not provided in the Form 483 that followed the inspection. The warning letter did not restrict our ability to manufacture or ship products, nor did it require the recall of any product. In June and July 2012, the FDA again inspected the regenerative medicine facility. The second inspection closed out on July 30, 2012 and a FDA Form 483 Inspectional Observations was issued. We have been addressing the Form 483 observations, warning letter citations and communicating with the FDA on a monthly basis. Our efforts with respect to closing out the warning letter are well along, and we do not expect the FDA to return for another inspection at this facility until some time in 2013.</w:t>
      </w:r>
    </w:p>
    <w:p>
      <w:pPr>
        <w:spacing w:after="0" w:line="11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Since August 2011, we have undertaken significant efforts to remediate the observations that the FDA has made and continue to do so, including both capital investment for new equipment, leasehold improvements and incremental spending to improve or revise quality systems. We expensed approximately $7.9 million and $5.8 million in the year ended December 31, 2012 and 2011, respectively. In 2012, the $7.9 million in expenses consisted of $3.2 million of expenses associated with remediation of the Plainsboro, New Jersey collagen device facility and $4.7 million for unplanned idle time and underutilization. In 2011, the $5.8 million in expenses, consisted of $2.1 million of expenses related to remediation and $3.7 million for unplanned idle time and underutilization. The capital expenditures directed to the remediation of our regenerative medicine facility were $5.2 million and $2.3 million for the years ended December 31, 2012 and 2011, respectively. In 2013, we expect to spend between $1.5 million and $2.0 million in the Plainsboro facility and have remediation activities completed by the end of the second quarter.</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FDA inspected our neurosurgery manufacturing facility in Andover, England in June 2012. Subsequently, on November 5, 2012, we received a warning letter from the FDA dated November 1, 2012 related to quality systems issues at the Andover manufacturing facility. The warning letter identified violations related to corrective and preventative actions, process validations, internal quality audits, and internal review of the suitability and effectiveness of the quality system at defined intervals. We filed the FDA warning letter as an exhibit to a Current Report on Form 8-K on November 13, 2012. Since the conclusion of the FDA inspection in June 2012, we have undertaken significant efforts to remediate the observations that the FDA has made and continue to do so. We are providing the FDA with monthly status reports and working cooperatively with the FDA to resolve any outstanding issues.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22" w:right="259" w:bottom="144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8"/>
          <w:szCs w:val="18"/>
          <w:color w:val="auto"/>
        </w:rPr>
        <w:t>On February 14, 2013, we received a warning letter from the FDA relating to quality systems issues at our manufacturing facility located in Anasco, Puerto Rico. The letter resulted from an inspection conducted at that facility during October and November 2012. On February 15, 2013 we stopped distribution of our collagen products manufactured in the Anasco facility in order to confirm that we had successfully validated all such products and engaged a third-party consultant having appropriate quality system regulations expertise to confirm such validations. On February 22, 2013 the third-party consultant certified the completeness of such validations and we resumed distribution of collagen products from the Anasco facility. We continue to assess and address warning letter citations and will provide our response to the FDA by March 8, 2013 after which we will provide periodic status reports and work cooperatively with the FDA to resolve any outstanding issues.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2010</w:t>
            </w:r>
          </w:p>
        </w:tc>
      </w:tr>
      <w:tr>
        <w:trPr>
          <w:trHeight w:val="196"/>
        </w:trPr>
        <w:tc>
          <w:tcPr>
            <w:tcW w:w="6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369,312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328,933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290,274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277,527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272,538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263,147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184,032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178,607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178,647</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830,871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780,078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732,068</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314,427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299,150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268,188</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516,444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480,928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463,880</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24"/>
        </w:trPr>
        <w:tc>
          <w:tcPr>
            <w:tcW w:w="65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sales by reportable segment for the three years ended December 31, 2012, 2011 and 2010 are as follows:</w:t>
      </w:r>
    </w:p>
    <w:p>
      <w:pPr>
        <w:spacing w:after="0" w:line="338"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r>
      <w:tr>
        <w:trPr>
          <w:trHeight w:val="250"/>
        </w:trPr>
        <w:tc>
          <w:tcPr>
            <w:tcW w:w="5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Neurosurgery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165,606</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U.S. Instruments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155,833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157,853</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Extremities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89,529</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U.S. Spine and 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174,479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152,274</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 *</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166,806</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830,871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780,078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732,068</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firstLine="8"/>
        <w:spacing w:after="0" w:line="308" w:lineRule="auto"/>
        <w:tabs>
          <w:tab w:leader="none" w:pos="1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with Year Ended December 31, 2011.</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year ended December 31, 2012, total revenues increased by $50.8 million or 7%, to $830.9 million from $780.1 million during the prior year. Domestic revenues increased by 9% to $642.8 million and were 77% of total revenues for the year ended December 31, 2012. International revenues were essentially flat at $188.1 million as compared to 2011. Foreign exchange fluctuations, arising primarily from a weaker euro throughout the year compared to the U.S. dollar, accounted for a $6.8 million decrease in revenues for the year ended December 31, 2012. On a constant currency basis, our overall revenues increased 7% compared to 2011.</w:t>
      </w:r>
    </w:p>
    <w:p>
      <w:pPr>
        <w:spacing w:after="0" w:line="1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U.S. Neurosurgery revenues were $171.3 million, an increase of 3% from the prior year. The increase resulted from stronger sales of our market-leading duraplasty products and cranial stabilization products and strength in our critical care.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right="20"/>
        <w:spacing w:after="0" w:line="264" w:lineRule="auto"/>
        <w:rPr>
          <w:sz w:val="20"/>
          <w:szCs w:val="20"/>
          <w:color w:val="auto"/>
        </w:rPr>
      </w:pPr>
      <w:r>
        <w:rPr>
          <w:rFonts w:ascii="Arial" w:cs="Arial" w:eastAsia="Arial" w:hAnsi="Arial"/>
          <w:sz w:val="18"/>
          <w:szCs w:val="18"/>
          <w:color w:val="auto"/>
        </w:rPr>
        <w:t>U.S. Instruments revenues were $162.3 million, an increase of 4% from the prior year. We continued to experience strong sales within instruments, largely driven by strength in our acute care sales channel, and continued growth of our LED surgical headlamp product, which was launched in late 2011, and sales to our alternate site customers.</w:t>
      </w:r>
    </w:p>
    <w:p>
      <w:pPr>
        <w:spacing w:after="0" w:line="1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U.S. Extremities revenues were $122.8 million, an increase of 25% from the prior year. This growth resulted primarily from significant increases in sales of our dermal and wound care products. Sales of our metal implants also increased more than 30%, especially products for the foot and ankle and hand and wrist, in part because of the acquisition of Ascension Orthopedics in September 2011.</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$190.5 million, an increase of 9% from the prior year. We continued double digit growth in our orthobiologics business, led by a strong demand for our EVO3 and Integra Mozaik products. Our sales team has been focusing on signing up new distributors, essential to our incremental growth, and as a result we have seen some increases in sales. Our Spine hardware products also experienced double-digit growth over last year despite continuing price erosion because of increasing competition, in part because of the acquisition of SeaSpine in May 2011.</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International segment revenues were $183.9 million, down 1% from the prior year. Foreign currency fluctuations, arising primarily from a weaker euro throughout the year, compared to the U.S. dollar in 2011, accounted for a $6.8 million decrease in the revenue for the year ended December 31, 2012. Our sales in Europe declined 6%, but on a constant currency basis sales would have been in line with prior year. We saw decreases in capital spending as European hospitals continued to control costs and manage their budgets. Our Rest of World markets posted a 5% increase. The Neurosurgery and Extremities product categories posted the strongest performances from a product standpoint. We continue to expand our growth in China as we transition to a new distribution network.</w:t>
      </w:r>
    </w:p>
    <w:p>
      <w:pPr>
        <w:spacing w:after="0" w:line="13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currency denominated revenues.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with Year Ended December 31, 2010.</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year ended December 31, 2011, total revenues increased by $48.0 million or 7%, to $780.1 million from $732.1 million during the prior year. Domestic revenues increased by 5% to $590.0 million and were 76% of total revenues for the year ended December 31, 2011. International revenues increased $19.4 million to $190.1 million, an increase of 11% compared to 2010. Foreign exchange fluctuations, arising primarily from a stronger euro during the second and third quarters of 2011 and a stronger Australian dollar throughout the year compared to the U.S. dollar than in 2010, accounted for a net $7.9 million increase in revenues for the year ended December 31, 2011. On a constant currency basis, our overall revenues increased 6% compared to 2010.</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U.S. Neurosurgery revenues were $165.7 million, in line with the prior year. We experienced strong sales of neuromonitoring devices used in the critical care setting and duraplasty products. During 2010, we had higher than normal sales levels in neurosurgery, especially with our tissue ablation products as the rebound from the early stages of the global economic slowdown in 2009 was realized. The strong comparable from 2010 muted some of the 2011 increases in revenues.</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U.S. Instruments revenues were $155.8 million, a slight decrease from the prior year. Our sales growth in surgical lighting was offset by weakness in sales of both hospital and alternate site instruments. In the alternate site channel, our largest distributors purchased fewer instruments in the fourth quarter in order to reduce their inventories at the end of the year. That said, our distributors were selling our instruments to their final customers at consistent levels, and as a result, we believed that we were not losing market share. Normal buying patterns returned in the second half of 2012 once our distributors attained their desired inventory levels. On the acute care side, new ambulatory surgery centers and hospital starts during 2011 had a smaller impact when compared to 2010.</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U.S. Extremities revenues were $98.1 million, an increase of 10% from the prior year. The impact of our acquisition of Ascension drove most of this increase in revenue. Sales of engineered regenerative medicine products for skin and wound repair also increased over the full year 2010. Remediation work in our Plainsboro, New Jersey facility resulted in shortages of our regenerative medicine products because the part of the plant that manufactures these products was out of production in December of 2011.</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$174.5 million, an increase of 15% from the prior year. Most of the increase came from sales of spinal implants from our SeaSpine acquisition. We also experienced a significant increase in our orthobiologics business. The overall spine market began experiencing reductions in both the average selling price of products, and procedure volumes. Finally, we saw a decrease in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private-label product revenue as the sales volume of the underlying products by our strategic partners declined. This decline also resulted in decreased royalty revenues.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International segment revenues were $186.0 million, up 12% from the prior year. European sales grew approximately 9% in 2011 compared to the prior year resulting primarily from changes in foreign exchange rates, which had an impact on our neurosurgery and orthopedics products, and to a lesser extent, instruments. Sales to customers in the Rest of the World region increased approximately 14% for the year ended December 31, 2011 and we experienced this increase in all product lines across all other foreign geographies.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7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Gross margin as a percentage of revenues was 62.2% in 2012, 61.7% in 2011, and 63.4% in 2010. Cost of product revenues in 2012, 2011, and 2010 included $2.8 million, $3.3 million, and $1.8 million, respectively, in fair value inventory purchase accounting adjustments recorded in connection with acquisitions, and $6.6 million, $8.2 million, and $5.9 million, respectively, of amortization for technology-based intangible assets inclusive of impairments.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gross margin percentage from 2011 to 2012 resulted primarily from favorable product mix and lower amortization expense offset by increased spending on quality processes and remediation costs.</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gross margin percentage from 2010 to 2011 resulted primarily from higher write-offs and reserves for excess and obsolete inventory in our orthopedics products, fair-value inventory adjustments on our SeaSpine and Ascension acquisitions, and higher costs of manufacturing than in the prior-year period.</w:t>
      </w:r>
    </w:p>
    <w:p>
      <w:pPr>
        <w:spacing w:after="0" w:line="208"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We expect our consolidated gross margin percentage for the full year 2013 to stay around 63%. We expect to complete the remediation work at our Plainsboro, New Jersey regenerative medicine manufacturing facility at the end of the second quarter of 2013. Additionally, our gross margin will be impacted by the amount of Medical Device tax capitalized into inventory and recorded in cost of goods sold as these products are sold to third party customers.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Health Care and Education Reconciliation Act of 2010 imposed a tax equal to 2.3% on the sales price of any taxable medical device by a medical device manufacturer, producer or importer of such device. Beginning in 2013, the Company expects to pay a tax deductible manufacturer's excise tax imposed on the first sale of certain medical devices in the United States. The Company expects to capitalize the excise tax in its inventory and subsequently record it in cost of goods sold as these products are sold to third party customers.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379"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29584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44.9%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and intangible asset amortization expense, increased $16.6 million or 4% to $442.7 million in 2012, compared to $426.0 million in the same period last year.</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decreased slightly to $51.0 million in 2012, compared to $51.5 million in 2011 and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from $48.1 million in 2010. The decrease in research and development cost from 2012 to 2011 was mostly driven by a reduction in headcount. The increase in research and development from 2010 to 2011 resulted primarily from our SeaSpine and Ascension acquisitions, and to a lesser extent, headcount increases to focus on projects in our neurosurgery and extremity reconstruction product 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target full-year 2013 spending on research and development to be between 6.5% and 7% of total revenues.</w:t>
      </w:r>
    </w:p>
    <w:p>
      <w:pPr>
        <w:spacing w:after="0" w:line="30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in the year ended December 31, 2012 increased by $15.0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4.2% to $373.1 million compared to $358.1 million in the same period last year. Selling and marketing expenses increased by $24.3 million, primarily resulting from a higher proportion of sales through distributors, which generally have a higher cost than the direct selling model. Additionally, bonuses and commission costs were higher as 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30" w:right="259" w:bottom="1440" w:gutter="0" w:footer="0" w:header="0"/>
        </w:sectPr>
      </w:pPr>
    </w:p>
    <w:bookmarkStart w:id="33" w:name="page34"/>
    <w:bookmarkEnd w:id="33"/>
    <w:p>
      <w:pPr>
        <w:spacing w:after="0" w:line="293" w:lineRule="auto"/>
        <w:rPr>
          <w:sz w:val="20"/>
          <w:szCs w:val="20"/>
          <w:color w:val="auto"/>
        </w:rPr>
      </w:pPr>
      <w:r>
        <w:rPr>
          <w:rFonts w:ascii="Arial" w:cs="Arial" w:eastAsia="Arial" w:hAnsi="Arial"/>
          <w:sz w:val="16"/>
          <w:szCs w:val="16"/>
          <w:color w:val="auto"/>
        </w:rPr>
        <w:t>result of increases in revenue and headcount. We also added significantly to our planning and customer services departments. Furthermore, we incurred $1.1 million of expenses in the second quarter to terminate an exclusive product distribution agreement with a former distributor in China, which included the transfer of certain product registration rights back to us. General and administrative costs were down $9.3 million, primarily because of prior year incremental charges of $13.3 million of stock based-compensation related to the executive changes as noted below and $1.7 million of acquisition related costs that did not repeat in the current period. These decreases were offset by increases in our spending on the global enterprise resource planning system, accrued non-selling bonuses, consulting and other costs related to various strategic projects and the addition of our SeaSpine and Ascension operations.</w:t>
      </w:r>
    </w:p>
    <w:p>
      <w:pPr>
        <w:spacing w:after="0" w:line="1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Selling, general and administrative expenses in the year ended December 31, 2011 increased by $53.0 million or 17.4% to $358.1 million compared to $305.1 million in the same period last year. Selling expenses increased by $20.5 million primarily because of an increase in revenues and the corresponding commission costs, as well as the impact of our SeaSpine and Ascension acquisitions. General and administrative costs increased $32.6 million because of charges related to the implementation of our global enterprise resource planning system of $17.1 million, incremental stock-based compensation charges of $13.3 million related to the renewal of our former Chief Executive Officer’s employment agreement in May 2011, the accelerated vesting of awards upon the appointment of a new chief executive officer in December 2011 and the minimum annual equity award for 2011 for our former Chief Executive Officer, acquisition-related costs of $1.7 million, severance costs, and to a lesser extent, increases in compensation costs brought on by increased headcount.</w:t>
      </w:r>
    </w:p>
    <w:p>
      <w:pPr>
        <w:spacing w:after="0" w:line="11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2013, we expect general and administrative expenses to be flat compared to 2012; however, we expect to grow the sales team, resulting in similar overall costs as a percentage of revenue. We also expect to incur significant costs related to upgrading our enterprise resource planning system, which will be characterized as special charges. We expect our reported selling, general, and administrative expenses to be between 44 and 46 percent of revenue in 2013.</w:t>
      </w:r>
    </w:p>
    <w:p>
      <w:pPr>
        <w:spacing w:after="0" w:line="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INTANGIBLE ASSET AMORTIZATION. </w:t>
      </w:r>
      <w:r>
        <w:rPr>
          <w:rFonts w:ascii="Arial" w:cs="Arial" w:eastAsia="Arial" w:hAnsi="Arial"/>
          <w:sz w:val="17"/>
          <w:szCs w:val="17"/>
          <w:color w:val="auto"/>
        </w:rPr>
        <w:t>Amortization expense (excluding amounts reported in cost of product revenues for technology-based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in the year ended December 31, 2012 was $18.5 million compared to $16.4 million last year. The increase primarily resulted from amortization of the significant intangible assets added as part of our Ascension acquisition that occurred during the third quarter of 2011.</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2011, amortization expense (excluding amounts reported in cost of product revenues for technology-based intangible assets) increased by $4.4 million to $16.4 million compared to $12.0 million in 2010. The increase primarily resulted from accelerated amortization of $1.5 million for several trade names that were phased out through the end of 2012 as part of our rebranding strategy, the impairment of trade names totaling $1.1 million, and incremental amortization on intangible assets acquired through business combinations that occurred in 2011.</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to be approximately $19.0 million in 2013, $18.1 million in 2014, $16.3 million in 2015, $14.0 million in 2016 and $12.1 million in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578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2010</w:t>
            </w:r>
          </w:p>
        </w:tc>
      </w:tr>
      <w:tr>
        <w:trPr>
          <w:trHeight w:val="196"/>
        </w:trPr>
        <w:tc>
          <w:tcPr>
            <w:tcW w:w="5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(22,237)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(27,640)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(18,356)</w:t>
            </w:r>
          </w:p>
        </w:tc>
      </w:tr>
      <w:tr>
        <w:trPr>
          <w:trHeight w:val="27"/>
        </w:trPr>
        <w:tc>
          <w:tcPr>
            <w:tcW w:w="5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1,551</w:t>
            </w:r>
          </w:p>
        </w:tc>
      </w:tr>
      <w:tr>
        <w:trPr>
          <w:trHeight w:val="237"/>
        </w:trPr>
        <w:tc>
          <w:tcPr>
            <w:tcW w:w="5780" w:type="dxa"/>
            <w:vAlign w:val="bottom"/>
          </w:tcPr>
          <w:p>
            <w:pPr>
              <w:ind w:left="280"/>
              <w:spacing w:after="0"/>
              <w:rPr>
                <w:sz w:val="20"/>
                <w:szCs w:val="20"/>
                <w:color w:val="auto"/>
              </w:rPr>
            </w:pPr>
            <w:r>
              <w:rPr>
                <w:rFonts w:ascii="Arial" w:cs="Arial" w:eastAsia="Arial" w:hAnsi="Arial"/>
                <w:sz w:val="18"/>
                <w:szCs w:val="18"/>
                <w:color w:val="auto"/>
              </w:rPr>
              <w:t>Total non-operating income and expense</w:t>
            </w:r>
          </w:p>
        </w:tc>
        <w:tc>
          <w:tcPr>
            <w:tcW w:w="112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(21,753)</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(26,418)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(16,580)</w:t>
            </w:r>
          </w:p>
        </w:tc>
      </w:tr>
      <w:tr>
        <w:trPr>
          <w:trHeight w:val="27"/>
        </w:trPr>
        <w:tc>
          <w:tcPr>
            <w:tcW w:w="5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9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recorded interest income on our invested cash of $1.2 million, $0.5 million and $0.2 million in 2012, 2011 and 2010, respectively. The increase in interest income is primarily a result of short-term investments in time deposit accounts held outside the United States during the year.</w:t>
      </w:r>
    </w:p>
    <w:p>
      <w:pPr>
        <w:spacing w:after="0" w:line="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Interest expense was $22.2 million, $27.6 million and $18.4 million in 2012, 2011 and 2010, respectively. In the fourth quarter of 2012 interest expense has been reduced by $3.9 million; of that $3.3 million represents the cumulative correction of immaterial errors in capitalized interest on our construction in progress balance. See Note 2 "Summary of Significant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49" w:right="259" w:bottom="1440" w:gutter="0" w:footer="0" w:header="0"/>
        </w:sectPr>
      </w:pPr>
    </w:p>
    <w:bookmarkStart w:id="34" w:name="page35"/>
    <w:bookmarkEnd w:id="34"/>
    <w:p>
      <w:pPr>
        <w:ind w:right="160"/>
        <w:spacing w:after="0" w:line="276" w:lineRule="auto"/>
        <w:rPr>
          <w:sz w:val="20"/>
          <w:szCs w:val="20"/>
          <w:color w:val="auto"/>
        </w:rPr>
      </w:pPr>
      <w:r>
        <w:rPr>
          <w:rFonts w:ascii="Arial" w:cs="Arial" w:eastAsia="Arial" w:hAnsi="Arial"/>
          <w:sz w:val="17"/>
          <w:szCs w:val="17"/>
          <w:color w:val="auto"/>
        </w:rPr>
        <w:t>Accounting Policies - Out-of-Period Adjustment" to our consolidated financial statements for a further discussion. The $3.3 million correction reflects $1.5 million, $1.4 million and $0.4 million of interest expense that should have been capitalized in the first three quarters of 2012 and the year ended December 31, 2011 and 2010, respectively. Based upon our evaluation of relevant factors related to this matter, we concluded that the uncorrected adjustments in our previously issued consolidated financial statements for any of the periods affected are immaterial and that the impact of recording the cumulative correction in the fourth quarter of 2012 is not material to our earnings for the full year ending December 31, 2012.</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reported interest expense for the years ended December 31, 2012, 2011 and 2010 includes non-cash interest related to the accounting for convertible securities of $8.5 million, $10.6 million and $7.6 million, respectively. The expense was primarily associated with the principal amount of the outstanding 2016 Notes, 2012 Notes and 2010 Notes and interest and fees related to our $600.0 million senior secured credit facility. In the fourth quarter of 2012, we capitalized a total of $1.6 million of non-cash interest, and included it in the historical cost of assets constructed for the Company's own use. The total interest capitalized consisted of $0.9 million, $0.6 million and $0.1 million of the non-cash interest expenses from the years ended December 31, 2012, 2011 and 2010, respectively.</w:t>
      </w:r>
    </w:p>
    <w:p>
      <w:pPr>
        <w:spacing w:after="0" w:line="13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Interest expense in the year ended December 31, 2012 decreased by $5.4 million primarily as a result of the June repayment of our 2012 Notes and capitalizing a portion of our interest cost relating to certain assets constructed for our internal use.</w:t>
      </w:r>
    </w:p>
    <w:p>
      <w:pPr>
        <w:spacing w:after="0" w:line="1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Interest expense increased for the year ended December 31, 2011 compared to the same period last year primarily because of increased average borrowings under our Senior Credit Facility during the period and interest related to our 2016 Notes issued in June 2011. Although overall borrowings increased, we refinanced our Senior Credit Facility in June 2011 and as a result, the applicable rates used for borrowings decreased by 75 basis points, which was accompanied by a decrease in the annual commitment fee by an average 13.8 basis points. Furthermore, the coupon interest rate on the 2016 Notes is 75 basis points lower than the 2012 Notes. Finally, the impact of our interest rate swap resulted in additional interest expense of $2.3 million during the period.</w:t>
      </w:r>
    </w:p>
    <w:p>
      <w:pPr>
        <w:spacing w:after="0" w:line="10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reported interest expense for the years ended December 31, 2012, 2011 and 2010 included $2.7 million, $3.4 million and $1.6 million, respectively, of non-cash amortization of debt issuance costs. The 2011 amount includes approximately $0.8 million of fees expensed in connection with our refinancing in June 2011.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2012, net other expense of $0.7 million consisted predominantly of foreign exchange losses.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2011, net other income of $0.8 million consisted of research and development reimbursements from third-party partners and foreign governments, partially offset by foreign exchange losses. In 2010, net other income was $1.6 million consisting primarily of foreign exchange gains of $1.1 million, and other gains of $0.5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effective income tax rate was 20.8%, 1.8% and 20.0% of income before income taxes in 2012, 2011 and 2010, respectively. See Note 10, “Income Taxes,” in our consolidated financial statements for a reconciliation of the United States Federal statutory rate to our effective tax rate.</w:t>
      </w:r>
    </w:p>
    <w:p>
      <w:pPr>
        <w:spacing w:after="0" w:line="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2012, our full-year worldwide income increased significantly, primarily due to the increase of earnings generated in the United States. The shift in the mix of earnings caused a significant increase in our worldwide effective tax rate. This increase was partially offset by a reversal of $2.6 million of accruals, which includes interest for uncertain tax positions.</w:t>
      </w:r>
    </w:p>
    <w:p>
      <w:pPr>
        <w:spacing w:after="0" w:line="12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2011, we recorded a reversal of $2.5 million of accruals, which included interest, for uncertain tax positions due to matters that were considered effectively settled. We recorded additional tax expenses of $1.7 million for a correction to a state deferred tax asset relating to 2009 and recorded a tax benefit of</w:t>
      </w:r>
    </w:p>
    <w:p>
      <w:pPr>
        <w:spacing w:after="0" w:line="261" w:lineRule="auto"/>
        <w:rPr>
          <w:sz w:val="20"/>
          <w:szCs w:val="20"/>
          <w:color w:val="auto"/>
        </w:rPr>
      </w:pPr>
      <w:r>
        <w:rPr>
          <w:rFonts w:ascii="Arial" w:cs="Arial" w:eastAsia="Arial" w:hAnsi="Arial"/>
          <w:sz w:val="18"/>
          <w:szCs w:val="18"/>
          <w:color w:val="auto"/>
        </w:rPr>
        <w:t>$2.2 million relating to the correction of various deferred tax items for periods prior to 2011 that largely impacted foreign operations. These amounts were not material to the current or prior periods and were therefore recorded in 2011.</w:t>
      </w:r>
    </w:p>
    <w:p>
      <w:pPr>
        <w:spacing w:after="0" w:line="1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2010, we recorded a tax benefit of $4.5 million related to the settlement of several uncertain tax positions and a benefit related to the passing of the Tax Relief, Unemployment Insurance Reauthorization and Job Creation Act of 2010 (the “TRUJ Act”). Since the TRUJ Act was passed during the fourth quarter of 2010, we recorded the tax impact for the entire year at that time.</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effective tax rate could vary from year to year depending on, among other factors, the geographic and business mix and taxable earnings and losses. We consider these factors and other, including our history of generating taxable earnings, in assessing our ability to realize deferred tax assets. We expect our effective income tax rate for 2013 to be 17%, inclusive of the reinstated research and development credit.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49" w:right="259" w:bottom="1440" w:gutter="0" w:footer="0" w:header="0"/>
        </w:sectPr>
      </w:pPr>
    </w:p>
    <w:bookmarkStart w:id="35" w:name="page36"/>
    <w:bookmarkEnd w:id="35"/>
    <w:p>
      <w:pPr>
        <w:ind w:right="140"/>
        <w:spacing w:after="0" w:line="257" w:lineRule="auto"/>
        <w:rPr>
          <w:sz w:val="20"/>
          <w:szCs w:val="20"/>
          <w:color w:val="auto"/>
        </w:rPr>
      </w:pPr>
      <w:r>
        <w:rPr>
          <w:rFonts w:ascii="Arial" w:cs="Arial" w:eastAsia="Arial" w:hAnsi="Arial"/>
          <w:sz w:val="18"/>
          <w:szCs w:val="18"/>
          <w:color w:val="auto"/>
        </w:rPr>
        <w:t>The American Taxpayer Relief Act of 2012 was signed into law by the President of the United States on January 2, 2013. In part, the bill approved a retroactive extension of certain business tax provisions that expired at the end of 2011 and 2012. These extensions, which included the research and development credit, are taken into account for financial reporting purposes in the quarter in which the legislation is enacted by Congress and signed into law by the President. Accordingly, the Company will recognize approximately $0.9 million of income tax benefit associated with the 2012 research and development tax credit in its 2013 financial statements.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recorded a valuation allowance of $14.2 million against the remaining $110.5 million of gross deferred tax assets recorded at December 31, 2012. This valuation allowance relates to deferred tax assets for which the Company does not believe it has satisfied the more likely than not threshold for realization.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 Our deferred tax asset valuation allowance decreased $18.1 million in 2012 and $4.3 million in 2011, and increased $0.5 million in 2010.</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2012 we had net operating loss carryforwards of $58.4 million for federal income tax purposes, $57.1 million for foreign income tax purposes and $56.9 million for state income tax purposes to offset future taxable income. The federal net operating loss carryforwards expire through 2029, $42.8 million of the foreign net operating loss carryforwards expire through 2021 with the remaining $14.3 million having an indefinite carry forward period. The state net operating loss carryforwards expire through 2031.</w:t>
      </w:r>
    </w:p>
    <w:p>
      <w:pPr>
        <w:spacing w:after="0" w:line="13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Income taxes are not provided on certain undistributed earnings of non-U.S. subsidiaries because such earnings are expected to be permanently reinvested. Undistributed earnings of such foreign subsidiaries totaled $165.3 million, $168.8 million and $142.2 million at December 31, 2012, 2011 and 2010,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that the various U.S. segments manage that are generated from non-U.S. customers and therefore included in Europe and the Rest of World revenues below – these revenues are not significant. Total revenue by major geographic area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2010</w:t>
            </w:r>
          </w:p>
        </w:tc>
      </w:tr>
      <w:tr>
        <w:trPr>
          <w:trHeight w:val="196"/>
        </w:trPr>
        <w:tc>
          <w:tcPr>
            <w:tcW w:w="6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642,830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589,946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561,307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90,920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97,184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89,044</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92,948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81,717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830,871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780,078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732,068</w:t>
            </w:r>
          </w:p>
        </w:tc>
      </w:tr>
      <w:tr>
        <w:trPr>
          <w:trHeight w:val="27"/>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2012 sales to our U.S. customers increased approximately 9.0% compared to the prior year, resulting from a full-year impact of the SeaSpine and Ascension acquisitions, with steady increases in all of our U.S. segments sales. Over the past few years, the austerity measures of certain European governments, which have reduced expenditures on healthcare, have negatively affected revenues from our European customers. We saw decreases in capital spending as European hospitals have been reducing spending. While the economic downturn has not significantly affected our ability to collect receivables, the macro-economic conditions and liquidity issues in certain countries continue to hamper our sales volumes. European sales declined approximately 6% in 2012 compared to the prior year resulting primarily from changes in foreign exchange rates, which had an impact on our neurosurgery and orthopedics products, and to a lesser extent, instruments. Sales to customers in the Rest of the World region increased approximately 5% for the year ended December 31, 2012. We experienced this increase in all product lines across all Rest of the World geographies.</w:t>
      </w:r>
    </w:p>
    <w:p>
      <w:pPr>
        <w:spacing w:after="0" w:line="1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2011, sales to U.S. customers increased approximately 5% compared to the prior year, primarily resulting from the incremental impact of the SeaSpine and Ascension acquisitions, with neurosurgery sales increasing and instrument sales decreasing. The effects of European austerity measures had a negative impact on our sales during that period. That said, European sales grew approximately 9% in 2011 compared to the prior year resulting primarily from changes in foreign exchange rates. Sales to customers in the Rest of the World region increased approximately 14% for the year ended December 31, 2011 and we experienced this increase in all product lines across all other foreign geographies.</w:t>
      </w:r>
    </w:p>
    <w:p>
      <w:pPr>
        <w:spacing w:after="0" w:line="1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our global reach, we generate revenues and incur operating expenses in multiple foreign currencies, including euros, British pounds, Swiss francs, Canadian dollars, Japanese yen and Australian dollars. Accordingly, we will experience currency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30" w:right="259" w:bottom="1440" w:gutter="0" w:footer="0" w:header="0"/>
        </w:sectPr>
      </w:pPr>
    </w:p>
    <w:bookmarkStart w:id="36" w:name="page37"/>
    <w:bookmarkEnd w:id="36"/>
    <w:p>
      <w:pPr>
        <w:ind w:right="560"/>
        <w:spacing w:after="0" w:line="342" w:lineRule="auto"/>
        <w:rPr>
          <w:sz w:val="20"/>
          <w:szCs w:val="20"/>
          <w:color w:val="auto"/>
        </w:rPr>
      </w:pPr>
      <w:r>
        <w:rPr>
          <w:rFonts w:ascii="Arial" w:cs="Arial" w:eastAsia="Arial" w:hAnsi="Arial"/>
          <w:sz w:val="16"/>
          <w:szCs w:val="16"/>
          <w:color w:val="auto"/>
        </w:rPr>
        <w:t>exchange risk with respect to those foreign currency denominated revenues and operating expenses. The Company generated revenues denominated in foreign currencies of $133.3 million, $142.4 million and $125.8 million during the years ended December 31, 2012, 2011 and 2010, respectively.</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will continue to assess the potential effects that changes in foreign currency exchange rates could have on our business. However, either a strengthening or a weakening of the dollar against individual foreign currencies could reduce future revenues and gross margins. If we believe this potential impact presents a significant risk to our business, we may enter into derivative financial instruments to mitigate this risk.</w:t>
      </w:r>
    </w:p>
    <w:p>
      <w:pPr>
        <w:spacing w:after="0" w:line="12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Local economic conditions, regulatory, legal or political considerations, the effectiveness of our sales representatives and distributors, local competition and changes in local medical practice all could combine to affect our sales into markets outside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Relationships with customers and effective terms of sale frequently vary by country, often with longer-term receivables than are typical in the United States.</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Economic conditions in certain European countries, especially Greece, Ireland, Italy, Portugal and Spain, remained challenging</w:t>
      </w:r>
      <w:r>
        <w:rPr>
          <w:sz w:val="1"/>
          <w:szCs w:val="1"/>
          <w:color w:val="auto"/>
        </w:rPr>
        <w:drawing>
          <wp:inline distT="0" distB="0" distL="0" distR="0">
            <wp:extent cx="34290" cy="1289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7"/>
          <w:szCs w:val="17"/>
          <w:color w:val="auto"/>
        </w:rPr>
        <w:t>through 2012. Accounts receivable from customers in these countries represented approximately $4.3 million of our total accounts receivable balance of which $0.4 million was reserved at December 31, 2012. At December 31, 2011, the accounts receivable from customers in these countries was $5.8 million of which $0.8 million was reserved. We continually evaluate receivables for potential collection risks associated with our customers. If the financial condition of customers or their respective countries’ healthcare systems continue to deteriorate it may negatively impact our results in future periods.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had cash and cash equivalents totaling approximately $96.9 million and $100.8 million at December 31, 2012 and December 31, 2011, respectively.</w:t>
      </w:r>
    </w:p>
    <w:p>
      <w:pPr>
        <w:spacing w:after="0" w:line="1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determined that our existing cash, future cash to be generated from operations, and our remaining $278.1 million of borrowing capacity under our senior secured revolving credit facility, if needed, will satisfy our foreseeable working capital, debt repayment and capital expenditure requirements for at least the next twelve months.</w:t>
      </w:r>
    </w:p>
    <w:p>
      <w:pPr>
        <w:spacing w:after="0" w:line="4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2013, we anticipate that our principal uses of cash will include payments of the new Medical Device Tax in a range of $9 -$12 million. We also plan to spend between $55.0 million and $65.0 million on capital expenditures primarily for our continued expansion of regenerative medicine manufacturing capacity, support maintenance in our existing plants, our enterprise resource planning system implementation, and additions to our instrument kits used in sales of orthopedic products.</w:t>
      </w:r>
    </w:p>
    <w:p>
      <w:pPr>
        <w:spacing w:after="0" w:line="13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During the quarter ended December 31 2012, we repatriated approximately $31.7 million from our foreign subsidiaries. The decision to repatriate the $31.7 million was made in the fourth quarter upon finalization of a plan which indicated that the earnings could be brought back to the United States with minimal tax impact. The repatriation does not impact the Company's assertion that our earnings from foreign operations have been and will continue to be indefinitely reinvested in those operations. The Company considers these amounts to be indefinitely reinvested to finance international growth and expansion.</w:t>
      </w:r>
    </w:p>
    <w:p>
      <w:pPr>
        <w:spacing w:after="0" w:line="10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December 31, 2012, our non-U.S. subsidiaries held approximately $84.3 million of cash and cash equivalents that are available for use by all of our operations around the world. However, if these funds were repatriated to the United States or used for United States operations, certain amounts could be subject to United States tax for the incremental amount in excess of the foreign tax paid.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3"/>
              </w:rPr>
              <w:t>2011</w:t>
            </w:r>
          </w:p>
        </w:tc>
      </w:tr>
      <w:tr>
        <w:trPr>
          <w:trHeight w:val="196"/>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58,715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104,328</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(79,276)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(190,376)</w:t>
            </w:r>
          </w:p>
        </w:tc>
      </w:tr>
      <w:tr>
        <w:trPr>
          <w:trHeight w:val="27"/>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12,135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60,137</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4,556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(2,044)</w:t>
            </w:r>
          </w:p>
        </w:tc>
      </w:tr>
      <w:tr>
        <w:trPr>
          <w:trHeight w:val="27"/>
        </w:trPr>
        <w:tc>
          <w:tcPr>
            <w:tcW w:w="7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the second quarter of 2012, we borrowed $155 million from our senior credit facility to fund the June repayment of our 2012 Notes of $165 million, of which we classified $134 million as a financing use of cash for the repayment of the debt component, and $31 million as an operating use of cash for the repayment of accreted interest.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fourth quarter, we used $29.8 million of cash to pay withheld federal and state taxes in connection with the release to Stuart Essig, our former Chief Executive Officer and current Chairman of the Board, of approximately 1.67 million deferred stock units (“SUs”) as a result of his ceasing to be an employee of the Company. This payment was classified as an operating use of cash. We retained approximately 745,000 shares equal in value to the required withholding taxes, which were approximately 44% of the then aggregate fair market value of the SUs. We will be able to deduct the total amount of such deferred compensation from our Federal and state corporation taxes, but will not receive the cash benefits of such deductions in the same period. The payment of the SUs in the current year generated net operating losses which will be utilized as deductions against federal and state corporate income taxes on our 2012 U.S. Corporation income tax return.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generated operating cash flows of $58.7 million, $104.3 million and $105.6 million for years ended December 31, 2012, 2011 and 2010, respectively.</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Operating cash flows were lower than the same period in 2011 largely because of the repayment of our convertible 2012 Notes of $165.0 million, of which $31.0 million were classified as an operating use of cash for the repayment of accreted interest. Cash from operations was also negatively impacted by a one-time tax withholding payment of $29.8 million related to our former CEO's deferred equity compensation. Net income for the year ended December 31, 2012, plus items included in those earnings that did not result in a change to our cash balance, amounted to approximately $82.7 million. Changes in working capital decreased cash flows by approximately $22.1 million. Among the changes in working capital, accounts receivable provided $3.8 million of cash, inventory used $0.7 million of cash, prepaid expenses and other current assets used $3.1 million of cash, and accounts payable, accrued expenses and other current liabilities used $21.1 million of cash, where the $29.8 million cash paid for federal and state taxes was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year ended December 31, 2011, plus items included in those earnings that did not result in a change to our cash balance, amounted to</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$119.4 million. In 2011, the impact of net working capital items on operating cash flows excluding the impact of acquisitions was a decrease of $12.3 million. Increases in accounts receivable used $1.9 million of cash, increases in prepaid expenses and other current assets used $0.4 million of cash, which includes a tax refund of $10.0 million, and decreases in accounts payable, accrued expenses, and other current liabilities used $11.8 million of cash. Decreases in inventory provided $1.7 million of cash.</w:t>
      </w:r>
    </w:p>
    <w:p>
      <w:pPr>
        <w:spacing w:after="0" w:line="13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income for the year ended December 31, 2010, plus items included in those earnings that did not result in a change to our cash balance, amounted to approximately $131.2 million. Additionally, we paid $6.6 million in accreted interest related to the repurchase of our 2010 Notes at their maturity. In 2010, the net impact of working capital items on operating cash flows was a decrease of $11.3 million. Increases in both accounts receivable and inventory resulted in a use of cash; however, those increases resulted from higher overall sales, and accounts receivable was lower as a percentage of sales compared to 2009. Additionally, increases in our prepaid expenses and other current assets used $6.5 million of cash. Increases in accounts payable and accrued expenses primarily offset these uses of cash. The change in other liabilities resulted in part from $4.5 million in reversals of income tax reserves for audits that were concluded during the year.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During the year ended December 31, 2012, we paid $69.0 million in cash for capital expenditures, most of which was directed to the expansion and remediation of our regenerative medicine production capacity and implementation of a global enterprise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8" w:name="page39"/>
    <w:bookmarkEnd w:id="38"/>
    <w:p>
      <w:pPr>
        <w:ind w:right="400"/>
        <w:spacing w:after="0" w:line="277" w:lineRule="auto"/>
        <w:rPr>
          <w:sz w:val="20"/>
          <w:szCs w:val="20"/>
          <w:color w:val="auto"/>
        </w:rPr>
      </w:pPr>
      <w:r>
        <w:rPr>
          <w:rFonts w:ascii="Arial" w:cs="Arial" w:eastAsia="Arial" w:hAnsi="Arial"/>
          <w:sz w:val="18"/>
          <w:szCs w:val="18"/>
          <w:color w:val="auto"/>
        </w:rPr>
        <w:t>resource planning system. We released $7.4 million of our indemnification holdback to the sellers of SeaSpine, Inc. We also experienced net unfavorable impact in short-term time deposit accounts representing the impact of changes in foreign exchange rates.</w:t>
      </w:r>
    </w:p>
    <w:p>
      <w:pPr>
        <w:spacing w:after="0" w:line="35" w:lineRule="exact"/>
        <w:rPr>
          <w:sz w:val="20"/>
          <w:szCs w:val="20"/>
          <w:color w:val="auto"/>
        </w:rPr>
      </w:pPr>
    </w:p>
    <w:p>
      <w:pPr>
        <w:jc w:val="both"/>
        <w:ind w:right="960"/>
        <w:spacing w:after="0" w:line="264" w:lineRule="auto"/>
        <w:rPr>
          <w:sz w:val="20"/>
          <w:szCs w:val="20"/>
          <w:color w:val="auto"/>
        </w:rPr>
      </w:pPr>
      <w:r>
        <w:rPr>
          <w:rFonts w:ascii="Arial" w:cs="Arial" w:eastAsia="Arial" w:hAnsi="Arial"/>
          <w:sz w:val="18"/>
          <w:szCs w:val="18"/>
          <w:color w:val="auto"/>
        </w:rPr>
        <w:t>During the year ended December 31, 2011, we paid $152.0 million (net of $0.8 million of cash acquired) related to our acquisitions of Ascension Orthopedics, Inc. and SeaSpine, Inc. and invested $38.4 million in capital expenditures related primarily to expanding our regenerative medicine manufacturing capacity and to the implementation of our global enterprise resource planning system.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2010, we paid $5.2 million for acquisition of businesses and invested $37.1 million in capital expenditures.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Our principal uses of cash for financing activities in the year ended December 31, 2012 were the payment of the liability component of our 2012 Notes of $134.4 million and $12.8 million of repayments under our Senior Credit Facility offset by $155.0 million of borrowings under our Senior Credit Facility.</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principal sources of cash from financing activities in the year ended December 31, 2011 were from $230.0 million in borrowings under the 2016 Notes issued in June 2011 and proceeds from the related warrant sale of $28.5 million. These amounts were offset by $68.4 million in payments under our Senior Credit Facility, $42.9 million for the call option on our 2016 Notes, debt issuance costs of $8.1 million, treasury stock purchases of $83.5 million and proceeds from stock option exercises and the tax impact of stock based compensation of $4.5 million.</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principal sources of cash from financing activities in the year ended December 31, 2010 were from $105.0 million of borrowings under our Senior Credit Facility and $19.7 million in proceeds from stock option exercises and the tax impact of stock-based compensation offset by $31.3 million in treasury stock purchases, debt issuance cost of $6.8 million, repayment of the liability component of our 2010 Notes of $71.4 million and repayments under our Senior Credit Facility $16.9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and December 31, 2011, working capital was $346.1 million and $350.4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10, 2010, the Company entered into an amended and restated credit agreement (the “First Amendment") with a syndicate of lending banks and further amended the agreement on June 8, 2011 (the “Second Amendment”, and collectively referred to herein as the “Senior Credit Facility”). The Second Amendment increased the revolving credit component from $450.0 million to $600.0 million and eliminated the $150.0 million term loan component that existed under the First Amendment,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Second Amendment extended the Senior Credit Facility’s maturity date from August 10, 2015 to June 8, 2016. Both the First Amendment and the Second Amendment are collateralized by substantially all of the assets of the Company’s U.S. subsidiaries, excluding intangible assets. At December 31, 2012, the Company was in compliance with all such covenants.</w:t>
      </w:r>
    </w:p>
    <w:p>
      <w:pPr>
        <w:spacing w:after="0" w:line="1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11, 2012, the Company entered into another amendment to the Senior Credit Facility. The 2012 amendment modified certain financial and negative covenants as disclosed in Note 4, the effect of which was to increase the Company’s capacity to borrow.</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jc w:val="both"/>
        <w:ind w:right="60" w:firstLine="8"/>
        <w:spacing w:after="0" w:line="281"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w:t>
      </w:r>
    </w:p>
    <w:p>
      <w:pPr>
        <w:spacing w:after="0" w:line="2" w:lineRule="exact"/>
        <w:rPr>
          <w:rFonts w:ascii="Arial" w:cs="Arial" w:eastAsia="Arial" w:hAnsi="Arial"/>
          <w:sz w:val="16"/>
          <w:szCs w:val="16"/>
          <w:color w:val="auto"/>
        </w:rPr>
      </w:pPr>
    </w:p>
    <w:p>
      <w:pPr>
        <w:ind w:right="60" w:firstLine="8"/>
        <w:spacing w:after="0" w:line="255"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EBITDA) at the time of the applicable borrowing. 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pacing w:after="0" w:line="13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December 31, 2012 and December 31, 2011, there were $321.9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39" w:name="page40"/>
    <w:bookmarkEnd w:id="39"/>
    <w:p>
      <w:pPr>
        <w:ind w:right="460"/>
        <w:spacing w:after="0" w:line="286" w:lineRule="auto"/>
        <w:rPr>
          <w:sz w:val="20"/>
          <w:szCs w:val="20"/>
          <w:color w:val="auto"/>
        </w:rPr>
      </w:pPr>
      <w:r>
        <w:rPr>
          <w:rFonts w:ascii="Arial" w:cs="Arial" w:eastAsia="Arial" w:hAnsi="Arial"/>
          <w:sz w:val="17"/>
          <w:szCs w:val="17"/>
          <w:color w:val="auto"/>
        </w:rPr>
        <w:t>and $179.7 million outstanding, respectively, under the Senior Credit Facility at a weighted average interest rate of 1.8% and 2.0%, respectively. The Company considers the balance to be long-term in nature based on its current intent and ability to repay the borrowing outside of the next twelve-month period. At December 31, 2012, there was approximately $278.1 million available for borrowing under the Senior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and Related Hedging Activities</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pay interest each June 15 and December 15 on our $230.0 million senior convertible notes due December 2016 (“2016 Notes”) at an annual interest rate of 1.625%. We paid interest each June 15 and December 15 on our $165.0 million senior convertible note due June 2012 ("2012 Notes") at annual rate of 2.375% and repaid the 2012 Notes in full during June 2012 in accordance with their term.</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The issue price of the 2016 Notes was equal to their face amounts, which is also the amount holders are entitled to receive at maturity if the 2016 Notes are not converted. None of these conditions existed with respect to the 2016 Notes; therefore the 2016 Notes are classified as long-term.</w:t>
      </w:r>
    </w:p>
    <w:p>
      <w:pPr>
        <w:spacing w:after="0" w:line="1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subject to anti-dilution adjustments substantially similar to those in the 2016 Notes. The initial strike price of the warrant transactions is approximately $70.05 for the 2016 Notes, subject to customary anti-dilution adjustments.</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w:t>
      </w:r>
      <w:r>
        <w:rPr>
          <w:sz w:val="1"/>
          <w:szCs w:val="1"/>
          <w:color w:val="auto"/>
        </w:rPr>
        <w:drawing>
          <wp:inline distT="0" distB="0" distL="0" distR="0">
            <wp:extent cx="2603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6"/>
          <w:szCs w:val="16"/>
          <w:color w:val="auto"/>
        </w:rPr>
        <w:t>with respect to the number of 2016 Notes that cease to be outstanding. The amounts involved may be material.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9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October 29, 2010, our Board of Directors authorized us to repurchase shares of our common stock for an aggregate purchase price not to exceed $75.0 million through December 31, 2012.</w:t>
      </w:r>
    </w:p>
    <w:p>
      <w:pPr>
        <w:spacing w:after="0" w:line="3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October 23, 2012, our Board of Directors terminated the October 2010 authorization and authorized the repurchase of up to $75.0 million of outstanding common stock through December 2014. Shares may be purchased either in the open market or in privately negotiated transactions. We repurchased no shares under this program though December 31, 2012 and $75.0 million remains available under the authorization.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were obligated to pay the following amounts under various agreements: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0" w:right="239" w:bottom="1440" w:gutter="0" w:footer="0" w:header="0"/>
        </w:sectPr>
      </w:pPr>
    </w:p>
    <w:bookmarkStart w:id="40" w:name="page41"/>
    <w:bookmarkEnd w:id="40"/>
    <w:tbl>
      <w:tblPr>
        <w:tblLayout w:type="fixed"/>
        <w:tblInd w:w="11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4"/>
                <w:szCs w:val="14"/>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Securities(1)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Revolving Credit Facility(2)</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Interest(3)</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Employment Agreements(4)</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940" w:right="600" w:hanging="412"/>
        <w:spacing w:after="0" w:line="264"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4, “Debt,” of our consolidated financial statements for additional information.</w:t>
      </w:r>
    </w:p>
    <w:p>
      <w:pPr>
        <w:spacing w:after="0" w:line="154" w:lineRule="exact"/>
        <w:rPr>
          <w:rFonts w:ascii="Arial" w:cs="Arial" w:eastAsia="Arial" w:hAnsi="Arial"/>
          <w:sz w:val="18"/>
          <w:szCs w:val="18"/>
          <w:color w:val="auto"/>
        </w:rPr>
      </w:pPr>
    </w:p>
    <w:p>
      <w:pPr>
        <w:ind w:left="940" w:right="600" w:hanging="412"/>
        <w:spacing w:after="0" w:line="308"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may borrow and make payments against the credit facility from time to time and considers all of the outstanding amounts to be long term based on its current intent and ability to repay the borrowing outside of the next twelve-month period.</w:t>
      </w:r>
    </w:p>
    <w:p>
      <w:pPr>
        <w:spacing w:after="0" w:line="119" w:lineRule="exact"/>
        <w:rPr>
          <w:rFonts w:ascii="Arial" w:cs="Arial" w:eastAsia="Arial" w:hAnsi="Arial"/>
          <w:sz w:val="17"/>
          <w:szCs w:val="17"/>
          <w:color w:val="auto"/>
        </w:rPr>
      </w:pPr>
    </w:p>
    <w:p>
      <w:pPr>
        <w:ind w:left="940" w:right="500" w:hanging="412"/>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spacing w:after="0" w:line="143" w:lineRule="exact"/>
        <w:rPr>
          <w:rFonts w:ascii="Arial" w:cs="Arial" w:eastAsia="Arial" w:hAnsi="Arial"/>
          <w:sz w:val="18"/>
          <w:szCs w:val="18"/>
          <w:color w:val="auto"/>
        </w:rPr>
      </w:pPr>
    </w:p>
    <w:p>
      <w:pPr>
        <w:ind w:left="940" w:hanging="41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33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Excluded from the contractual obligations table is the liability for uncertain tax benefits, including interest and penalties, totaling $7.6 million. This liability for uncertain tax benefits has been excluded because we cannot make a reliable estimate of the period in which the uncertain tax benefits may be realized.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2012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510"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0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sales returns and allowances provision in the future through an increase or decrease in revenues.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Identifiable Intangible Assets, In-Process Research and Development Charges</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allocate the purchase price of acquired businesses and product lines to appropriate reporting units. We review goodwill, identifiable intangible assets with indefinite lives and capitalized in-process research and development for impairment annually. We continually assess whether events or changes in circumstances represent a 'triggering' event that would require us to complete an impairment assessment. Factors that we consider in determining whether a triggering event has occurred include a significant change in the business climate, legal factors, operating performance indicators, competition, sale or disposition of significant assets or products, or the termination of development programs. Application of these impairment tests requires significant judgments, including estimation of future cash flows, which is dependent on internal forecasts, estimation of the long-term rate of growth for our businesses, the useful life over which cash flows will occur and determination of our weighted-average cost of capital.</w:t>
      </w:r>
    </w:p>
    <w:p>
      <w:pPr>
        <w:spacing w:after="0" w:line="4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Changes in the projected cash flows and discount rate estimates and assumptions underlying the valuations of identifiable intangible assets, in-process research and development and goodwill could materially affect the determination of fair value at acquisition or during subsequent periods when tested for impairment.</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finite-lived assets are reviewed for impairment and to ensure their useful lives are appropriate whenever events or changes indicate their carrying value of the assets may not be recoverable.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all of our derivatives are designated as hedges.</w:t>
      </w:r>
    </w:p>
    <w:p>
      <w:pPr>
        <w:spacing w:after="0" w:line="12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We determine the fair value of our derivative instruments, using the framework prescribed by the authoritative guidance, by considering the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49" w:right="259" w:bottom="1440" w:gutter="0" w:footer="0" w:header="0"/>
        </w:sectPr>
      </w:pPr>
    </w:p>
    <w:bookmarkStart w:id="42" w:name="page43"/>
    <w:bookmarkEnd w:id="42"/>
    <w:p>
      <w:pPr>
        <w:ind w:right="120"/>
        <w:spacing w:after="0" w:line="297" w:lineRule="auto"/>
        <w:rPr>
          <w:sz w:val="20"/>
          <w:szCs w:val="20"/>
          <w:color w:val="auto"/>
        </w:rPr>
      </w:pPr>
      <w:r>
        <w:rPr>
          <w:rFonts w:ascii="Arial" w:cs="Arial" w:eastAsia="Arial" w:hAnsi="Arial"/>
          <w:sz w:val="16"/>
          <w:szCs w:val="16"/>
          <w:color w:val="auto"/>
        </w:rPr>
        <w:t>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 As of December 31, 2012, observable inputs are available for substantially the full term of our derivative instruments.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13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and our foreign earnings are taxed at rates that are generally lower than in the United States. See Note 10, “Income Taxes,” in our consolidated financial statements for disclosures related to foreign and domestic pretax income, foreign and domestic income tax (benefit) expense and the effect foreign taxes have on our overall effective tax rate.</w:t>
      </w:r>
    </w:p>
    <w:p>
      <w:pPr>
        <w:spacing w:after="0" w:line="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believe we have identified all reasonably identifiable exposures and the reserve we have established for identifiable exposures is appropriate under the circumstances; however, it is possible that additional exposures exist and that exposures will be settled at amounts different than the amounts reserved. It is also possible that changes in facts and circumstances could cause us to either materially increase or reduce the carrying amount of our tax reserves.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also the temporary 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34" w:lineRule="exact"/>
        <w:rPr>
          <w:sz w:val="20"/>
          <w:szCs w:val="20"/>
          <w:color w:val="auto"/>
        </w:rPr>
      </w:pPr>
    </w:p>
    <w:p>
      <w:pPr>
        <w:ind w:right="160"/>
        <w:spacing w:after="0" w:line="438" w:lineRule="auto"/>
        <w:rPr>
          <w:sz w:val="20"/>
          <w:szCs w:val="20"/>
          <w:color w:val="auto"/>
        </w:rPr>
      </w:pPr>
      <w:r>
        <w:rPr>
          <w:rFonts w:ascii="Arial" w:cs="Arial" w:eastAsia="Arial" w:hAnsi="Arial"/>
          <w:sz w:val="18"/>
          <w:szCs w:val="18"/>
          <w:color w:val="auto"/>
        </w:rPr>
        <w:t xml:space="preserve">Our policy is to provide income taxes on earnings of certain foreign subsidiaries only to the extent those earnings are taxable or are expected to be remitted. </w:t>
      </w:r>
      <w:r>
        <w:rPr>
          <w:rFonts w:ascii="Arial" w:cs="Arial" w:eastAsia="Arial" w:hAnsi="Arial"/>
          <w:sz w:val="18"/>
          <w:szCs w:val="18"/>
          <w:b w:val="1"/>
          <w:bCs w:val="1"/>
          <w:i w:val="1"/>
          <w:iCs w:val="1"/>
          <w:color w:val="auto"/>
        </w:rPr>
        <w:t>Loss Contingencies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July 27, 2012, the Financial Accounting Standards Board issued Accounting Standards Update No. 2012-02, </w:t>
      </w:r>
      <w:r>
        <w:rPr>
          <w:rFonts w:ascii="Arial" w:cs="Arial" w:eastAsia="Arial" w:hAnsi="Arial"/>
          <w:sz w:val="18"/>
          <w:szCs w:val="18"/>
          <w:i w:val="1"/>
          <w:iCs w:val="1"/>
          <w:color w:val="auto"/>
        </w:rPr>
        <w:t>Testing Indefinite-Lived Intangible Assets for</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The revised standard is intended to reduce the cost and complexity of testing indefinite-lived intangible assets other than goodwill for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by providing entities with an option to perform a "qualitative" assessment to determine whether further impairment testing is necessary. The revised standard allows an entity first to assess qualitative factors to determine whether events and circumstances indicate that it is more likely than not (that is, 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49" w:right="279" w:bottom="1440" w:gutter="0" w:footer="0" w:header="0"/>
        </w:sectPr>
      </w:pPr>
    </w:p>
    <w:bookmarkStart w:id="43" w:name="page44"/>
    <w:bookmarkEnd w:id="43"/>
    <w:p>
      <w:pPr>
        <w:spacing w:after="0" w:line="270" w:lineRule="auto"/>
        <w:rPr>
          <w:sz w:val="20"/>
          <w:szCs w:val="20"/>
          <w:color w:val="auto"/>
        </w:rPr>
      </w:pPr>
      <w:r>
        <w:rPr>
          <w:rFonts w:ascii="Arial" w:cs="Arial" w:eastAsia="Arial" w:hAnsi="Arial"/>
          <w:sz w:val="17"/>
          <w:szCs w:val="17"/>
          <w:color w:val="auto"/>
        </w:rPr>
        <w:t>likelihood of more than 50 percent) that an indefinite-lived intangible asset is impaired. If it is more likely than not that the asset is impaired, the entity must calculate the fair value of the asset, compare the fair value to its carrying amount, and record an impairment charge, if the carrying amount exceeds fair value. However, if an entity concludes that it is not more likely than not that the asset is impaired, no further action is required. The qualitative assessment is not an accounting policy election. An entity can choose to perform the qualitative assessment on none, some, or all of its indefinite-lived intangible assets. Moreover, an entity can bypass the qualitative assessment for any indefinite-lived intangible asset in any period and proceed directly to the quantitative impairment test, and then choose to perform the qualitative assessment in any subsequent period. The revised standard is effective for annual and interim impairment tests performed for fiscal years beginning after September 15, 2012. However, an entity can choose to early adopt the revised standard even if its annual or interim impairment test date is before July 27, 2012 (the date on which the revised standard was issued), provided that its financial statements for the most recent annual or interim period have not yet been issued. The Company elected to adopt this standard early and such adoption did not have a material impact on the Company's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At December 31, 2012, the notional amount of foreign currency contracts outstanding not designated as hedges was equivalent to $3.9 million. There were no foreign currency forward contracts outstanding at December 31, 2012 that were designated as hedges. At December 31, 2011, the notional amount of foreign currency forward contracts outstanding that were designated as hedges was equivalent to $1.6 million, and the amount not designated as hedges was equivalent to $3.3 million.</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December 31, 2012 would increase interest income by approximately $1.0 million on an annual basis. No significant decrease in interest income would be expected as our cash balances are earning interest at rates of approximately 32 basis points. We are subject to foreign currency exchange risk with respect to cash balances maintained in foreign currencies.</w:t>
      </w:r>
    </w:p>
    <w:p>
      <w:pPr>
        <w:spacing w:after="0" w:line="13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Senior Credit Facility </w:t>
      </w:r>
      <w:r>
        <w:rPr>
          <w:rFonts w:ascii="Arial" w:cs="Arial" w:eastAsia="Arial" w:hAnsi="Arial"/>
          <w:sz w:val="16"/>
          <w:szCs w:val="16"/>
          <w:color w:val="auto"/>
        </w:rPr>
        <w:t>- Our interest rate risk relates primarily to U.S. dollar LIBOR-indexed borrowings. We have used an interest rate derivative instrument</w:t>
      </w:r>
      <w:r>
        <w:rPr>
          <w:rFonts w:ascii="Arial" w:cs="Arial" w:eastAsia="Arial" w:hAnsi="Arial"/>
          <w:sz w:val="16"/>
          <w:szCs w:val="16"/>
          <w:i w:val="1"/>
          <w:iCs w:val="1"/>
          <w:color w:val="auto"/>
        </w:rPr>
        <w:t xml:space="preserve"> </w:t>
      </w:r>
      <w:r>
        <w:rPr>
          <w:rFonts w:ascii="Arial" w:cs="Arial" w:eastAsia="Arial" w:hAnsi="Arial"/>
          <w:sz w:val="16"/>
          <w:szCs w:val="16"/>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$127.5 million outstanding as of December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30" w:right="239" w:bottom="1440" w:gutter="0" w:footer="0" w:header="0"/>
        </w:sectPr>
      </w:pPr>
    </w:p>
    <w:bookmarkStart w:id="44" w:name="page45"/>
    <w:bookmarkEnd w:id="44"/>
    <w:p>
      <w:pPr>
        <w:ind w:right="600"/>
        <w:spacing w:after="0" w:line="277" w:lineRule="auto"/>
        <w:rPr>
          <w:sz w:val="20"/>
          <w:szCs w:val="20"/>
          <w:color w:val="auto"/>
        </w:rPr>
      </w:pPr>
      <w:r>
        <w:rPr>
          <w:rFonts w:ascii="Arial" w:cs="Arial" w:eastAsia="Arial" w:hAnsi="Arial"/>
          <w:sz w:val="18"/>
          <w:szCs w:val="18"/>
          <w:color w:val="auto"/>
        </w:rPr>
        <w:t>31, 2012. We recognized $1.9 million of additional interest expense related to this derivative during 2012. The fair value of our interest rate derivative instrument was a net liability of $4.1 million at December 31, 2012.</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our outstanding borrowings at December 31, 2012, a one-percentage point change in interest rates would have impacted interest expense on the unhedged portion of the debt by $1.9 million on an annualized basis.</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Financial statements and the financial statement schedules specified by this Item, together with the report thereon of PricewaterhouseCoopers LLP, are presented following Item 15 of this report.</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14, “Selected Quarterly Information — Unaudited,” to the Consolidated Financial Statements.</w:t>
      </w:r>
    </w:p>
    <w:p>
      <w:pPr>
        <w:spacing w:after="0" w:line="193" w:lineRule="exact"/>
        <w:rPr>
          <w:sz w:val="20"/>
          <w:szCs w:val="20"/>
          <w:color w:val="auto"/>
        </w:rPr>
      </w:pPr>
    </w:p>
    <w:p>
      <w:pPr>
        <w:ind w:right="1080" w:firstLine="27"/>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8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2012. Based upon this evaluation, our principal executive officer and principal financial officer concluded that our disclosure controls and procedures were effective as of December 31, 2012 to provide such reasonable assurance.</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previously disclosed, the Company is in the process of a multi-year implementation of a global enterprise resource planning (“ERP”) system. In 2013, the Company expects the ERP will be deployed in certain U.S. operations. In addition, in response to business integration activities, the Company has and will continue to further align and streamline the design and operation of the financial control environment to be responsive to the changing business model.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4"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To evaluate the effectiveness of our internal control over financial reporting, management used the criteria described in Internal Control — Integrated Framework issued by the Committee of Sponsoring Organizations of the Treadway Commission (“COSO”). Based upon this evaluation, management concluded that our internal control over financial reporting was effective as of December 31, 2012.</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2012 has been audited by PricewaterhouseCoopers LLP, an independent registered public accounting firm, as stated in their report which appears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0" w:right="239" w:bottom="1440" w:gutter="0" w:footer="0" w:header="0"/>
        </w:sectPr>
      </w:pPr>
    </w:p>
    <w:bookmarkStart w:id="45" w:name="page46"/>
    <w:bookmarkEnd w:id="45"/>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December 31, 2012 that have materially affected, or are reasonably likely to materially affect, our internal control over financial reporting.</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49" w:right="319" w:bottom="1440" w:gutter="0" w:footer="0" w:header="0"/>
        </w:sectPr>
      </w:pPr>
    </w:p>
    <w:bookmarkStart w:id="46" w:name="page47"/>
    <w:bookmarkEnd w:id="46"/>
    <w:p>
      <w:pPr>
        <w:ind w:left="40"/>
        <w:spacing w:after="0"/>
        <w:tabs>
          <w:tab w:leader="none" w:pos="15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526" w:right="1440"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22, 2013, which definitive proxy statement is expected to be filed with the Commission not later than 120 days after the end of the fiscal year to which this report relates.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824" w:right="259" w:bottom="1440" w:gutter="0" w:footer="0" w:header="0"/>
        </w:sectPr>
      </w:pPr>
    </w:p>
    <w:bookmarkStart w:id="48" w:name="page49"/>
    <w:bookmarkEnd w:id="48"/>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1" w:lineRule="exact"/>
        <w:rPr>
          <w:sz w:val="20"/>
          <w:szCs w:val="20"/>
          <w:color w:val="auto"/>
        </w:rPr>
      </w:pPr>
    </w:p>
    <w:p>
      <w:pPr>
        <w:ind w:right="8280" w:firstLine="8"/>
        <w:spacing w:after="0" w:line="438"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Documents filed as a part of this report. 1. </w:t>
      </w:r>
      <w:r>
        <w:rPr>
          <w:rFonts w:ascii="Arial" w:cs="Arial" w:eastAsia="Arial" w:hAnsi="Arial"/>
          <w:sz w:val="18"/>
          <w:szCs w:val="18"/>
          <w:b w:val="1"/>
          <w:bCs w:val="1"/>
          <w:i w:val="1"/>
          <w:iCs w:val="1"/>
          <w:color w:val="auto"/>
        </w:rPr>
        <w:t>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1260" w:type="dxa"/>
            <w:vAlign w:val="bottom"/>
          </w:tcPr>
          <w:p>
            <w:pPr>
              <w:ind w:left="920"/>
              <w:spacing w:after="0"/>
              <w:rPr>
                <w:sz w:val="20"/>
                <w:szCs w:val="20"/>
                <w:color w:val="auto"/>
              </w:rPr>
            </w:pPr>
            <w:r>
              <w:rPr>
                <w:rFonts w:ascii="Arial" w:cs="Arial" w:eastAsia="Arial" w:hAnsi="Arial"/>
                <w:sz w:val="18"/>
                <w:szCs w:val="18"/>
                <w:color w:val="0000FF"/>
              </w:rPr>
              <w:t>F-1</w:t>
            </w:r>
          </w:p>
        </w:tc>
      </w:tr>
      <w:tr>
        <w:trPr>
          <w:trHeight w:val="270"/>
        </w:trPr>
        <w:tc>
          <w:tcPr>
            <w:tcW w:w="9360" w:type="dxa"/>
            <w:vAlign w:val="bottom"/>
          </w:tcPr>
          <w:p>
            <w:pPr>
              <w:spacing w:after="0"/>
              <w:rPr>
                <w:sz w:val="20"/>
                <w:szCs w:val="20"/>
                <w:color w:val="auto"/>
              </w:rPr>
            </w:pPr>
            <w:r>
              <w:rPr>
                <w:rFonts w:ascii="Arial" w:cs="Arial" w:eastAsia="Arial" w:hAnsi="Arial"/>
                <w:sz w:val="18"/>
                <w:szCs w:val="18"/>
                <w:color w:val="0000FF"/>
              </w:rPr>
              <w:t>Consolidated Statements of Operations for the years ended December 31, 2012, 2011 and 2010</w:t>
            </w:r>
          </w:p>
        </w:tc>
        <w:tc>
          <w:tcPr>
            <w:tcW w:w="1260" w:type="dxa"/>
            <w:vAlign w:val="bottom"/>
          </w:tcPr>
          <w:p>
            <w:pPr>
              <w:ind w:left="920"/>
              <w:spacing w:after="0"/>
              <w:rPr>
                <w:sz w:val="20"/>
                <w:szCs w:val="20"/>
                <w:color w:val="auto"/>
              </w:rPr>
            </w:pPr>
            <w:r>
              <w:rPr>
                <w:rFonts w:ascii="Arial" w:cs="Arial" w:eastAsia="Arial" w:hAnsi="Arial"/>
                <w:sz w:val="18"/>
                <w:szCs w:val="18"/>
                <w:color w:val="0000FF"/>
              </w:rPr>
              <w:t>F-2</w:t>
            </w:r>
          </w:p>
        </w:tc>
      </w:tr>
      <w:tr>
        <w:trPr>
          <w:trHeight w:val="270"/>
        </w:trPr>
        <w:tc>
          <w:tcPr>
            <w:tcW w:w="9360" w:type="dxa"/>
            <w:vAlign w:val="bottom"/>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2012, 2011 and 2010</w:t>
            </w:r>
          </w:p>
        </w:tc>
        <w:tc>
          <w:tcPr>
            <w:tcW w:w="1260" w:type="dxa"/>
            <w:vAlign w:val="bottom"/>
          </w:tcPr>
          <w:p>
            <w:pPr>
              <w:ind w:left="920"/>
              <w:spacing w:after="0"/>
              <w:rPr>
                <w:sz w:val="20"/>
                <w:szCs w:val="20"/>
                <w:color w:val="auto"/>
              </w:rPr>
            </w:pPr>
            <w:r>
              <w:rPr>
                <w:rFonts w:ascii="Arial" w:cs="Arial" w:eastAsia="Arial" w:hAnsi="Arial"/>
                <w:sz w:val="18"/>
                <w:szCs w:val="18"/>
                <w:color w:val="0000FF"/>
              </w:rPr>
              <w:t>F-3</w:t>
            </w:r>
          </w:p>
        </w:tc>
      </w:tr>
      <w:tr>
        <w:trPr>
          <w:trHeight w:val="270"/>
        </w:trPr>
        <w:tc>
          <w:tcPr>
            <w:tcW w:w="9360" w:type="dxa"/>
            <w:vAlign w:val="bottom"/>
          </w:tcPr>
          <w:p>
            <w:pPr>
              <w:spacing w:after="0"/>
              <w:rPr>
                <w:sz w:val="20"/>
                <w:szCs w:val="20"/>
                <w:color w:val="auto"/>
              </w:rPr>
            </w:pPr>
            <w:r>
              <w:rPr>
                <w:rFonts w:ascii="Arial" w:cs="Arial" w:eastAsia="Arial" w:hAnsi="Arial"/>
                <w:sz w:val="18"/>
                <w:szCs w:val="18"/>
                <w:color w:val="0000FF"/>
              </w:rPr>
              <w:t>Consolidated Balance Sheets as of December 31, 2012 and 2011</w:t>
            </w:r>
          </w:p>
        </w:tc>
        <w:tc>
          <w:tcPr>
            <w:tcW w:w="1260" w:type="dxa"/>
            <w:vAlign w:val="bottom"/>
          </w:tcPr>
          <w:p>
            <w:pPr>
              <w:ind w:left="920"/>
              <w:spacing w:after="0"/>
              <w:rPr>
                <w:sz w:val="20"/>
                <w:szCs w:val="20"/>
                <w:color w:val="auto"/>
              </w:rPr>
            </w:pPr>
            <w:r>
              <w:rPr>
                <w:rFonts w:ascii="Arial" w:cs="Arial" w:eastAsia="Arial" w:hAnsi="Arial"/>
                <w:sz w:val="18"/>
                <w:szCs w:val="18"/>
                <w:color w:val="0000FF"/>
              </w:rPr>
              <w:t>F-4</w:t>
            </w:r>
          </w:p>
        </w:tc>
      </w:tr>
      <w:tr>
        <w:trPr>
          <w:trHeight w:val="270"/>
        </w:trPr>
        <w:tc>
          <w:tcPr>
            <w:tcW w:w="9360" w:type="dxa"/>
            <w:vAlign w:val="bottom"/>
          </w:tcPr>
          <w:p>
            <w:pPr>
              <w:spacing w:after="0"/>
              <w:rPr>
                <w:sz w:val="20"/>
                <w:szCs w:val="20"/>
                <w:color w:val="auto"/>
              </w:rPr>
            </w:pPr>
            <w:r>
              <w:rPr>
                <w:rFonts w:ascii="Arial" w:cs="Arial" w:eastAsia="Arial" w:hAnsi="Arial"/>
                <w:sz w:val="18"/>
                <w:szCs w:val="18"/>
                <w:color w:val="0000FF"/>
              </w:rPr>
              <w:t>Consolidated Statements of Cash Flows for the years ended December 31, 2012, 2011 and 2010</w:t>
            </w:r>
          </w:p>
        </w:tc>
        <w:tc>
          <w:tcPr>
            <w:tcW w:w="1260" w:type="dxa"/>
            <w:vAlign w:val="bottom"/>
          </w:tcPr>
          <w:p>
            <w:pPr>
              <w:ind w:left="920"/>
              <w:spacing w:after="0"/>
              <w:rPr>
                <w:sz w:val="20"/>
                <w:szCs w:val="20"/>
                <w:color w:val="auto"/>
              </w:rPr>
            </w:pPr>
            <w:r>
              <w:rPr>
                <w:rFonts w:ascii="Arial" w:cs="Arial" w:eastAsia="Arial" w:hAnsi="Arial"/>
                <w:sz w:val="18"/>
                <w:szCs w:val="18"/>
                <w:color w:val="0000FF"/>
              </w:rPr>
              <w:t>F-5</w:t>
            </w:r>
          </w:p>
        </w:tc>
      </w:tr>
      <w:tr>
        <w:trPr>
          <w:trHeight w:val="270"/>
        </w:trPr>
        <w:tc>
          <w:tcPr>
            <w:tcW w:w="9360" w:type="dxa"/>
            <w:vAlign w:val="bottom"/>
          </w:tcPr>
          <w:p>
            <w:pPr>
              <w:spacing w:after="0"/>
              <w:rPr>
                <w:sz w:val="20"/>
                <w:szCs w:val="20"/>
                <w:color w:val="auto"/>
              </w:rPr>
            </w:pPr>
            <w:r>
              <w:rPr>
                <w:rFonts w:ascii="Arial" w:cs="Arial" w:eastAsia="Arial" w:hAnsi="Arial"/>
                <w:sz w:val="18"/>
                <w:szCs w:val="18"/>
                <w:color w:val="0000FF"/>
                <w:w w:val="99"/>
              </w:rPr>
              <w:t>Consolidated Statements of Changes in Stockholders’ Equity for the years ended December 31, 2012, 2011 and 2010</w:t>
            </w:r>
          </w:p>
        </w:tc>
        <w:tc>
          <w:tcPr>
            <w:tcW w:w="1260" w:type="dxa"/>
            <w:vAlign w:val="bottom"/>
          </w:tcPr>
          <w:p>
            <w:pPr>
              <w:ind w:left="920"/>
              <w:spacing w:after="0"/>
              <w:rPr>
                <w:sz w:val="20"/>
                <w:szCs w:val="20"/>
                <w:color w:val="auto"/>
              </w:rPr>
            </w:pPr>
            <w:r>
              <w:rPr>
                <w:rFonts w:ascii="Arial" w:cs="Arial" w:eastAsia="Arial" w:hAnsi="Arial"/>
                <w:sz w:val="18"/>
                <w:szCs w:val="18"/>
                <w:color w:val="0000FF"/>
              </w:rPr>
              <w:t>F-6</w:t>
            </w:r>
          </w:p>
        </w:tc>
      </w:tr>
      <w:tr>
        <w:trPr>
          <w:trHeight w:val="270"/>
        </w:trPr>
        <w:tc>
          <w:tcPr>
            <w:tcW w:w="9360" w:type="dxa"/>
            <w:vAlign w:val="bottom"/>
          </w:tcPr>
          <w:p>
            <w:pPr>
              <w:spacing w:after="0"/>
              <w:rPr>
                <w:sz w:val="20"/>
                <w:szCs w:val="20"/>
                <w:color w:val="auto"/>
              </w:rPr>
            </w:pPr>
            <w:r>
              <w:rPr>
                <w:rFonts w:ascii="Arial" w:cs="Arial" w:eastAsia="Arial" w:hAnsi="Arial"/>
                <w:sz w:val="18"/>
                <w:szCs w:val="18"/>
                <w:color w:val="0000FF"/>
              </w:rPr>
              <w:t>Notes to Consolidated Financial Statements</w:t>
            </w:r>
          </w:p>
        </w:tc>
        <w:tc>
          <w:tcPr>
            <w:tcW w:w="1260" w:type="dxa"/>
            <w:vAlign w:val="bottom"/>
          </w:tcPr>
          <w:p>
            <w:pPr>
              <w:ind w:left="920"/>
              <w:spacing w:after="0"/>
              <w:rPr>
                <w:sz w:val="20"/>
                <w:szCs w:val="20"/>
                <w:color w:val="auto"/>
              </w:rPr>
            </w:pPr>
            <w:r>
              <w:rPr>
                <w:rFonts w:ascii="Arial" w:cs="Arial" w:eastAsia="Arial" w:hAnsi="Arial"/>
                <w:sz w:val="18"/>
                <w:szCs w:val="18"/>
                <w:color w:val="0000FF"/>
              </w:rPr>
              <w:t>F-7</w:t>
            </w:r>
          </w:p>
        </w:tc>
      </w:tr>
      <w:tr>
        <w:trPr>
          <w:trHeight w:val="608"/>
        </w:trPr>
        <w:tc>
          <w:tcPr>
            <w:tcW w:w="9360" w:type="dxa"/>
            <w:vAlign w:val="bottom"/>
          </w:tcPr>
          <w:p>
            <w:pPr>
              <w:spacing w:after="0"/>
              <w:rPr>
                <w:sz w:val="20"/>
                <w:szCs w:val="20"/>
                <w:color w:val="auto"/>
              </w:rPr>
            </w:pPr>
            <w:r>
              <w:rPr>
                <w:rFonts w:ascii="Arial" w:cs="Arial" w:eastAsia="Arial" w:hAnsi="Arial"/>
                <w:sz w:val="18"/>
                <w:szCs w:val="18"/>
                <w:b w:val="1"/>
                <w:bCs w:val="1"/>
                <w:i w:val="1"/>
                <w:iCs w:val="1"/>
                <w:color w:val="auto"/>
              </w:rPr>
              <w:t>2. Financial Statement Schedules.</w:t>
            </w:r>
          </w:p>
        </w:tc>
        <w:tc>
          <w:tcPr>
            <w:tcW w:w="1260" w:type="dxa"/>
            <w:vAlign w:val="bottom"/>
          </w:tcPr>
          <w:p>
            <w:pPr>
              <w:spacing w:after="0"/>
              <w:rPr>
                <w:sz w:val="24"/>
                <w:szCs w:val="24"/>
                <w:color w:val="auto"/>
              </w:rPr>
            </w:pPr>
          </w:p>
        </w:tc>
      </w:tr>
      <w:tr>
        <w:trPr>
          <w:trHeight w:val="540"/>
        </w:trPr>
        <w:tc>
          <w:tcPr>
            <w:tcW w:w="9360" w:type="dxa"/>
            <w:vAlign w:val="bottom"/>
          </w:tcPr>
          <w:p>
            <w:pPr>
              <w:spacing w:after="0"/>
              <w:rPr>
                <w:sz w:val="20"/>
                <w:szCs w:val="20"/>
                <w:color w:val="auto"/>
              </w:rPr>
            </w:pPr>
            <w:r>
              <w:rPr>
                <w:rFonts w:ascii="Arial" w:cs="Arial" w:eastAsia="Arial" w:hAnsi="Arial"/>
                <w:sz w:val="18"/>
                <w:szCs w:val="18"/>
                <w:color w:val="0000FF"/>
              </w:rPr>
              <w:t>Schedule II — Valuation and Qualifying Accounts</w:t>
            </w:r>
          </w:p>
        </w:tc>
        <w:tc>
          <w:tcPr>
            <w:tcW w:w="1260" w:type="dxa"/>
            <w:vAlign w:val="bottom"/>
          </w:tcPr>
          <w:p>
            <w:pPr>
              <w:ind w:left="920"/>
              <w:spacing w:after="0"/>
              <w:rPr>
                <w:rFonts w:ascii="Arial" w:cs="Arial" w:eastAsia="Arial" w:hAnsi="Arial"/>
                <w:sz w:val="18"/>
                <w:szCs w:val="18"/>
                <w:color w:val="0000FF"/>
                <w:w w:val="86"/>
              </w:rPr>
            </w:pPr>
            <w:r>
              <w:rPr>
                <w:rFonts w:ascii="Arial" w:cs="Arial" w:eastAsia="Arial" w:hAnsi="Arial"/>
                <w:sz w:val="18"/>
                <w:szCs w:val="18"/>
                <w:color w:val="0000FF"/>
                <w:w w:val="86"/>
              </w:rPr>
              <w:t>F-</w:t>
            </w:r>
            <w:hyperlink w:anchor="page96">
              <w:r>
                <w:rPr>
                  <w:rFonts w:ascii="Arial" w:cs="Arial" w:eastAsia="Arial" w:hAnsi="Arial"/>
                  <w:sz w:val="18"/>
                  <w:szCs w:val="18"/>
                  <w:color w:val="0000FF"/>
                  <w:w w:val="86"/>
                </w:rPr>
                <w:t>36</w:t>
              </w:r>
            </w:hyperlink>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3.1(a)</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Amended and Restated Certificate of Incorporation of the Company dated February 16, 1993 (Incorporated by reference to Exhibit 3.1(a) to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22, 1998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3.1(b) to the Company’s Annual Report on Form 10-K for the year ended December 31, 1998)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3.1(c)</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17, 1999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3.1(c) to the Company’s Annual Report on Form 10-K for the year ended December 31, 2004)</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Amended and Restated Bylaws of the Company, effective as of May 17, 2012 (Incorporated by reference to Exhibit 3.2 to the Company’s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Current Report on Form 8-K filed on April 13, 2012)</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Purchase Agreement, dated June 9, 2011, by and between Integra LifeSciences Holdings Corporation and J.P. Morgan Securities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Merrill Lynch, Pierce, Fenner &amp; Smith Incorporated, Morgan Stanley &amp; Co. LLC, Deutsche Bank Securities Inc., RBC Capital Markets,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Wells Fargo Securities, LLC (Incorporated by reference to Exhibit 4.1 to the Company’s Current Report on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 as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trustee (Incorporated by reference to Exhibit 4.2 to the Company’s Current Report on Form 8-K filed on June 15, 2011)</w:t>
            </w:r>
          </w:p>
        </w:tc>
      </w:tr>
      <w:tr>
        <w:trPr>
          <w:trHeight w:val="648"/>
        </w:trPr>
        <w:tc>
          <w:tcPr>
            <w:tcW w:w="78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00"/>
          </w:cols>
          <w:pgMar w:left="240" w:top="1440" w:right="25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4.3(a)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Credit Agreement, dated as of December 22, 2005,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10.1 to the Company’s Current Report on Form 8-K filed on December 29,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4.3(b)</w:t>
            </w: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First Amendment, dated as of February 15, 2006,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4.3(b) to 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4.3(c)</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Second Amendment, dated as of February 23,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4.1 to the Company’s Current Report on Form 8-K filed on February 27,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4.3(d)</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Third Amendment, dated as of June 4, 2007, among Integra LifeSciences Holdings Corporation, the lenders party thereto, Bank of America,</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N.A., as Administrative Agent, Swing Line Lender and L/C Issuer, Citibank, N.A., successor by merger to Citibank, FSB, as Syndication</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Agent and JPMorgan Chase Bank, N.A., Deutsche Bank Trust Company Americas and Royal Bank of Canada, as Co-Documentation Agents</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4.3(e)</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Fourth Amendment, dated as of September 5,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America, N.A., as Administrative Agent, Swing Line Lender and L/C Issuer, Citibank, N.A., successor by merger to Citibank FSB,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7"/>
              </w:rPr>
              <w:t>Syndication Agent and JPMorgan Chase Bank, N.A., Deutsche Bank Trust Company Americas and Royal Bank of Canada, as Co-</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Documentation Agents (Incorporated by reference to Exhibit 4.1 to the Company’s Current Report on Form 8-K filed on September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4.3(f)</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Amended and Restated Credit Agreement, dated as of August 10, 2010, among Integra LifeSciences Holdings Corporation, the lenders party</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thereto, Bank of America, N.A., as Administrative Agent, Swing Line Lender and L/C Issuer, JP Morgan Chase Bank, as Syndication Agent,</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and HSBC Bank USA, NA, RBC Capital Markets, Wells Fargo Bank, N.A., Fifth Third Bank, DNB NOR Bank ASA and TD Bank, N.A.,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Co-Documentation Agents (Incorporated by reference to Exhibit 10.1 to the Company’s Current Report on Form 8-K filed on August 10,</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2010)</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4.3(g)</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Second Amended and Restated Credit Agreement, dated as of June 8, 2011, among Integra LifeSciences Holdings Corporation, the lenders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9"/>
              </w:rPr>
              <w:t>party thereto, Bank of America, N.A. as Administrative Agent, Swing Line Lender and L/C Issuer, JPMorgan Chase Bank N.A.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Syndication Agent, and, HSBC Bank USA, NA, Royal Bank of Canada, Wells Fargo Bank, N.A., Fifth Third Bank, DNB NOR Bank ASA,</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and TD Bank, N.A., as Co-Documentation Agents (Incorporated by reference to Exhibit 4.3 to the Company’s Quarterly Report on Form 10-</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Q filed on July 29, 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4.3(h)</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First Amendment, dated as of May 11, 2012, to Second Amended and Restated Credit Agreement dated as of June 8, 2011, among Integra</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LifeSciences Holdings Corporation, the lenders party thereto, Bank of America, N.A., as Administrative Agent, Swing Line Lender and L/C</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Issuer, JPMorgan Chase Bank, N.A., as Syndication Agent, and HSBC Bank, NA, Royal Bank of Canada, Wells Fargo Bank, NA, Fifth</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8"/>
              </w:rPr>
              <w:t>Third Bank, DNB Nor Bank ASA and TD Bank, N.A., as Co-Documentation Agents (Incorporated by reference to Exhibit 4.1 to the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May 14, 2012)</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Security Agreement, dated as of December 22, 2005, among Integra LifeSciences Holdings Corporation and the additional grantors party</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4.4 to the Company’s</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4.5</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Pledge Agreement, dated as of December 22, 2005, among Integra LifeSciences Holdings Corporation and the additional grantors party</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4.5 to the Company’s</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Subsidiary Guaranty Agreement, dated as of December 22, 2005, among the guarantors party thereto and individually as a “Guarantor”), in</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favor of Bank of America, N.A., as administrative and collateral agent (Incorporated by reference to Exhibit 4.6 to the Company’s Annual</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648"/>
        </w:trPr>
        <w:tc>
          <w:tcPr>
            <w:tcW w:w="780" w:type="dxa"/>
            <w:vAlign w:val="bottom"/>
          </w:tcPr>
          <w:p>
            <w:pPr>
              <w:spacing w:after="0"/>
              <w:rPr>
                <w:sz w:val="24"/>
                <w:szCs w:val="24"/>
                <w:color w:val="auto"/>
              </w:rPr>
            </w:pPr>
          </w:p>
        </w:tc>
        <w:tc>
          <w:tcPr>
            <w:tcW w:w="10520" w:type="dxa"/>
            <w:vAlign w:val="bottom"/>
          </w:tcPr>
          <w:p>
            <w:pPr>
              <w:ind w:left="480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300"/>
          </w:cols>
          <w:pgMar w:left="280" w:top="530" w:right="31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480" w:type="dxa"/>
            <w:vAlign w:val="bottom"/>
          </w:tcPr>
          <w:p>
            <w:pPr>
              <w:ind w:left="30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 Wells Fargo Bank,</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N.A., as trustee (Incorporated by reference to Exhibit 4.1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10480" w:type="dxa"/>
            <w:vAlign w:val="bottom"/>
          </w:tcPr>
          <w:p>
            <w:pPr>
              <w:ind w:left="300"/>
              <w:spacing w:after="0"/>
              <w:rPr>
                <w:sz w:val="20"/>
                <w:szCs w:val="20"/>
                <w:color w:val="auto"/>
              </w:rPr>
            </w:pPr>
            <w:r>
              <w:rPr>
                <w:rFonts w:ascii="Arial" w:cs="Arial" w:eastAsia="Arial" w:hAnsi="Arial"/>
                <w:sz w:val="18"/>
                <w:szCs w:val="18"/>
                <w:color w:val="auto"/>
                <w:w w:val="95"/>
              </w:rPr>
              <w:t>Form of 2.75% Senior Convertible Note due 2010 (included in Exhibit 4.8) (Incorporated by reference to Exhibit B to Exhibit 4.1 to the</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10480" w:type="dxa"/>
            <w:vAlign w:val="bottom"/>
          </w:tcPr>
          <w:p>
            <w:pPr>
              <w:ind w:left="30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 Wells Fargo Bank,</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N.A., as trustee (Incorporated by reference to Exhibit 4.3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10480" w:type="dxa"/>
            <w:vAlign w:val="bottom"/>
          </w:tcPr>
          <w:p>
            <w:pPr>
              <w:ind w:left="300"/>
              <w:spacing w:after="0"/>
              <w:rPr>
                <w:sz w:val="20"/>
                <w:szCs w:val="20"/>
                <w:color w:val="auto"/>
              </w:rPr>
            </w:pPr>
            <w:r>
              <w:rPr>
                <w:rFonts w:ascii="Arial" w:cs="Arial" w:eastAsia="Arial" w:hAnsi="Arial"/>
                <w:sz w:val="18"/>
                <w:szCs w:val="18"/>
                <w:color w:val="auto"/>
                <w:w w:val="94"/>
              </w:rPr>
              <w:t>Form of 2.375% Senior Convertible Note due 2012 (included in Exhibit 4.10) (Incorporated by reference to Exhibit B to Exhibit 4.3 to the</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1048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reference to Exhibit 4.5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48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reference to Exhibit 4.6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10.1(a)</w:t>
            </w:r>
          </w:p>
        </w:tc>
        <w:tc>
          <w:tcPr>
            <w:tcW w:w="10480" w:type="dxa"/>
            <w:vAlign w:val="bottom"/>
          </w:tcPr>
          <w:p>
            <w:pPr>
              <w:ind w:left="300"/>
              <w:spacing w:after="0"/>
              <w:rPr>
                <w:sz w:val="20"/>
                <w:szCs w:val="20"/>
                <w:color w:val="auto"/>
              </w:rPr>
            </w:pPr>
            <w:r>
              <w:rPr>
                <w:rFonts w:ascii="Arial" w:cs="Arial" w:eastAsia="Arial" w:hAnsi="Arial"/>
                <w:sz w:val="18"/>
                <w:szCs w:val="18"/>
                <w:color w:val="auto"/>
                <w:w w:val="91"/>
              </w:rPr>
              <w:t>Lease between Plainsboro Associates and American Biomaterials Corporation dated as of April 16, 1985, as assigned to Colla-Tec, Inc. on</w:t>
            </w:r>
          </w:p>
        </w:tc>
      </w:tr>
      <w:tr>
        <w:trPr>
          <w:trHeight w:val="216"/>
        </w:trPr>
        <w:tc>
          <w:tcPr>
            <w:tcW w:w="84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w w:val="94"/>
              </w:rPr>
              <w:t>September 30, 1988 and as amended on November 1, 1992 as Lease Modification #1 (Incorporated by reference to Exhibit 10.30 to the</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10/A (File No. 0-26224) which became effective on August 8, 1995)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10.1(b)</w:t>
            </w:r>
          </w:p>
        </w:tc>
        <w:tc>
          <w:tcPr>
            <w:tcW w:w="10480" w:type="dxa"/>
            <w:vAlign w:val="bottom"/>
          </w:tcPr>
          <w:p>
            <w:pPr>
              <w:ind w:left="300"/>
              <w:spacing w:after="0"/>
              <w:rPr>
                <w:sz w:val="20"/>
                <w:szCs w:val="20"/>
                <w:color w:val="auto"/>
              </w:rPr>
            </w:pPr>
            <w:r>
              <w:rPr>
                <w:rFonts w:ascii="Arial" w:cs="Arial" w:eastAsia="Arial" w:hAnsi="Arial"/>
                <w:sz w:val="18"/>
                <w:szCs w:val="18"/>
                <w:color w:val="auto"/>
                <w:w w:val="93"/>
              </w:rPr>
              <w:t>Lease Modification #2 entered into as of October 28, 2005,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10.1(c)</w:t>
            </w:r>
          </w:p>
        </w:tc>
        <w:tc>
          <w:tcPr>
            <w:tcW w:w="10480" w:type="dxa"/>
            <w:vAlign w:val="bottom"/>
          </w:tcPr>
          <w:p>
            <w:pPr>
              <w:ind w:left="300"/>
              <w:spacing w:after="0"/>
              <w:rPr>
                <w:sz w:val="20"/>
                <w:szCs w:val="20"/>
                <w:color w:val="auto"/>
              </w:rPr>
            </w:pPr>
            <w:r>
              <w:rPr>
                <w:rFonts w:ascii="Arial" w:cs="Arial" w:eastAsia="Arial" w:hAnsi="Arial"/>
                <w:sz w:val="18"/>
                <w:szCs w:val="18"/>
                <w:color w:val="auto"/>
                <w:w w:val="95"/>
              </w:rPr>
              <w:t>Lease Modification #3 entered into as of March 2, 2011,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March 3, 2011)</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 (a)</w:t>
            </w:r>
          </w:p>
        </w:tc>
        <w:tc>
          <w:tcPr>
            <w:tcW w:w="10480" w:type="dxa"/>
            <w:vAlign w:val="bottom"/>
          </w:tcPr>
          <w:p>
            <w:pPr>
              <w:ind w:left="300"/>
              <w:spacing w:after="0"/>
              <w:rPr>
                <w:sz w:val="20"/>
                <w:szCs w:val="20"/>
                <w:color w:val="auto"/>
              </w:rPr>
            </w:pPr>
            <w:r>
              <w:rPr>
                <w:rFonts w:ascii="Arial" w:cs="Arial" w:eastAsia="Arial" w:hAnsi="Arial"/>
                <w:sz w:val="18"/>
                <w:szCs w:val="18"/>
                <w:color w:val="auto"/>
                <w:w w:val="90"/>
              </w:rPr>
              <w:t>Equipment Lease Agreement between Medicus Corporation and the Company, dated as of June 1, 2000 (Incorporated by reference to Exhibit</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10.1 to the Company’s Quarterly Report on Form 10-Q for the quarter ended June 30, 2000)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10.2(b)</w:t>
            </w:r>
          </w:p>
        </w:tc>
        <w:tc>
          <w:tcPr>
            <w:tcW w:w="10480" w:type="dxa"/>
            <w:vAlign w:val="bottom"/>
          </w:tcPr>
          <w:p>
            <w:pPr>
              <w:ind w:left="300"/>
              <w:spacing w:after="0"/>
              <w:rPr>
                <w:sz w:val="20"/>
                <w:szCs w:val="20"/>
                <w:color w:val="auto"/>
              </w:rPr>
            </w:pPr>
            <w:r>
              <w:rPr>
                <w:rFonts w:ascii="Arial" w:cs="Arial" w:eastAsia="Arial" w:hAnsi="Arial"/>
                <w:sz w:val="18"/>
                <w:szCs w:val="18"/>
                <w:color w:val="auto"/>
                <w:w w:val="90"/>
              </w:rPr>
              <w:t>First Amendment to Equipment Lease Agreement between Medicus Corporation and the Company, dated as of June 29, 2010 (Incorporated</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by reference to Exhibit 10.2 to the Company’s Quarterly Report on Form 10-Q for the quarter ended June 30, 2010)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300"/>
              <w:spacing w:after="0"/>
              <w:rPr>
                <w:sz w:val="20"/>
                <w:szCs w:val="20"/>
                <w:color w:val="auto"/>
              </w:rPr>
            </w:pPr>
            <w:r>
              <w:rPr>
                <w:rFonts w:ascii="Arial" w:cs="Arial" w:eastAsia="Arial" w:hAnsi="Arial"/>
                <w:sz w:val="18"/>
                <w:szCs w:val="18"/>
                <w:color w:val="auto"/>
                <w:w w:val="93"/>
              </w:rPr>
              <w:t>Form of Indemnification Agreement between the Company and [ ] dated August 16, 1995, including a schedule identifying the individuals</w:t>
            </w:r>
          </w:p>
        </w:tc>
      </w:tr>
      <w:tr>
        <w:trPr>
          <w:trHeight w:val="216"/>
        </w:trPr>
        <w:tc>
          <w:tcPr>
            <w:tcW w:w="84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w w:val="90"/>
              </w:rPr>
              <w:t>that are a party to such Indemnification Agreements (Incorporated by reference to Exhibit 10.37 to the Company’s Registration Statement on</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Form S-1 (File No. 33-98698) which became effective on January 24, 1996)*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300"/>
              <w:spacing w:after="0"/>
              <w:rPr>
                <w:sz w:val="20"/>
                <w:szCs w:val="20"/>
                <w:color w:val="auto"/>
              </w:rPr>
            </w:pPr>
            <w:r>
              <w:rPr>
                <w:rFonts w:ascii="Arial" w:cs="Arial" w:eastAsia="Arial" w:hAnsi="Arial"/>
                <w:sz w:val="18"/>
                <w:szCs w:val="18"/>
                <w:color w:val="auto"/>
                <w:w w:val="91"/>
              </w:rPr>
              <w:t>1996 Incentive Stock Option and Non-Qualified Stock Option Plan (as amended through December 27, 1997) (Incorporated by reference to</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Exhibit 10.4 to the Company’s Current Report on Form 8-K filed on February 3, 1998)*</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300"/>
              <w:spacing w:after="0"/>
              <w:rPr>
                <w:sz w:val="20"/>
                <w:szCs w:val="20"/>
                <w:color w:val="auto"/>
              </w:rPr>
            </w:pPr>
            <w:r>
              <w:rPr>
                <w:rFonts w:ascii="Arial" w:cs="Arial" w:eastAsia="Arial" w:hAnsi="Arial"/>
                <w:sz w:val="18"/>
                <w:szCs w:val="18"/>
                <w:color w:val="auto"/>
                <w:w w:val="92"/>
              </w:rPr>
              <w:t>1998 Stock Option Plan (amended and restated as of July 26, 2005) (Incorporated by reference to Exhibit 10.3 to the Company’s Quarterly</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300"/>
              <w:spacing w:after="0"/>
              <w:rPr>
                <w:sz w:val="20"/>
                <w:szCs w:val="20"/>
                <w:color w:val="auto"/>
              </w:rPr>
            </w:pPr>
            <w:r>
              <w:rPr>
                <w:rFonts w:ascii="Arial" w:cs="Arial" w:eastAsia="Arial" w:hAnsi="Arial"/>
                <w:sz w:val="18"/>
                <w:szCs w:val="18"/>
                <w:color w:val="auto"/>
                <w:w w:val="92"/>
              </w:rPr>
              <w:t>1999 Stock Option Plan (amended and restated as of July 26, 2005) (Incorporated by reference to Exhibit 10.4 to the Company’s Quarterly</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10.7(a)</w:t>
            </w:r>
          </w:p>
        </w:tc>
        <w:tc>
          <w:tcPr>
            <w:tcW w:w="10480" w:type="dxa"/>
            <w:vAlign w:val="bottom"/>
          </w:tcPr>
          <w:p>
            <w:pPr>
              <w:ind w:left="300"/>
              <w:spacing w:after="0"/>
              <w:rPr>
                <w:sz w:val="20"/>
                <w:szCs w:val="20"/>
                <w:color w:val="auto"/>
              </w:rPr>
            </w:pPr>
            <w:r>
              <w:rPr>
                <w:rFonts w:ascii="Arial" w:cs="Arial" w:eastAsia="Arial" w:hAnsi="Arial"/>
                <w:sz w:val="18"/>
                <w:szCs w:val="18"/>
                <w:color w:val="auto"/>
                <w:w w:val="94"/>
              </w:rPr>
              <w:t>Employee Stock Purchase Plan (as amended on May 17, 2004) (Incorporated by reference to Exhibit 4.1 to the Company’s Registration</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10.7(b)</w:t>
            </w:r>
          </w:p>
        </w:tc>
        <w:tc>
          <w:tcPr>
            <w:tcW w:w="10480" w:type="dxa"/>
            <w:vAlign w:val="bottom"/>
          </w:tcPr>
          <w:p>
            <w:pPr>
              <w:ind w:left="300"/>
              <w:spacing w:after="0"/>
              <w:rPr>
                <w:sz w:val="20"/>
                <w:szCs w:val="20"/>
                <w:color w:val="auto"/>
              </w:rPr>
            </w:pPr>
            <w:r>
              <w:rPr>
                <w:rFonts w:ascii="Arial" w:cs="Arial" w:eastAsia="Arial" w:hAnsi="Arial"/>
                <w:sz w:val="18"/>
                <w:szCs w:val="18"/>
                <w:color w:val="auto"/>
                <w:w w:val="92"/>
              </w:rPr>
              <w:t>First Amendment to Employee Stock Purchase Plan, dated October 26, 2005 (Incorporated by reference to Exhibit 10.1 to the Company’s</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Current Report on Form 8-K filed on November 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10.8(a)</w:t>
            </w:r>
          </w:p>
        </w:tc>
        <w:tc>
          <w:tcPr>
            <w:tcW w:w="10480" w:type="dxa"/>
            <w:vAlign w:val="bottom"/>
          </w:tcPr>
          <w:p>
            <w:pPr>
              <w:ind w:left="300"/>
              <w:spacing w:after="0"/>
              <w:rPr>
                <w:sz w:val="20"/>
                <w:szCs w:val="20"/>
                <w:color w:val="auto"/>
              </w:rPr>
            </w:pPr>
            <w:r>
              <w:rPr>
                <w:rFonts w:ascii="Arial" w:cs="Arial" w:eastAsia="Arial" w:hAnsi="Arial"/>
                <w:sz w:val="18"/>
                <w:szCs w:val="18"/>
                <w:color w:val="auto"/>
                <w:w w:val="96"/>
              </w:rPr>
              <w:t>2000 Equity Incentive Plan (amended and restated as of July 26, 2005) (Incorporated by reference to Exhibit 10.5 to the Company’s</w:t>
            </w:r>
          </w:p>
        </w:tc>
      </w:tr>
      <w:tr>
        <w:trPr>
          <w:trHeight w:val="230"/>
        </w:trPr>
        <w:tc>
          <w:tcPr>
            <w:tcW w:w="84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86"/>
        </w:trPr>
        <w:tc>
          <w:tcPr>
            <w:tcW w:w="840" w:type="dxa"/>
            <w:vAlign w:val="bottom"/>
          </w:tcPr>
          <w:p>
            <w:pPr>
              <w:spacing w:after="0"/>
              <w:rPr>
                <w:sz w:val="24"/>
                <w:szCs w:val="24"/>
                <w:color w:val="auto"/>
              </w:rPr>
            </w:pPr>
          </w:p>
        </w:tc>
        <w:tc>
          <w:tcPr>
            <w:tcW w:w="10480" w:type="dxa"/>
            <w:vAlign w:val="bottom"/>
          </w:tcPr>
          <w:p>
            <w:pPr>
              <w:ind w:left="474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20"/>
          </w:cols>
          <w:pgMar w:left="280" w:top="530" w:right="29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10.8(b)</w:t>
            </w:r>
          </w:p>
        </w:tc>
        <w:tc>
          <w:tcPr>
            <w:tcW w:w="10460" w:type="dxa"/>
            <w:vAlign w:val="bottom"/>
          </w:tcPr>
          <w:p>
            <w:pPr>
              <w:ind w:left="260"/>
              <w:spacing w:after="0"/>
              <w:rPr>
                <w:sz w:val="20"/>
                <w:szCs w:val="20"/>
                <w:color w:val="auto"/>
              </w:rPr>
            </w:pPr>
            <w:r>
              <w:rPr>
                <w:rFonts w:ascii="Arial" w:cs="Arial" w:eastAsia="Arial" w:hAnsi="Arial"/>
                <w:sz w:val="18"/>
                <w:szCs w:val="18"/>
                <w:color w:val="auto"/>
                <w:w w:val="96"/>
              </w:rPr>
              <w:t>Amendment to 2000 Equity Incentive Plan (effective as of May 17, 2012) (Incorporated by reference to Exhibit 10.7 to the Company’s</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10.8(c)</w:t>
            </w:r>
          </w:p>
        </w:tc>
        <w:tc>
          <w:tcPr>
            <w:tcW w:w="10460" w:type="dxa"/>
            <w:vAlign w:val="bottom"/>
          </w:tcPr>
          <w:p>
            <w:pPr>
              <w:ind w:left="260"/>
              <w:spacing w:after="0"/>
              <w:rPr>
                <w:sz w:val="20"/>
                <w:szCs w:val="20"/>
                <w:color w:val="auto"/>
              </w:rPr>
            </w:pPr>
            <w:r>
              <w:rPr>
                <w:rFonts w:ascii="Arial" w:cs="Arial" w:eastAsia="Arial" w:hAnsi="Arial"/>
                <w:sz w:val="18"/>
                <w:szCs w:val="18"/>
                <w:color w:val="auto"/>
              </w:rPr>
              <w:t>Amendment to 2000 Equity Incentive Plan (effective as of January 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10.9(a)</w:t>
            </w:r>
          </w:p>
        </w:tc>
        <w:tc>
          <w:tcPr>
            <w:tcW w:w="10460" w:type="dxa"/>
            <w:vAlign w:val="bottom"/>
          </w:tcPr>
          <w:p>
            <w:pPr>
              <w:ind w:left="260"/>
              <w:spacing w:after="0"/>
              <w:rPr>
                <w:sz w:val="20"/>
                <w:szCs w:val="20"/>
                <w:color w:val="auto"/>
              </w:rPr>
            </w:pPr>
            <w:r>
              <w:rPr>
                <w:rFonts w:ascii="Arial" w:cs="Arial" w:eastAsia="Arial" w:hAnsi="Arial"/>
                <w:sz w:val="18"/>
                <w:szCs w:val="18"/>
                <w:color w:val="auto"/>
                <w:w w:val="97"/>
              </w:rPr>
              <w:t>2001 Equity Incentive Plan (amended and restated as of July 26, 2005) (Incorporated by reference to Exhibit 10.6 to the Company’s</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10.9(b)</w:t>
            </w:r>
          </w:p>
        </w:tc>
        <w:tc>
          <w:tcPr>
            <w:tcW w:w="10460" w:type="dxa"/>
            <w:vAlign w:val="bottom"/>
          </w:tcPr>
          <w:p>
            <w:pPr>
              <w:ind w:left="260"/>
              <w:spacing w:after="0"/>
              <w:rPr>
                <w:sz w:val="20"/>
                <w:szCs w:val="20"/>
                <w:color w:val="auto"/>
              </w:rPr>
            </w:pPr>
            <w:r>
              <w:rPr>
                <w:rFonts w:ascii="Arial" w:cs="Arial" w:eastAsia="Arial" w:hAnsi="Arial"/>
                <w:sz w:val="18"/>
                <w:szCs w:val="18"/>
                <w:color w:val="auto"/>
                <w:w w:val="96"/>
              </w:rPr>
              <w:t>Amendment to 2001 Equity Incentive Plan (effective as of May 17, 2012) (Incorporated by reference to Exhibit 10.8 to the Company’s</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10.9(c)</w:t>
            </w:r>
          </w:p>
        </w:tc>
        <w:tc>
          <w:tcPr>
            <w:tcW w:w="10460" w:type="dxa"/>
            <w:vAlign w:val="bottom"/>
          </w:tcPr>
          <w:p>
            <w:pPr>
              <w:ind w:left="260"/>
              <w:spacing w:after="0"/>
              <w:rPr>
                <w:sz w:val="20"/>
                <w:szCs w:val="20"/>
                <w:color w:val="auto"/>
              </w:rPr>
            </w:pPr>
            <w:r>
              <w:rPr>
                <w:rFonts w:ascii="Arial" w:cs="Arial" w:eastAsia="Arial" w:hAnsi="Arial"/>
                <w:sz w:val="18"/>
                <w:szCs w:val="18"/>
                <w:color w:val="auto"/>
              </w:rPr>
              <w:t>Amendment to 2001 Equity Incentive Plan (effective as of January 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10.10(a)</w:t>
            </w:r>
          </w:p>
        </w:tc>
        <w:tc>
          <w:tcPr>
            <w:tcW w:w="10460" w:type="dxa"/>
            <w:vAlign w:val="bottom"/>
          </w:tcPr>
          <w:p>
            <w:pPr>
              <w:ind w:left="260"/>
              <w:spacing w:after="0"/>
              <w:rPr>
                <w:sz w:val="20"/>
                <w:szCs w:val="20"/>
                <w:color w:val="auto"/>
              </w:rPr>
            </w:pPr>
            <w:r>
              <w:rPr>
                <w:rFonts w:ascii="Arial" w:cs="Arial" w:eastAsia="Arial" w:hAnsi="Arial"/>
                <w:sz w:val="18"/>
                <w:szCs w:val="18"/>
                <w:color w:val="auto"/>
                <w:w w:val="98"/>
              </w:rPr>
              <w:t>Second Amended and Restated 2003 Equity Incentive Plan effective May 19, 2010 (Incorporated by reference to Exhibit 10 to the</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May 21,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10.10(b)</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Amendment to the Second Amended and Restated 2003 Equity Incentive Plan effective May 17, 2012 (Incorporated by reference to Exhibit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10.9 to the Company’s 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10.10(c)</w:t>
            </w:r>
          </w:p>
        </w:tc>
        <w:tc>
          <w:tcPr>
            <w:tcW w:w="10460" w:type="dxa"/>
            <w:vAlign w:val="bottom"/>
          </w:tcPr>
          <w:p>
            <w:pPr>
              <w:ind w:left="260"/>
              <w:spacing w:after="0"/>
              <w:rPr>
                <w:sz w:val="20"/>
                <w:szCs w:val="20"/>
                <w:color w:val="auto"/>
              </w:rPr>
            </w:pPr>
            <w:r>
              <w:rPr>
                <w:rFonts w:ascii="Arial" w:cs="Arial" w:eastAsia="Arial" w:hAnsi="Arial"/>
                <w:sz w:val="18"/>
                <w:szCs w:val="18"/>
                <w:color w:val="auto"/>
              </w:rPr>
              <w:t>Amendment to the Second Amended and Restated 2003 Equity Incentive Plan effective January 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10.11(a)</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Second Amended and Restated Employment Agreement dated July 27, 2004 between the Company and Stuart M. Essig (Incorporated by</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Quarterly Report on Form 10-Q for the quarter ended September 30,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10.11(b)</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Amendment 2006-1, dated as of December 19, 2006, to the Second Amended and Restated Employment Agreement, between the Company</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and Stuart M. Essig (Incorporated by reference to Exhibit 10.1 to the Company’s Current Report on Form 8-K filed on December 22,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10.11(c)</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Amendment 2008-1, dated as of March 6, 2008, to the Second Amended and Restated Employment Agreement, between the Company and</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9"/>
              </w:rPr>
              <w:t>Stuart M. Essig (Incorporated by reference to Exhibit 10.12(c) to the Company’s Annual Report on Form 10-K for the year ended</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December 31,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10.11(d)</w:t>
            </w:r>
          </w:p>
        </w:tc>
        <w:tc>
          <w:tcPr>
            <w:tcW w:w="10460" w:type="dxa"/>
            <w:vAlign w:val="bottom"/>
          </w:tcPr>
          <w:p>
            <w:pPr>
              <w:ind w:left="260"/>
              <w:spacing w:after="0"/>
              <w:rPr>
                <w:sz w:val="20"/>
                <w:szCs w:val="20"/>
                <w:color w:val="auto"/>
              </w:rPr>
            </w:pPr>
            <w:r>
              <w:rPr>
                <w:rFonts w:ascii="Arial" w:cs="Arial" w:eastAsia="Arial" w:hAnsi="Arial"/>
                <w:sz w:val="18"/>
                <w:szCs w:val="18"/>
                <w:color w:val="auto"/>
                <w:w w:val="89"/>
              </w:rPr>
              <w:t>Amendment 2008-2, dated as of August 6, 2008, to the Second Amended and Restated Employment Agreement between Stuart M. Essig and</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the Company (Incorporated by reference to Exhibit 10.7 to the Company’s Quarterly Report on Form 10-Q for the quarter ended June 30,</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10.11(e)</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Amendment 2009-1, dated as of April 13, 2009, to the Second Amended and Restated Employment Agreement between Stuart M. Essig and</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the Company (Incorporated by reference to Exhibit 10.2 to the Company’s Current Report on Form 8-K filed on April 13,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10.11(f)</w:t>
            </w:r>
          </w:p>
        </w:tc>
        <w:tc>
          <w:tcPr>
            <w:tcW w:w="10460" w:type="dxa"/>
            <w:vAlign w:val="bottom"/>
          </w:tcPr>
          <w:p>
            <w:pPr>
              <w:ind w:left="260"/>
              <w:spacing w:after="0"/>
              <w:rPr>
                <w:sz w:val="20"/>
                <w:szCs w:val="20"/>
                <w:color w:val="auto"/>
              </w:rPr>
            </w:pPr>
            <w:r>
              <w:rPr>
                <w:rFonts w:ascii="Arial" w:cs="Arial" w:eastAsia="Arial" w:hAnsi="Arial"/>
                <w:sz w:val="18"/>
                <w:szCs w:val="18"/>
                <w:color w:val="auto"/>
                <w:w w:val="98"/>
              </w:rPr>
              <w:t>Letter Agreement dated May 17, 2011 between the Company and Stuart M. Essig (Incorporated by reference to Exhibit 10.1 to the</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May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10.11(g)</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Letter dated December 20, 2011 from Stuart M. Essig to the Company (Incorporated by reference to Exhibit 10.3 to the Company’s Current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Report on Form 8-K filed December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10.11(h)</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Letter Agreement dated June 7, 2012 between Stuart M. Essig and the Company (Incorporated by reference to Exhibit 10.1 to the Company’s</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Current Report on Form 8-K filed on June 7,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Indemnity letter agreement dated December 27, 1997 from the Company to Stuart M. Essig (Incorporated by reference to Exhibit 10.5 to the</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February 3, 1998)*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10.13(a)</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Registration Rights Provisions for Stuart M. Essig (Incorporated by reference to Exhibit B of Exhibit 10.1 to the Company’s Current Report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on Form 8-K filed on February 3, 1998)*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10.13(b)</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Registration Rights Provisions for Stuart M. Essig (Incorporated by reference to Exhibit 10.2 to the Company’s Current Report on Form 8-K</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10.13(c)</w:t>
            </w:r>
          </w:p>
        </w:tc>
        <w:tc>
          <w:tcPr>
            <w:tcW w:w="10460" w:type="dxa"/>
            <w:vAlign w:val="bottom"/>
          </w:tcPr>
          <w:p>
            <w:pPr>
              <w:ind w:left="260"/>
              <w:spacing w:after="0"/>
              <w:rPr>
                <w:sz w:val="20"/>
                <w:szCs w:val="20"/>
                <w:color w:val="auto"/>
              </w:rPr>
            </w:pPr>
            <w:r>
              <w:rPr>
                <w:rFonts w:ascii="Arial" w:cs="Arial" w:eastAsia="Arial" w:hAnsi="Arial"/>
                <w:sz w:val="18"/>
                <w:szCs w:val="18"/>
                <w:color w:val="auto"/>
                <w:w w:val="97"/>
              </w:rPr>
              <w:t>Registration Rights Provisions for Stuart M. Essig (Incorporated by reference to Exhibit B of Exhibit 10.1 to the Company’s Quarterly</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September 30,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10460" w:type="dxa"/>
            <w:vAlign w:val="bottom"/>
          </w:tcPr>
          <w:p>
            <w:pPr>
              <w:ind w:left="260"/>
              <w:spacing w:after="0"/>
              <w:rPr>
                <w:sz w:val="20"/>
                <w:szCs w:val="20"/>
                <w:color w:val="auto"/>
              </w:rPr>
            </w:pPr>
            <w:r>
              <w:rPr>
                <w:rFonts w:ascii="Arial" w:cs="Arial" w:eastAsia="Arial" w:hAnsi="Arial"/>
                <w:sz w:val="18"/>
                <w:szCs w:val="18"/>
                <w:color w:val="auto"/>
                <w:w w:val="96"/>
              </w:rPr>
              <w:t>Amended and Restated 2005 Employment Agreement between John B. Henneman, III and the Company dated December 19, 2005</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10.16 to the Company’s Annual Report on Form 10-K for the year ended December 31, 2005)*</w:t>
            </w:r>
          </w:p>
        </w:tc>
      </w:tr>
    </w:tbl>
    <w:p>
      <w:pPr>
        <w:spacing w:after="0" w:line="200" w:lineRule="exact"/>
        <w:rPr>
          <w:sz w:val="20"/>
          <w:szCs w:val="20"/>
          <w:color w:val="auto"/>
        </w:rPr>
      </w:pPr>
    </w:p>
    <w:p>
      <w:pPr>
        <w:sectPr>
          <w:pgSz w:w="11900" w:h="16838" w:orient="portrait"/>
          <w:cols w:equalWidth="0" w:num="1">
            <w:col w:w="11340"/>
          </w:cols>
          <w:pgMar w:left="280" w:top="692" w:right="27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40"/>
          </w:cols>
          <w:pgMar w:left="280" w:top="692" w:right="27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10460" w:type="dxa"/>
            <w:vAlign w:val="bottom"/>
          </w:tcPr>
          <w:p>
            <w:pPr>
              <w:ind w:left="260"/>
              <w:spacing w:after="0"/>
              <w:rPr>
                <w:sz w:val="20"/>
                <w:szCs w:val="20"/>
                <w:color w:val="auto"/>
              </w:rPr>
            </w:pPr>
            <w:r>
              <w:rPr>
                <w:rFonts w:ascii="Arial" w:cs="Arial" w:eastAsia="Arial" w:hAnsi="Arial"/>
                <w:sz w:val="18"/>
                <w:szCs w:val="18"/>
                <w:color w:val="auto"/>
                <w:w w:val="99"/>
              </w:rPr>
              <w:t>Amendment 2008-1, dated as of January 2, 2008, to the Amended and Restated 2005 Employment Agreement between John B.</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Henneman, III and the Company (Incorporated by reference to Exhibit 10.15(b) to the Company’s Annual Report on Form 10-K for the year</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ended December 31,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10.14(c)</w:t>
            </w:r>
          </w:p>
        </w:tc>
        <w:tc>
          <w:tcPr>
            <w:tcW w:w="10460" w:type="dxa"/>
            <w:vAlign w:val="bottom"/>
          </w:tcPr>
          <w:p>
            <w:pPr>
              <w:ind w:left="260"/>
              <w:spacing w:after="0"/>
              <w:rPr>
                <w:sz w:val="20"/>
                <w:szCs w:val="20"/>
                <w:color w:val="auto"/>
              </w:rPr>
            </w:pPr>
            <w:r>
              <w:rPr>
                <w:rFonts w:ascii="Arial" w:cs="Arial" w:eastAsia="Arial" w:hAnsi="Arial"/>
                <w:sz w:val="18"/>
                <w:szCs w:val="18"/>
                <w:color w:val="auto"/>
                <w:w w:val="96"/>
              </w:rPr>
              <w:t>Amendment 2008-2, dated as of December 18, 2008, to the Amended and Restated 2005 Employment Agreement between John B.</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8"/>
              </w:rPr>
              <w:t>Henneman, III and the Company (Incorporated by reference to Exhibit 10.2 to the Company’s Current Report on Form 8-K filed on</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December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10.14(d)</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Amendment 2009-1, dated as of April 13, 2009, to the Amended and Restated 2005 Employment Agreement between John B. Henneman, III</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7"/>
              </w:rPr>
              <w:t>and the Company (Incorporated by reference to Exhibit 10.5 to the Company’s Current Report on Form 8-K filed on April 13,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10.14(e)</w:t>
            </w:r>
          </w:p>
        </w:tc>
        <w:tc>
          <w:tcPr>
            <w:tcW w:w="10460" w:type="dxa"/>
            <w:vAlign w:val="bottom"/>
          </w:tcPr>
          <w:p>
            <w:pPr>
              <w:ind w:left="260"/>
              <w:spacing w:after="0"/>
              <w:rPr>
                <w:sz w:val="20"/>
                <w:szCs w:val="20"/>
                <w:color w:val="auto"/>
              </w:rPr>
            </w:pPr>
            <w:r>
              <w:rPr>
                <w:rFonts w:ascii="Arial" w:cs="Arial" w:eastAsia="Arial" w:hAnsi="Arial"/>
                <w:sz w:val="18"/>
                <w:szCs w:val="18"/>
                <w:color w:val="auto"/>
                <w:w w:val="98"/>
              </w:rPr>
              <w:t>Amendment 2010-1, dated as of October 12, 2010, to the Amended and Restated 2005 Employment Agreement between John B.</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Henneman, III and the Company (Incorporated by reference to Exhibit 10.3 to the Company’s Current Report on Form 8-K filed October 12,</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10.14(f)</w:t>
            </w:r>
          </w:p>
        </w:tc>
        <w:tc>
          <w:tcPr>
            <w:tcW w:w="10460" w:type="dxa"/>
            <w:vAlign w:val="bottom"/>
          </w:tcPr>
          <w:p>
            <w:pPr>
              <w:ind w:left="260"/>
              <w:spacing w:after="0"/>
              <w:rPr>
                <w:sz w:val="20"/>
                <w:szCs w:val="20"/>
                <w:color w:val="auto"/>
              </w:rPr>
            </w:pPr>
            <w:r>
              <w:rPr>
                <w:rFonts w:ascii="Arial" w:cs="Arial" w:eastAsia="Arial" w:hAnsi="Arial"/>
                <w:sz w:val="18"/>
                <w:szCs w:val="18"/>
                <w:color w:val="auto"/>
                <w:w w:val="98"/>
              </w:rPr>
              <w:t>Letter dated as of February 22, 2012 from John B. Henneman, III to the Company (Incorporated by reference to Exhibit 10.1 to the</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February 22,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Consulting Agreement, dated October 12, 2010, between the Company and Inception Surgical (Incorporated by reference to Exhibit 10.1 to</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October 12,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10.16(a)</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Severance Agreement between Judith O’Grady and the Company dated as of January 4, 2010 (Incorporated by reference to Exhibit 10.17 to</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the Company’s Annual Report on Form 10-K for the year ended December 31,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10.16(b)</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Severance Agreement between Judith O’Grady and the Company dated as of January 3, 2011 (Incorporated by reference to Exhibit 10.17(a)</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for the year ended December 31,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10.16(c)</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Severance Agreement between Judith O’Grady and the Company dated as of January 3, 2012 (Incorporated by reference to Exhibit 10.16(c)</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for the year ended December 31,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10.17(a)</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Employment Agreement, dated as of October 12, 2010, between Peter J. Arduini and the Company (Incorporated by reference to Exhibit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October 12,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10.17(b)</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Amended and Restated Employment Agreement dated December 20, 2011 between Peter J. Arduini and the Company (Incorporated by</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December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Form of Notice of Stock Option Grant with Eight-Year Term for Peter J. Arduini (Incorporated by reference to Exhibit 10.2 to the Company’s</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Current Report on Form 8-K filed December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10.19(a)</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Lease Contract, dated April 1, 2005, between the Puerto Rico Industrial Development Company and Integra CI, Inc. (executed on September</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15, 2006) (Incorporated by reference to Exhibit 10.3 to the Company’s Quarterly Report on Form 10-Q for the quarter ended September 30,</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10.19(b)</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Amendment to Lease Contract dated as of November 2, 2011, between Integra CI, Inc. and Puerto Rico Industrial Development Company</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r>
        <w:trPr>
          <w:trHeight w:val="580"/>
        </w:trPr>
        <w:tc>
          <w:tcPr>
            <w:tcW w:w="880" w:type="dxa"/>
            <w:vAlign w:val="bottom"/>
          </w:tcPr>
          <w:p>
            <w:pPr>
              <w:spacing w:after="0"/>
              <w:rPr>
                <w:sz w:val="20"/>
                <w:szCs w:val="20"/>
                <w:color w:val="auto"/>
              </w:rPr>
            </w:pPr>
            <w:r>
              <w:rPr>
                <w:rFonts w:ascii="Arial" w:cs="Arial" w:eastAsia="Arial" w:hAnsi="Arial"/>
                <w:sz w:val="18"/>
                <w:szCs w:val="18"/>
                <w:color w:val="auto"/>
              </w:rPr>
              <w:t>10.19(c)</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Termination of Amendment to Lease Contract, dated as of April 2, 2012, between Integra CI, Inc. and Puerto Rico Industrial Development</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5"/>
              </w:rPr>
              <w:t>Company (Incorporated by reference to Exhibit 10.2 to the Company’s Quarterly Report on Form 10-Q for the quarter ended March 31,</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Restricted Units Agreement dated December 27, 1997 between the Company and Stuart M. Essig (Incorporated by reference to Exhibit 10.3</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to the Company’s Current Report on Form 8-K filed on February 3, 1998)*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Stock Option Grant and Agreement pursuant to 1999 Stock Option Plan dated December 22, 2000 between the Company and Stuart M. Essig</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260"/>
              <w:spacing w:after="0"/>
              <w:rPr>
                <w:sz w:val="20"/>
                <w:szCs w:val="20"/>
                <w:color w:val="auto"/>
              </w:rPr>
            </w:pPr>
            <w:r>
              <w:rPr>
                <w:rFonts w:ascii="Arial" w:cs="Arial" w:eastAsia="Arial" w:hAnsi="Arial"/>
                <w:sz w:val="18"/>
                <w:szCs w:val="18"/>
                <w:color w:val="auto"/>
                <w:w w:val="94"/>
              </w:rPr>
              <w:t>Stock Option Grant and Agreement pursuant to 2000 Equity Incentive Plan dated December 22, 2000 between the Company and Stuart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M. Essig (Incorporated by reference to Exhibit 4.2 to the Company’s Current Report on Form 8-K filed on January 8, 2001)*</w:t>
            </w:r>
          </w:p>
        </w:tc>
      </w:tr>
    </w:tbl>
    <w:p>
      <w:pPr>
        <w:spacing w:after="0" w:line="200" w:lineRule="exact"/>
        <w:rPr>
          <w:sz w:val="20"/>
          <w:szCs w:val="20"/>
          <w:color w:val="auto"/>
        </w:rPr>
      </w:pPr>
    </w:p>
    <w:p>
      <w:pPr>
        <w:sectPr>
          <w:pgSz w:w="11900" w:h="16838" w:orient="portrait"/>
          <w:cols w:equalWidth="0" w:num="1">
            <w:col w:w="11340"/>
          </w:cols>
          <w:pgMar w:left="280" w:top="530" w:right="27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40"/>
          </w:cols>
          <w:pgMar w:left="280" w:top="530" w:right="27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10.23(a)</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Restricted Units Agreement dated December 22, 2000 between the Company and Stuart M. Essig (Incorporated by reference to Exhibit 4.3 to</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10.23(b)</w:t>
            </w:r>
          </w:p>
        </w:tc>
        <w:tc>
          <w:tcPr>
            <w:tcW w:w="10460" w:type="dxa"/>
            <w:vAlign w:val="bottom"/>
          </w:tcPr>
          <w:p>
            <w:pPr>
              <w:ind w:left="260"/>
              <w:spacing w:after="0"/>
              <w:rPr>
                <w:sz w:val="20"/>
                <w:szCs w:val="20"/>
                <w:color w:val="auto"/>
              </w:rPr>
            </w:pPr>
            <w:r>
              <w:rPr>
                <w:rFonts w:ascii="Arial" w:cs="Arial" w:eastAsia="Arial" w:hAnsi="Arial"/>
                <w:sz w:val="18"/>
                <w:szCs w:val="18"/>
                <w:color w:val="auto"/>
                <w:w w:val="95"/>
              </w:rPr>
              <w:t>Amendment 2006-1, dated as of October 30, 2006, to the Stuart M. Essig Restricted Units Agreement dated as of December 22, 2000</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Stock Option Grant and Agreement pursuant to 2003 Equity Incentive Plan dated July 27, 2004 between the Company and Stuart M. Essig</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10.30 to the 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10.25(a)</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Contract Stock/Restricted Units Agreement pursuant to 2003 Equity Incentive Plan dated July 27, 2004 between the Company and Stuart M.</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Essig (Incorporated by reference to Exhibit 10.31 to the 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10.25(b)</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Amendment 2006-1, dated as of October 30, 2006, to the Stuart M. Essig Contract Stock/Restricted Units Agreement dated as of July 27,</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10.25(c)</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Amendment 2008-1, dated as of March 6, 2008, to the Stuart M. Essig Contract Stock/Restricted Units Agreement dated as of July 27, 2004</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5"/>
              </w:rPr>
              <w:t>(Incorporated by reference to Exhibit 10.25(c) to the Company’s Annual Report on Form 10-K for the year ended December 31,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10.25(d)</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Amendment 2011-1, dated as of May 17, 2011, to the Stuart M. Essig Contract Stock/Restricted Units Agreement dated as of July 24, 2004</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10.6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Contract Stock/Units Agreement dated as of May 17, 2011 between the Company and Stuart M. Essig (Incorporated by reference to Exhibit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on May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Form of Amendment 2011-1 to Contract Stock/Restricted Units Agreements between the Company and Mr. Essig (Incorporated by reference</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to Exhibit 10.5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Form of Stock Option Grant and Agreement between the Company and Stuart M. Essig (Incorporated by reference to Exhibit 10.32 to the</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10.29(a)</w:t>
            </w:r>
          </w:p>
        </w:tc>
        <w:tc>
          <w:tcPr>
            <w:tcW w:w="10460" w:type="dxa"/>
            <w:vAlign w:val="bottom"/>
          </w:tcPr>
          <w:p>
            <w:pPr>
              <w:ind w:left="260"/>
              <w:spacing w:after="0"/>
              <w:rPr>
                <w:sz w:val="20"/>
                <w:szCs w:val="20"/>
                <w:color w:val="auto"/>
              </w:rPr>
            </w:pPr>
            <w:r>
              <w:rPr>
                <w:rFonts w:ascii="Arial" w:cs="Arial" w:eastAsia="Arial" w:hAnsi="Arial"/>
                <w:sz w:val="18"/>
                <w:szCs w:val="18"/>
                <w:color w:val="auto"/>
                <w:w w:val="97"/>
              </w:rPr>
              <w:t>Form of Contract Stock/Restricted Units Agreement for Stuart M. Essig (Incorporated by reference to Exhibit 10.8 to the Company’s</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10.29(b)</w:t>
            </w:r>
          </w:p>
        </w:tc>
        <w:tc>
          <w:tcPr>
            <w:tcW w:w="10460" w:type="dxa"/>
            <w:vAlign w:val="bottom"/>
          </w:tcPr>
          <w:p>
            <w:pPr>
              <w:ind w:left="260"/>
              <w:spacing w:after="0"/>
              <w:rPr>
                <w:sz w:val="20"/>
                <w:szCs w:val="20"/>
                <w:color w:val="auto"/>
              </w:rPr>
            </w:pPr>
            <w:r>
              <w:rPr>
                <w:rFonts w:ascii="Arial" w:cs="Arial" w:eastAsia="Arial" w:hAnsi="Arial"/>
                <w:sz w:val="18"/>
                <w:szCs w:val="18"/>
                <w:color w:val="auto"/>
                <w:w w:val="95"/>
              </w:rPr>
              <w:t>New Form of Contract Stock/Restricted Units Agreement (for Annual Equity Awards) for Stuart M. Essig (Incorporated by reference to</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10.29(c)</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Form of Amendment 2011-1 to Contract Stock/Restricted Units Agreement betweeen the Company and Mr. Essig (Incorporated by reference</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to Exhibit 10.4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Form of Performance Stock Agreement for Stuart M. Essig (Incorporated by reference to Exhibit 10.9 to the Company’s Quarterly Report on</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46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for Stuart M. Essig for 2009 (Incorporated by reference to Exhibit 10.3 to the Company’s Current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Report on Form 8-K filed April 13,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New Form of Contract Stock/Restricted Units Agreement pursuant to 2003 Equity Incentive Plan (for 2011) Annual Equity Award for Stuart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M. Essig) (Incorporated by reference to Exhibit 10.3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Form of Notice of Grant of Stock Option and Stock Option Agreement (Incorporated by reference to Exhibit 10.1 to the Company’s Current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Report on Form 8-K filed on July 29,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460" w:type="dxa"/>
            <w:vAlign w:val="bottom"/>
          </w:tcPr>
          <w:p>
            <w:pPr>
              <w:ind w:left="260"/>
              <w:spacing w:after="0"/>
              <w:rPr>
                <w:sz w:val="20"/>
                <w:szCs w:val="20"/>
                <w:color w:val="auto"/>
              </w:rPr>
            </w:pPr>
            <w:r>
              <w:rPr>
                <w:rFonts w:ascii="Arial" w:cs="Arial" w:eastAsia="Arial" w:hAnsi="Arial"/>
                <w:sz w:val="18"/>
                <w:szCs w:val="18"/>
                <w:color w:val="auto"/>
                <w:w w:val="96"/>
              </w:rPr>
              <w:t>Form of Non-Qualified Stock Option Agreement (Non-Directors) (Incorporated by reference to Exhibit 10.35 to the Company’s Annual</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648"/>
        </w:trPr>
        <w:tc>
          <w:tcPr>
            <w:tcW w:w="880" w:type="dxa"/>
            <w:vAlign w:val="bottom"/>
          </w:tcPr>
          <w:p>
            <w:pPr>
              <w:spacing w:after="0"/>
              <w:rPr>
                <w:sz w:val="24"/>
                <w:szCs w:val="24"/>
                <w:color w:val="auto"/>
              </w:rPr>
            </w:pPr>
          </w:p>
        </w:tc>
        <w:tc>
          <w:tcPr>
            <w:tcW w:w="10460" w:type="dxa"/>
            <w:vAlign w:val="bottom"/>
          </w:tcPr>
          <w:p>
            <w:pPr>
              <w:ind w:left="470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340"/>
          </w:cols>
          <w:pgMar w:left="280" w:top="530" w:right="27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10.35</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Form of Incentive Stock Option Agreement (Incorporated by reference to Exhibit 10.36 to the Company’s Annual Report on Form 10-K for</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10.36</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Form of Non-Qualified Stock Option Agreement (Directors) (Incorporated by reference to Exhibit 10.37 to the Company’s Annual Report on</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Form 10-K for 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10.37(a)</w:t>
            </w: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Compensation of Directors of the Company effective May 17, 2011 (Incorporated by reference to Exhibit 10.1 to the Company’s Current</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Report on Form 8-K filed on December 16,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10.37(b)</w:t>
            </w:r>
          </w:p>
        </w:tc>
        <w:tc>
          <w:tcPr>
            <w:tcW w:w="10420" w:type="dxa"/>
            <w:vAlign w:val="bottom"/>
          </w:tcPr>
          <w:p>
            <w:pPr>
              <w:ind w:left="240"/>
              <w:spacing w:after="0"/>
              <w:rPr>
                <w:sz w:val="20"/>
                <w:szCs w:val="20"/>
                <w:color w:val="auto"/>
              </w:rPr>
            </w:pPr>
            <w:r>
              <w:rPr>
                <w:rFonts w:ascii="Arial" w:cs="Arial" w:eastAsia="Arial" w:hAnsi="Arial"/>
                <w:sz w:val="18"/>
                <w:szCs w:val="18"/>
                <w:color w:val="auto"/>
                <w:w w:val="97"/>
              </w:rPr>
              <w:t>Compensation of Non-Employee Directors of the Company effective May 17, 2012 (Incorporated by reference to Exhibit 10.1 to the</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10.37(c)</w:t>
            </w:r>
          </w:p>
        </w:tc>
        <w:tc>
          <w:tcPr>
            <w:tcW w:w="10420" w:type="dxa"/>
            <w:vAlign w:val="bottom"/>
          </w:tcPr>
          <w:p>
            <w:pPr>
              <w:ind w:left="240"/>
              <w:spacing w:after="0"/>
              <w:rPr>
                <w:sz w:val="20"/>
                <w:szCs w:val="20"/>
                <w:color w:val="auto"/>
              </w:rPr>
            </w:pPr>
            <w:r>
              <w:rPr>
                <w:rFonts w:ascii="Arial" w:cs="Arial" w:eastAsia="Arial" w:hAnsi="Arial"/>
                <w:sz w:val="18"/>
                <w:szCs w:val="18"/>
                <w:color w:val="auto"/>
                <w:w w:val="97"/>
              </w:rPr>
              <w:t>Compensation of Non-Employee Directors of the Company effective May 22, 2013 (Incorporated by reference to Exhibit 10.1 to the</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December 14,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10.38(a)</w:t>
            </w:r>
          </w:p>
        </w:tc>
        <w:tc>
          <w:tcPr>
            <w:tcW w:w="10420" w:type="dxa"/>
            <w:vAlign w:val="bottom"/>
          </w:tcPr>
          <w:p>
            <w:pPr>
              <w:ind w:left="240"/>
              <w:spacing w:after="0"/>
              <w:rPr>
                <w:sz w:val="20"/>
                <w:szCs w:val="20"/>
                <w:color w:val="auto"/>
              </w:rPr>
            </w:pPr>
            <w:r>
              <w:rPr>
                <w:rFonts w:ascii="Arial" w:cs="Arial" w:eastAsia="Arial" w:hAnsi="Arial"/>
                <w:sz w:val="18"/>
                <w:szCs w:val="18"/>
                <w:color w:val="auto"/>
                <w:w w:val="96"/>
              </w:rPr>
              <w:t>Form of Restricted Stock Agreement for Non-Employee Directors under the 2003 Equity Incentive Plan (Incorporated by reference to</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Exhibit 10.4 to the Company’s Quarterly Report on Form 10-Q for the quarter ended June 30, 2012)*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10.38(b)</w:t>
            </w:r>
          </w:p>
        </w:tc>
        <w:tc>
          <w:tcPr>
            <w:tcW w:w="10420" w:type="dxa"/>
            <w:vAlign w:val="bottom"/>
          </w:tcPr>
          <w:p>
            <w:pPr>
              <w:ind w:left="240"/>
              <w:spacing w:after="0"/>
              <w:rPr>
                <w:sz w:val="20"/>
                <w:szCs w:val="20"/>
                <w:color w:val="auto"/>
              </w:rPr>
            </w:pPr>
            <w:r>
              <w:rPr>
                <w:rFonts w:ascii="Arial" w:cs="Arial" w:eastAsia="Arial" w:hAnsi="Arial"/>
                <w:sz w:val="18"/>
                <w:szCs w:val="18"/>
                <w:color w:val="auto"/>
              </w:rPr>
              <w:t>New Form of Restricted Stock Agreement for Non-Employee Directors under the 2003 Equity Incentive Plan*+</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10.38(c)</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Form of Restricted Stock Agreement for Executive Officers — Annual Vesting (Incorporated by reference to Exhibit 10.1 to the Company’s</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Current Report on Form 8-K filed on February 25,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10.38(d)</w:t>
            </w: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Form of Restricted Stock Agreement for Executive Officers – Annual Vesting (Incorporated by reference to Exhibit 10.5 to the Company’s</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10.38(e)</w:t>
            </w:r>
          </w:p>
        </w:tc>
        <w:tc>
          <w:tcPr>
            <w:tcW w:w="10420" w:type="dxa"/>
            <w:vAlign w:val="bottom"/>
          </w:tcPr>
          <w:p>
            <w:pPr>
              <w:ind w:left="240"/>
              <w:spacing w:after="0"/>
              <w:rPr>
                <w:sz w:val="20"/>
                <w:szCs w:val="20"/>
                <w:color w:val="auto"/>
              </w:rPr>
            </w:pPr>
            <w:r>
              <w:rPr>
                <w:rFonts w:ascii="Arial" w:cs="Arial" w:eastAsia="Arial" w:hAnsi="Arial"/>
                <w:sz w:val="18"/>
                <w:szCs w:val="18"/>
                <w:color w:val="auto"/>
              </w:rPr>
              <w:t>New Form of Restricted Stock Agreement for Executive Officers – Annual Vesting*+</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10.38(f)</w:t>
            </w: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Form of Restricted Stock Agreement for Executive Officers – Cliff Vesting (Incorporated by reference to Exhibit 10.8 to the Company’s</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Quarter Report on Form 10-Q for the quarter ended March 31,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10.38(g)</w:t>
            </w: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Form of Restricted Stock Agreement for Executive Officers – Cliff Vesting (Incorporated by reference to Exhibit 10.6 to the Company’s</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10.38(h)</w:t>
            </w:r>
          </w:p>
        </w:tc>
        <w:tc>
          <w:tcPr>
            <w:tcW w:w="10420" w:type="dxa"/>
            <w:vAlign w:val="bottom"/>
          </w:tcPr>
          <w:p>
            <w:pPr>
              <w:ind w:left="240"/>
              <w:spacing w:after="0"/>
              <w:rPr>
                <w:sz w:val="20"/>
                <w:szCs w:val="20"/>
                <w:color w:val="auto"/>
              </w:rPr>
            </w:pPr>
            <w:r>
              <w:rPr>
                <w:rFonts w:ascii="Arial" w:cs="Arial" w:eastAsia="Arial" w:hAnsi="Arial"/>
                <w:sz w:val="18"/>
                <w:szCs w:val="18"/>
                <w:color w:val="auto"/>
              </w:rPr>
              <w:t>New Form of Restricted Stock Agreement for Executive Officers – Cliff Vesting*+</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10.38(i)</w:t>
            </w: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Form of Restricted Stock Agreement for Mr. Henneman for 2008 and 2009 (Incorporated by reference to Exhibit 10.6 to the Company’s</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Current Report on Form 8-K filed on April 13,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10.38(j)</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Form of Contract Stock/Restricted Units Agreement pursuant to 2003 Equity Incentive Plan for Mr. Henneman (Incorporated by reference to</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Exhibit 10.4 to the Company’s Current Report on Form 8-K filed on December 24,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10.38(k)</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Form of Option Agreement for John B. Henneman, III (Incorporated by reference to Exhibit 10.1 to the Company’s Current Report on Form</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8-K filed on June 6,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10.38(l)</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Form of Performance Stock Agreement for John B. Henneman, III (Incorporated by reference to Exhibit 10.37(b) to the Company’s Annual</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10.38(m)</w:t>
            </w: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Form of Contract Stock/Restricted Units Agreement (for Signing Grant) for Mr. Arduini (Incorporated by reference to Exhibit 10.4 to the</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10.38(n)</w:t>
            </w: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Form of Contract Stock/Restricted Units Agreement (for Annual Equity Awards) for Mr. Arduini (Incorporated by reference to Exhibit 10.5</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10.38(o)</w:t>
            </w:r>
          </w:p>
        </w:tc>
        <w:tc>
          <w:tcPr>
            <w:tcW w:w="10420" w:type="dxa"/>
            <w:vAlign w:val="bottom"/>
          </w:tcPr>
          <w:p>
            <w:pPr>
              <w:ind w:left="240"/>
              <w:spacing w:after="0"/>
              <w:rPr>
                <w:sz w:val="20"/>
                <w:szCs w:val="20"/>
                <w:color w:val="auto"/>
              </w:rPr>
            </w:pPr>
            <w:r>
              <w:rPr>
                <w:rFonts w:ascii="Arial" w:cs="Arial" w:eastAsia="Arial" w:hAnsi="Arial"/>
                <w:sz w:val="18"/>
                <w:szCs w:val="18"/>
                <w:color w:val="auto"/>
                <w:w w:val="97"/>
              </w:rPr>
              <w:t>Form of Non-Qualified Stock Option Agreement for Mr. Arduini (Incorporated by reference to Exhibit 10.6 to the Company’s Current</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10.38(p)</w:t>
            </w: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Form of Restricted Stock Agreement for Mr. Henneman (Incorporated by reference to Exhibit 10.7 to the Company’s Current Report on</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10.38(q)</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Form of Restricted Stock Agreement (Annual Vesting) for Mr. Henneman (Incorporated by reference to Exhibit 10.39(n) to the Company’s</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Annual Report on Form 10-K for the year ended December 31, 2011) *</w:t>
            </w:r>
          </w:p>
        </w:tc>
      </w:tr>
    </w:tbl>
    <w:p>
      <w:pPr>
        <w:spacing w:after="0" w:line="200" w:lineRule="exact"/>
        <w:rPr>
          <w:sz w:val="20"/>
          <w:szCs w:val="20"/>
          <w:color w:val="auto"/>
        </w:rPr>
      </w:pPr>
    </w:p>
    <w:p>
      <w:pPr>
        <w:sectPr>
          <w:pgSz w:w="11900" w:h="16838" w:orient="portrait"/>
          <w:cols w:equalWidth="0" w:num="1">
            <w:col w:w="11320"/>
          </w:cols>
          <w:pgMar w:left="280" w:top="530" w:right="29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20"/>
          </w:cols>
          <w:pgMar w:left="280" w:top="530" w:right="29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10.39</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Asset Purchase Agreement, dated as of September 7, 2005, by and between Tyco Healthcare Group LP and Sherwood Services, AG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Integra LifeSciences Corporation and Integra LifeSciences (Ireland) Limited (Incorporated by reference to Exhibit 10.1 to the Company’s</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Current Report on Form 8-K filed on September 13, 2005)</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10.40</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Stock Purchase Agreement, dated as of April 19, 2006, by and between ASP/Miltex LLC and Integra LifeSciences Corporation (Incorporated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by reference to Exhibit 10.1 to the Company’s Current Report on Form 8-K filed on April 25, 2006)</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10.41</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Stock Agreement and Plan of Merger, dated as of June 30, 2006, by and between Integra LifeSciences Corporation, Integra California, Inc.,</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Kinetikos Medical, Inc., Telegraph Hill Partners Management LLC, as Shareholders Representative, and the Shareholders party thereto</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10.1 to the Company’s Current Report on Form 8-K filed on July 7, 2006)</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10.42</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Amended and Restated Management Incentive Compensation Plan, as of January 1, 2008 (Incorporated by reference to Exhibit 10.43(c) to</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the Company’s Annual Report on Form 10-K for the year ended December 31, 2007)*</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10.43</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Form of 2010 Convertible Bond Hedge Transaction Confirmation, dated June 6, 2007, between Integra LifeSciences Holdings Corporation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and dealer (Incorporated by reference to Exhibit 10.1 to the Company’s Current Report on Form 8-K filed on June 12, 2007)</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10.44</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Form of 2012 Convertible Bond Hedge Transaction Confirmation, dated June 6, 2007, between Integra LifeSciences Holdings Corporation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and dealer (Incorporated by reference to Exhibit 10.2 to the Company’s Current Report on Form 8-K filed on June 12, 2007)</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10.45</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Form of 2010 Amended and Restated Issuer Warrant Transaction Confirmation, dated June 6, 2007, between Integra LifeSciences Holdings</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Corporation and dealer (Incorporated by reference to Exhibit 10.3 to the Company’s Current Report on Form 8-K filed on June 12, 2007)</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10.46</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Form of 2012 Amended and Restated Issuer Warrant Transaction Confirmation, dated June 6, 2007, between Integra LifeSciences Holdings</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Corporation and dealer (Incorporated by reference to Exhibit 10.4 to the Company’s Current Report on Form 8-K filed on June 12, 2007)</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10.47</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regarding the Base Call Option Transaction (Incorporated by reference to Exhibit 10.4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10.48</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Call Option Transaction (Incorporated by reference to Exhibit 10.8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10.49</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the Base Call Option Transaction (Incorporated by reference to Exhibit 10.6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10.50</w:t>
            </w: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Letter Agreement, dated June 9, 2011, between Wells Fargo Bank, National Association and Integra LifeSciences Holdings Corporation,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regarding the Base Call Option Transaction (Incorporated by reference to Exhibit 10.2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10.51</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regarding the Base Warrant Transaction (Incorporated by reference to Exhibit 10.3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10.52</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Warrant Transaction (Incorporated by reference to Exhibit 10.7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10.53</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the Base Warrant Transaction (Incorporated by reference to Exhibit 10.5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10.54</w:t>
            </w: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Letter Agreement, dated June 9, 2011, between Wells Fargo Bank, National Association and Integra LifeSciences Holdings Corporation,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regarding the Base Warrant Transaction (Incorporated by reference to Exhibit 10.1 to the Company’s Form 8-K filed on June 15, 2011)</w:t>
            </w:r>
          </w:p>
        </w:tc>
      </w:tr>
      <w:tr>
        <w:trPr>
          <w:trHeight w:val="648"/>
        </w:trPr>
        <w:tc>
          <w:tcPr>
            <w:tcW w:w="780" w:type="dxa"/>
            <w:vAlign w:val="bottom"/>
          </w:tcPr>
          <w:p>
            <w:pPr>
              <w:spacing w:after="0"/>
              <w:rPr>
                <w:sz w:val="24"/>
                <w:szCs w:val="24"/>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340"/>
          </w:cols>
          <w:pgMar w:left="280" w:top="530" w:right="279" w:bottom="1440" w:gutter="0" w:footer="0" w:header="0"/>
        </w:sectPr>
      </w:pPr>
    </w:p>
    <w:bookmarkStart w:id="56" w:name="page57"/>
    <w:bookmarkEnd w:id="56"/>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10.55</w:t>
            </w:r>
          </w:p>
        </w:tc>
        <w:tc>
          <w:tcPr>
            <w:tcW w:w="1040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10.9 to the Company’s Form 8-K filed on June 15,</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10.56</w:t>
            </w: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8"/>
              </w:rPr>
              <w:t>Additional Call Option Transaction (Incorporated by reference to Exhibit 10.10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10.57</w:t>
            </w:r>
          </w:p>
        </w:tc>
        <w:tc>
          <w:tcPr>
            <w:tcW w:w="10400" w:type="dxa"/>
            <w:vAlign w:val="bottom"/>
          </w:tcPr>
          <w:p>
            <w:pPr>
              <w:ind w:left="2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5"/>
              </w:rPr>
              <w:t>the Additional Call Option Transaction (Incorporated by reference to Exhibit 10.11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10.58</w:t>
            </w:r>
          </w:p>
        </w:tc>
        <w:tc>
          <w:tcPr>
            <w:tcW w:w="10400" w:type="dxa"/>
            <w:vAlign w:val="bottom"/>
          </w:tcPr>
          <w:p>
            <w:pPr>
              <w:ind w:left="260"/>
              <w:spacing w:after="0"/>
              <w:rPr>
                <w:sz w:val="20"/>
                <w:szCs w:val="20"/>
                <w:color w:val="auto"/>
              </w:rPr>
            </w:pPr>
            <w:r>
              <w:rPr>
                <w:rFonts w:ascii="Arial" w:cs="Arial" w:eastAsia="Arial" w:hAnsi="Arial"/>
                <w:sz w:val="18"/>
                <w:szCs w:val="18"/>
                <w:color w:val="auto"/>
                <w:w w:val="92"/>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2"/>
              </w:rPr>
              <w:t>regarding the Additional Call Option Transaction (Incorporated by reference to Exhibit 10.12 to the Company’s Form 8-K filed on June 15,</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10.59</w:t>
            </w:r>
          </w:p>
        </w:tc>
        <w:tc>
          <w:tcPr>
            <w:tcW w:w="1040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regarding the Additional Warrant Transaction (Incorporated by reference to Exhibit 10.13 to the Company’s Form 8-K filed on June 15,</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10.60</w:t>
            </w: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Additional Warrant Transaction (Incorporated by reference to Exhibit 10.14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10.61</w:t>
            </w:r>
          </w:p>
        </w:tc>
        <w:tc>
          <w:tcPr>
            <w:tcW w:w="10400" w:type="dxa"/>
            <w:vAlign w:val="bottom"/>
          </w:tcPr>
          <w:p>
            <w:pPr>
              <w:ind w:left="2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7"/>
              </w:rPr>
              <w:t>the Additional Warrant Transaction (Incorporated by reference to Exhibit 10.15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10.62</w:t>
            </w:r>
          </w:p>
        </w:tc>
        <w:tc>
          <w:tcPr>
            <w:tcW w:w="10400" w:type="dxa"/>
            <w:vAlign w:val="bottom"/>
          </w:tcPr>
          <w:p>
            <w:pPr>
              <w:ind w:left="260"/>
              <w:spacing w:after="0"/>
              <w:rPr>
                <w:sz w:val="20"/>
                <w:szCs w:val="20"/>
                <w:color w:val="auto"/>
              </w:rPr>
            </w:pPr>
            <w:r>
              <w:rPr>
                <w:rFonts w:ascii="Arial" w:cs="Arial" w:eastAsia="Arial" w:hAnsi="Arial"/>
                <w:sz w:val="18"/>
                <w:szCs w:val="18"/>
                <w:color w:val="auto"/>
                <w:w w:val="92"/>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regarding the Additional Warrant Transaction (Incorporated by reference to Exhibit 10.16 to the Company’s Form 8-K filed on June 15,</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10.63</w:t>
            </w:r>
          </w:p>
        </w:tc>
        <w:tc>
          <w:tcPr>
            <w:tcW w:w="10400" w:type="dxa"/>
            <w:vAlign w:val="bottom"/>
          </w:tcPr>
          <w:p>
            <w:pPr>
              <w:ind w:left="260"/>
              <w:spacing w:after="0"/>
              <w:rPr>
                <w:sz w:val="20"/>
                <w:szCs w:val="20"/>
                <w:color w:val="auto"/>
              </w:rPr>
            </w:pPr>
            <w:r>
              <w:rPr>
                <w:rFonts w:ascii="Arial" w:cs="Arial" w:eastAsia="Arial" w:hAnsi="Arial"/>
                <w:sz w:val="18"/>
                <w:szCs w:val="18"/>
                <w:color w:val="auto"/>
                <w:w w:val="90"/>
              </w:rPr>
              <w:t>Unit Purchase Agreement, dated as of July 23, 2008, by and among Integra LifeSciences Holdings Corporation, Theken Spine LLC, Randall</w:t>
            </w:r>
          </w:p>
        </w:tc>
      </w:tr>
      <w:tr>
        <w:trPr>
          <w:trHeight w:val="216"/>
        </w:trPr>
        <w:tc>
          <w:tcPr>
            <w:tcW w:w="880" w:type="dxa"/>
            <w:vAlign w:val="bottom"/>
          </w:tcPr>
          <w:p>
            <w:pPr>
              <w:spacing w:after="0"/>
              <w:rPr>
                <w:sz w:val="18"/>
                <w:szCs w:val="18"/>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1"/>
              </w:rPr>
              <w:t>R. Theken and the other members of Theken Spine, LLC party thereto (Incorporated by reference to Exhibit 10.1 to the Company’s Current</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Report on Form 8-K filed on July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10.64</w:t>
            </w:r>
          </w:p>
        </w:tc>
        <w:tc>
          <w:tcPr>
            <w:tcW w:w="10400" w:type="dxa"/>
            <w:vAlign w:val="bottom"/>
          </w:tcPr>
          <w:p>
            <w:pPr>
              <w:ind w:left="260"/>
              <w:spacing w:after="0"/>
              <w:rPr>
                <w:sz w:val="20"/>
                <w:szCs w:val="20"/>
                <w:color w:val="auto"/>
              </w:rPr>
            </w:pPr>
            <w:r>
              <w:rPr>
                <w:rFonts w:ascii="Arial" w:cs="Arial" w:eastAsia="Arial" w:hAnsi="Arial"/>
                <w:sz w:val="18"/>
                <w:szCs w:val="18"/>
                <w:color w:val="auto"/>
                <w:w w:val="92"/>
              </w:rPr>
              <w:t>Form of Indemnification Agreement for Non-Employee Directors and Officers (Incorporated by reference to Exhibit 10.1 to the Company’s</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Current Report on Form 8-K filed on December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10.65</w:t>
            </w:r>
          </w:p>
        </w:tc>
        <w:tc>
          <w:tcPr>
            <w:tcW w:w="10400" w:type="dxa"/>
            <w:vAlign w:val="bottom"/>
          </w:tcPr>
          <w:p>
            <w:pPr>
              <w:ind w:left="260"/>
              <w:spacing w:after="0"/>
              <w:rPr>
                <w:sz w:val="20"/>
                <w:szCs w:val="20"/>
                <w:color w:val="auto"/>
              </w:rPr>
            </w:pPr>
            <w:r>
              <w:rPr>
                <w:rFonts w:ascii="Arial" w:cs="Arial" w:eastAsia="Arial" w:hAnsi="Arial"/>
                <w:sz w:val="18"/>
                <w:szCs w:val="18"/>
                <w:color w:val="auto"/>
                <w:w w:val="95"/>
              </w:rPr>
              <w:t>Piggyback Registration Rights Agreement dated December 22, 2008 between Integra LifeSciences Holdings Corporation and George</w:t>
            </w:r>
          </w:p>
        </w:tc>
      </w:tr>
      <w:tr>
        <w:trPr>
          <w:trHeight w:val="216"/>
        </w:trPr>
        <w:tc>
          <w:tcPr>
            <w:tcW w:w="880" w:type="dxa"/>
            <w:vAlign w:val="bottom"/>
          </w:tcPr>
          <w:p>
            <w:pPr>
              <w:spacing w:after="0"/>
              <w:rPr>
                <w:sz w:val="18"/>
                <w:szCs w:val="18"/>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5"/>
              </w:rPr>
              <w:t>Heenan, Thomas Gilliam and Michael Evers, as trustees of The Bruce A. LeVahn 2008 Trust and Steven M. LeVahn (Incorporated by</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on December 29,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10.66(a)</w:t>
            </w:r>
          </w:p>
        </w:tc>
        <w:tc>
          <w:tcPr>
            <w:tcW w:w="10400" w:type="dxa"/>
            <w:vAlign w:val="bottom"/>
          </w:tcPr>
          <w:p>
            <w:pPr>
              <w:ind w:left="260"/>
              <w:spacing w:after="0"/>
              <w:rPr>
                <w:sz w:val="20"/>
                <w:szCs w:val="20"/>
                <w:color w:val="auto"/>
              </w:rPr>
            </w:pPr>
            <w:r>
              <w:rPr>
                <w:rFonts w:ascii="Arial" w:cs="Arial" w:eastAsia="Arial" w:hAnsi="Arial"/>
                <w:sz w:val="18"/>
                <w:szCs w:val="18"/>
                <w:color w:val="auto"/>
                <w:w w:val="90"/>
              </w:rPr>
              <w:t>Lease Agreement between 109 Morgan Lane, LLC and Integra LifeSciences Corporation, dated May 15, 2008 (Incorporated by reference to</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Exhibit 10.10 to the Company’s 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10.66(b)</w:t>
            </w:r>
          </w:p>
        </w:tc>
        <w:tc>
          <w:tcPr>
            <w:tcW w:w="10400" w:type="dxa"/>
            <w:vAlign w:val="bottom"/>
          </w:tcPr>
          <w:p>
            <w:pPr>
              <w:ind w:left="260"/>
              <w:spacing w:after="0"/>
              <w:rPr>
                <w:sz w:val="20"/>
                <w:szCs w:val="20"/>
                <w:color w:val="auto"/>
              </w:rPr>
            </w:pPr>
            <w:r>
              <w:rPr>
                <w:rFonts w:ascii="Arial" w:cs="Arial" w:eastAsia="Arial" w:hAnsi="Arial"/>
                <w:sz w:val="18"/>
                <w:szCs w:val="18"/>
                <w:color w:val="auto"/>
                <w:w w:val="96"/>
              </w:rPr>
              <w:t>First Amendment to Lease Agreement between 109 Morgan Lane, LLC and Integra LifeSciences Corporation, dated March 9, 2009</w:t>
            </w: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10.9 to the Company’s Quarterly Report on Form 10-Q for the quarter ended March 31, 2009)</w:t>
            </w:r>
          </w:p>
        </w:tc>
      </w:tr>
    </w:tbl>
    <w:p>
      <w:pPr>
        <w:spacing w:after="0" w:line="229" w:lineRule="exact"/>
        <w:rPr>
          <w:sz w:val="20"/>
          <w:szCs w:val="20"/>
          <w:color w:val="auto"/>
        </w:rPr>
      </w:pPr>
    </w:p>
    <w:p>
      <w:pPr>
        <w:ind w:left="1145" w:hanging="1145"/>
        <w:spacing w:after="0" w:line="277" w:lineRule="auto"/>
        <w:tabs>
          <w:tab w:leader="none" w:pos="11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Preferability Letter of Independent Public Accounting Firm dated July 31, 2012 (Incorporated by reference to Exhibit 18.1 to the Company’s Quarterly Report on Form 10-Q for the quarter ended June 30, 2012)</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960" w:type="dxa"/>
            <w:vAlign w:val="bottom"/>
          </w:tcPr>
          <w:p>
            <w:pPr>
              <w:ind w:left="42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w:t>
            </w:r>
          </w:p>
        </w:tc>
        <w:tc>
          <w:tcPr>
            <w:tcW w:w="7960" w:type="dxa"/>
            <w:vAlign w:val="bottom"/>
          </w:tcPr>
          <w:p>
            <w:pPr>
              <w:ind w:left="420"/>
              <w:spacing w:after="0"/>
              <w:rPr>
                <w:sz w:val="20"/>
                <w:szCs w:val="20"/>
                <w:color w:val="auto"/>
              </w:rPr>
            </w:pPr>
            <w:r>
              <w:rPr>
                <w:rFonts w:ascii="Arial" w:cs="Arial" w:eastAsia="Arial" w:hAnsi="Arial"/>
                <w:sz w:val="18"/>
                <w:szCs w:val="18"/>
                <w:color w:val="auto"/>
              </w:rPr>
              <w:t>Consent of Pricewaterhouse Coopers LLP+</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7960" w:type="dxa"/>
            <w:vAlign w:val="bottom"/>
          </w:tcPr>
          <w:p>
            <w:pPr>
              <w:ind w:left="420"/>
              <w:spacing w:after="0"/>
              <w:rPr>
                <w:sz w:val="20"/>
                <w:szCs w:val="20"/>
                <w:color w:val="auto"/>
              </w:rPr>
            </w:pPr>
            <w:r>
              <w:rPr>
                <w:rFonts w:ascii="Arial" w:cs="Arial" w:eastAsia="Arial" w:hAnsi="Arial"/>
                <w:sz w:val="18"/>
                <w:szCs w:val="18"/>
                <w:color w:val="auto"/>
                <w:w w:val="91"/>
              </w:rPr>
              <w:t>Certification of Principal Executive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7960" w:type="dxa"/>
            <w:vAlign w:val="bottom"/>
          </w:tcPr>
          <w:p>
            <w:pPr>
              <w:ind w:left="42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7960" w:type="dxa"/>
            <w:vAlign w:val="bottom"/>
          </w:tcPr>
          <w:p>
            <w:pPr>
              <w:ind w:left="420"/>
              <w:spacing w:after="0"/>
              <w:rPr>
                <w:sz w:val="20"/>
                <w:szCs w:val="20"/>
                <w:color w:val="auto"/>
              </w:rPr>
            </w:pPr>
            <w:r>
              <w:rPr>
                <w:rFonts w:ascii="Arial" w:cs="Arial" w:eastAsia="Arial" w:hAnsi="Arial"/>
                <w:sz w:val="18"/>
                <w:szCs w:val="18"/>
                <w:color w:val="auto"/>
                <w:w w:val="91"/>
              </w:rPr>
              <w:t>Certification of Principal Executive Officer Pursuant to Section 906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7960" w:type="dxa"/>
            <w:vAlign w:val="bottom"/>
          </w:tcPr>
          <w:p>
            <w:pPr>
              <w:ind w:left="42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bl>
    <w:p>
      <w:pPr>
        <w:spacing w:after="0" w:line="200" w:lineRule="exact"/>
        <w:rPr>
          <w:sz w:val="20"/>
          <w:szCs w:val="20"/>
          <w:color w:val="auto"/>
        </w:rPr>
      </w:pPr>
    </w:p>
    <w:p>
      <w:pPr>
        <w:sectPr>
          <w:pgSz w:w="11900" w:h="16838" w:orient="portrait"/>
          <w:cols w:equalWidth="0" w:num="1">
            <w:col w:w="11285"/>
          </w:cols>
          <w:pgMar w:left="275" w:top="530" w:right="339" w:bottom="1440" w:gutter="0" w:footer="0" w:header="0"/>
        </w:sectPr>
      </w:pPr>
    </w:p>
    <w:p>
      <w:pPr>
        <w:spacing w:after="0" w:line="218" w:lineRule="exact"/>
        <w:rPr>
          <w:sz w:val="20"/>
          <w:szCs w:val="20"/>
          <w:color w:val="auto"/>
        </w:rPr>
      </w:pPr>
    </w:p>
    <w:p>
      <w:pPr>
        <w:jc w:val="center"/>
        <w:ind w:right="-64"/>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85"/>
          </w:cols>
          <w:pgMar w:left="275" w:top="530" w:right="339" w:bottom="1440" w:gutter="0" w:footer="0" w:header="0"/>
          <w:type w:val="continuous"/>
        </w:sectPr>
      </w:pPr>
    </w:p>
    <w:bookmarkStart w:id="57" w:name="page58"/>
    <w:bookmarkEnd w:id="57"/>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240" w:type="dxa"/>
            <w:vAlign w:val="bottom"/>
          </w:tcPr>
          <w:p>
            <w:pPr>
              <w:ind w:left="240"/>
              <w:spacing w:after="0"/>
              <w:rPr>
                <w:sz w:val="20"/>
                <w:szCs w:val="20"/>
                <w:color w:val="auto"/>
              </w:rPr>
            </w:pPr>
            <w:r>
              <w:rPr>
                <w:rFonts w:ascii="Arial" w:cs="Arial" w:eastAsia="Arial" w:hAnsi="Arial"/>
                <w:sz w:val="18"/>
                <w:szCs w:val="18"/>
                <w:color w:val="auto"/>
                <w:w w:val="91"/>
              </w:rPr>
              <w:t>Letter, dated December 21, 2011, from the United States Food and Drug Administration to Integra LifeSciences Corporation (Incorporated</w:t>
            </w:r>
          </w:p>
        </w:tc>
      </w:tr>
      <w:tr>
        <w:trPr>
          <w:trHeight w:val="230"/>
        </w:trPr>
        <w:tc>
          <w:tcPr>
            <w:tcW w:w="90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by reference to Exhibit 99.1 to the Company’s Current Report on Form 8-K filed on January 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99.2</w:t>
            </w:r>
          </w:p>
        </w:tc>
        <w:tc>
          <w:tcPr>
            <w:tcW w:w="10240" w:type="dxa"/>
            <w:vAlign w:val="bottom"/>
          </w:tcPr>
          <w:p>
            <w:pPr>
              <w:ind w:left="240"/>
              <w:spacing w:after="0"/>
              <w:rPr>
                <w:sz w:val="20"/>
                <w:szCs w:val="20"/>
                <w:color w:val="auto"/>
              </w:rPr>
            </w:pPr>
            <w:r>
              <w:rPr>
                <w:rFonts w:ascii="Arial" w:cs="Arial" w:eastAsia="Arial" w:hAnsi="Arial"/>
                <w:sz w:val="18"/>
                <w:szCs w:val="18"/>
                <w:color w:val="auto"/>
                <w:w w:val="97"/>
              </w:rPr>
              <w:t>Food and Drug Administration Form FDA-483, dated July 30, 2012, relating to inspection of Plainsboro, NJ manufacturing facility</w:t>
            </w:r>
          </w:p>
        </w:tc>
      </w:tr>
      <w:tr>
        <w:trPr>
          <w:trHeight w:val="230"/>
        </w:trPr>
        <w:tc>
          <w:tcPr>
            <w:tcW w:w="90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w w:val="96"/>
              </w:rPr>
              <w:t>(Incorporated by reference to Exhibit 99.1 to the Company’s Quarterly Report on Form 10-Q for the quarter ended June 30,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99.3</w:t>
            </w:r>
          </w:p>
        </w:tc>
        <w:tc>
          <w:tcPr>
            <w:tcW w:w="10240" w:type="dxa"/>
            <w:vAlign w:val="bottom"/>
          </w:tcPr>
          <w:p>
            <w:pPr>
              <w:ind w:left="240"/>
              <w:spacing w:after="0"/>
              <w:rPr>
                <w:sz w:val="20"/>
                <w:szCs w:val="20"/>
                <w:color w:val="auto"/>
              </w:rPr>
            </w:pPr>
            <w:r>
              <w:rPr>
                <w:rFonts w:ascii="Arial" w:cs="Arial" w:eastAsia="Arial" w:hAnsi="Arial"/>
                <w:sz w:val="18"/>
                <w:szCs w:val="18"/>
                <w:color w:val="auto"/>
                <w:w w:val="93"/>
              </w:rPr>
              <w:t>Letter, dated November 1, 2012, from the United States Food and Drug Administration to Integra NeuroSciences Ltd. (Incorporated by</w:t>
            </w:r>
          </w:p>
        </w:tc>
      </w:tr>
      <w:tr>
        <w:trPr>
          <w:trHeight w:val="230"/>
        </w:trPr>
        <w:tc>
          <w:tcPr>
            <w:tcW w:w="90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November 13, 2012)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40" w:right="5760" w:hanging="5"/>
        <w:spacing w:after="0" w:line="497" w:lineRule="auto"/>
        <w:tabs>
          <w:tab w:leader="none" w:pos="27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ind w:left="260" w:right="40" w:hanging="225"/>
        <w:spacing w:after="0" w:line="302" w:lineRule="auto"/>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Annual Report on Form 10-K for the year ended December 31, 2012 filed on February 26, 2013 formatted in XBRL (Extensible Business Reporting Language): (i) the Consolidated Statements of Operations, (ii) the Consolidated Balance Sheets, (iii) Parenthetical Data to the Consolidated Balance Sheets, (iv) the Consolidated Statements of Cash Flows, (v) the Consolidated Statements of Changes in Stockholders’ Equity, and (vi) Notes to Consolidated Financial Statements, is furnished electronically herewith.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530" w:right="4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CORPORATION</w:t>
      </w:r>
    </w:p>
    <w:p>
      <w:pPr>
        <w:spacing w:after="0" w:line="373"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02" w:right="2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2"/>
          </w:tcPr>
          <w:p>
            <w:pPr>
              <w:jc w:val="center"/>
              <w:ind w:right="1860"/>
              <w:spacing w:after="0"/>
              <w:rPr>
                <w:sz w:val="20"/>
                <w:szCs w:val="20"/>
                <w:color w:val="auto"/>
              </w:rPr>
            </w:pPr>
            <w:r>
              <w:rPr>
                <w:rFonts w:ascii="Arial" w:cs="Arial" w:eastAsia="Arial" w:hAnsi="Arial"/>
                <w:sz w:val="16"/>
                <w:szCs w:val="16"/>
                <w:b w:val="1"/>
                <w:bCs w:val="1"/>
                <w:color w:val="auto"/>
                <w:w w:val="89"/>
              </w:rPr>
              <w:t>Signature</w:t>
            </w:r>
          </w:p>
        </w:tc>
        <w:tc>
          <w:tcPr>
            <w:tcW w:w="4280" w:type="dxa"/>
            <w:vAlign w:val="bottom"/>
            <w:gridSpan w:val="3"/>
          </w:tcPr>
          <w:p>
            <w:pPr>
              <w:jc w:val="center"/>
              <w:ind w:left="111"/>
              <w:spacing w:after="0"/>
              <w:rPr>
                <w:sz w:val="20"/>
                <w:szCs w:val="20"/>
                <w:color w:val="auto"/>
              </w:rPr>
            </w:pPr>
            <w:r>
              <w:rPr>
                <w:rFonts w:ascii="Arial" w:cs="Arial" w:eastAsia="Arial" w:hAnsi="Arial"/>
                <w:sz w:val="16"/>
                <w:szCs w:val="16"/>
                <w:b w:val="1"/>
                <w:bCs w:val="1"/>
                <w:color w:val="auto"/>
                <w:w w:val="97"/>
              </w:rPr>
              <w:t>Title</w:t>
            </w:r>
          </w:p>
        </w:tc>
        <w:tc>
          <w:tcPr>
            <w:tcW w:w="120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Peter J.Arduini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2"/>
              </w:rPr>
              <w:t>President and Chief Executive Officer,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Peter J. Arduini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and Director (Principal Executive Officer)</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John B. Henneman, III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88"/>
              </w:rPr>
              <w:t>Corporate Vice President, Finance and</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280" w:type="dxa"/>
            <w:vAlign w:val="bottom"/>
            <w:gridSpan w:val="3"/>
            <w:vMerge w:val="restart"/>
          </w:tcPr>
          <w:p>
            <w:pPr>
              <w:jc w:val="center"/>
              <w:ind w:left="111"/>
              <w:spacing w:after="0"/>
              <w:rPr>
                <w:sz w:val="20"/>
                <w:szCs w:val="20"/>
                <w:color w:val="auto"/>
              </w:rPr>
            </w:pPr>
            <w:r>
              <w:rPr>
                <w:rFonts w:ascii="Arial" w:cs="Arial" w:eastAsia="Arial" w:hAnsi="Arial"/>
                <w:sz w:val="18"/>
                <w:szCs w:val="18"/>
                <w:color w:val="auto"/>
                <w:w w:val="94"/>
              </w:rPr>
              <w:t>Administration, and Chief Financial Officer</w:t>
            </w: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8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John B. Henneman, III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(Principal Financial Officer)</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80" w:type="dxa"/>
            <w:vAlign w:val="bottom"/>
            <w:gridSpan w:val="3"/>
            <w:vMerge w:val="continue"/>
          </w:tcPr>
          <w:p>
            <w:pPr>
              <w:spacing w:after="0"/>
              <w:rPr>
                <w:sz w:val="7"/>
                <w:szCs w:val="7"/>
                <w:color w:val="auto"/>
              </w:rPr>
            </w:pPr>
          </w:p>
        </w:tc>
        <w:tc>
          <w:tcPr>
            <w:tcW w:w="2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 Jerry E. Corbin</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1"/>
              </w:rPr>
              <w:t>Corporate Vice President and Corporate Controller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Jerry E. Corbin</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(Principal Accounting Officer)</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Stuart M. Essig</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0"/>
              </w:rPr>
              <w:t>Chairman of the Board</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Stuart M. Essig</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 Richard E. Caruso, Ph.D.</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Richard E. Caruso,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Keith Bradley, Ph.D.</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Keith Bradley,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 Neal Moszkowski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3"/>
              </w:rPr>
              <w:t>Neal Moszkowski</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 Raymond G. Murphy</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Raymond G. Murphy</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/s/ Christian Schade</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8"/>
              </w:rPr>
              <w:t>Christian Schade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James M. Sullivan</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James M. Sullivan</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Anne M. VanLent</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3"/>
              </w:rPr>
              <w:t>Anne M. VanLent</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1387" w:right="1440" w:bottom="1440" w:gutter="0" w:footer="0" w:header="0"/>
        </w:sectPr>
      </w:pPr>
    </w:p>
    <w:bookmarkStart w:id="60" w:name="page61"/>
    <w:bookmarkEnd w:id="6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00" w:lineRule="exact"/>
        <w:rPr>
          <w:sz w:val="20"/>
          <w:szCs w:val="20"/>
          <w:color w:val="auto"/>
        </w:rPr>
      </w:pPr>
    </w:p>
    <w:p>
      <w:pPr>
        <w:spacing w:after="0" w:line="3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consolidated balance sheets and the related consolidated statements of operations, comprehensive income, changes in stockholders' equity and cash flows present fairly, in all material respects, the financial position of Integra LifeSciences Holdings Corporation and its subsidiaries at December 31, 2012 and 2011, and the results of their operations and their cash flows for each of the three years in the period ended December 31, 2012 in conformity with accounting principles generally accepted in the United States of America. In addition, in our opinion, the financial statement Schedule II - Valuation and Qualifying Accounts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2012,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380"/>
          </w:cols>
          <w:pgMar w:left="240" w:top="661" w:right="279" w:bottom="1440" w:gutter="0" w:footer="0" w:header="0"/>
        </w:sectPr>
      </w:pPr>
    </w:p>
    <w:bookmarkStart w:id="61" w:name="page62"/>
    <w:bookmarkEnd w:id="61"/>
    <w:p>
      <w:pPr>
        <w:jc w:val="center"/>
        <w:ind w:right="-29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Years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2010</w:t>
            </w:r>
          </w:p>
        </w:tc>
      </w:tr>
      <w:tr>
        <w:trPr>
          <w:trHeight w:val="250"/>
        </w:trPr>
        <w:tc>
          <w:tcPr>
            <w:tcW w:w="6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960" w:type="dxa"/>
            <w:vAlign w:val="bottom"/>
            <w:gridSpan w:val="6"/>
          </w:tcPr>
          <w:p>
            <w:pPr>
              <w:jc w:val="center"/>
              <w:ind w:left="31"/>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60" w:type="dxa"/>
            <w:vAlign w:val="bottom"/>
          </w:tcPr>
          <w:p>
            <w:pPr>
              <w:spacing w:after="0"/>
              <w:rPr>
                <w:sz w:val="21"/>
                <w:szCs w:val="21"/>
                <w:color w:val="auto"/>
              </w:rPr>
            </w:pPr>
          </w:p>
        </w:tc>
      </w:tr>
      <w:tr>
        <w:trPr>
          <w:trHeight w:val="27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830,871</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780,078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732,068</w:t>
            </w: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314,427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299,150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268,188</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51,451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48,114</w:t>
            </w:r>
          </w:p>
        </w:tc>
      </w:tr>
      <w:tr>
        <w:trPr>
          <w:trHeight w:val="27"/>
        </w:trPr>
        <w:tc>
          <w:tcPr>
            <w:tcW w:w="6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373,114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358,132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305,055</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12,017</w:t>
            </w:r>
          </w:p>
        </w:tc>
      </w:tr>
      <w:tr>
        <w:trPr>
          <w:trHeight w:val="27"/>
        </w:trPr>
        <w:tc>
          <w:tcPr>
            <w:tcW w:w="6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757,089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725,166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633,374</w:t>
            </w: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98,694</w:t>
            </w:r>
          </w:p>
        </w:tc>
      </w:tr>
      <w:tr>
        <w:trPr>
          <w:trHeight w:val="27"/>
        </w:trPr>
        <w:tc>
          <w:tcPr>
            <w:tcW w:w="6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(18,356)</w:t>
            </w:r>
          </w:p>
        </w:tc>
      </w:tr>
      <w:tr>
        <w:trPr>
          <w:trHeight w:val="27"/>
        </w:trPr>
        <w:tc>
          <w:tcPr>
            <w:tcW w:w="6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w:t>
            </w: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28,494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82,114</w:t>
            </w:r>
          </w:p>
        </w:tc>
      </w:tr>
      <w:tr>
        <w:trPr>
          <w:trHeight w:val="27"/>
        </w:trPr>
        <w:tc>
          <w:tcPr>
            <w:tcW w:w="6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16,445</w:t>
            </w:r>
          </w:p>
        </w:tc>
      </w:tr>
      <w:tr>
        <w:trPr>
          <w:trHeight w:val="297"/>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41,204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27,989</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65,669</w:t>
            </w:r>
          </w:p>
        </w:tc>
      </w:tr>
      <w:tr>
        <w:trPr>
          <w:trHeight w:val="237"/>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net income per common share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color w:val="auto"/>
              </w:rPr>
              <w:t>Diluted net income per common share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2.17</w:t>
            </w:r>
          </w:p>
        </w:tc>
      </w:tr>
      <w:tr>
        <w:trPr>
          <w:trHeight w:val="27"/>
        </w:trPr>
        <w:tc>
          <w:tcPr>
            <w:tcW w:w="6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(See Note 11):</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28,232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28,952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29,548</w:t>
            </w:r>
          </w:p>
        </w:tc>
      </w:tr>
      <w:tr>
        <w:trPr>
          <w:trHeight w:val="27"/>
        </w:trPr>
        <w:tc>
          <w:tcPr>
            <w:tcW w:w="6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29,495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30,149</w:t>
            </w:r>
          </w:p>
        </w:tc>
      </w:tr>
      <w:tr>
        <w:trPr>
          <w:trHeight w:val="27"/>
        </w:trPr>
        <w:tc>
          <w:tcPr>
            <w:tcW w:w="6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120"/>
          </w:cols>
          <w:pgMar w:left="240" w:top="364" w:right="5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6"/>
          </w:tcPr>
          <w:p>
            <w:pPr>
              <w:jc w:val="center"/>
              <w:ind w:left="430"/>
              <w:spacing w:after="0"/>
              <w:rPr>
                <w:sz w:val="20"/>
                <w:szCs w:val="20"/>
                <w:color w:val="auto"/>
              </w:rPr>
            </w:pPr>
            <w:r>
              <w:rPr>
                <w:rFonts w:ascii="Arial" w:cs="Arial" w:eastAsia="Arial" w:hAnsi="Arial"/>
                <w:sz w:val="18"/>
                <w:szCs w:val="18"/>
                <w:color w:val="auto"/>
                <w:w w:val="88"/>
              </w:rPr>
              <w:t>Years Ended December 31,</w:t>
            </w:r>
          </w:p>
        </w:tc>
        <w:tc>
          <w:tcPr>
            <w:tcW w:w="7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w w:val="89"/>
              </w:rPr>
              <w:t>2010</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65,669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before tax</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(10,616)</w:t>
            </w:r>
          </w:p>
        </w:tc>
      </w:tr>
      <w:tr>
        <w:trPr>
          <w:trHeight w:val="243"/>
        </w:trPr>
        <w:tc>
          <w:tcPr>
            <w:tcW w:w="5620" w:type="dxa"/>
            <w:vAlign w:val="bottom"/>
          </w:tcPr>
          <w:p>
            <w:pPr>
              <w:ind w:left="120"/>
              <w:spacing w:after="0"/>
              <w:rPr>
                <w:sz w:val="20"/>
                <w:szCs w:val="20"/>
                <w:color w:val="auto"/>
              </w:rPr>
            </w:pPr>
            <w:r>
              <w:rPr>
                <w:rFonts w:ascii="Arial" w:cs="Arial" w:eastAsia="Arial" w:hAnsi="Arial"/>
                <w:sz w:val="18"/>
                <w:szCs w:val="18"/>
                <w:color w:val="auto"/>
              </w:rPr>
              <w:t>Unrealized gain/(loss) on derivatives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Unrealized derivative gains/(losses) arising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w:t>
            </w:r>
          </w:p>
        </w:tc>
      </w:tr>
      <w:tr>
        <w:trPr>
          <w:trHeight w:val="229"/>
        </w:trPr>
        <w:tc>
          <w:tcPr>
            <w:tcW w:w="5620" w:type="dxa"/>
            <w:vAlign w:val="bottom"/>
          </w:tcPr>
          <w:p>
            <w:pPr>
              <w:ind w:left="380"/>
              <w:spacing w:after="0"/>
              <w:rPr>
                <w:sz w:val="20"/>
                <w:szCs w:val="20"/>
                <w:color w:val="auto"/>
              </w:rPr>
            </w:pPr>
            <w:r>
              <w:rPr>
                <w:rFonts w:ascii="Arial" w:cs="Arial" w:eastAsia="Arial" w:hAnsi="Arial"/>
                <w:sz w:val="18"/>
                <w:szCs w:val="18"/>
                <w:color w:val="auto"/>
                <w:w w:val="96"/>
              </w:rPr>
              <w:t>Less: Reclassification adjustments for gains/(losses) included in net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2,782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gain/(loss) 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5620" w:type="dxa"/>
            <w:vAlign w:val="bottom"/>
          </w:tcPr>
          <w:p>
            <w:pPr>
              <w:ind w:left="120"/>
              <w:spacing w:after="0"/>
              <w:rPr>
                <w:sz w:val="20"/>
                <w:szCs w:val="20"/>
                <w:color w:val="auto"/>
              </w:rPr>
            </w:pPr>
            <w:r>
              <w:rPr>
                <w:rFonts w:ascii="Arial" w:cs="Arial" w:eastAsia="Arial" w:hAnsi="Arial"/>
                <w:sz w:val="18"/>
                <w:szCs w:val="18"/>
                <w:color w:val="auto"/>
              </w:rPr>
              <w:t>Defined benefit pension plan</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gain/(loss) arising during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37"/>
        </w:trPr>
        <w:tc>
          <w:tcPr>
            <w:tcW w:w="5620" w:type="dxa"/>
            <w:vAlign w:val="bottom"/>
          </w:tcPr>
          <w:p>
            <w:pPr>
              <w:ind w:left="120"/>
              <w:spacing w:after="0"/>
              <w:rPr>
                <w:sz w:val="20"/>
                <w:szCs w:val="20"/>
                <w:color w:val="auto"/>
              </w:rPr>
            </w:pPr>
            <w:r>
              <w:rPr>
                <w:rFonts w:ascii="Arial" w:cs="Arial" w:eastAsia="Arial" w:hAnsi="Arial"/>
                <w:sz w:val="18"/>
                <w:szCs w:val="18"/>
                <w:color w:val="auto"/>
              </w:rPr>
              <w:t>Defined benefit pension plan</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before tax</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(10,583)</w:t>
            </w:r>
          </w:p>
        </w:tc>
      </w:tr>
      <w:tr>
        <w:trPr>
          <w:trHeight w:val="209"/>
        </w:trPr>
        <w:tc>
          <w:tcPr>
            <w:tcW w:w="5620" w:type="dxa"/>
            <w:vAlign w:val="bottom"/>
          </w:tcPr>
          <w:p>
            <w:pPr>
              <w:ind w:left="380"/>
              <w:spacing w:after="0"/>
              <w:rPr>
                <w:sz w:val="20"/>
                <w:szCs w:val="20"/>
                <w:color w:val="auto"/>
              </w:rPr>
            </w:pPr>
            <w:r>
              <w:rPr>
                <w:rFonts w:ascii="Arial" w:cs="Arial" w:eastAsia="Arial" w:hAnsi="Arial"/>
                <w:sz w:val="18"/>
                <w:szCs w:val="18"/>
                <w:color w:val="auto"/>
                <w:w w:val="94"/>
              </w:rPr>
              <w:t>Income tax (expense) benefit related to items in other comprehensive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r>
      <w:tr>
        <w:trPr>
          <w:trHeight w:val="324"/>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54,969</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9180"/>
          </w:cols>
          <w:pgMar w:left="1360" w:top="364" w:right="1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300" w:type="dxa"/>
            <w:vAlign w:val="bottom"/>
          </w:tcPr>
          <w:p>
            <w:pPr>
              <w:jc w:val="right"/>
              <w:ind w:right="371"/>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r>
      <w:tr>
        <w:trPr>
          <w:trHeight w:val="250"/>
        </w:trPr>
        <w:tc>
          <w:tcPr>
            <w:tcW w:w="7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100,808</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Trade accounts receivable, net of allowances of $7,221 and $6,978</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114,916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118,129</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171,806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171,261</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39,100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36,155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30,291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25,904</w:t>
            </w:r>
          </w:p>
        </w:tc>
      </w:tr>
      <w:tr>
        <w:trPr>
          <w:trHeight w:val="237"/>
        </w:trPr>
        <w:tc>
          <w:tcPr>
            <w:tcW w:w="78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453,051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452,257</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177,898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131,383</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212,267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237,122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294,067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292,980</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15,957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17,239</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13,128</w:t>
            </w:r>
          </w:p>
        </w:tc>
      </w:tr>
      <w:tr>
        <w:trPr>
          <w:trHeight w:val="297"/>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1,163,599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1,144,109</w:t>
            </w:r>
          </w:p>
        </w:tc>
      </w:tr>
      <w:tr>
        <w:trPr>
          <w:trHeight w:val="237"/>
        </w:trPr>
        <w:tc>
          <w:tcPr>
            <w:tcW w:w="78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27,656</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4,543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28,010</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31,768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41,659</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101,868</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Long-term borrowings under senior credit facility</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321,875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179,688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convertible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352,576</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5,393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5,726</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13,955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11,613</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645,824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651,471</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7860" w:type="dxa"/>
            <w:vAlign w:val="bottom"/>
          </w:tcPr>
          <w:p>
            <w:pPr>
              <w:ind w:left="380"/>
              <w:spacing w:after="0"/>
              <w:rPr>
                <w:sz w:val="20"/>
                <w:szCs w:val="20"/>
                <w:color w:val="auto"/>
              </w:rPr>
            </w:pPr>
            <w:r>
              <w:rPr>
                <w:rFonts w:ascii="Arial" w:cs="Arial" w:eastAsia="Arial" w:hAnsi="Arial"/>
                <w:sz w:val="18"/>
                <w:szCs w:val="18"/>
                <w:color w:val="auto"/>
                <w:w w:val="90"/>
              </w:rPr>
              <w:t>Common stock; $0.01 par value; 60,000 authorized shares; 36,852 and 35,734 issued at December 31,</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860" w:type="dxa"/>
            <w:vAlign w:val="bottom"/>
          </w:tcPr>
          <w:p>
            <w:pPr>
              <w:ind w:left="380"/>
              <w:spacing w:after="0"/>
              <w:rPr>
                <w:sz w:val="20"/>
                <w:szCs w:val="20"/>
                <w:color w:val="auto"/>
              </w:rPr>
            </w:pPr>
            <w:r>
              <w:rPr>
                <w:rFonts w:ascii="Arial" w:cs="Arial" w:eastAsia="Arial" w:hAnsi="Arial"/>
                <w:sz w:val="18"/>
                <w:szCs w:val="18"/>
                <w:color w:val="auto"/>
              </w:rPr>
              <w:t>2012 and 2011, respectively</w:t>
            </w:r>
          </w:p>
        </w:tc>
        <w:tc>
          <w:tcPr>
            <w:tcW w:w="28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357</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587,301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607,676</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Treasury stock, at cost; 8,903 shares at December 31, 2012 and 2011, respectively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(367,121)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(367,121)</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6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7860" w:type="dxa"/>
            <w:vAlign w:val="bottom"/>
          </w:tcPr>
          <w:p>
            <w:pPr>
              <w:ind w:left="620"/>
              <w:spacing w:after="0"/>
              <w:rPr>
                <w:sz w:val="20"/>
                <w:szCs w:val="20"/>
                <w:color w:val="auto"/>
              </w:rPr>
            </w:pPr>
            <w:r>
              <w:rPr>
                <w:rFonts w:ascii="Arial" w:cs="Arial" w:eastAsia="Arial" w:hAnsi="Arial"/>
                <w:sz w:val="18"/>
                <w:szCs w:val="18"/>
                <w:color w:val="auto"/>
              </w:rPr>
              <w:t>Unrealized (loss) gain on derivatives, net of tax</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302,023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260,819</w:t>
            </w:r>
          </w:p>
        </w:tc>
      </w:tr>
      <w:tr>
        <w:trPr>
          <w:trHeight w:val="237"/>
        </w:trPr>
        <w:tc>
          <w:tcPr>
            <w:tcW w:w="786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517,775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492,638</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1,163,599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1,144,109</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00"/>
          </w:cols>
          <w:pgMar w:left="240" w:top="364"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2010</w:t>
            </w:r>
          </w:p>
        </w:tc>
      </w:tr>
      <w:tr>
        <w:trPr>
          <w:trHeight w:val="250"/>
        </w:trPr>
        <w:tc>
          <w:tcPr>
            <w:tcW w:w="6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41,204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27,989</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65,669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52,611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50,172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39,172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 provision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4,128</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9,051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26,805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17,209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1,490</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Non-cash interest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8,520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10,591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7,125</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accreted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(6,599)</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 net of business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(3,783)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(7,374)</w:t>
            </w:r>
          </w:p>
        </w:tc>
      </w:tr>
      <w:tr>
        <w:trPr>
          <w:trHeight w:val="237"/>
        </w:trPr>
        <w:tc>
          <w:tcPr>
            <w:tcW w:w="672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(6,452)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37"/>
        </w:trPr>
        <w:tc>
          <w:tcPr>
            <w:tcW w:w="672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6,736</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r>
      <w:tr>
        <w:trPr>
          <w:trHeight w:val="237"/>
        </w:trPr>
        <w:tc>
          <w:tcPr>
            <w:tcW w:w="6720" w:type="dxa"/>
            <w:vAlign w:val="bottom"/>
          </w:tcPr>
          <w:p>
            <w:pPr>
              <w:ind w:left="480"/>
              <w:spacing w:after="0"/>
              <w:rPr>
                <w:sz w:val="20"/>
                <w:szCs w:val="20"/>
                <w:color w:val="auto"/>
              </w:rPr>
            </w:pPr>
            <w:r>
              <w:rPr>
                <w:rFonts w:ascii="Arial" w:cs="Arial" w:eastAsia="Arial" w:hAnsi="Arial"/>
                <w:sz w:val="16"/>
                <w:szCs w:val="16"/>
                <w:color w:val="auto"/>
              </w:rPr>
              <w:t>Other non-current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(7,531)</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58,715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105,571</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used in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(5,178)</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(69,031)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(38,425)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(37,138)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Purchases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Maturities of short-term investments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64,940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(79,276)</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(42,316)</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Borrowings under senior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105,000</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Repayments under senior credit facility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(16,875)</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liability component of convertible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Proceeds from equity component of convertible notes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43,170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sale of stock purchase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Purchase of option hedge on convertible notes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(42,895)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 of liability component of convertible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(71,351)</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(6,796)</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Purchases of treasury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(31,278)</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Proceeds from exercised stock options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16,146</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Excess tax benefits from stock-based compensation arrangements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3,580</w:t>
            </w:r>
          </w:p>
        </w:tc>
      </w:tr>
      <w:tr>
        <w:trPr>
          <w:trHeight w:val="217"/>
        </w:trPr>
        <w:tc>
          <w:tcPr>
            <w:tcW w:w="6720" w:type="dxa"/>
            <w:vAlign w:val="bottom"/>
          </w:tcPr>
          <w:p>
            <w:pPr>
              <w:ind w:left="70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60,137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(1,574)</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(4,809)</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(27,955)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56,872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71,891</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96,938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100,808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128,763</w:t>
            </w: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380"/>
          </w:cols>
          <w:pgMar w:left="260" w:top="369"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66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680" w:type="dxa"/>
            <w:vAlign w:val="bottom"/>
            <w:gridSpan w:val="4"/>
          </w:tcPr>
          <w:p>
            <w:pPr>
              <w:jc w:val="right"/>
              <w:ind w:right="328"/>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3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 Other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2"/>
                <w:szCs w:val="2"/>
                <w:color w:val="auto"/>
              </w:rPr>
            </w:pPr>
          </w:p>
        </w:tc>
        <w:tc>
          <w:tcPr>
            <w:tcW w:w="12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2"/>
                <w:szCs w:val="2"/>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Shares</w:t>
            </w: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49"/>
        </w:trPr>
        <w:tc>
          <w:tcPr>
            <w:tcW w:w="4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5"/>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2009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(252,380)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520,852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8,905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167,161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444,885</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65,669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65,669</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(loss)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(10,700)</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10,610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10,618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20,769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20,769</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Repurchase of common stock</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(858)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(31,278)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(31,278)</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Balance, December 31, 2010</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35,527</w:t>
            </w:r>
          </w:p>
        </w:tc>
        <w:tc>
          <w:tcPr>
            <w:tcW w:w="1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(6,994)</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(283,658)</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552,231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232,830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499,963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27,989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27,989</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Total comprehensive income (loss)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(7,298)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equity component on convertible notes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43,170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43,170</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Proceeds from sale of stock purchase warrants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28,451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28,451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option hedge on convertible notes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(42,895)</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 portion of convertible notes issuance costs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27,679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27,679</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(83,463)</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2011</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35,734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(367,121)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607,676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260,819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492,638</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41,204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41,204</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(loss)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(20,614)</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4"/>
                <w:szCs w:val="14"/>
                <w:color w:val="auto"/>
              </w:rPr>
              <w:t>Balance, December 31, 2012</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36,852</w:t>
            </w:r>
          </w:p>
        </w:tc>
        <w:tc>
          <w:tcPr>
            <w:tcW w:w="1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(8,903)</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(367,121)</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587,301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302,023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517,775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364" w:right="239" w:bottom="1440" w:gutter="0" w:footer="0" w:header="0"/>
        </w:sectPr>
      </w:pPr>
    </w:p>
    <w:bookmarkStart w:id="66" w:name="page67"/>
    <w:bookmarkEnd w:id="66"/>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sells its products directly through various sales forces and through a variety of other distribution channels.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 owned. All significant intercompany accounts and transactions are eliminated in consolidation. See Note 3, “Acquisitions and Pro Forma Results", for details of new subsidiaries included in the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amortization periods for acquired intangible assets, discount rates and estimated projected cash flows used to value and test impairments of long-lived assets and goodwill, estimates of projected cash flows,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OUT-OF-PERIOD ADJUSTMENT</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fourth quarter of 2012, interest expense has been reduced by $3.3 million for the cumulative correction of immaterial errors in capitalized interest on our construction in progress balances related to prior periods. The $3.3 million decrease in interest expense reflects (a) $1.5 million of interest expense that should have been capitalized in previous quarters in 2012, and (b) $1.4 million and $0.4 million of interest expense that should have been capitalized in the year ended December 31, 2011 and 2010, respectively. Based upon our evaluation of relevant factors related to this matter, we concluded that the uncorrected adjustments in our previously issued consolidated financial statements for any of the periods affected are immaterial and that the impact of recording the cumulative correction in the fourth quarter of 2012 is not material to our earnings for the full year ending December 31, 2012.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purchased with original maturities of three months or less to be cash equivalents.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20"/>
          </w:cols>
          <w:pgMar w:left="240" w:top="36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3"/>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39,944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171,806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171,261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2012 or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6"/>
          <w:szCs w:val="16"/>
          <w:i w:val="1"/>
          <w:iCs w:val="1"/>
          <w:color w:val="auto"/>
        </w:rPr>
        <w:t>Internal-Use Software.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89"/>
              </w:rPr>
              <w:t>5-40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46,240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38,030</w:t>
            </w:r>
          </w:p>
        </w:tc>
        <w:tc>
          <w:tcPr>
            <w:tcW w:w="140" w:type="dxa"/>
            <w:vAlign w:val="bottom"/>
          </w:tcPr>
          <w:p>
            <w:pPr>
              <w:spacing w:after="0"/>
              <w:rPr>
                <w:sz w:val="21"/>
                <w:szCs w:val="21"/>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w w:val="89"/>
              </w:rPr>
              <w:t>1-20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production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122,556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98,731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89"/>
              </w:rPr>
              <w:t>3-20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fixtures, office equipment and information systems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57,837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52,363</w:t>
            </w:r>
          </w:p>
        </w:tc>
        <w:tc>
          <w:tcPr>
            <w:tcW w:w="140" w:type="dxa"/>
            <w:vAlign w:val="bottom"/>
          </w:tcPr>
          <w:p>
            <w:pPr>
              <w:spacing w:after="0"/>
              <w:rPr>
                <w:sz w:val="21"/>
                <w:szCs w:val="21"/>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w w:val="89"/>
              </w:rPr>
              <w:t>1-15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52,965</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316,948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252,174</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(139,050)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(120,791)</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177,898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131,383</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Depreciation expense associated with property, plant and equipment was $27.5 million, $25.5 million and $21.3 million for the years ended December 31, 2012, 2011 and 2010,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7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The Company capitalized $3.9 million of interest expense into property, plant and equipment, of which $2.1 million, $1.4 million and $0.4 million related to the first three quarters of 2012 and to the year ended December 31, 2011 and 2010, respectively. See Note 2 "Summary of Significant Accounting Policies - Out-of-Period Adjustment” to our consolidated financial statements for a further discussion.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revised its operating segments and reporting segments in connection with the change in the Company’s Chief Executive Officer (who serves as the Company’s chief operating decision maker) effective January 3, 2012. As a result, the Company reassigned the goodwill to these new reportable segments based on the relative fair value of the Company’s eight underlying reporting units as of January 1, 2012.</w:t>
      </w:r>
    </w:p>
    <w:p>
      <w:pPr>
        <w:spacing w:after="0" w:line="1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goodwill was tested annually for impairment as of June 30 of each fiscal year. Effective in the quarter ended June 30, 2012, the Company adopted a new accounting principle whereby the annual impairment review of goodwill will be performed as of July 31 of each year. The change in the annual goodwill impairment testing date was made to better align the annual goodwill impairment test with the timing of the Company’s annual strategic planning process. In line with this change, the Company performed an assessment of the goodwill in each of its reporting units during the first quarter of 2012. This change in accounting principle does not delay, accelerate or avoid an impairment charge. Accordingly, the Company believes that the change described above is preferable under the circumstances.</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July 31, 2012, the Company performed the annual goodwill impairment test. The Company first assessed the qualitative factors to determine whether it is more likely than not that the fair value of the reporting units is less than their carrying amounts. The Company performed this qualitative assessment for seven reporting units that each had an estimated fair value that was in excess of its carrying value by a significant amount. For each reporting unit, the Company weighed the relative impact of factors that are specific to the reporting unit as well as industry and macroeconomic factors. The reporting unit specific factors that were considered included the results of the most recent impairment tests, as well as financial performance and changes to the reporting units' carrying amounts since the most recent impairment tests. The Company concluded that each of the reporting unit specific and industry factors had either a positive or neutral impact on their fair values. The Company also determined that macroeconomic factors during 2012 did not have a significant impact on the discount and growth rates used for the January 1 tests. Based on the qualitative assessment, the Company concluded that for all reporting units, except U.S. Spine, it is more likely than not that their carrying values are less than their fair values at July 31, 2012.</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performed the first step of the goodwill impairment test for its U.S. Spine business. This component has $31.7 million of allocated goodwill. As a result of the annual impairment assessment, the Company determined that the fair value exceeded its carrying value by approximately 13% at July 31, 2012. However, if future results do not meet or exceed the Company's forecasts, or if unfavorable changes occur in the weighted-average cost of capital, growth assumptions for future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terminal value growth rate and/or forecasted cash flows utilized in the discounted cash flow analysis, the Company may record an impairment of this goodwill at a future date. No impairment of goodwill has been identified during any of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2012 and 2011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Spine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93,913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60,544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55,693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292,980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60,544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292,980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8"/>
              </w:rPr>
              <w:t>SeaSpine, Inc. working capital adjustment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Ascension Orthopedics, Inc. working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and other</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16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December 31, 2012</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Pr>
          <w:p>
            <w:pPr>
              <w:jc w:val="center"/>
              <w:ind w:left="1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2011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16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8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1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Completed technology</w:t>
            </w:r>
          </w:p>
        </w:tc>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 years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37,290</w:t>
            </w:r>
          </w:p>
        </w:tc>
        <w:tc>
          <w:tcPr>
            <w:tcW w:w="1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11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43,833</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w w:val="96"/>
              </w:rPr>
              <w:t>Customer relationships</w:t>
            </w:r>
          </w:p>
        </w:tc>
        <w:tc>
          <w:tcPr>
            <w:tcW w:w="1160" w:type="dxa"/>
            <w:vAlign w:val="bottom"/>
          </w:tcPr>
          <w:p>
            <w:pPr>
              <w:ind w:left="40"/>
              <w:spacing w:after="0"/>
              <w:rPr>
                <w:sz w:val="20"/>
                <w:szCs w:val="20"/>
                <w:color w:val="auto"/>
              </w:rPr>
            </w:pPr>
            <w:r>
              <w:rPr>
                <w:rFonts w:ascii="Arial" w:cs="Arial" w:eastAsia="Arial" w:hAnsi="Arial"/>
                <w:sz w:val="18"/>
                <w:szCs w:val="18"/>
                <w:color w:val="auto"/>
              </w:rPr>
              <w:t>12 years</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147,690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77,685</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11 years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147,230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(57,348)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89,882</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Trademarks/brand</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names</w:t>
            </w:r>
          </w:p>
        </w:tc>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 years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18,773</w:t>
            </w:r>
          </w:p>
        </w:tc>
        <w:tc>
          <w:tcPr>
            <w:tcW w:w="1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32 years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22,772</w:t>
            </w:r>
          </w:p>
        </w:tc>
        <w:tc>
          <w:tcPr>
            <w:tcW w:w="0" w:type="dxa"/>
            <w:vAlign w:val="bottom"/>
          </w:tcPr>
          <w:p>
            <w:pPr>
              <w:spacing w:after="0"/>
              <w:rPr>
                <w:sz w:val="1"/>
                <w:szCs w:val="1"/>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Trademarks/brand</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names</w:t>
            </w:r>
          </w:p>
        </w:tc>
        <w:tc>
          <w:tcPr>
            <w:tcW w:w="116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48,484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Indefinite</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27 years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26,904</w:t>
            </w:r>
          </w:p>
        </w:tc>
        <w:tc>
          <w:tcPr>
            <w:tcW w:w="1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26 years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28,421</w:t>
            </w:r>
          </w:p>
        </w:tc>
        <w:tc>
          <w:tcPr>
            <w:tcW w:w="0" w:type="dxa"/>
            <w:vAlign w:val="bottom"/>
          </w:tcPr>
          <w:p>
            <w:pPr>
              <w:spacing w:after="0"/>
              <w:rPr>
                <w:sz w:val="1"/>
                <w:szCs w:val="1"/>
                <w:color w:val="auto"/>
              </w:rPr>
            </w:pPr>
          </w:p>
        </w:tc>
      </w:tr>
      <w:tr>
        <w:trPr>
          <w:trHeight w:val="270"/>
        </w:trPr>
        <w:tc>
          <w:tcPr>
            <w:tcW w:w="1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4 years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3,131</w:t>
            </w:r>
          </w:p>
        </w:tc>
        <w:tc>
          <w:tcPr>
            <w:tcW w:w="1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6 years</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11,434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69"/>
        </w:trPr>
        <w:tc>
          <w:tcPr>
            <w:tcW w:w="18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212,267</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350,617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237,122</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40" w:right="28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December 31, 2012 and 2011, all other included in-process research and development of $1.7 million, which was indefinite lived. Additionally, the change in the cost and amortization of "All Other" reflects the write off of fully amortized assets.</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first quarter of 2012, the Company recorded impairment charges of $0.1 million in cost of goods sold of its U.S. Neurosurgery segment related to technology assets whose related products are being discontinued. The Company performs its assessment of the recoverability of indefinite-lived intangible assets annually during the second quarter, or more frequently as impairment indicators arise, and it is based upon a comparison of the carrying value of such assets to their estimated fair values. The Company performed its most recent annual assessment during the second quarter of 2012, which resulted in no additional impairments.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second quarter of 2011, the Company identified one indefinite-lived trade name asset that it will no longer use as a result of its rebranding strategy, which resulted in an impairment of $0.9 million. This charge has been recorded as a component of amortization expense.</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year ended December 31, 2011, the Company recorded impairment charges to finite-lived intangible assets of $2.1 million related to technology assets whose related products are being discontinued and $0.2 million related to a trade name that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2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will no longer be used because of its rebranding strategy. The Company has recorded the charges as a component of cost of goods sold and amortization expense, respectively.</w:t>
      </w:r>
    </w:p>
    <w:p>
      <w:pPr>
        <w:spacing w:after="0" w:line="1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year ended December 31, 2010, the Company recorded a $0.8 million impairment charge to finite-lived intangible assets related to several trade names. The impairment charge relates to management's decision with respect to the Company's re-branding strategy for several legacy trade names. The Company recorded the charge as a component of amortization expense.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Amortization expense for the years ended December 31, 2012, 2011 and 2010 was $25.1 million, $24.6 million and $17.9 million, respectively. Annual amortization expense is expected to approximate $19.0 million in 2013, $18.1 million in 2014, $16.3 million in 2015, $14.0 million in 2016 and $12.1 million in 2017. Amortization of product technology based intangible assets, which totaled $6.6 million, $8.2 million and $5.9 million for the years ended December 31, 2012, 2011 and 2010, respectively, is presented by the Company within cost of goods sold.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$1.0 million, $0.3 million and $0.7 million to the Integra Foundation during the years ended December 31, 2012, 2011 and 2010, respectively. These contributions were recorded in selling, general, and administrative expense.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that meet the definition of hedges in the same category as the item being hedged for cash flow presentation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assets and liabilities of foreign subsidiaries which have a functional currency other than the U.S. dollar are translated at the rate of exchange at year-end, while elements of the income statement are translated at the average exchange rates in effect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Income taxes are accounted for by using the asset and liability method in accounting for income taxes.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The Company also records interest and penalties accrued in relation to uncertain tax benefits as a component of income tax expense.</w:t>
      </w:r>
    </w:p>
    <w:p>
      <w:pPr>
        <w:spacing w:after="0" w:line="11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policy has been to leave its unremitted foreign earnings invested indefinitely outside the United States, and it intends to continue this policy. As such, taxes have not been provided on any of the remaining accumulated foreign unremitted earnings. Where it has become apparent that some or all of the undistributed earnings will be remitted in the foreseeable future, tax consequences are considered.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revenues, net, include product sales, product royalties and other revenues, such as fees received under research, licensing, distribution arrangements, research grants, and technology-related royalties.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Revenue is recognized when persuasive evidence of an arrangement exists, delivery has occurred; title and risk of loss have passed to the customer, there is a fixed or determinable sales price, and collectability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 A portion of the Company's revenue is generated from consigned inventory maintained at hospitals, distributors or with field sales representatives. For these consigned products, the Company retains title until receiving appropriate notification that the product has been used or implanted, at which time revenue is recognized.</w:t>
      </w:r>
    </w:p>
    <w:p>
      <w:pPr>
        <w:spacing w:after="0" w:line="1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14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12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9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Product royalties are estimated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revenues and estimated royalty revenues are adjusted in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period in which they become known, which is typically the following quarter. Historically, such adjustments have not been significant.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operating revenues may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7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Amounts billed to customers for shipping and handling are included in revenues. The related shipping and freight charges incurred by the Company are included in cost of goods sold. Distribution and handling costs of $13.6 million, $11.5 million and $9.6 million were recorded in selling, general and administrative expense during the years ended December 31, 2012, 2011 and 2010,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71" w:lineRule="exact"/>
        <w:rPr>
          <w:sz w:val="20"/>
          <w:szCs w:val="20"/>
          <w:color w:val="auto"/>
        </w:rPr>
      </w:pPr>
    </w:p>
    <w:p>
      <w:pPr>
        <w:jc w:val="both"/>
        <w:ind w:right="500"/>
        <w:spacing w:after="0" w:line="302" w:lineRule="auto"/>
        <w:rPr>
          <w:sz w:val="20"/>
          <w:szCs w:val="20"/>
          <w:color w:val="auto"/>
        </w:rPr>
      </w:pPr>
      <w:r>
        <w:rPr>
          <w:rFonts w:ascii="Arial" w:cs="Arial" w:eastAsia="Arial" w:hAnsi="Arial"/>
          <w:sz w:val="16"/>
          <w:szCs w:val="16"/>
          <w:color w:val="auto"/>
        </w:rPr>
        <w:t>Certain of the Company's medical devices, including monitoring systems and neurosurgical systems, are reusable and are designed to operate over long periods of time. These products are sold with warranties which may extend for up to two years from date of purchase. The Company accrues estimated product warranty costs at the time of sale based on historical experience. Any additional amounts are recorded when such costs are probable and can be reasonably estimated. The balance of the accrued warranty expense was $0.4 million at year ended December 31, 2012 and 2011.</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In-process research and development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2011 and 2010 the Company capitalized $1.7 million and $0.3 million of in-process research and development costs related to acquisitions. There were none capitalized in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exit or disposal costs.</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applies the authoritative guidance for stock-based compensation. This guidance requires companies to recognize the expense related to the fair value of their stock-based compensation awards. Stock-based compensation expense for stock option awards granted after January 1, 2006 was based on the fair value on the grant date using the binomial distribution model.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21"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recognized compensation expense for stock option awards, restricted stock awards, performance stock awards and contract stock awards on a ratable basis over the requisite service period of the award. The long form method was used in the determination of the windfall tax benefit in accordance with the guidance.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Defined benefit pension plans cover certain employees and retirees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Pension contributions are expected to be consistent over the next few years since the Germany and U.K. plans are frozen. Contributions to the plans during the years ended December 31, 2012, 2011 and 2010 were $0.8 million, $1.1 million and $1.1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11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 The current economic conditions in many southern European countries, especially Greece, Ireland, Italy, Portugal and Spain remain uncertain. Accounts receivable from customers in these countries was approximately $4.3 million at December 31, 2012, of which $0.4 million was reserved. At December 31, 2011, the accounts receivable from customers in these countries was $5.8 million, of which $0.8 million was reserved.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July 27, 2012, the Financial Accounting Standards Board issued Accounting Standards Update No. 2012-02, </w:t>
      </w:r>
      <w:r>
        <w:rPr>
          <w:rFonts w:ascii="Arial" w:cs="Arial" w:eastAsia="Arial" w:hAnsi="Arial"/>
          <w:sz w:val="17"/>
          <w:szCs w:val="17"/>
          <w:i w:val="1"/>
          <w:iCs w:val="1"/>
          <w:color w:val="auto"/>
        </w:rPr>
        <w:t>Testing Indefinite-Lived Intangible Assets for</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The revised standard is intended to reduce the cost and complexity of testing indefinite-lived intangible assets other than goodwill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by providing entities with an option to perform a "qualitative" assessment to determine whether further impairment testing is necessary. The revised standard allows an entity first to assess qualitative factors to determine whether events and circumstances indicate that it is more likely than not (that is, a likelihood of more than 50 percent) that an indefinite-lived intangible asset is impaired. If it is more likely than not that the asset is impaired, the entity must calculate the fair value of the asset, compare the fair value to its carrying amount, and record an impairment charge, if the carrying amount exceeds fair value. However, if an entity concludes that it is not more likely than not that the asset is impaired, no further action is required. The qualitative assessment is not an accounting policy election. An entity can choose to perform the qualitative assessment on none, some, or all of its indefinite-lived intangible assets. Moreover, an entity can bypass the qualitative assessment for any indefinite-lived intangible asset in any period and proceed directly to the quantitative impairment test, and then choose to perform the qualitative assessment in any subsequent period. The revised standard is effective for annual and interim impairment tests performed for fiscal years beginning after September 15, 2012. However, an entity can choose to early adopt the revised standard even if its annual or interim impairment test date is before July 27, 2012 (the date on which the revised standard was issued), provided that its financial statements for the most recent annual or interim period have not yet been issued. The Company elected to adopt this standard early and such adoption did not have a material impact on the Company's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payment of accreted interest associated with the settlement of the 2012 Convertible Notes, cash paid for interest for the years ended December 31, 2012, 2011 and 2010 was $12.0 million (net of $2.1 million that was capitalized into construction in progress), $13.2 million and $8.8 million, respectively. Cash paid for income taxes for the years ended December 31, 2012, 2011 and 2010 was $12.7 million, $14.5 million and $23.4 million, respectively. Property and equipment purchases included in liabilities at December 31, 2012, 2011 and 2010 were $9.5 million, $6.4 million and $1.1 million, respectively.</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connection with the amendment and restatement of the Company’s Senior Credit Facility during the year ended December 31, 2010, $150.0 million of the Company’s revolving credit facility was converted into a term loan, which was subsequently eliminated under the June 2011 amendment.</w:t>
      </w:r>
    </w:p>
    <w:p>
      <w:pPr>
        <w:spacing w:after="0" w:line="224" w:lineRule="exact"/>
        <w:rPr>
          <w:sz w:val="20"/>
          <w:szCs w:val="20"/>
          <w:color w:val="auto"/>
        </w:rPr>
      </w:pPr>
    </w:p>
    <w:p>
      <w:pPr>
        <w:ind w:right="7480" w:firstLine="8"/>
        <w:spacing w:after="0" w:line="346" w:lineRule="auto"/>
        <w:tabs>
          <w:tab w:leader="none" w:pos="17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PRO FORMA RESULTS </w:t>
      </w:r>
      <w:r>
        <w:rPr>
          <w:rFonts w:ascii="Arial" w:cs="Arial" w:eastAsia="Arial" w:hAnsi="Arial"/>
          <w:sz w:val="18"/>
          <w:szCs w:val="18"/>
          <w:i w:val="1"/>
          <w:iCs w:val="1"/>
          <w:u w:val="single" w:color="auto"/>
          <w:color w:val="auto"/>
        </w:rPr>
        <w:t>Ascension Orthopedics, Inc.</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September 23, 2011, the Company acquired Ascension Orthopedics, Inc. (“Ascension”) for $66.0 million, which includes amounts paid for working capital adjustments of $0.2 million less amounts received from escrow of $0.7 million. Ascension, based in Austin, Texas, develops and distributes a range of implants for the shoulder, elbow, wrist, hand, foot and ankle.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7"/>
              </w:rPr>
              <w:t>Final</w:t>
            </w:r>
          </w:p>
        </w:tc>
        <w:tc>
          <w:tcPr>
            <w:tcW w:w="170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170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Allocation</w:t>
            </w:r>
          </w:p>
        </w:tc>
        <w:tc>
          <w:tcPr>
            <w:tcW w:w="170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(Dollars in thousands)</w:t>
            </w:r>
          </w:p>
        </w:tc>
        <w:tc>
          <w:tcPr>
            <w:tcW w:w="170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12,760</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2,917</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2,398</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4,649</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 long term</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12,543</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95"/>
              </w:rPr>
              <w:t>Wtd. Avg. Life:</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7,885</w:t>
            </w:r>
          </w:p>
        </w:tc>
        <w:tc>
          <w:tcPr>
            <w:tcW w:w="1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10 years</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5,750</w:t>
            </w: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86"/>
              </w:rPr>
              <w:t>12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1,739</w:t>
            </w:r>
          </w:p>
        </w:tc>
        <w:tc>
          <w:tcPr>
            <w:tcW w:w="17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5"/>
              </w:rPr>
              <w:t>Indefinite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Supplier relationship</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4,510</w:t>
            </w: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86"/>
              </w:rPr>
              <w:t>10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1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15,460</w:t>
            </w:r>
          </w:p>
        </w:tc>
        <w:tc>
          <w:tcPr>
            <w:tcW w:w="170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71,868</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170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66,041</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Management determined the preliminary fair value of net assets acquired during the third quarter of 2011 and finalized the working capital adjustment in the second quarter of 2012. Measurement period adjustments included above reflected a decrease in the total fair value of inventory acquired and a decrease in the value of long-term deferred tax assets acquired which was recorded in the fourth quarter of 2011. The measurement period adjustments were made to reflect facts and circumstances existing as of the acquisition date, and did not result from intervening events subsequent to the acquisition date. These adjustments did not have a significant impact on the Company’s previously reported consolidated financial statements and, therefore, the Company has not retrospectively adjusted those financial statements.</w:t>
      </w:r>
    </w:p>
    <w:p>
      <w:pPr>
        <w:spacing w:after="0" w:line="1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goodwill recorded in connection with this acquisition is based on (i) expected cost savings, operating synergies and other benefits expected to result from the combined operations, (ii) the value of the going-concern element of Ascension’s existing business (that is, the higher rate of return on the assembled net assets versus if the Company had acquired all of the net assets separately), and (iii) intangible assets that do not qualify for separate recognition such as Ascension’s assembled workforce. The goodwill acquired will not be deductible for tax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SeaSpine, Inc</w:t>
      </w:r>
      <w:r>
        <w:rPr>
          <w:rFonts w:ascii="Arial" w:cs="Arial" w:eastAsia="Arial" w:hAnsi="Arial"/>
          <w:sz w:val="18"/>
          <w:szCs w:val="18"/>
          <w:u w:val="single" w:color="auto"/>
          <w:color w:val="auto"/>
        </w:rPr>
        <w:t>.</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May 23, 2011, the Company acquired all of the outstanding common stock of SeaSpine, Inc. (“SeaSpine”) for $88.7 million, which includes amounts paid for working capital adjustments of $0.3 million and indemnification holdbacks totaling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$7.4 million all of which was released to the seller prior to December 31, 2012. SeaSpine is based in Vista, California and designs, develops and manufactures spinal fixation products and synthetic bone substitute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Final</w:t>
            </w:r>
          </w:p>
        </w:tc>
        <w:tc>
          <w:tcPr>
            <w:tcW w:w="1700" w:type="dxa"/>
            <w:vAlign w:val="bottom"/>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1700" w:type="dxa"/>
            <w:vAlign w:val="bottom"/>
          </w:tcPr>
          <w:p>
            <w:pPr>
              <w:spacing w:after="0"/>
              <w:rPr>
                <w:sz w:val="12"/>
                <w:szCs w:val="12"/>
                <w:color w:val="auto"/>
              </w:rPr>
            </w:pPr>
          </w:p>
        </w:tc>
      </w:t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1700" w:type="dxa"/>
            <w:vAlign w:val="bottom"/>
          </w:tcPr>
          <w:p>
            <w:pPr>
              <w:spacing w:after="0"/>
              <w:rPr>
                <w:sz w:val="16"/>
                <w:szCs w:val="16"/>
                <w:color w:val="auto"/>
              </w:rPr>
            </w:pPr>
          </w:p>
        </w:tc>
      </w:tr>
      <w:tr>
        <w:trPr>
          <w:trHeight w:val="250"/>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1700" w:type="dxa"/>
            <w:vAlign w:val="bottom"/>
          </w:tcPr>
          <w:p>
            <w:pPr>
              <w:spacing w:after="0"/>
              <w:rPr>
                <w:sz w:val="21"/>
                <w:szCs w:val="2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14,900</w:t>
            </w:r>
          </w:p>
        </w:tc>
        <w:tc>
          <w:tcPr>
            <w:tcW w:w="17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7,608</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623</w:t>
            </w:r>
          </w:p>
        </w:tc>
        <w:tc>
          <w:tcPr>
            <w:tcW w:w="17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9,177</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tax asset—long term</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17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Wtd. Avg. Life:</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3,000</w:t>
            </w: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88"/>
              </w:rPr>
              <w:t>8 years</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41,200</w:t>
            </w:r>
          </w:p>
        </w:tc>
        <w:tc>
          <w:tcPr>
            <w:tcW w:w="1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13 years</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1,900</w:t>
            </w: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88"/>
              </w:rPr>
              <w:t>4 years</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c>
          <w:tcPr>
            <w:tcW w:w="1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1 year</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14,572</w:t>
            </w:r>
          </w:p>
        </w:tc>
        <w:tc>
          <w:tcPr>
            <w:tcW w:w="170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93,783</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5,108</w:t>
            </w:r>
          </w:p>
        </w:tc>
        <w:tc>
          <w:tcPr>
            <w:tcW w:w="170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88,675</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Management determined the preliminary fair value of net assets acquired during the second quarter of 2011 and finalized the working capital adjustment in the first quarter of 2012. Measurement period adjustments included above reflect a decrease in the total fair value of consideration to be transferred pursuant to the final working capital adjustment. These measurement period adjustments were made to reflect facts and circumstances existing as of the acquisition date, and did not result from intervening events subsequent to the acquisition date. This adjustment did not have a significant impact on the Company’s previously reported consolidated financial statements and, therefore, the Company has not retrospectively adjusted those financial statements.</w:t>
      </w:r>
    </w:p>
    <w:p>
      <w:pPr>
        <w:spacing w:after="0" w:line="10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goodwill recorded in connection with this acquisition is based on the benefits the Company expects to generate from SeaSpine’s future cash flows. For tax purposes, the Company is treating the acquisition as an asset acquisition; therefore, the goodwill will be deductible for tax purposes.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Culley Investments Pty. Ltd.</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September 2010, the Company acquired certain assets as well as the distribution rights for its extremity reconstruction product lines in Australia from Culley Investments Pty. Ltd. (“Culley”) for approximately $1.6 million (1.7 million Australian dollars) in cash. The Company had determined that this acquisition met the definition of a business under the authoritative guidance. For eight years, Culley had been the Company's distributor of these products in Australia. The acquisition provides the Company with the ability to sell orthopedic products directly to its Australian customers.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Final Purchase Price</w:t>
            </w:r>
          </w:p>
        </w:tc>
        <w:tc>
          <w:tcPr>
            <w:tcW w:w="1700" w:type="dxa"/>
            <w:vAlign w:val="bottom"/>
          </w:tcPr>
          <w:p>
            <w:pPr>
              <w:spacing w:after="0"/>
              <w:rPr>
                <w:sz w:val="14"/>
                <w:szCs w:val="14"/>
                <w:color w:val="auto"/>
              </w:rPr>
            </w:pPr>
          </w:p>
        </w:tc>
      </w:tr>
      <w:tr>
        <w:trPr>
          <w:trHeight w:val="192"/>
        </w:trPr>
        <w:tc>
          <w:tcPr>
            <w:tcW w:w="7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Allocation</w:t>
            </w:r>
          </w:p>
        </w:tc>
        <w:tc>
          <w:tcPr>
            <w:tcW w:w="1700" w:type="dxa"/>
            <w:vAlign w:val="bottom"/>
          </w:tcPr>
          <w:p>
            <w:pPr>
              <w:spacing w:after="0"/>
              <w:rPr>
                <w:sz w:val="16"/>
                <w:szCs w:val="16"/>
                <w:color w:val="auto"/>
              </w:rPr>
            </w:pPr>
          </w:p>
        </w:tc>
      </w:tr>
      <w:tr>
        <w:trPr>
          <w:trHeight w:val="250"/>
        </w:trPr>
        <w:tc>
          <w:tcPr>
            <w:tcW w:w="7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(Dollars in thousands)</w:t>
            </w:r>
          </w:p>
        </w:tc>
        <w:tc>
          <w:tcPr>
            <w:tcW w:w="1700" w:type="dxa"/>
            <w:vAlign w:val="bottom"/>
          </w:tcPr>
          <w:p>
            <w:pPr>
              <w:spacing w:after="0"/>
              <w:rPr>
                <w:sz w:val="21"/>
                <w:szCs w:val="21"/>
                <w:color w:val="auto"/>
              </w:rPr>
            </w:pPr>
          </w:p>
        </w:tc>
      </w:tr>
      <w:tr>
        <w:trPr>
          <w:trHeight w:val="25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878</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319</w:t>
            </w:r>
          </w:p>
        </w:tc>
        <w:tc>
          <w:tcPr>
            <w:tcW w:w="1700" w:type="dxa"/>
            <w:vAlign w:val="bottom"/>
          </w:tcPr>
          <w:p>
            <w:pPr>
              <w:ind w:left="320"/>
              <w:spacing w:after="0"/>
              <w:rPr>
                <w:sz w:val="20"/>
                <w:szCs w:val="20"/>
                <w:color w:val="auto"/>
              </w:rPr>
            </w:pPr>
            <w:r>
              <w:rPr>
                <w:rFonts w:ascii="Arial" w:cs="Arial" w:eastAsia="Arial" w:hAnsi="Arial"/>
                <w:sz w:val="18"/>
                <w:szCs w:val="18"/>
                <w:color w:val="auto"/>
              </w:rPr>
              <w:t>Wtd. Avg. Life:</w:t>
            </w:r>
          </w:p>
        </w:tc>
      </w:tr>
      <w:tr>
        <w:trPr>
          <w:trHeight w:val="27"/>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 Customer relationships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373</w:t>
            </w:r>
          </w:p>
        </w:tc>
        <w:tc>
          <w:tcPr>
            <w:tcW w:w="1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12 years</w:t>
            </w:r>
          </w:p>
        </w:tc>
      </w:tr>
      <w:tr>
        <w:trPr>
          <w:trHeight w:val="257"/>
        </w:trPr>
        <w:tc>
          <w:tcPr>
            <w:tcW w:w="784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1,570</w:t>
            </w:r>
          </w:p>
        </w:tc>
        <w:tc>
          <w:tcPr>
            <w:tcW w:w="1700" w:type="dxa"/>
            <w:vAlign w:val="bottom"/>
          </w:tcPr>
          <w:p>
            <w:pPr>
              <w:spacing w:after="0"/>
              <w:rPr>
                <w:sz w:val="22"/>
                <w:szCs w:val="22"/>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Welch Allyn, Inc.</w:t>
      </w:r>
    </w:p>
    <w:p>
      <w:pPr>
        <w:spacing w:after="0" w:line="9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May 2010, the Company acquired certain assets and liabilities of the surgical headlight business of Welch Allyn, Inc. (“Welch”) for approximately $2.4 million in cash and $0.2 million of working capital adjustments. The Company determined that this acquisition met the definition of a business under the authoritative guidance. The Company believes that the assets acquired will further its goal of expanding its reach into the surgical headlight market. The goodwill recorded in connection with this acquisition was based on the benefits the Company expects to generate from Welch's future cash flows and is not deductible for tax purposes.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Final Purchase Price</w:t>
            </w:r>
          </w:p>
        </w:tc>
        <w:tc>
          <w:tcPr>
            <w:tcW w:w="1740" w:type="dxa"/>
            <w:vAlign w:val="bottom"/>
          </w:tcPr>
          <w:p>
            <w:pPr>
              <w:spacing w:after="0"/>
              <w:rPr>
                <w:sz w:val="14"/>
                <w:szCs w:val="14"/>
                <w:color w:val="auto"/>
              </w:rPr>
            </w:pPr>
          </w:p>
        </w:tc>
      </w:tr>
      <w:tr>
        <w:trPr>
          <w:trHeight w:val="192"/>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1"/>
              </w:rPr>
              <w:t>Allocation</w:t>
            </w:r>
          </w:p>
        </w:tc>
        <w:tc>
          <w:tcPr>
            <w:tcW w:w="1740" w:type="dxa"/>
            <w:vAlign w:val="bottom"/>
          </w:tcPr>
          <w:p>
            <w:pPr>
              <w:spacing w:after="0"/>
              <w:rPr>
                <w:sz w:val="16"/>
                <w:szCs w:val="16"/>
                <w:color w:val="auto"/>
              </w:rPr>
            </w:pPr>
          </w:p>
        </w:tc>
      </w:tr>
      <w:tr>
        <w:trPr>
          <w:trHeight w:val="250"/>
        </w:trPr>
        <w:tc>
          <w:tcPr>
            <w:tcW w:w="7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(Dollars in thousands)</w:t>
            </w:r>
          </w:p>
        </w:tc>
        <w:tc>
          <w:tcPr>
            <w:tcW w:w="1740" w:type="dxa"/>
            <w:vAlign w:val="bottom"/>
          </w:tcPr>
          <w:p>
            <w:pPr>
              <w:spacing w:after="0"/>
              <w:rPr>
                <w:sz w:val="21"/>
                <w:szCs w:val="21"/>
                <w:color w:val="auto"/>
              </w:rPr>
            </w:pPr>
          </w:p>
        </w:tc>
      </w:tr>
      <w:tr>
        <w:trPr>
          <w:trHeight w:val="256"/>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518</w:t>
            </w:r>
          </w:p>
        </w:tc>
        <w:tc>
          <w:tcPr>
            <w:tcW w:w="1740" w:type="dxa"/>
            <w:vAlign w:val="bottom"/>
            <w:tcBorders>
              <w:bottom w:val="single" w:sz="8" w:color="CCEEFF"/>
            </w:tcBorders>
            <w:shd w:val="clear" w:color="auto" w:fill="CCEEFF"/>
          </w:tcPr>
          <w:p>
            <w:pPr>
              <w:spacing w:after="0"/>
              <w:rPr>
                <w:sz w:val="22"/>
                <w:szCs w:val="22"/>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138</w:t>
            </w:r>
          </w:p>
        </w:tc>
        <w:tc>
          <w:tcPr>
            <w:tcW w:w="17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w:t>
            </w: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40" w:type="dxa"/>
            <w:vAlign w:val="bottom"/>
          </w:tcPr>
          <w:p>
            <w:pPr>
              <w:jc w:val="center"/>
              <w:ind w:left="50"/>
              <w:spacing w:after="0"/>
              <w:rPr>
                <w:sz w:val="20"/>
                <w:szCs w:val="20"/>
                <w:color w:val="auto"/>
              </w:rPr>
            </w:pPr>
            <w:r>
              <w:rPr>
                <w:rFonts w:ascii="Arial" w:cs="Arial" w:eastAsia="Arial" w:hAnsi="Arial"/>
                <w:sz w:val="18"/>
                <w:szCs w:val="18"/>
                <w:color w:val="auto"/>
                <w:w w:val="95"/>
              </w:rPr>
              <w:t>Wtd. Avg. Life:</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490</w:t>
            </w:r>
          </w:p>
        </w:tc>
        <w:tc>
          <w:tcPr>
            <w:tcW w:w="174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6"/>
              </w:rPr>
              <w:t>15 years</w:t>
            </w: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1"/>
                <w:szCs w:val="21"/>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263</w:t>
            </w:r>
          </w:p>
        </w:tc>
        <w:tc>
          <w:tcPr>
            <w:tcW w:w="1740" w:type="dxa"/>
            <w:vAlign w:val="bottom"/>
          </w:tcPr>
          <w:p>
            <w:pPr>
              <w:jc w:val="center"/>
              <w:ind w:left="50"/>
              <w:spacing w:after="0"/>
              <w:rPr>
                <w:sz w:val="20"/>
                <w:szCs w:val="20"/>
                <w:color w:val="auto"/>
              </w:rPr>
            </w:pPr>
            <w:r>
              <w:rPr>
                <w:rFonts w:ascii="Arial" w:cs="Arial" w:eastAsia="Arial" w:hAnsi="Arial"/>
                <w:sz w:val="18"/>
                <w:szCs w:val="18"/>
                <w:color w:val="auto"/>
                <w:w w:val="88"/>
              </w:rPr>
              <w:t>6 years</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312</w:t>
            </w:r>
          </w:p>
        </w:tc>
        <w:tc>
          <w:tcPr>
            <w:tcW w:w="174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5"/>
              </w:rPr>
              <w:t>Indefinite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601</w:t>
            </w:r>
          </w:p>
        </w:tc>
        <w:tc>
          <w:tcPr>
            <w:tcW w:w="1740" w:type="dxa"/>
            <w:vAlign w:val="bottom"/>
          </w:tcPr>
          <w:p>
            <w:pPr>
              <w:spacing w:after="0"/>
              <w:rPr>
                <w:sz w:val="21"/>
                <w:szCs w:val="2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assets acquired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2,602</w:t>
            </w:r>
          </w:p>
        </w:tc>
        <w:tc>
          <w:tcPr>
            <w:tcW w:w="1740" w:type="dxa"/>
            <w:vAlign w:val="bottom"/>
            <w:tcBorders>
              <w:bottom w:val="single" w:sz="8" w:color="CCEEFF"/>
            </w:tcBorders>
            <w:shd w:val="clear" w:color="auto" w:fill="CCEEFF"/>
          </w:tcPr>
          <w:p>
            <w:pPr>
              <w:spacing w:after="0"/>
              <w:rPr>
                <w:sz w:val="22"/>
                <w:szCs w:val="22"/>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year ended December 31, 2011 as if the acquisitions completed by the Company during 2011 had been completed as of January 1, 2010. The pro forma results are based upon certain assumptions and estimates, and they give effect to actual operating results prior to the acquisitions and adjustments to reflect (i) increased interest expense, depreciation expense, intangible asset amortization and fair value inventory step-up, (ii) decreases in certain expenses that will not be recurring in the post-acquisition entity, and</w:t>
      </w:r>
    </w:p>
    <w:p>
      <w:pPr>
        <w:spacing w:after="0" w:line="2" w:lineRule="exact"/>
        <w:rPr>
          <w:sz w:val="20"/>
          <w:szCs w:val="20"/>
          <w:color w:val="auto"/>
        </w:rPr>
      </w:pPr>
    </w:p>
    <w:p>
      <w:pPr>
        <w:ind w:right="140" w:firstLine="8"/>
        <w:spacing w:after="0" w:line="255"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income taxes at a rate consistent with the Company’s statutory rate.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2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7100" w:type="dxa"/>
            <w:vAlign w:val="bottom"/>
            <w:gridSpan w:val="2"/>
          </w:tcPr>
          <w:p>
            <w:pPr>
              <w:jc w:val="center"/>
              <w:ind w:right="128"/>
              <w:spacing w:after="0"/>
              <w:rPr>
                <w:sz w:val="20"/>
                <w:szCs w:val="20"/>
                <w:color w:val="auto"/>
              </w:rPr>
            </w:pPr>
            <w:r>
              <w:rPr>
                <w:rFonts w:ascii="Arial" w:cs="Arial" w:eastAsia="Arial" w:hAnsi="Arial"/>
                <w:sz w:val="18"/>
                <w:szCs w:val="18"/>
                <w:b w:val="1"/>
                <w:bCs w:val="1"/>
                <w:color w:val="auto"/>
              </w:rPr>
              <w:t>INTEGRA LIFESCIENCES HOLDINGS CORPORATION</w:t>
            </w:r>
          </w:p>
        </w:tc>
        <w:tc>
          <w:tcPr>
            <w:tcW w:w="206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7100" w:type="dxa"/>
            <w:vAlign w:val="bottom"/>
            <w:gridSpan w:val="2"/>
          </w:tcPr>
          <w:p>
            <w:pPr>
              <w:jc w:val="center"/>
              <w:ind w:right="108"/>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2060" w:type="dxa"/>
            <w:vAlign w:val="bottom"/>
          </w:tcPr>
          <w:p>
            <w:pPr>
              <w:spacing w:after="0"/>
              <w:rPr>
                <w:sz w:val="20"/>
                <w:szCs w:val="20"/>
                <w:color w:val="auto"/>
              </w:rPr>
            </w:pPr>
          </w:p>
        </w:tc>
      </w:tr>
      <w:tr>
        <w:trPr>
          <w:trHeight w:val="852"/>
        </w:trPr>
        <w:tc>
          <w:tcPr>
            <w:tcW w:w="22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jc w:val="center"/>
              <w:ind w:right="398"/>
              <w:spacing w:after="0"/>
              <w:rPr>
                <w:sz w:val="20"/>
                <w:szCs w:val="20"/>
                <w:color w:val="auto"/>
              </w:rPr>
            </w:pPr>
            <w:r>
              <w:rPr>
                <w:rFonts w:ascii="Arial" w:cs="Arial" w:eastAsia="Arial" w:hAnsi="Arial"/>
                <w:sz w:val="14"/>
                <w:szCs w:val="14"/>
                <w:b w:val="1"/>
                <w:bCs w:val="1"/>
                <w:color w:val="auto"/>
                <w:w w:val="96"/>
              </w:rPr>
              <w:t>Year Ended</w:t>
            </w:r>
          </w:p>
        </w:tc>
      </w:tr>
      <w:tr>
        <w:trPr>
          <w:trHeight w:val="165"/>
        </w:trPr>
        <w:tc>
          <w:tcPr>
            <w:tcW w:w="22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jc w:val="center"/>
              <w:ind w:right="418"/>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2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378"/>
              <w:spacing w:after="0"/>
              <w:rPr>
                <w:sz w:val="20"/>
                <w:szCs w:val="20"/>
                <w:color w:val="auto"/>
              </w:rPr>
            </w:pPr>
            <w:r>
              <w:rPr>
                <w:rFonts w:ascii="Arial" w:cs="Arial" w:eastAsia="Arial" w:hAnsi="Arial"/>
                <w:sz w:val="14"/>
                <w:szCs w:val="14"/>
                <w:b w:val="1"/>
                <w:bCs w:val="1"/>
                <w:color w:val="auto"/>
                <w:w w:val="89"/>
              </w:rPr>
              <w:t>2011</w:t>
            </w:r>
          </w:p>
        </w:tc>
      </w:tr>
      <w:tr>
        <w:trPr>
          <w:trHeight w:val="196"/>
        </w:trPr>
        <w:tc>
          <w:tcPr>
            <w:tcW w:w="22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56"/>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7100" w:type="dxa"/>
            <w:vAlign w:val="bottom"/>
            <w:tcBorders>
              <w:bottom w:val="single" w:sz="8" w:color="CCEEFF"/>
            </w:tcBorders>
            <w:gridSpan w:val="2"/>
            <w:shd w:val="clear" w:color="auto" w:fill="CCEEFF"/>
          </w:tcPr>
          <w:p>
            <w:pPr>
              <w:ind w:left="664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811,933</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100" w:type="dxa"/>
            <w:vAlign w:val="bottom"/>
            <w:gridSpan w:val="2"/>
          </w:tcPr>
          <w:p>
            <w:pPr>
              <w:ind w:left="664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8"/>
              <w:spacing w:after="0"/>
              <w:rPr>
                <w:sz w:val="20"/>
                <w:szCs w:val="20"/>
                <w:color w:val="auto"/>
              </w:rPr>
            </w:pPr>
            <w:r>
              <w:rPr>
                <w:rFonts w:ascii="Arial" w:cs="Arial" w:eastAsia="Arial" w:hAnsi="Arial"/>
                <w:sz w:val="18"/>
                <w:szCs w:val="18"/>
                <w:color w:val="auto"/>
              </w:rPr>
              <w:t>23,236</w:t>
            </w:r>
          </w:p>
        </w:tc>
      </w:tr>
      <w:tr>
        <w:trPr>
          <w:trHeight w:val="27"/>
        </w:trPr>
        <w:tc>
          <w:tcPr>
            <w:tcW w:w="2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6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Basic</w:t>
            </w:r>
          </w:p>
        </w:tc>
        <w:tc>
          <w:tcPr>
            <w:tcW w:w="7100" w:type="dxa"/>
            <w:vAlign w:val="bottom"/>
            <w:gridSpan w:val="2"/>
          </w:tcPr>
          <w:p>
            <w:pPr>
              <w:ind w:left="664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8"/>
              <w:spacing w:after="0"/>
              <w:rPr>
                <w:sz w:val="20"/>
                <w:szCs w:val="20"/>
                <w:color w:val="auto"/>
              </w:rPr>
            </w:pPr>
            <w:r>
              <w:rPr>
                <w:rFonts w:ascii="Arial" w:cs="Arial" w:eastAsia="Arial" w:hAnsi="Arial"/>
                <w:sz w:val="18"/>
                <w:szCs w:val="18"/>
                <w:color w:val="auto"/>
              </w:rPr>
              <w:t>0.80</w:t>
            </w:r>
          </w:p>
        </w:tc>
      </w:tr>
      <w:tr>
        <w:trPr>
          <w:trHeight w:val="27"/>
        </w:trPr>
        <w:tc>
          <w:tcPr>
            <w:tcW w:w="2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7100" w:type="dxa"/>
            <w:vAlign w:val="bottom"/>
            <w:gridSpan w:val="2"/>
            <w:shd w:val="clear" w:color="auto" w:fill="CCEEFF"/>
          </w:tcPr>
          <w:p>
            <w:pPr>
              <w:ind w:left="664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0.79</w:t>
            </w:r>
          </w:p>
        </w:tc>
      </w:tr>
      <w:tr>
        <w:trPr>
          <w:trHeight w:val="27"/>
        </w:trPr>
        <w:tc>
          <w:tcPr>
            <w:tcW w:w="226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10, 2010, the Company entered into an amended and restated credit agreement with a syndicate of lending banks (the “Senior Credit Facility”), it amended the Senior Credit Facility on June 8, 2011, and further amended it on May 11,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340" w:right="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allows the Company to further increase the size of the revolving credit component by an aggregate of $200 million with additional commitments;</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provides the Company with decreased borrowing rates and annual commitment fees, and provides more favorable financial covenants;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11, 2012, the Company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 The Company capitalized $0.4 million of incremental financing costs in connection with the 2012 Amendment.</w:t>
      </w:r>
    </w:p>
    <w:p>
      <w:pPr>
        <w:spacing w:after="0" w:line="13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December 31, 2012, the Company was in compliance with all such covenants.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ind w:right="20" w:firstLine="8"/>
        <w:spacing w:after="0" w:line="281"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EBITDA) at the time of the applicable borrowing.</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2012 and December 31, 2011, there was $321.9 million and $179.7 million outstanding, respectively, under the Senior Credit Facility at a weighted average interest rate of 1.8% and 2.0%, respectively. At December 31, 2012, there was approximately $278.1 million available for borrowing under the Senior Credit Facility. The fair value of outstanding borrowings under the Senior Credit Facility at December 31, 2012 was approximately $310.3 million. The fair value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Senior Credit Facility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 term in nature based on its current intent and ability to repay the borrowing outside of the next twelve-month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5.6%.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0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December 31, 2012, the carrying amount of the liability component was $197.7 million, the remaining unamortized discount was $32.3 million, and the principal amount outstanding was $230.0 million. The fair value of the 2016 Notes at December 31, 2012 was approximately $232.9 million. At December 31, 2011, the carrying amount of the liability component was $190.6 million, the remaining unamortized discount was $39.4 million and the principal amount outstanding was $230.0 million.</w:t>
      </w:r>
    </w:p>
    <w:p>
      <w:pPr>
        <w:spacing w:after="0" w:line="1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December 31, 2012, none of these conditions existed with respect to the 2016 Notes and as a result, the 2016 Notes are classified as long term.</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Senior Convertible Notes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11, 2007, the Company issued $165.0 million aggregate principal amount of its 2012 Notes (the “2012 Notes”). The 2012 Notes bear interest at a rate of 2.375% per annum payable semi-annually in arrears on December 1 and June 1 of each year. In accordance with the accounting guidance for debt with conversion and other options, the Company accounted for the liability and equity components of the 2012 Notes separately. The portion of the debt proceeds that the Company had classified as equity at the time of the offering, and recognized as a debt discount, was determined based on the fair value of similar debt instruments that did not include a conversion feature and amounted to $30.6 million. The Company amortized the debt discount to interest expense using the effective interest method through June 2012. The effective interest rate implicit in the liability component was based on the Company’s estimated non-convertible borrowing rate at the date the 2012 Notes were issued and was 6.8%.</w:t>
      </w:r>
    </w:p>
    <w:p>
      <w:pPr>
        <w:spacing w:after="0" w:line="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issuance of the 2012 Notes, the Company entered into call transactions and warrant transactions, primarily with affiliates of the initial purchasers of such notes (the “hedge participants”). The total cost of the call transactions to the Company was approximately $30.4 million and the Company received approximately $12.2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June 2012, the Company repaid the 2012 Notes at maturity with long-term borrowings from its Senior Credit Facility and cash on hand. The related bond hedge contracts terminated in components over the 100 trading day period commencing 90 days after the maturity of the 2012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196"/>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5,993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3,154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9,147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2012 Notes: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2,527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3,919</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3,905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2010 Notes: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2,020</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0" w:hanging="332"/>
        <w:spacing w:after="0" w:line="25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2012, the amortization of the discount on the liability component of the 2016 and 2012 Notes are presented net of capitalized interest of $1.1 million and $0.5 million, respectively.</w:t>
      </w:r>
    </w:p>
    <w:p>
      <w:pPr>
        <w:spacing w:after="0" w:line="1" w:lineRule="exact"/>
        <w:rPr>
          <w:rFonts w:ascii="Arial" w:cs="Arial" w:eastAsia="Arial" w:hAnsi="Arial"/>
          <w:sz w:val="18"/>
          <w:szCs w:val="18"/>
          <w:color w:val="auto"/>
        </w:rPr>
      </w:pPr>
    </w:p>
    <w:p>
      <w:pPr>
        <w:ind w:left="340" w:right="260" w:hanging="332"/>
        <w:spacing w:after="0" w:line="26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2012, the cash interest related to the contractual interest coupon on the 2016 and 2012 Notes are presented net of capitalized interest of $0.6 million and $0.3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expects that approximately $1.9 million of pre-tax losses recorded as net in AOCI related to the interest rate hedge could be reclassified to earnings within the next twelve months.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 was developed using a market approach based on publicly available market yield curves and the terms of the swap. The Company performs ongoing assessments of counterparty credit risk.</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fair value, notional amounts presented in U.S. dollars, and presentation in the consolidated balance sheet for derivatives designated as hedging instruments as of December 31, 2012 and December 31, 2011: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Fair Value as of</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rPr>
              <w:t>Notional Amount as of</w:t>
            </w:r>
          </w:p>
        </w:tc>
        <w:tc>
          <w:tcPr>
            <w:tcW w:w="0" w:type="dxa"/>
            <w:vAlign w:val="bottom"/>
          </w:tcPr>
          <w:p>
            <w:pPr>
              <w:spacing w:after="0"/>
              <w:rPr>
                <w:sz w:val="1"/>
                <w:szCs w:val="1"/>
                <w:color w:val="auto"/>
              </w:rPr>
            </w:pPr>
          </w:p>
        </w:tc>
      </w:tr>
      <w:tr>
        <w:trPr>
          <w:trHeight w:val="152"/>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1480" w:type="dxa"/>
            <w:vAlign w:val="bottom"/>
            <w:gridSpan w:val="2"/>
          </w:tcPr>
          <w:p>
            <w:pPr>
              <w:jc w:val="right"/>
              <w:ind w:right="256"/>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ind w:right="50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518"/>
              <w:spacing w:after="0" w:line="158"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ind w:right="516"/>
              <w:spacing w:after="0" w:line="15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ind w:right="844"/>
              <w:spacing w:after="0" w:line="158" w:lineRule="exact"/>
              <w:rPr>
                <w:sz w:val="20"/>
                <w:szCs w:val="20"/>
                <w:color w:val="auto"/>
              </w:rPr>
            </w:pPr>
            <w:r>
              <w:rPr>
                <w:rFonts w:ascii="Arial" w:cs="Arial" w:eastAsia="Arial" w:hAnsi="Arial"/>
                <w:sz w:val="14"/>
                <w:szCs w:val="14"/>
                <w:b w:val="1"/>
                <w:bCs w:val="1"/>
                <w:color w:val="auto"/>
              </w:rPr>
              <w:t>2012</w:t>
            </w:r>
          </w:p>
        </w:tc>
        <w:tc>
          <w:tcPr>
            <w:tcW w:w="1260" w:type="dxa"/>
            <w:vAlign w:val="bottom"/>
          </w:tcPr>
          <w:p>
            <w:pPr>
              <w:jc w:val="right"/>
              <w:ind w:right="522"/>
              <w:spacing w:after="0" w:line="158"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60" w:type="dxa"/>
            <w:vAlign w:val="bottom"/>
            <w:gridSpan w:val="4"/>
          </w:tcPr>
          <w:p>
            <w:pPr>
              <w:ind w:left="56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gridSpan w:val="3"/>
          </w:tcPr>
          <w:p>
            <w:pPr>
              <w:ind w:left="40"/>
              <w:spacing w:after="0" w:line="270" w:lineRule="exact"/>
              <w:rPr>
                <w:sz w:val="20"/>
                <w:szCs w:val="20"/>
                <w:color w:val="auto"/>
              </w:rPr>
            </w:pPr>
            <w:r>
              <w:rPr>
                <w:rFonts w:ascii="Arial" w:cs="Arial" w:eastAsia="Arial" w:hAnsi="Arial"/>
                <w:sz w:val="18"/>
                <w:szCs w:val="18"/>
                <w:color w:val="auto"/>
                <w:w w:val="91"/>
              </w:rPr>
              <w:t xml:space="preserve">Interest rate swap — Accrued expenses and other current liabilities </w:t>
            </w:r>
            <w:r>
              <w:rPr>
                <w:rFonts w:ascii="Arial" w:cs="Arial" w:eastAsia="Arial" w:hAnsi="Arial"/>
                <w:sz w:val="25"/>
                <w:szCs w:val="25"/>
                <w:color w:val="auto"/>
                <w:w w:val="91"/>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3"/>
                <w:szCs w:val="23"/>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Foreign currency forward contracts — Accrued expenses and 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4,126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right="400" w:hanging="332"/>
        <w:spacing w:after="0" w:line="219" w:lineRule="auto"/>
        <w:tabs>
          <w:tab w:leader="none" w:pos="34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At December 31, 2012 and December 31, 2011, the notional amount related to the Company’s sole interest rate swap was $127.5 million and $139.7 million, respectively. In the next twelve months, the Company expects to reduce the notional amount by $15.0 million.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years ended December 31, 2012 and 2011: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Balance in AOCI</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4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AOCI into</w:t>
            </w:r>
          </w:p>
        </w:tc>
        <w:tc>
          <w:tcPr>
            <w:tcW w:w="180" w:type="dxa"/>
            <w:vAlign w:val="bottom"/>
          </w:tcPr>
          <w:p>
            <w:pPr>
              <w:spacing w:after="0"/>
              <w:rPr>
                <w:sz w:val="12"/>
                <w:szCs w:val="12"/>
                <w:color w:val="auto"/>
              </w:rPr>
            </w:pPr>
          </w:p>
        </w:tc>
        <w:tc>
          <w:tcPr>
            <w:tcW w:w="13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Balance in AOCI</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40" w:type="dxa"/>
            <w:vAlign w:val="bottom"/>
          </w:tcPr>
          <w:p>
            <w:pPr>
              <w:jc w:val="right"/>
              <w:ind w:right="458"/>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Portion)</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End of Year</w:t>
            </w:r>
          </w:p>
        </w:tc>
        <w:tc>
          <w:tcPr>
            <w:tcW w:w="2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2040" w:type="dxa"/>
            <w:vAlign w:val="bottom"/>
          </w:tcPr>
          <w:p>
            <w:pPr>
              <w:jc w:val="right"/>
              <w:ind w:right="398"/>
              <w:spacing w:after="0"/>
              <w:rPr>
                <w:sz w:val="20"/>
                <w:szCs w:val="20"/>
                <w:color w:val="auto"/>
              </w:rPr>
            </w:pPr>
            <w:r>
              <w:rPr>
                <w:rFonts w:ascii="Arial" w:cs="Arial" w:eastAsia="Arial" w:hAnsi="Arial"/>
                <w:sz w:val="18"/>
                <w:szCs w:val="18"/>
                <w:color w:val="auto"/>
                <w:w w:val="97"/>
              </w:rPr>
              <w:t>Costs of goods sold</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0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w:t>
            </w:r>
          </w:p>
        </w:tc>
        <w:tc>
          <w:tcPr>
            <w:tcW w:w="2040" w:type="dxa"/>
            <w:vAlign w:val="bottom"/>
          </w:tcPr>
          <w:p>
            <w:pPr>
              <w:jc w:val="right"/>
              <w:ind w:right="398"/>
              <w:spacing w:after="0"/>
              <w:rPr>
                <w:sz w:val="20"/>
                <w:szCs w:val="20"/>
                <w:color w:val="auto"/>
              </w:rPr>
            </w:pPr>
            <w:r>
              <w:rPr>
                <w:rFonts w:ascii="Arial" w:cs="Arial" w:eastAsia="Arial" w:hAnsi="Arial"/>
                <w:sz w:val="18"/>
                <w:szCs w:val="18"/>
                <w:color w:val="auto"/>
                <w:w w:val="97"/>
              </w:rPr>
              <w:t>Costs of goods sold</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20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recognized no gains or losses resulting from ineffectiveness of cash flow hedges during the years ended December 31, 2012 and 2011. At December 31, 2012, there were foreign currency contracts outstanding not designated as hedges with the notional amount equivalent to $3.9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TREASURY STOCK</w:t>
      </w:r>
    </w:p>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October 29, 2010, the Company’s Board of Directors authorized the Company to repurchase shares of the Company’s common stock for an aggregate purchase price not to exceed $75.0 million through December 31, 2012. Shares may be purchased either in the open market or in privately negotiated transactions.</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23, 2012, the Company's Board of Directors terminated the October 2010 authorization and authorized the repurchase of up to $75.0 million of its outstanding common stock through December 2014 (the "2012 Authorization"). As of December 31, 2012, there remained $75.0 million available for repurchases under this authorization.</w:t>
      </w:r>
    </w:p>
    <w:p>
      <w:pPr>
        <w:spacing w:after="0" w:line="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addition to the authorizations above, on June 3, 2011, the Company’s Board of Directors separately authorized the Company to repurchase shares of common stock from the proceeds of the 2016 Notes in connection with that offering.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treasury stock activity: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1308"/>
              <w:spacing w:after="0"/>
              <w:rPr>
                <w:sz w:val="20"/>
                <w:szCs w:val="20"/>
                <w:color w:val="auto"/>
              </w:rPr>
            </w:pPr>
            <w:r>
              <w:rPr>
                <w:rFonts w:ascii="Arial" w:cs="Arial" w:eastAsia="Arial" w:hAnsi="Arial"/>
                <w:sz w:val="14"/>
                <w:szCs w:val="14"/>
                <w:b w:val="1"/>
                <w:bCs w:val="1"/>
                <w:color w:val="auto"/>
                <w:w w:val="89"/>
              </w:rPr>
              <w:t>2011</w:t>
            </w:r>
          </w:p>
        </w:tc>
      </w:tr>
      <w:tr>
        <w:trPr>
          <w:trHeight w:val="264"/>
        </w:trPr>
        <w:tc>
          <w:tcPr>
            <w:tcW w:w="5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of Shares</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of Shares</w:t>
            </w:r>
          </w:p>
        </w:tc>
      </w:tr>
      <w:tr>
        <w:trPr>
          <w:trHeight w:val="196"/>
        </w:trPr>
        <w:tc>
          <w:tcPr>
            <w:tcW w:w="5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3"/>
          </w:tcPr>
          <w:p>
            <w:pPr>
              <w:jc w:val="center"/>
              <w:ind w:left="599"/>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Shares repurchased in the open market in connection with the 2010</w:t>
            </w: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Authorization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45,893</w:t>
            </w:r>
          </w:p>
        </w:tc>
        <w:tc>
          <w:tcPr>
            <w:tcW w:w="16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0"/>
              </w:rPr>
              <w:t>Shares repurchased in connection with the issuance of the 2016 Notes</w:t>
            </w:r>
          </w:p>
        </w:tc>
        <w:tc>
          <w:tcPr>
            <w:tcW w:w="420" w:type="dxa"/>
            <w:vAlign w:val="bottom"/>
          </w:tcPr>
          <w:p>
            <w:pPr>
              <w:spacing w:after="0"/>
              <w:rPr>
                <w:sz w:val="21"/>
                <w:szCs w:val="21"/>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37,570</w:t>
            </w:r>
          </w:p>
        </w:tc>
        <w:tc>
          <w:tcPr>
            <w:tcW w:w="1680" w:type="dxa"/>
            <w:vAlign w:val="bottom"/>
            <w:gridSpan w:val="3"/>
          </w:tcPr>
          <w:p>
            <w:pPr>
              <w:jc w:val="right"/>
              <w:ind w:right="28"/>
              <w:spacing w:after="0"/>
              <w:rPr>
                <w:sz w:val="20"/>
                <w:szCs w:val="20"/>
                <w:color w:val="auto"/>
              </w:rPr>
            </w:pPr>
            <w:r>
              <w:rPr>
                <w:rFonts w:ascii="Arial" w:cs="Arial" w:eastAsia="Arial" w:hAnsi="Arial"/>
                <w:sz w:val="18"/>
                <w:szCs w:val="18"/>
                <w:color w:val="auto"/>
              </w:rPr>
              <w:t>805</w:t>
            </w:r>
          </w:p>
        </w:tc>
      </w:tr>
      <w:tr>
        <w:trPr>
          <w:trHeight w:val="27"/>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83,463</w:t>
            </w:r>
          </w:p>
        </w:tc>
        <w:tc>
          <w:tcPr>
            <w:tcW w:w="16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1,909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treasury stock repurchases during the year ended December 31, 2012.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Employees stock-purchase compensation expense recognized under the authoritative guidance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8,646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employee stock-based compensation expense</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9,051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26,805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17,209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tax benefit related to employees stock-based compensation expense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3,532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effect on net income</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5,519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16,337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10,203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2012, 1.1 million shares remain available for purchase under the ESPP. During the years ended December 31, 2012, 2011 and 2010, the Company issued 6,315 shares, 8,523 shares and 5,515 shares under the ESPP for $0.2 million, $0.2 million and $0.2 million, respectively.</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ESPP was amended in 2005 to reduce the discount available to participants to five percent and to fix the price against which such discount would be applied. Accordingly, the ESPP is a non-compensatory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2012,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2008 and May 2010, the stockholders of the Company approved amendments to the 2003 Plan to increase by 750,000 and 1,750,000, respectively, the number of shares of common stock that may be issued under the 2003 Plan. The Company has reserved 2,000,000 shares under each of the 2000 Plan and the 2001 Plan, and 6,500,000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21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 years after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the binomial distribution model is a more flexible model that considers the impact of non-transferability, and vesting provisions in the valuation of employee stock options.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114"/>
              <w:spacing w:after="0"/>
              <w:rPr>
                <w:sz w:val="20"/>
                <w:szCs w:val="20"/>
                <w:color w:val="auto"/>
              </w:rPr>
            </w:pPr>
            <w:r>
              <w:rPr>
                <w:rFonts w:ascii="Arial" w:cs="Arial" w:eastAsia="Arial" w:hAnsi="Arial"/>
                <w:sz w:val="18"/>
                <w:szCs w:val="18"/>
                <w:color w:val="auto"/>
                <w:w w:val="92"/>
              </w:rPr>
              <w:t>0%</w:t>
            </w:r>
          </w:p>
        </w:tc>
        <w:tc>
          <w:tcPr>
            <w:tcW w:w="1600" w:type="dxa"/>
            <w:vAlign w:val="bottom"/>
            <w:gridSpan w:val="3"/>
          </w:tcPr>
          <w:p>
            <w:pPr>
              <w:jc w:val="center"/>
              <w:ind w:left="34"/>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4"/>
              </w:rPr>
              <w:t>30%</w:t>
            </w:r>
          </w:p>
        </w:tc>
        <w:tc>
          <w:tcPr>
            <w:tcW w:w="1600" w:type="dxa"/>
            <w:vAlign w:val="bottom"/>
            <w:tcBorders>
              <w:bottom w:val="single" w:sz="8" w:color="CCEEFF"/>
            </w:tcBorders>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88"/>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Risk free interest rate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94"/>
              <w:spacing w:after="0"/>
              <w:rPr>
                <w:sz w:val="20"/>
                <w:szCs w:val="20"/>
                <w:color w:val="auto"/>
              </w:rPr>
            </w:pPr>
            <w:r>
              <w:rPr>
                <w:rFonts w:ascii="Arial" w:cs="Arial" w:eastAsia="Arial" w:hAnsi="Arial"/>
                <w:sz w:val="18"/>
                <w:szCs w:val="18"/>
                <w:color w:val="auto"/>
                <w:w w:val="90"/>
              </w:rPr>
              <w:t>1.33%</w:t>
            </w:r>
          </w:p>
        </w:tc>
        <w:tc>
          <w:tcPr>
            <w:tcW w:w="1600" w:type="dxa"/>
            <w:vAlign w:val="bottom"/>
            <w:gridSpan w:val="3"/>
          </w:tcPr>
          <w:p>
            <w:pPr>
              <w:jc w:val="center"/>
              <w:ind w:left="14"/>
              <w:spacing w:after="0"/>
              <w:rPr>
                <w:sz w:val="20"/>
                <w:szCs w:val="20"/>
                <w:color w:val="auto"/>
              </w:rPr>
            </w:pPr>
            <w:r>
              <w:rPr>
                <w:rFonts w:ascii="Arial" w:cs="Arial" w:eastAsia="Arial" w:hAnsi="Arial"/>
                <w:sz w:val="18"/>
                <w:szCs w:val="18"/>
                <w:color w:val="auto"/>
                <w:w w:val="90"/>
              </w:rPr>
              <w:t>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37"/>
              <w:spacing w:after="0"/>
              <w:rPr>
                <w:sz w:val="20"/>
                <w:szCs w:val="20"/>
                <w:color w:val="auto"/>
              </w:rPr>
            </w:pPr>
            <w:r>
              <w:rPr>
                <w:rFonts w:ascii="Arial" w:cs="Arial" w:eastAsia="Arial" w:hAnsi="Arial"/>
                <w:sz w:val="18"/>
                <w:szCs w:val="18"/>
                <w:color w:val="auto"/>
                <w:w w:val="90"/>
              </w:rPr>
              <w:t>2.82%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life of option from grant date</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8 years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8 years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97"/>
        </w:trPr>
        <w:tc>
          <w:tcPr>
            <w:tcW w:w="516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88"/>
              </w:rPr>
              <w:t>Stock Options</w:t>
            </w:r>
          </w:p>
        </w:tc>
        <w:tc>
          <w:tcPr>
            <w:tcW w:w="4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4.0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Vested or expected to vest at December 31, 2012</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1,709</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37.76</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4.0 years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Exercisable at December 31, 2012</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intrinsic value of options exercised for the years ended December 31, 2012, 2011 and 2010 was negligible, $1.4 million and $14.4 million, respectively. The weighted average grant date fair value of options granted during the years ended December 31, 2012, 2011 and 2010 was $12.18, $19.18 and $17.03, respectively. Cash received from option exercises was $0.7 million, $3.7 million and $16.1 million, for the years ended December 31, 2012, 2011 and 2010, respectively.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2012, there was approximately $2.0 million of total unrecognized compensation costs related to unvested stock options. These costs are expected to be recognized over a weighted-average period of approximately two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Restricted Stock Awards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Performance Stock and Contract Stock Awards</w:t>
            </w:r>
          </w:p>
        </w:tc>
        <w:tc>
          <w:tcPr>
            <w:tcW w:w="0" w:type="dxa"/>
            <w:vAlign w:val="bottom"/>
          </w:tcPr>
          <w:p>
            <w:pPr>
              <w:spacing w:after="0"/>
              <w:rPr>
                <w:sz w:val="1"/>
                <w:szCs w:val="1"/>
                <w:color w:val="auto"/>
              </w:rPr>
            </w:pPr>
          </w:p>
        </w:tc>
      </w:tr>
      <w:tr>
        <w:trPr>
          <w:trHeight w:val="720"/>
        </w:trPr>
        <w:tc>
          <w:tcPr>
            <w:tcW w:w="5160" w:type="dxa"/>
            <w:vAlign w:val="bottom"/>
          </w:tcPr>
          <w:p>
            <w:pPr>
              <w:spacing w:after="0"/>
              <w:rPr>
                <w:sz w:val="24"/>
                <w:szCs w:val="24"/>
                <w:color w:val="auto"/>
              </w:rPr>
            </w:pPr>
          </w:p>
        </w:tc>
        <w:tc>
          <w:tcPr>
            <w:tcW w:w="15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Wtd. Avg Grant Date</w:t>
            </w:r>
          </w:p>
        </w:tc>
        <w:tc>
          <w:tcPr>
            <w:tcW w:w="148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Wtd. Avg Grant Date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Fair Value Per Share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Fair Value Per Share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2011</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305</w:t>
            </w:r>
          </w:p>
        </w:tc>
        <w:tc>
          <w:tcPr>
            <w:tcW w:w="9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w:t>
            </w:r>
          </w:p>
        </w:tc>
        <w:tc>
          <w:tcPr>
            <w:tcW w:w="6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2012</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346</w:t>
            </w:r>
          </w:p>
        </w:tc>
        <w:tc>
          <w:tcPr>
            <w:tcW w:w="9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199</w:t>
            </w:r>
          </w:p>
        </w:tc>
        <w:tc>
          <w:tcPr>
            <w:tcW w:w="6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recognized $7.7 million, $24.5 million and $13.5 million in expense related to such awards during the years ended December 31, 2012, 2011 and 2010, respectively. The total fair market value of shares vested in 2012, 2011 and 2010 was $6.7 million, $29.7 million and $11.5 million, respectively.</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basis over the vesting period. As of December 31, 2012, there was approximately $13.0 million of total unrecognized compensation costs related to unvested awards. These costs are expected to be recognized over a weighted-average period of approximately two years.</w:t>
      </w:r>
    </w:p>
    <w:p>
      <w:pPr>
        <w:spacing w:after="0" w:line="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7, 2012, Stuart Essig terminated his employment with the Company and ceased to serve as Executive Chairman of the Board of Directors and as an officer or employee of the Company and its subsidiaries and affiliates. Mr. Essig continues to serve as Chairman of the Board of Directors and as a non-employee member of the Board. In the fourth quarter, the Company distributed to him in the form of shares of its common stock 1.67 million deferred stock units (“SUs”), less shares withheld for taxes, as a result of the termination of his employment.</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2012, there are approximately 0.12 million additional vested Restricted Units held by various employees for which the related shares have not yet been issued. Included in this amount are 34,868 units granted in October 2010 in connection with the Company’s hiring of its Chief Executive Officer for which the Company immediately expensed $1.5 million as these shares were fully vested at the date of grant.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there were approximately 2.1 million shares available for grant under the Plans.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March 31, 2011, the Company froze the benefits due to the participants of the UK Plan in their entirety; this curtailment resulted in a $0.3 million reduction in the projected benefit obligations which the Company recorded on that date. The Company recorded the entire curtailment gain as an offset to the unrecognized net actuarial loss in accumulated other comprehensive income; therefore, this gain had no impact on the condensed consolidated statements of operations.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196"/>
        </w:trPr>
        <w:tc>
          <w:tcPr>
            <w:tcW w:w="6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645</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 benefit cost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w:t>
      </w:r>
    </w:p>
    <w:p>
      <w:pPr>
        <w:spacing w:after="0" w:line="17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2010</w:t>
            </w: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The discount rate is set using the Bank of America Merrill Lynch AA Corporate Bond yield curve weighted by the UK benefit plan cash flows for the year ending December 31, 2012. 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categories. In 2012, 2011 and 2010, the discount rate was prescribed as the current yield on corporate bonds with an average rating of AA of equivalent currency and term to the liabilities.</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2012 and 2011 and a reconciliation of the funded status at December 31, 2012 and 2011:</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6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Projected 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12,556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12,042</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650</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Participant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 (gain)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Curtailment gain</w:t>
            </w: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97"/>
        </w:trPr>
        <w:tc>
          <w:tcPr>
            <w:tcW w:w="67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Projected benefit obligation,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12,556</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Plan assets at fair value,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13,226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10,834</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Actual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1,970</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1,115</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Participant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6700" w:type="dxa"/>
            <w:vAlign w:val="bottom"/>
          </w:tcPr>
          <w:p>
            <w:pPr>
              <w:ind w:left="260"/>
              <w:spacing w:after="0"/>
              <w:rPr>
                <w:sz w:val="20"/>
                <w:szCs w:val="20"/>
                <w:color w:val="auto"/>
              </w:rPr>
            </w:pPr>
            <w:r>
              <w:rPr>
                <w:rFonts w:ascii="Arial" w:cs="Arial" w:eastAsia="Arial" w:hAnsi="Arial"/>
                <w:sz w:val="18"/>
                <w:szCs w:val="18"/>
                <w:color w:val="auto"/>
              </w:rPr>
              <w:t>Plan assets at fair value,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13,226</w:t>
            </w: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683"/>
        </w:trPr>
        <w:tc>
          <w:tcPr>
            <w:tcW w:w="6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6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FUNDED STATUS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Funded status, projected benefit obligation in excess of (less than) plan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670</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net actuarial loss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recognized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670</w:t>
            </w: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net asset position at December 31, 2012 and 2011 is included in other assets.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accumulated benefit obligation for the defined benefit plans was $13.9 million and $12.6 million as of December 31, 2012 and 2011,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investment strategy for the Company’s defined benefit plans is both to meet the liabilities of the plans as they fall due and to maximize the return on invested assets within appropriate risk tolerances. The U.K. Plan invests in pooled funds which provide a diversification that supports the overall investment objectives. The Germany Plan had no assets at December 31, 2012 or December 31, 2011.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Based on the assets which comprise each of the funds, the weighted-average allocation of plan assets by asset category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159385</wp:posOffset>
            </wp:positionV>
            <wp:extent cx="58572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303"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23495</wp:posOffset>
            </wp:positionV>
            <wp:extent cx="1595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03"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2011</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6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Cash</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at December 31, 2012 and 2011 is as follows:</w:t>
      </w:r>
    </w:p>
    <w:p>
      <w:pPr>
        <w:spacing w:after="0" w:line="230"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Fair Value Measurements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23495</wp:posOffset>
            </wp:positionV>
            <wp:extent cx="284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8"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Manager/Fund</w:t>
            </w:r>
          </w:p>
        </w:tc>
        <w:tc>
          <w:tcPr>
            <w:tcW w:w="1520" w:type="dxa"/>
            <w:vAlign w:val="bottom"/>
            <w:gridSpan w:val="3"/>
          </w:tcPr>
          <w:p>
            <w:pPr>
              <w:ind w:left="160"/>
              <w:spacing w:after="0"/>
              <w:rPr>
                <w:sz w:val="20"/>
                <w:szCs w:val="20"/>
                <w:color w:val="auto"/>
              </w:rPr>
            </w:pPr>
            <w:r>
              <w:rPr>
                <w:rFonts w:ascii="Arial" w:cs="Arial" w:eastAsia="Arial" w:hAnsi="Arial"/>
                <w:sz w:val="14"/>
                <w:szCs w:val="14"/>
                <w:b w:val="1"/>
                <w:bCs w:val="1"/>
                <w:color w:val="auto"/>
              </w:rPr>
              <w:t>Asset Category</w:t>
            </w: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34"/>
        </w:trPr>
        <w:tc>
          <w:tcPr>
            <w:tcW w:w="2840" w:type="dxa"/>
            <w:vAlign w:val="bottom"/>
            <w:gridSpan w:val="2"/>
          </w:tcPr>
          <w:p>
            <w:pPr>
              <w:spacing w:after="0"/>
              <w:rPr>
                <w:sz w:val="20"/>
                <w:szCs w:val="20"/>
                <w:color w:val="auto"/>
              </w:rPr>
            </w:pPr>
            <w:r>
              <w:rPr>
                <w:rFonts w:ascii="Arial" w:cs="Arial" w:eastAsia="Arial" w:hAnsi="Arial"/>
                <w:sz w:val="18"/>
                <w:szCs w:val="18"/>
                <w:color w:val="auto"/>
              </w:rPr>
              <w:t>Bank account</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Cash</w:t>
            </w:r>
          </w:p>
        </w:tc>
      </w:tr>
      <w:tr>
        <w:trPr>
          <w:trHeight w:val="256"/>
        </w:trPr>
        <w:tc>
          <w:tcPr>
            <w:tcW w:w="2840" w:type="dxa"/>
            <w:vAlign w:val="bottom"/>
            <w:gridSpan w:val="2"/>
          </w:tcPr>
          <w:p>
            <w:pPr>
              <w:spacing w:after="0"/>
              <w:rPr>
                <w:sz w:val="20"/>
                <w:szCs w:val="20"/>
                <w:color w:val="auto"/>
              </w:rPr>
            </w:pPr>
            <w:r>
              <w:rPr>
                <w:rFonts w:ascii="Arial" w:cs="Arial" w:eastAsia="Arial" w:hAnsi="Arial"/>
                <w:sz w:val="18"/>
                <w:szCs w:val="18"/>
                <w:color w:val="auto"/>
              </w:rPr>
              <w:t>Legal &amp; General Index-Linked Gilts</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Index-linked</w:t>
            </w:r>
          </w:p>
        </w:tc>
      </w:tr>
      <w:tr>
        <w:trPr>
          <w:trHeight w:val="270"/>
        </w:trPr>
        <w:tc>
          <w:tcPr>
            <w:tcW w:w="28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Index (various tenors) </w:t>
            </w:r>
            <w:r>
              <w:rPr>
                <w:rFonts w:ascii="Arial" w:cs="Arial" w:eastAsia="Arial" w:hAnsi="Arial"/>
                <w:sz w:val="25"/>
                <w:szCs w:val="25"/>
                <w:color w:val="auto"/>
                <w:vertAlign w:val="superscript"/>
              </w:rPr>
              <w:t>(a)</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w w:val="89"/>
              </w:rPr>
              <w:t>government bonds</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w w:val="96"/>
              </w:rPr>
              <w:t>Legal &amp; General Over 15 Years Gilts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97"/>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Index </w:t>
            </w:r>
            <w:r>
              <w:rPr>
                <w:rFonts w:ascii="Arial" w:cs="Arial" w:eastAsia="Arial" w:hAnsi="Arial"/>
                <w:sz w:val="25"/>
                <w:szCs w:val="25"/>
                <w:color w:val="auto"/>
                <w:vertAlign w:val="superscript"/>
              </w:rPr>
              <w:t>(b)</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w w:val="87"/>
              </w:rPr>
              <w:t>Government bonds</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Inputs (Level</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Inputs (Level</w:t>
            </w:r>
          </w:p>
        </w:tc>
        <w:tc>
          <w:tcPr>
            <w:tcW w:w="0" w:type="dxa"/>
            <w:vAlign w:val="bottom"/>
          </w:tcPr>
          <w:p>
            <w:pPr>
              <w:spacing w:after="0"/>
              <w:rPr>
                <w:sz w:val="1"/>
                <w:szCs w:val="1"/>
                <w:color w:val="auto"/>
              </w:rPr>
            </w:pPr>
          </w:p>
        </w:tc>
      </w:tr>
      <w:tr>
        <w:trPr>
          <w:trHeight w:val="192"/>
        </w:trPr>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Assets (Level 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3)</w:t>
            </w: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-994410</wp:posOffset>
            </wp:positionV>
            <wp:extent cx="57715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1515" cy="17145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-513715</wp:posOffset>
            </wp:positionV>
            <wp:extent cx="577151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71515" cy="308610"/>
                    </a:xfrm>
                    <a:prstGeom prst="rect">
                      <a:avLst/>
                    </a:prstGeom>
                    <a:noFill/>
                  </pic:spPr>
                </pic:pic>
              </a:graphicData>
            </a:graphic>
          </wp:anchor>
        </w:drawing>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Fair Value Measurements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847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5560" w:space="220"/>
            <w:col w:w="5640"/>
          </w:cols>
          <w:pgMar w:left="240" w:top="121" w:right="239" w:bottom="1440" w:gutter="0" w:footer="0" w:header="0"/>
          <w:type w:val="continuous"/>
        </w:sectPr>
      </w:pPr>
    </w:p>
    <w:tbl>
      <w:tblPr>
        <w:tblLayout w:type="fixed"/>
        <w:tblInd w:w="116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Manager/Fund</w:t>
            </w:r>
          </w:p>
        </w:tc>
        <w:tc>
          <w:tcPr>
            <w:tcW w:w="17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Inputs (Level</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Inputs (Level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Assets (Level 1)</w:t>
            </w:r>
          </w:p>
        </w:tc>
        <w:tc>
          <w:tcPr>
            <w:tcW w:w="140" w:type="dxa"/>
            <w:vAlign w:val="bottom"/>
          </w:tcPr>
          <w:p>
            <w:pPr>
              <w:spacing w:after="0"/>
              <w:rPr>
                <w:sz w:val="13"/>
                <w:szCs w:val="13"/>
                <w:color w:val="auto"/>
              </w:rPr>
            </w:pPr>
          </w:p>
        </w:tc>
        <w:tc>
          <w:tcPr>
            <w:tcW w:w="880" w:type="dxa"/>
            <w:vAlign w:val="bottom"/>
          </w:tcPr>
          <w:p>
            <w:pPr>
              <w:jc w:val="center"/>
              <w:ind w:right="38"/>
              <w:spacing w:after="0" w:line="158" w:lineRule="exact"/>
              <w:rPr>
                <w:sz w:val="20"/>
                <w:szCs w:val="20"/>
                <w:color w:val="auto"/>
              </w:rPr>
            </w:pPr>
            <w:r>
              <w:rPr>
                <w:rFonts w:ascii="Arial" w:cs="Arial" w:eastAsia="Arial" w:hAnsi="Arial"/>
                <w:sz w:val="14"/>
                <w:szCs w:val="14"/>
                <w:b w:val="1"/>
                <w:bCs w:val="1"/>
                <w:color w:val="auto"/>
                <w:w w:val="96"/>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96"/>
              </w:rPr>
              <w:t>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Bank account</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&amp; General Index-Linked Gilts</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Index-linked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840" w:type="dxa"/>
            <w:vAlign w:val="bottom"/>
            <w:gridSpan w:val="2"/>
            <w:shd w:val="clear" w:color="auto" w:fill="CCEEFF"/>
          </w:tcPr>
          <w:p>
            <w:pPr>
              <w:spacing w:after="0" w:line="257" w:lineRule="exact"/>
              <w:rPr>
                <w:sz w:val="20"/>
                <w:szCs w:val="20"/>
                <w:color w:val="auto"/>
              </w:rPr>
            </w:pPr>
            <w:r>
              <w:rPr>
                <w:rFonts w:ascii="Arial" w:cs="Arial" w:eastAsia="Arial" w:hAnsi="Arial"/>
                <w:sz w:val="18"/>
                <w:szCs w:val="18"/>
                <w:color w:val="auto"/>
              </w:rPr>
              <w:t xml:space="preserve">Index (various tenors) </w:t>
            </w:r>
            <w:r>
              <w:rPr>
                <w:rFonts w:ascii="Arial" w:cs="Arial" w:eastAsia="Arial" w:hAnsi="Arial"/>
                <w:sz w:val="25"/>
                <w:szCs w:val="25"/>
                <w:color w:val="auto"/>
                <w:vertAlign w:val="superscript"/>
              </w:rPr>
              <w:t>(a)</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government bonds</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96"/>
              </w:rPr>
              <w:t>Legal &amp; General Over 15 Years Gilts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40" w:type="dxa"/>
            <w:vAlign w:val="bottom"/>
            <w:gridSpan w:val="2"/>
          </w:tcPr>
          <w:p>
            <w:pPr>
              <w:spacing w:after="0" w:line="257" w:lineRule="exact"/>
              <w:rPr>
                <w:sz w:val="20"/>
                <w:szCs w:val="20"/>
                <w:color w:val="auto"/>
              </w:rPr>
            </w:pPr>
            <w:r>
              <w:rPr>
                <w:rFonts w:ascii="Arial" w:cs="Arial" w:eastAsia="Arial" w:hAnsi="Arial"/>
                <w:sz w:val="18"/>
                <w:szCs w:val="18"/>
                <w:color w:val="auto"/>
              </w:rPr>
              <w:t xml:space="preserve">Index </w:t>
            </w:r>
            <w:r>
              <w:rPr>
                <w:rFonts w:ascii="Arial" w:cs="Arial" w:eastAsia="Arial" w:hAnsi="Arial"/>
                <w:sz w:val="25"/>
                <w:szCs w:val="25"/>
                <w:color w:val="auto"/>
                <w:vertAlign w:val="superscript"/>
              </w:rPr>
              <w:t>(b)</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Government bonds</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category represents funds consisting of index-linked gilts and is designated to follow a benchmark index.</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category represents funds consisting of gilts and is designated to follow a benchmark index.</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Level 2 investments are single priced. The fund prices are calculated by the trustee by taking the closing market price of each underlying investment using a variety of independent pricing sources (i.e., quoted market prices). The prices also include income receivable and expenses payable, where applicable.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Based on year-end exchange rates, the Company anticipates contributing approximately $0.9 million to its defined benefit plans in 2013.</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21"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Also based on year-end exchange rates, the Company expects to pay the following estimated future benefit payments in the years indicated:</w:t>
      </w:r>
    </w:p>
    <w:p>
      <w:pPr>
        <w:spacing w:after="0" w:line="200" w:lineRule="exact"/>
        <w:rPr>
          <w:sz w:val="20"/>
          <w:szCs w:val="20"/>
          <w:color w:val="auto"/>
        </w:rPr>
      </w:pPr>
    </w:p>
    <w:p>
      <w:pPr>
        <w:spacing w:after="0" w:line="31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Expected Future</w:t>
            </w:r>
          </w:p>
        </w:tc>
      </w:tr>
      <w:tr>
        <w:trPr>
          <w:trHeight w:val="192"/>
        </w:trPr>
        <w:tc>
          <w:tcPr>
            <w:tcW w:w="804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Benefit Payments</w:t>
            </w:r>
          </w:p>
        </w:tc>
      </w:tr>
      <w:tr>
        <w:trPr>
          <w:trHeight w:val="250"/>
        </w:trPr>
        <w:tc>
          <w:tcPr>
            <w:tcW w:w="8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2018-2022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3,497</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Accumulated Other Comprehensive Income is $1.5 million of unrecognized net actuarial loss, a portion of which is expected to be recognized as a component of net periodic benefit cost in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$2.7 million, $2.4 million and $2.0 million for the years ended December 31, 2012, 2011 and 2010,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 AND RELATED PARTY LEASES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leases administrative, manufacturing, research and distribution facilities and various manufacturing, office and transportation equipment through operating lease agreements. Future minimum lease payments under operating leases at December 31, 2012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10,870</w:t>
            </w:r>
          </w:p>
        </w:tc>
      </w:tr>
      <w:tr>
        <w:trPr>
          <w:trHeight w:val="243"/>
        </w:trPr>
        <w:tc>
          <w:tcPr>
            <w:tcW w:w="6400" w:type="dxa"/>
            <w:vAlign w:val="bottom"/>
          </w:tcPr>
          <w:p>
            <w:pPr>
              <w:jc w:val="right"/>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9,250</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6400" w:type="dxa"/>
            <w:vAlign w:val="bottom"/>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4,034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8,091</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34,853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40,646</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for the years ended December 31, 2012, 2011 and 2010 and was $10.9 million, $9.3 million and $8.2 million, respectively, and included $0.3 million, in related party rental expense in each of the three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leases certain production equipment from a corporation whose sole stockholder is a general partnership, of which the Company’s former Chairman (and current director) is a partner and the President. The term of the lease is through March 31, 2022, and the Company has an option to renew through March 31, 2032. Under the terms of the lease agreement, the Company pays $0.1 million per year to the related party lessor. The Company also leases its manufacturing facility in Plainsboro, New Jersey, from a general partnership that is 50% owned by a corporation whose shareholders are trusts, whose beneficiaries include family members of the Company’s former Chairman (and current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- 28</w:t>
      </w:r>
    </w:p>
    <w:p>
      <w:pPr>
        <w:sectPr>
          <w:pgSz w:w="11900" w:h="16838" w:orient="portrait"/>
          <w:cols w:equalWidth="0" w:num="1">
            <w:col w:w="11420"/>
          </w:cols>
          <w:pgMar w:left="240" w:top="121"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(In thousand)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37,026</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Foreign operations</w:t>
            </w:r>
          </w:p>
        </w:tc>
        <w:tc>
          <w:tcPr>
            <w:tcW w:w="2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26,736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45,088</w:t>
            </w:r>
          </w:p>
        </w:tc>
      </w:tr>
      <w:tr>
        <w:trPr>
          <w:trHeight w:val="27"/>
        </w:trPr>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52,029</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82,114</w:t>
            </w: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81"/>
        </w:trPr>
        <w:tc>
          <w:tcPr>
            <w:tcW w:w="8260" w:type="dxa"/>
            <w:vAlign w:val="bottom"/>
            <w:gridSpan w:val="6"/>
          </w:tcPr>
          <w:p>
            <w:pPr>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61"/>
        </w:trPr>
        <w:tc>
          <w:tcPr>
            <w:tcW w:w="6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9"/>
              </w:rPr>
              <w:t>Years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6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Federal statutory rate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income taxes resulting from:</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State income taxes, net of federal tax benefit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Incentive stock option expense</w:t>
            </w:r>
          </w:p>
        </w:tc>
        <w:tc>
          <w:tcPr>
            <w:tcW w:w="260" w:type="dxa"/>
            <w:vAlign w:val="bottom"/>
          </w:tcPr>
          <w:p>
            <w:pPr>
              <w:spacing w:after="0"/>
              <w:rPr>
                <w:sz w:val="21"/>
                <w:szCs w:val="21"/>
                <w:color w:val="auto"/>
              </w:rPr>
            </w:pPr>
          </w:p>
        </w:tc>
        <w:tc>
          <w:tcPr>
            <w:tcW w:w="1260" w:type="dxa"/>
            <w:vAlign w:val="bottom"/>
            <w:gridSpan w:val="3"/>
          </w:tcPr>
          <w:p>
            <w:pPr>
              <w:ind w:left="6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valuation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Uncertain tax positions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64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20.8 %</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20.0 %</w:t>
            </w: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effective tax rate increased by 19 percentage points in 2012 compared with 2011 primarily due to a change in the mix of earnings related to higher U.S. income offset by tax benefits for foreign tax credits, foreign earnings taxed at lower statutory rates and increased benefit from the favorable settlement of tax audits.</w:t>
      </w:r>
    </w:p>
    <w:p>
      <w:pPr>
        <w:spacing w:after="0" w:line="4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2012, the Company recorded an income tax benefit of $2.1 million for the release of a tax contingency reserve, an income tax benefit of $0.2 million for a change in state tax law, and an income tax expense of $0.2 million for the settlement of an IRS audit of years 2008, 2009, and 2010.</w:t>
      </w:r>
    </w:p>
    <w:p>
      <w:pPr>
        <w:spacing w:after="0" w:line="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2012, the Company's foreign operations resulted in a $7.8 million income tax benefit as a result of, among other factors, the geographic and business mix of taxable earnings and losses. The Company's operations in Ireland contribute to the majority of this income tax benefit, as income earned in Ireland is taxed at a corporate income tax rate that is significantly lower than the US corporate rate. The 2012 foreign effective tax rate is 7.8%, an increase of approximately 9.5 percentage points over the rate in 2011, which included a tax benefit of $1.6 million relating to the correction of various deferred tax items for periods prior to 2011. The Company's foreign tax rate is based upon statutory tax rates and is not related to a tax holiday or negotiated tax rate.</w:t>
      </w:r>
    </w:p>
    <w:p>
      <w:pPr>
        <w:spacing w:after="0" w:line="2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second and fourth quarters of 2011, the Company recorded additional tax expense of $1.7 million for a correction to a state deferred tax asset relating to 2009 and an income tax benefit of $2.2 million for the correction of various other deferred tax items relating to periods prior to 2011 that largely impacted foreign operations, respectively. Since neither one of these changes are material to the December 31, 2011 or previous years' financial results, they have been recorded in the second and fourth quarters of 2011 as discrete events, respectively.</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the fourth quarter of 2010, the Company recorded the full year income tax benefit related to the passing of the Tax Relief, Unemployment Insurance Reauthorization and Job Creation Act of 2010.</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Income taxes are not provided on certain undistributed earnings of non-U.S. subsidiaries, because such earnings are expected to be indefinitely reinvested and it would not be practicable to determine the amount of the related unrecognized deferred income tax liability. Undistributed earnings of such foreign subsidiaries totaled $165.3 million $168.8 million and $142.2 million at December 31, 2012, 2011 and 2010, respectively.</w:t>
      </w:r>
    </w:p>
    <w:p>
      <w:pPr>
        <w:spacing w:after="0" w:line="193"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The American Taxpayer Relief Act of 2012 was signed into law by the President of the United States on January 2, 2013. In part, the bill approved a retroactive extension of certain business tax provisions that expired at the end of 2011 and 2012. These extensions, which included the research and development credit, are taken into account for financial reporting purposes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quarter in which the legislation is enacted by Congress and signed into law by the President. Accordingly, there was no income tax benefit associated with the 2012 research and development tax credit in the 2012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2,686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4720" w:type="dxa"/>
            <w:vAlign w:val="bottom"/>
          </w:tcPr>
          <w:p>
            <w:pPr>
              <w:spacing w:after="0"/>
              <w:rPr>
                <w:sz w:val="22"/>
                <w:szCs w:val="22"/>
                <w:color w:val="auto"/>
              </w:rPr>
            </w:pPr>
          </w:p>
        </w:tc>
        <w:tc>
          <w:tcPr>
            <w:tcW w:w="4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47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21"/>
                <w:szCs w:val="21"/>
                <w:color w:val="auto"/>
              </w:rPr>
            </w:pPr>
          </w:p>
        </w:tc>
      </w:tr>
      <w:tr>
        <w:trPr>
          <w:trHeight w:val="256"/>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Doubtful accounts</w:t>
            </w:r>
          </w:p>
        </w:tc>
        <w:tc>
          <w:tcPr>
            <w:tcW w:w="45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1,822</w:t>
            </w: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write-downs</w:t>
            </w:r>
          </w:p>
        </w:tc>
        <w:tc>
          <w:tcPr>
            <w:tcW w:w="3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26,549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24,695</w:t>
            </w: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2,865</w:t>
            </w: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vacation</w:t>
            </w:r>
          </w:p>
        </w:tc>
        <w:tc>
          <w:tcPr>
            <w:tcW w:w="3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w:t>
            </w: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2,330</w:t>
            </w: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3,132</w:t>
            </w: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Total current deferred tax assets</w:t>
            </w:r>
          </w:p>
        </w:tc>
        <w:tc>
          <w:tcPr>
            <w:tcW w:w="36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7"/>
              </w:rPr>
              <w:t>42,194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37,007</w:t>
            </w: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(2,922)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97"/>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deferred tax assets after valuation allowance</w:t>
            </w:r>
          </w:p>
        </w:tc>
        <w:tc>
          <w:tcPr>
            <w:tcW w:w="36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39,272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36,305</w:t>
            </w: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47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deferred tax liabilities</w:t>
            </w:r>
          </w:p>
        </w:tc>
        <w:tc>
          <w:tcPr>
            <w:tcW w:w="3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4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4720" w:type="dxa"/>
            <w:vAlign w:val="bottom"/>
          </w:tcPr>
          <w:p>
            <w:pPr>
              <w:ind w:left="180"/>
              <w:spacing w:after="0"/>
              <w:rPr>
                <w:sz w:val="20"/>
                <w:szCs w:val="20"/>
                <w:color w:val="auto"/>
              </w:rPr>
            </w:pPr>
            <w:r>
              <w:rPr>
                <w:rFonts w:ascii="Arial" w:cs="Arial" w:eastAsia="Arial" w:hAnsi="Arial"/>
                <w:sz w:val="18"/>
                <w:szCs w:val="18"/>
                <w:color w:val="auto"/>
              </w:rPr>
              <w:t>Net current deferred tax assets</w:t>
            </w:r>
          </w:p>
        </w:tc>
        <w:tc>
          <w:tcPr>
            <w:tcW w:w="45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38,958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36,126</w:t>
            </w:r>
          </w:p>
        </w:tc>
      </w:tr>
      <w:tr>
        <w:trPr>
          <w:trHeight w:val="20"/>
        </w:trPr>
        <w:tc>
          <w:tcPr>
            <w:tcW w:w="4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527"/>
        </w:trPr>
        <w:tc>
          <w:tcPr>
            <w:tcW w:w="4720" w:type="dxa"/>
            <w:vAlign w:val="bottom"/>
          </w:tcPr>
          <w:p>
            <w:pPr>
              <w:spacing w:after="0"/>
              <w:rPr>
                <w:sz w:val="24"/>
                <w:szCs w:val="24"/>
                <w:color w:val="auto"/>
              </w:rPr>
            </w:pPr>
          </w:p>
        </w:tc>
        <w:tc>
          <w:tcPr>
            <w:tcW w:w="4520" w:type="dxa"/>
            <w:vAlign w:val="bottom"/>
            <w:gridSpan w:val="2"/>
          </w:tcPr>
          <w:p>
            <w:pPr>
              <w:jc w:val="right"/>
              <w:ind w:right="3230"/>
              <w:spacing w:after="0"/>
              <w:rPr>
                <w:sz w:val="20"/>
                <w:szCs w:val="20"/>
                <w:color w:val="auto"/>
              </w:rPr>
            </w:pPr>
            <w:r>
              <w:rPr>
                <w:rFonts w:ascii="Arial" w:cs="Arial" w:eastAsia="Arial" w:hAnsi="Arial"/>
                <w:sz w:val="18"/>
                <w:szCs w:val="18"/>
                <w:color w:val="auto"/>
              </w:rPr>
              <w:t>F - 30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 and compensation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28,659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48,251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Financing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&amp; state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88,854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deferred tax assets after valuation allowance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57,252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&amp;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gain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interest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non-current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non-current deferred tax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11,514</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deferred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49,626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47,640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2012, the Company had net operating loss carryforwards of $58.4 million for federal income tax purposes, $57.1 million for foreign income tax purposes and $56.9 million for state income tax purposes to offset future taxable income. The federal net operating loss carryforwards expire through 2030, $42.8 million of the foreign net operating loss carryforwards expire through 2021 with the remaining $14.3 million having an indefinite carry forward period. The state net operating loss carryforwards expire through 2031.</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Deferred tax assets relating to tax benefits of employee stock option grants have been reduced to reflect exercises in 2012. Some exercises have resulted in tax deductions in excess of previously recorded benefits based on the option value at the time of grant (“windfalls”). Although these additional tax benefits are reflected in net operating tax loss carryforwards the additional tax benefit associated with the windfall is not recognized until the deduction reduces taxes payable. Accordingly, since the tax benefit does not reduce our current taxes payable in 2012 due to net operating loss carryforwards, these “windfall” tax benefits are not reflected in our net operating losses in deferred tax assets for 2012. Windfalls included in net operating loss carryforwards but not reflected in deferred tax assets for 2012 are $0.1 million.</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valuation allowance of $14.2 million, $32.3 million and $36.6 million is recorded against the Company’s gross deferred tax assets of $110.5 million, $125.9 million and $112.9 million recorded at December 31, 2012, 2011 and 2010, respectively.</w:t>
      </w:r>
    </w:p>
    <w:p>
      <w:pPr>
        <w:spacing w:after="0" w:line="1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is not more likely than not that it will realize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valuation allowance decreased by $18.1 million and $4.3 million in 2012 and 2011, respectively. The 2012 overall decrease in the valuation allowance was primarily due to expiring net operating losses in Switzerland which is offset by a reduction in the related deferred tax asset. Further, the Company recorded $0.3 million decrease to the valuation allowance in Switzerland related to an increase in the expected future realizability of remaining net operating losses.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- 31</w:t>
      </w:r>
    </w:p>
    <w:p>
      <w:pPr>
        <w:sectPr>
          <w:pgSz w:w="11900" w:h="16838" w:orient="portrait"/>
          <w:cols w:equalWidth="0" w:num="1">
            <w:col w:w="11420"/>
          </w:cols>
          <w:pgMar w:left="240" w:top="121"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10,909</w:t>
            </w:r>
          </w:p>
        </w:tc>
      </w:tr>
      <w:tr>
        <w:trPr>
          <w:trHeight w:val="243"/>
        </w:trPr>
        <w:tc>
          <w:tcPr>
            <w:tcW w:w="6740" w:type="dxa"/>
            <w:vAlign w:val="bottom"/>
          </w:tcPr>
          <w:p>
            <w:pPr>
              <w:ind w:left="160"/>
              <w:spacing w:after="0"/>
              <w:rPr>
                <w:sz w:val="20"/>
                <w:szCs w:val="20"/>
                <w:color w:val="auto"/>
              </w:rPr>
            </w:pPr>
            <w:r>
              <w:rPr>
                <w:rFonts w:ascii="Arial" w:cs="Arial" w:eastAsia="Arial" w:hAnsi="Arial"/>
                <w:sz w:val="18"/>
                <w:szCs w:val="18"/>
                <w:color w:val="auto"/>
              </w:rPr>
              <w:t>Additions for tax positions of prior years</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1,685</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Lapse of statute</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6,136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Approximately $5.1 million of the balance at December 31, 2012 relates to uncertain tax positions that, if recognized, would affect the annual effective tax rate. Included in the balance of uncertain tax positions at December 31, 2012 is $3.3 million related to tax positions for which it is reasonably possible that the total amounts could be reduced during the twelve months following December 31, 2012, as a result of expiring statutes of limitations.</w:t>
      </w:r>
    </w:p>
    <w:p>
      <w:pPr>
        <w:spacing w:after="0" w:line="11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$0.1 million expense, a $0.5 million benefit, and a $0.9 million benefit for interest and penalties in the income statement during the years ended December 31, 2012, 2011 and 2010, respectively. The Company had approximately $1.4 million, $1.3 million, and $2.1 million of interest and penalties accrued at December 31, 2012, 2011 and 2010, respectively.</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2012, the Company settled the review of years 2008 through 2010 with the IRS, which resulted in $2.1 million being recorded in the consolidated statement of operations as an income tax benefit, partially offset by an additional Federal income tax expense of $0.2 million in 2012, as a result of receiving the agreed upon settlement. In addition, the Company reclassified $4.2 million from deferred taxes to long-term liabilities, which had no effect on the current year tax provision. These amounts include interest and penalties related to the settlement.</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2010, the Company settled the review for the years 2005 through 2007 with the IRS which resulted in $4.0 million in taxes being reclassified from long-term liabilities to current taxes payable and deferred taxes, and $4.5 million being recorded in the consolidated statement of operations as an income tax benefit. This settlement was approved by the IRS Joint Committee on Taxation in December 2011, formally closing the 2005 through 2007 audit. The Company recorded an additional federal income tax benefit of $0.1 million in 2011 as a result of receiving the agreed upon settlement. These amounts include interest and penalties related to the settlement and tax benefit.</w:t>
      </w:r>
    </w:p>
    <w:p>
      <w:pPr>
        <w:spacing w:after="0" w:line="1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Federal income tax returns by the IRS through fiscal year 2007. All significant state and local matters have been concluded through fiscal 2004. All significant foreign matters have been settled through fiscal 2005.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Certain of the Company’s restricted unvested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less than $0.01 per share) on 2011 and 2010 years presented; therefore, the Company does not present the full calculation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0" w:type="dxa"/>
            <w:vAlign w:val="bottom"/>
            <w:gridSpan w:val="6"/>
          </w:tcPr>
          <w:p>
            <w:pPr>
              <w:jc w:val="center"/>
              <w:ind w:left="3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8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41,204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27,989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65,669</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28,232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net income per common share</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2.21</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41,204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27,989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65,669</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28,232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7"/>
              </w:rPr>
              <w:t>28,516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29,495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30,149</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r>
      <w:tr>
        <w:trPr>
          <w:trHeight w:val="27"/>
        </w:trPr>
        <w:tc>
          <w:tcPr>
            <w:tcW w:w="67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of approximately 1.0 million, 0.3 million and 0.7 million shares at December 31, 2012, 2011 and 2010, respectively, that are issuable through exercise or conversion of dilutive securities were not included in the computation of diluted net income per share because their effect would have been antidilutive.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Shares and Restricted Units that entitle the holders to approximately 0.1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two sales representatives in a single region within our Extremities Reconstruction division pertaining to the alleged creation of invoices for products that were not sold or surgeries that did not take place for extremities indications. The Company is cooperating with the United States Attorney's office on a voluntary basis and is not a subject or target of an investigation at this time.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Starting in the first quarter of 2012, because of changes in how the Company internally manages and reports the results of its businesses to its chief operating decision maker, the Company began reporting five reportable segments. The five reportable segments are U.S. Neurosurgery, U.S. Instruments, U.S. Extremities, U.S. Spine and Other, and International. The U.S. Neurosurgery segment sells a full line of products specifically for neurosurgery and critical care such as tissue ablation equipment, dural repair products, cerebral spinal fluid management devices, intracranial monitoring equipment, and cranial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stabilization equipment. The U.S. Instruments business sells more than 60,000 instrument patterns and surgical products and lighting to hospitals, surgery centers, and dental, podiatry, and veterinary offices. The U.S. Extremities segment includes the U.S. extremity reconstruction business, which includes such offerings as skin and wound repair, bone and joint fixation, implants in the upper and lower extremities, bone grafts and nerve and tendon repair. The U.S. Spine and Other segment includes (i) the U.S. Spine business, which focuses on spinal fusion, spinal implants, and deformity correction, (ii) the U.S. Orthobiologics business, which focuses on bone graft substitutes and other related medical devices that are used to enhance the repair and regeneration of bone in various types of orthopedic surgical procedures, and (iii) the Private Label business, which sells the Company’s regenerative medicine and other products to strategic partners. The International segment sells similar products to those discussed above, but are managed through the following geographies:</w:t>
      </w:r>
    </w:p>
    <w:p>
      <w:pPr>
        <w:spacing w:after="0" w:line="3" w:lineRule="exact"/>
        <w:rPr>
          <w:sz w:val="20"/>
          <w:szCs w:val="20"/>
          <w:color w:val="auto"/>
        </w:rPr>
      </w:pPr>
    </w:p>
    <w:p>
      <w:pPr>
        <w:ind w:right="200" w:firstLine="8"/>
        <w:spacing w:after="0" w:line="295" w:lineRule="auto"/>
        <w:tabs>
          <w:tab w:leader="none" w:pos="2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Europe, Middle East and Africa, and (ii) Central/South America, Asia-Pacific and Canada. The Corporate and other category includes (i) various legal, finance, executive, and human resource functions, (ii) brand management, (iii) share-based compensation costs, and (iv) costs related to procurement, manufacturing operations and logistics for the Company’s entire organization. Accordingly, the segment information for the prior years has been restated in accordance with authoritative guidance on segment reporting. The accounting policies of the reportable segments are the same as those described in Note 2.</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None of the Company's customers accounted for 10% or more of the consolidated net sales during our year ended December 31, 2012, 2011 and 2010.</w:t>
      </w:r>
    </w:p>
    <w:p>
      <w:pPr>
        <w:spacing w:after="0" w:line="11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profit by reportable segment for the year ended December 31, 2012, 2011 and 2010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171,278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165,652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165,606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157,853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Extremities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122,847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98,109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89,529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152,274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186,005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166,806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830,871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732,068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91,070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Instruments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36,550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39,347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Spine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57,643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294,279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269,674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267,780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(157,069)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98,694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does not allocate any assets to the reportable segments, and, therefore, no asset information is reported to the chief operating decision maker and disclosed in the financial information for each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369,312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328,933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290,274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277,527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272,538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263,147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184,032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178,607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178,647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830,871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780,078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732,068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and long-lived assets (tangible) by major geographic area are summarized below:</w:t>
      </w:r>
    </w:p>
    <w:p>
      <w:pPr>
        <w:spacing w:after="0" w:line="311" w:lineRule="exact"/>
        <w:rPr>
          <w:sz w:val="20"/>
          <w:szCs w:val="20"/>
          <w:color w:val="auto"/>
        </w:rPr>
      </w:pPr>
    </w:p>
    <w:p>
      <w:pPr>
        <w:ind w:left="5460"/>
        <w:spacing w:after="0"/>
        <w:tabs>
          <w:tab w:leader="none" w:pos="7280" w:val="left"/>
          <w:tab w:leader="none" w:pos="8540" w:val="left"/>
          <w:tab w:leader="none" w:pos="10260" w:val="left"/>
        </w:tabs>
        <w:rPr>
          <w:sz w:val="20"/>
          <w:szCs w:val="20"/>
          <w:color w:val="auto"/>
        </w:rPr>
      </w:pPr>
      <w:r>
        <w:rPr>
          <w:rFonts w:ascii="Arial" w:cs="Arial" w:eastAsia="Arial" w:hAnsi="Arial"/>
          <w:sz w:val="14"/>
          <w:szCs w:val="14"/>
          <w:b w:val="1"/>
          <w:bCs w:val="1"/>
          <w:color w:val="auto"/>
        </w:rPr>
        <w:t>United States*</w:t>
      </w:r>
      <w:r>
        <w:rPr>
          <w:sz w:val="20"/>
          <w:szCs w:val="20"/>
          <w:color w:val="auto"/>
        </w:rPr>
        <w:tab/>
      </w:r>
      <w:r>
        <w:rPr>
          <w:rFonts w:ascii="Arial" w:cs="Arial" w:eastAsia="Arial" w:hAnsi="Arial"/>
          <w:sz w:val="14"/>
          <w:szCs w:val="14"/>
          <w:b w:val="1"/>
          <w:bCs w:val="1"/>
          <w:color w:val="auto"/>
        </w:rPr>
        <w:t>Europe</w:t>
      </w:r>
      <w:r>
        <w:rPr>
          <w:sz w:val="20"/>
          <w:szCs w:val="20"/>
          <w:color w:val="auto"/>
        </w:rPr>
        <w:tab/>
      </w:r>
      <w:r>
        <w:rPr>
          <w:rFonts w:ascii="Arial" w:cs="Arial" w:eastAsia="Arial" w:hAnsi="Arial"/>
          <w:sz w:val="14"/>
          <w:szCs w:val="14"/>
          <w:b w:val="1"/>
          <w:bCs w:val="1"/>
          <w:color w:val="auto"/>
        </w:rPr>
        <w:t>Rest of the World</w:t>
      </w:r>
      <w:r>
        <w:rPr>
          <w:sz w:val="20"/>
          <w:szCs w:val="20"/>
          <w:color w:val="auto"/>
        </w:rPr>
        <w:tab/>
      </w:r>
      <w:r>
        <w:rPr>
          <w:rFonts w:ascii="Arial" w:cs="Arial" w:eastAsia="Arial" w:hAnsi="Arial"/>
          <w:sz w:val="12"/>
          <w:szCs w:val="12"/>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jc w:val="right"/>
              <w:ind w:right="2710"/>
              <w:spacing w:after="0"/>
              <w:rPr>
                <w:sz w:val="20"/>
                <w:szCs w:val="20"/>
                <w:color w:val="auto"/>
              </w:rPr>
            </w:pPr>
            <w:r>
              <w:rPr>
                <w:rFonts w:ascii="Arial" w:cs="Arial" w:eastAsia="Arial" w:hAnsi="Arial"/>
                <w:sz w:val="18"/>
                <w:szCs w:val="18"/>
                <w:color w:val="auto"/>
              </w:rPr>
              <w:t>2012</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642,830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90,920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97,121</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830,871</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right"/>
              <w:ind w:right="2710"/>
              <w:spacing w:after="0"/>
              <w:rPr>
                <w:sz w:val="20"/>
                <w:szCs w:val="20"/>
                <w:color w:val="auto"/>
              </w:rPr>
            </w:pPr>
            <w:r>
              <w:rPr>
                <w:rFonts w:ascii="Arial" w:cs="Arial" w:eastAsia="Arial" w:hAnsi="Arial"/>
                <w:sz w:val="18"/>
                <w:szCs w:val="18"/>
                <w:color w:val="auto"/>
              </w:rPr>
              <w:t>2011</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589,946</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97,184</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92,948</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780,078</w:t>
            </w:r>
          </w:p>
        </w:tc>
      </w:tr>
      <w:tr>
        <w:trPr>
          <w:trHeight w:val="243"/>
        </w:trPr>
        <w:tc>
          <w:tcPr>
            <w:tcW w:w="3440" w:type="dxa"/>
            <w:vAlign w:val="bottom"/>
          </w:tcPr>
          <w:p>
            <w:pPr>
              <w:jc w:val="right"/>
              <w:ind w:right="2710"/>
              <w:spacing w:after="0"/>
              <w:rPr>
                <w:sz w:val="20"/>
                <w:szCs w:val="20"/>
                <w:color w:val="auto"/>
              </w:rPr>
            </w:pPr>
            <w:r>
              <w:rPr>
                <w:rFonts w:ascii="Arial" w:cs="Arial" w:eastAsia="Arial" w:hAnsi="Arial"/>
                <w:sz w:val="18"/>
                <w:szCs w:val="18"/>
                <w:color w:val="auto"/>
              </w:rPr>
              <w:t>2010</w:t>
            </w:r>
          </w:p>
        </w:tc>
        <w:tc>
          <w:tcPr>
            <w:tcW w:w="21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561,307</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89,044</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81,717</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732,068</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right"/>
              <w:ind w:right="1650"/>
              <w:spacing w:after="0"/>
              <w:rPr>
                <w:sz w:val="20"/>
                <w:szCs w:val="20"/>
                <w:color w:val="auto"/>
              </w:rPr>
            </w:pPr>
            <w:r>
              <w:rPr>
                <w:rFonts w:ascii="Arial" w:cs="Arial" w:eastAsia="Arial" w:hAnsi="Arial"/>
                <w:sz w:val="18"/>
                <w:szCs w:val="18"/>
                <w:color w:val="auto"/>
                <w:w w:val="91"/>
              </w:rPr>
              <w:t>Total long-lived assets:</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jc w:val="right"/>
              <w:ind w:right="2710"/>
              <w:spacing w:after="0"/>
              <w:rPr>
                <w:sz w:val="20"/>
                <w:szCs w:val="20"/>
                <w:color w:val="auto"/>
              </w:rPr>
            </w:pPr>
            <w:r>
              <w:rPr>
                <w:rFonts w:ascii="Arial" w:cs="Arial" w:eastAsia="Arial" w:hAnsi="Arial"/>
                <w:sz w:val="18"/>
                <w:szCs w:val="18"/>
                <w:color w:val="auto"/>
              </w:rPr>
              <w:t>2012</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166,508</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20,242</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1,507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188,257</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440" w:type="dxa"/>
            <w:vAlign w:val="bottom"/>
            <w:shd w:val="clear" w:color="auto" w:fill="CCEEFF"/>
          </w:tcPr>
          <w:p>
            <w:pPr>
              <w:jc w:val="right"/>
              <w:ind w:right="2710"/>
              <w:spacing w:after="0"/>
              <w:rPr>
                <w:sz w:val="20"/>
                <w:szCs w:val="20"/>
                <w:color w:val="auto"/>
              </w:rPr>
            </w:pPr>
            <w:r>
              <w:rPr>
                <w:rFonts w:ascii="Arial" w:cs="Arial" w:eastAsia="Arial" w:hAnsi="Arial"/>
                <w:sz w:val="18"/>
                <w:szCs w:val="18"/>
                <w:color w:val="auto"/>
              </w:rPr>
              <w:t>2011</w:t>
            </w:r>
          </w:p>
        </w:tc>
        <w:tc>
          <w:tcPr>
            <w:tcW w:w="2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125,880</w:t>
            </w: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17,274</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1,357</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144,511</w:t>
            </w:r>
          </w:p>
        </w:tc>
      </w:tr>
      <w:tr>
        <w:trPr>
          <w:trHeight w:val="27"/>
        </w:trPr>
        <w:tc>
          <w:tcPr>
            <w:tcW w:w="34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Includes long-lived assets in Puerto Rico.</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INFORMATION - UNAUDITED</w:t>
      </w:r>
    </w:p>
    <w:p>
      <w:pPr>
        <w:spacing w:after="0" w:line="342" w:lineRule="exact"/>
        <w:rPr>
          <w:sz w:val="20"/>
          <w:szCs w:val="20"/>
          <w:color w:val="auto"/>
        </w:rPr>
      </w:pPr>
    </w:p>
    <w:p>
      <w:pPr>
        <w:ind w:left="5500"/>
        <w:spacing w:after="0"/>
        <w:tabs>
          <w:tab w:leader="none" w:pos="7020" w:val="left"/>
          <w:tab w:leader="none" w:pos="8640" w:val="left"/>
          <w:tab w:leader="none" w:pos="10180" w:val="left"/>
        </w:tabs>
        <w:rPr>
          <w:sz w:val="20"/>
          <w:szCs w:val="20"/>
          <w:color w:val="auto"/>
        </w:rPr>
      </w:pPr>
      <w:r>
        <w:rPr>
          <w:rFonts w:ascii="Arial" w:cs="Arial" w:eastAsia="Arial" w:hAnsi="Arial"/>
          <w:sz w:val="14"/>
          <w:szCs w:val="14"/>
          <w:b w:val="1"/>
          <w:bCs w:val="1"/>
          <w:color w:val="auto"/>
        </w:rPr>
        <w:t>First Quarter</w:t>
      </w:r>
      <w:r>
        <w:rPr>
          <w:sz w:val="20"/>
          <w:szCs w:val="20"/>
          <w:color w:val="auto"/>
        </w:rPr>
        <w:tab/>
      </w:r>
      <w:r>
        <w:rPr>
          <w:rFonts w:ascii="Arial" w:cs="Arial" w:eastAsia="Arial" w:hAnsi="Arial"/>
          <w:sz w:val="14"/>
          <w:szCs w:val="14"/>
          <w:b w:val="1"/>
          <w:bCs w:val="1"/>
          <w:color w:val="auto"/>
        </w:rPr>
        <w:t>Second Quarter</w:t>
      </w:r>
      <w:r>
        <w:rPr>
          <w:sz w:val="20"/>
          <w:szCs w:val="20"/>
          <w:color w:val="auto"/>
        </w:rPr>
        <w:tab/>
      </w:r>
      <w:r>
        <w:rPr>
          <w:rFonts w:ascii="Arial" w:cs="Arial" w:eastAsia="Arial" w:hAnsi="Arial"/>
          <w:sz w:val="14"/>
          <w:szCs w:val="14"/>
          <w:b w:val="1"/>
          <w:bCs w:val="1"/>
          <w:color w:val="auto"/>
        </w:rPr>
        <w:t>Third Quarter</w:t>
      </w:r>
      <w:r>
        <w:rPr>
          <w:sz w:val="20"/>
          <w:szCs w:val="20"/>
          <w:color w:val="auto"/>
        </w:rPr>
        <w:tab/>
      </w:r>
      <w:r>
        <w:rPr>
          <w:rFonts w:ascii="Arial" w:cs="Arial" w:eastAsia="Arial" w:hAnsi="Arial"/>
          <w:sz w:val="13"/>
          <w:szCs w:val="13"/>
          <w:b w:val="1"/>
          <w:bCs w:val="1"/>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jc w:val="right"/>
              <w:ind w:right="3810"/>
              <w:spacing w:after="0"/>
              <w:rPr>
                <w:sz w:val="20"/>
                <w:szCs w:val="20"/>
                <w:color w:val="auto"/>
              </w:rPr>
            </w:pPr>
            <w:r>
              <w:rPr>
                <w:rFonts w:ascii="Arial" w:cs="Arial" w:eastAsia="Arial" w:hAnsi="Arial"/>
                <w:sz w:val="18"/>
                <w:szCs w:val="18"/>
                <w:color w:val="auto"/>
              </w:rPr>
              <w:t>2012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196,185</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210,170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210,084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214,432</w:t>
            </w:r>
          </w:p>
        </w:tc>
      </w:tr>
      <w:tr>
        <w:trPr>
          <w:trHeight w:val="27"/>
        </w:trPr>
        <w:tc>
          <w:tcPr>
            <w:tcW w:w="4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jc w:val="right"/>
              <w:ind w:right="3830"/>
              <w:spacing w:after="0"/>
              <w:rPr>
                <w:sz w:val="20"/>
                <w:szCs w:val="20"/>
                <w:color w:val="auto"/>
              </w:rPr>
            </w:pPr>
            <w:r>
              <w:rPr>
                <w:rFonts w:ascii="Arial" w:cs="Arial" w:eastAsia="Arial" w:hAnsi="Arial"/>
                <w:sz w:val="18"/>
                <w:szCs w:val="18"/>
                <w:color w:val="auto"/>
              </w:rPr>
              <w:t>2011</w:t>
            </w: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181,041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193,329</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202,185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203,523</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jc w:val="right"/>
              <w:ind w:right="3810"/>
              <w:spacing w:after="0"/>
              <w:rPr>
                <w:sz w:val="20"/>
                <w:szCs w:val="20"/>
                <w:color w:val="auto"/>
              </w:rPr>
            </w:pPr>
            <w:r>
              <w:rPr>
                <w:rFonts w:ascii="Arial" w:cs="Arial" w:eastAsia="Arial" w:hAnsi="Arial"/>
                <w:sz w:val="18"/>
                <w:szCs w:val="18"/>
                <w:color w:val="auto"/>
              </w:rPr>
              <w:t>2012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121,510</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131,896</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130,536</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132,502</w:t>
            </w:r>
          </w:p>
        </w:tc>
      </w:tr>
      <w:tr>
        <w:trPr>
          <w:trHeight w:val="243"/>
        </w:trPr>
        <w:tc>
          <w:tcPr>
            <w:tcW w:w="4440" w:type="dxa"/>
            <w:vAlign w:val="bottom"/>
          </w:tcPr>
          <w:p>
            <w:pPr>
              <w:jc w:val="right"/>
              <w:ind w:right="3830"/>
              <w:spacing w:after="0"/>
              <w:rPr>
                <w:sz w:val="20"/>
                <w:szCs w:val="20"/>
                <w:color w:val="auto"/>
              </w:rPr>
            </w:pPr>
            <w:r>
              <w:rPr>
                <w:rFonts w:ascii="Arial" w:cs="Arial" w:eastAsia="Arial" w:hAnsi="Arial"/>
                <w:sz w:val="18"/>
                <w:szCs w:val="18"/>
                <w:color w:val="auto"/>
              </w:rPr>
              <w:t>2011</w:t>
            </w:r>
          </w:p>
        </w:tc>
        <w:tc>
          <w:tcPr>
            <w:tcW w:w="9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116,120</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120,491</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123,534</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120,783</w:t>
            </w:r>
          </w:p>
        </w:tc>
      </w:tr>
      <w:tr>
        <w:trPr>
          <w:trHeight w:val="27"/>
        </w:trPr>
        <w:tc>
          <w:tcPr>
            <w:tcW w:w="4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jc w:val="right"/>
              <w:ind w:right="3810"/>
              <w:spacing w:after="0"/>
              <w:rPr>
                <w:sz w:val="20"/>
                <w:szCs w:val="20"/>
                <w:color w:val="auto"/>
              </w:rPr>
            </w:pPr>
            <w:r>
              <w:rPr>
                <w:rFonts w:ascii="Arial" w:cs="Arial" w:eastAsia="Arial" w:hAnsi="Arial"/>
                <w:sz w:val="18"/>
                <w:szCs w:val="18"/>
                <w:color w:val="auto"/>
              </w:rPr>
              <w:t>2012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6,693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8,514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13,211</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12,786</w:t>
            </w:r>
          </w:p>
        </w:tc>
      </w:tr>
      <w:tr>
        <w:trPr>
          <w:trHeight w:val="27"/>
        </w:trPr>
        <w:tc>
          <w:tcPr>
            <w:tcW w:w="4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jc w:val="right"/>
              <w:ind w:right="3830"/>
              <w:spacing w:after="0"/>
              <w:rPr>
                <w:sz w:val="20"/>
                <w:szCs w:val="20"/>
                <w:color w:val="auto"/>
              </w:rPr>
            </w:pPr>
            <w:r>
              <w:rPr>
                <w:rFonts w:ascii="Arial" w:cs="Arial" w:eastAsia="Arial" w:hAnsi="Arial"/>
                <w:sz w:val="18"/>
                <w:szCs w:val="18"/>
                <w:color w:val="auto"/>
              </w:rPr>
              <w:t>2011</w:t>
            </w: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11,487</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Basic net income (loss) per common share(1)(2):</w:t>
            </w:r>
          </w:p>
        </w:tc>
        <w:tc>
          <w:tcPr>
            <w:tcW w:w="9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jc w:val="right"/>
              <w:ind w:right="3810"/>
              <w:spacing w:after="0"/>
              <w:rPr>
                <w:sz w:val="20"/>
                <w:szCs w:val="20"/>
                <w:color w:val="auto"/>
              </w:rPr>
            </w:pPr>
            <w:r>
              <w:rPr>
                <w:rFonts w:ascii="Arial" w:cs="Arial" w:eastAsia="Arial" w:hAnsi="Arial"/>
                <w:sz w:val="18"/>
                <w:szCs w:val="18"/>
                <w:color w:val="auto"/>
              </w:rPr>
              <w:t>2012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0.24</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0.46</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43"/>
        </w:trPr>
        <w:tc>
          <w:tcPr>
            <w:tcW w:w="4440" w:type="dxa"/>
            <w:vAlign w:val="bottom"/>
          </w:tcPr>
          <w:p>
            <w:pPr>
              <w:jc w:val="right"/>
              <w:ind w:right="3830"/>
              <w:spacing w:after="0"/>
              <w:rPr>
                <w:sz w:val="20"/>
                <w:szCs w:val="20"/>
                <w:color w:val="auto"/>
              </w:rPr>
            </w:pPr>
            <w:r>
              <w:rPr>
                <w:rFonts w:ascii="Arial" w:cs="Arial" w:eastAsia="Arial" w:hAnsi="Arial"/>
                <w:sz w:val="18"/>
                <w:szCs w:val="18"/>
                <w:color w:val="auto"/>
              </w:rPr>
              <w:t>2011</w:t>
            </w:r>
          </w:p>
        </w:tc>
        <w:tc>
          <w:tcPr>
            <w:tcW w:w="9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0.39</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4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share(1)(2):</w:t>
            </w: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jc w:val="right"/>
              <w:ind w:right="3810"/>
              <w:spacing w:after="0"/>
              <w:rPr>
                <w:sz w:val="20"/>
                <w:szCs w:val="20"/>
                <w:color w:val="auto"/>
              </w:rPr>
            </w:pPr>
            <w:r>
              <w:rPr>
                <w:rFonts w:ascii="Arial" w:cs="Arial" w:eastAsia="Arial" w:hAnsi="Arial"/>
                <w:sz w:val="18"/>
                <w:szCs w:val="18"/>
                <w:color w:val="auto"/>
              </w:rPr>
              <w:t>2012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0.23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4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jc w:val="right"/>
              <w:ind w:right="3830"/>
              <w:spacing w:after="0"/>
              <w:rPr>
                <w:sz w:val="20"/>
                <w:szCs w:val="20"/>
                <w:color w:val="auto"/>
              </w:rPr>
            </w:pPr>
            <w:r>
              <w:rPr>
                <w:rFonts w:ascii="Arial" w:cs="Arial" w:eastAsia="Arial" w:hAnsi="Arial"/>
                <w:sz w:val="18"/>
                <w:szCs w:val="18"/>
                <w:color w:val="auto"/>
              </w:rPr>
              <w:t>2011</w:t>
            </w: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0.38</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459"/>
        </w:trPr>
        <w:tc>
          <w:tcPr>
            <w:tcW w:w="4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color w:val="auto"/>
              </w:rPr>
              <w:t>F - 35</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right="1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127" w:lineRule="exact"/>
        <w:rPr>
          <w:rFonts w:ascii="Arial" w:cs="Arial" w:eastAsia="Arial" w:hAnsi="Arial"/>
          <w:sz w:val="18"/>
          <w:szCs w:val="18"/>
          <w:color w:val="auto"/>
        </w:rPr>
      </w:pPr>
    </w:p>
    <w:p>
      <w:pPr>
        <w:ind w:left="340" w:right="40" w:hanging="332"/>
        <w:spacing w:after="0" w:line="31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Certain of the Company’s unvested restricted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less than $0.01 per share) on all of the periods presented; therefore, the Company does not present the full calculation.</w:t>
      </w:r>
    </w:p>
    <w:p>
      <w:pPr>
        <w:spacing w:after="0" w:line="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expense for the fourth quarter of 2012 includes an out-of-period adjustment to record a decrease to interest expense of $3.3 million related to not capitalizing interest cost on certain construction in progress balances, of which $1.5 million related to the first three quarters of 2012, $1.4 million for the full year 2011 and $0.4 million for the last quarter of 2010. The Company believes that both the actual interest expense errors and the correction of those errors out of period in the fourth quarter of 2012 are not material.</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incurred incremental costs related to the implementation of its global enterprise resource planning system in the first, second, third, and fourth quarters of 2012 of $3.7 million, $3.6 million, $4.8 million and $4.3 million, respectively.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incurred costs related to the remediation of an FDA warning letter and the related underutilization at its Plainsboro, New Jersey manufacturing facility of $1.6 million, $1.8 million, $3.8 million and $0.7 million in the first, second, third and fourth quarters of 2012,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02"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On January 24, 2013, the Company acquired all outstanding preferred and common stock of Tarsus Medical, Inc. for $3.0 million which includes amounts paid into escrow, subject to certain working capital adjustments. The acquisition agreement includes a provision whereby Integra must pay additional cash considerations, the first of $1.5 million and the second up to $14.5 million to the selling shareholders of Tarsus Medical, Inc. upon reaching certain selling milestones. The Company believes that Tarsus Medical's technology will allow it to enter the syndesmosis repair market. Since the acquisition occurred subsequent to December 31, 2012, the acquisition is not included in the results of operations for any of the periods presented.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Charged to</w:t>
            </w:r>
          </w:p>
        </w:tc>
        <w:tc>
          <w:tcPr>
            <w:tcW w:w="240" w:type="dxa"/>
            <w:vAlign w:val="bottom"/>
          </w:tcPr>
          <w:p>
            <w:pPr>
              <w:spacing w:after="0"/>
              <w:rPr>
                <w:sz w:val="14"/>
                <w:szCs w:val="14"/>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Charged to</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8"/>
              </w:rPr>
              <w:t>Costs and</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Other Accounts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42"/>
              <w:spacing w:after="0" w:line="125" w:lineRule="exact"/>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1"/>
                <w:szCs w:val="11"/>
                <w:color w:val="auto"/>
              </w:rPr>
            </w:pPr>
          </w:p>
        </w:tc>
        <w:tc>
          <w:tcPr>
            <w:tcW w:w="940" w:type="dxa"/>
            <w:vAlign w:val="bottom"/>
          </w:tcPr>
          <w:p>
            <w:pPr>
              <w:jc w:val="center"/>
              <w:ind w:right="103"/>
              <w:spacing w:after="0" w:line="125" w:lineRule="exact"/>
              <w:rPr>
                <w:sz w:val="20"/>
                <w:szCs w:val="20"/>
                <w:color w:val="auto"/>
              </w:rPr>
            </w:pPr>
            <w:r>
              <w:rPr>
                <w:rFonts w:ascii="Arial" w:cs="Arial" w:eastAsia="Arial" w:hAnsi="Arial"/>
                <w:sz w:val="14"/>
                <w:szCs w:val="14"/>
                <w:b w:val="1"/>
                <w:bCs w:val="1"/>
                <w:color w:val="auto"/>
                <w:w w:val="85"/>
              </w:rPr>
              <w:t>Expenses</w:t>
            </w:r>
          </w:p>
        </w:tc>
        <w:tc>
          <w:tcPr>
            <w:tcW w:w="240" w:type="dxa"/>
            <w:vAlign w:val="bottom"/>
          </w:tcPr>
          <w:p>
            <w:pPr>
              <w:spacing w:after="0"/>
              <w:rPr>
                <w:sz w:val="11"/>
                <w:szCs w:val="11"/>
                <w:color w:val="auto"/>
              </w:rPr>
            </w:pPr>
          </w:p>
        </w:tc>
        <w:tc>
          <w:tcPr>
            <w:tcW w:w="1000" w:type="dxa"/>
            <w:vAlign w:val="bottom"/>
          </w:tcPr>
          <w:p>
            <w:pPr>
              <w:jc w:val="center"/>
              <w:ind w:right="121"/>
              <w:spacing w:after="0" w:line="125" w:lineRule="exact"/>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1"/>
                <w:szCs w:val="11"/>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1"/>
                <w:szCs w:val="11"/>
                <w:color w:val="auto"/>
              </w:rPr>
            </w:pPr>
          </w:p>
        </w:tc>
        <w:tc>
          <w:tcPr>
            <w:tcW w:w="840" w:type="dxa"/>
            <w:vAlign w:val="bottom"/>
          </w:tcPr>
          <w:p>
            <w:pPr>
              <w:jc w:val="right"/>
              <w:ind w:right="140"/>
              <w:spacing w:after="0" w:line="125" w:lineRule="exact"/>
              <w:rPr>
                <w:sz w:val="20"/>
                <w:szCs w:val="20"/>
                <w:color w:val="auto"/>
              </w:rPr>
            </w:pPr>
            <w:r>
              <w:rPr>
                <w:rFonts w:ascii="Arial" w:cs="Arial" w:eastAsia="Arial" w:hAnsi="Arial"/>
                <w:sz w:val="14"/>
                <w:szCs w:val="14"/>
                <w:b w:val="1"/>
                <w:bCs w:val="1"/>
                <w:color w:val="auto"/>
                <w:w w:val="98"/>
              </w:rPr>
              <w:t>of Period</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8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Year ended December 31, 2012: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8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6,978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1,315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7,221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32,304</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(16,979)</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477</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14,243</w:t>
            </w:r>
          </w:p>
        </w:tc>
        <w:tc>
          <w:tcPr>
            <w:tcW w:w="0" w:type="dxa"/>
            <w:vAlign w:val="bottom"/>
          </w:tcPr>
          <w:p>
            <w:pPr>
              <w:spacing w:after="0"/>
              <w:rPr>
                <w:sz w:val="1"/>
                <w:szCs w:val="1"/>
                <w:color w:val="auto"/>
              </w:rPr>
            </w:pP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Year ended December 31, 2011: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6,978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80" w:type="dxa"/>
            <w:vAlign w:val="bottom"/>
            <w:gridSpan w:val="2"/>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36,634</w:t>
            </w:r>
          </w:p>
        </w:tc>
        <w:tc>
          <w:tcPr>
            <w:tcW w:w="260" w:type="dxa"/>
            <w:vAlign w:val="bottom"/>
          </w:tcPr>
          <w:p>
            <w:pPr>
              <w:spacing w:after="0"/>
              <w:rPr>
                <w:sz w:val="20"/>
                <w:szCs w:val="20"/>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(4,238)</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32,304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Year ended December 31, 2010: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8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11,216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(2,167)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7,322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36,131</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431</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1,160</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36,634</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300" w:firstLine="8"/>
        <w:spacing w:after="0" w:line="312"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2012, $0.5 million of deferred tax liability was reclassified to the valuation allowance with no impact to the consolidated statement of operations. In 2011, $4.2 million of the valuation allowance was reclassified to long-term taxes payable with no impact to the consolidated statements of operations. In 2010, $1.2 million of deferred tax liability was reclassified to the valuation allowance with no impact to the consolidated statement of operations.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1420"/>
          </w:cols>
          <w:pgMar w:left="240" w:top="121"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580" w:type="dxa"/>
            <w:vAlign w:val="bottom"/>
          </w:tcPr>
          <w:p>
            <w:pPr>
              <w:ind w:left="4260"/>
              <w:spacing w:after="0"/>
              <w:rPr>
                <w:sz w:val="20"/>
                <w:szCs w:val="20"/>
                <w:color w:val="auto"/>
              </w:rPr>
            </w:pPr>
            <w:r>
              <w:rPr>
                <w:rFonts w:ascii="Arial" w:cs="Arial" w:eastAsia="Arial" w:hAnsi="Arial"/>
                <w:sz w:val="18"/>
                <w:szCs w:val="18"/>
                <w:b w:val="1"/>
                <w:bCs w:val="1"/>
                <w:color w:val="auto"/>
              </w:rPr>
              <w:t>EXIBIT INDEX</w:t>
            </w: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3.1(a)</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Amended and Restated Certificate of Incorporation of the Company dated February 16, 1993 (Incorporated by reference to Exhibit 3.1(a) to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22, 1998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3.1(b) to the Company’s Annual Report on Form 10-K for the year ended December 31, 1998)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3.1(c)</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17, 1999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3.1(c) to the Company’s Annual Report on Form 10-K for the year ended December 31, 2004)</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Amended and Restated Bylaws of the Company, effective as of May 17, 2012 (Incorporated by reference to Exhibit 3.2 to the Company’s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Current Report on Form 8-K filed on April 13, 2012)</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Purchase Agreement, dated June 9, 2011, by and between Integra LifeSciences Holdings Corporation and J.P. Morgan Securities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Merrill Lynch, Pierce, Fenner &amp; Smith Incorporated, Morgan Stanley &amp; Co. LLC, Deutsche Bank Securities Inc., RBC Capital Markets,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Wells Fargo Securities, LLC (Incorporated by reference to Exhibit 4.1 to the Company’s Current Report on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 as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trustee (Incorporated by reference to Exhibit 4.2 to the Company’s Current Report on Form 8-K filed on June 15, 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4.3(a)</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Credit Agreement, dated as of December 22, 2005,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10.1 to the Company’s Current Report on Form 8-K filed on December 29,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First Amendment, dated as of February 15, 2006,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4.3(b) to 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4.3(c)</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Second Amendment, dated as of February 23,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4.1 to the Company’s Current Report on Form 8-K filed on February 27,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4.3(d)</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Third Amendment, dated as of June 4, 2007, among Integra LifeSciences Holdings Corporation, the lenders party thereto, Bank of America,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N.A., as Administrative Agent, Swing Line Lender and L/C Issuer, Citibank, N.A., successor by merger to Citibank, FSB, as Syndication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Agent and JPMorgan Chase Bank, N.A., Deutsche Bank Trust Company Americas and Royal Bank of Canada, as Co-Documentation Agents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4.3(e)</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Fourth Amendment, dated as of September 5,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7"/>
              </w:rPr>
              <w:t>America, N.A., as Administrative Agent, Swing Line Lender and L/C Issuer, Citibank, N.A., successor by merger to Citibank FSB,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Syndication Agent and JPMorgan Chase Bank, N.A., Deutsche Bank Trust Company Americas and Royal Bank of Canada, as Co-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Documentation Agents (Incorporated by reference to Exhibit 4.1 to the Company’s Current Report on Form 8-K filed on September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4.3(f)</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Amended and Restated Credit Agreement, dated as of August 10, 2010, among Integra LifeSciences Holdings Corporation, the lenders party</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thereto, Bank of America, N.A., as Administrative Agent, Swing Line Lender and L/C Issuer, JP Morgan Chase Bank, as Syndication Agent,</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and HSBC Bank USA, NA, RBC Capital Markets, Wells Fargo Bank, N.A., Fifth Third Bank, DNB NOR Bank ASA and TD Bank, N.A.,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Co-Documentation Agents (Incorporated by reference to Exhibit 10.1 to the Company’s Current Report on Form 8-K filed on August 10,</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2010)</w:t>
            </w:r>
          </w:p>
        </w:tc>
      </w:tr>
    </w:tbl>
    <w:p>
      <w:pPr>
        <w:sectPr>
          <w:pgSz w:w="11900" w:h="16838" w:orient="portrait"/>
          <w:cols w:equalWidth="0" w:num="1">
            <w:col w:w="11360"/>
          </w:cols>
          <w:pgMar w:left="280" w:top="445" w:right="25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4.3(g)</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Second Amended and Restated Credit Agreement, dated as of June 8, 2011, among Integra LifeSciences Holdings Corporation, the lenders</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9"/>
              </w:rPr>
              <w:t>party thereto, Bank of America, N.A. as Administrative Agent, Swing Line Lender and L/C Issuer, JPMorgan Chase Bank N.A. as</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4"/>
              </w:rPr>
              <w:t>Syndication Agent, and, HSBC Bank USA, NA, Royal Bank of Canada, Wells Fargo Bank, N.A., Fifth Third Bank, DNB NOR Bank ASA,</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and TD Bank, N.A., as Co-Documentation Agents (Incorporated by reference to Exhibit 4.3 to the Company’s Quarterly Report on Form 10-</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Q filed on July 29, 2011)</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4.3(h)</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First Amendment, dated as of May 11, 2012, to Second Amended and Restated Credit Agreement dated as of June 8, 2011, among Integra</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LifeSciences Holdings Corporation, the lenders party thereto, Bank of America, N.A., as Administrative Agent, Swing Line Lender and L/C</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5"/>
              </w:rPr>
              <w:t>Issuer, JPMorgan Chase Bank, N.A., as Syndication Agent, and HSBC Bank, NA, Royal Bank of Canada, Wells Fargo Bank, NA, Fifth</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8"/>
              </w:rPr>
              <w:t>Third Bank, DNB Nor Bank ASA and TD Bank, N.A., as Co-Documentation Agents (Incorporated by reference to Exhibit 4.1 to the</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May 14,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Security Agreement, dated as of December 22, 2005, among Integra LifeSciences Holdings Corporation and the additional grantors party</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4.4 to the Company’s</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Pledge Agreement, dated as of December 22, 2005, among Integra LifeSciences Holdings Corporation and the additional grantors party</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4.5 to the Company’s</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Subsidiary Guaranty Agreement, dated as of December 22, 2005, among the guarantors party thereto and individually as a “Guarantor”), in</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favor of Bank of America, N.A., as administrative and collateral agent (Incorporated by reference to Exhibit 4.6 to the Company’s Annual</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 Wells Fargo Bank,</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N.A., as trustee (Incorporated by reference to Exhibit 4.1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10460" w:type="dxa"/>
            <w:vAlign w:val="bottom"/>
          </w:tcPr>
          <w:p>
            <w:pPr>
              <w:ind w:left="300"/>
              <w:spacing w:after="0"/>
              <w:rPr>
                <w:sz w:val="20"/>
                <w:szCs w:val="20"/>
                <w:color w:val="auto"/>
              </w:rPr>
            </w:pPr>
            <w:r>
              <w:rPr>
                <w:rFonts w:ascii="Arial" w:cs="Arial" w:eastAsia="Arial" w:hAnsi="Arial"/>
                <w:sz w:val="18"/>
                <w:szCs w:val="18"/>
                <w:color w:val="auto"/>
                <w:w w:val="95"/>
              </w:rPr>
              <w:t>Form of 2.75% Senior Convertible Note due 2010 (included in Exhibit 4.8) (Incorporated by reference to Exhibit B to Exhibit 4.1 to the</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 Wells Fargo Bank,</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N.A., as trustee (Incorporated by reference to Exhibit 4.3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10460" w:type="dxa"/>
            <w:vAlign w:val="bottom"/>
          </w:tcPr>
          <w:p>
            <w:pPr>
              <w:ind w:left="300"/>
              <w:spacing w:after="0"/>
              <w:rPr>
                <w:sz w:val="20"/>
                <w:szCs w:val="20"/>
                <w:color w:val="auto"/>
              </w:rPr>
            </w:pPr>
            <w:r>
              <w:rPr>
                <w:rFonts w:ascii="Arial" w:cs="Arial" w:eastAsia="Arial" w:hAnsi="Arial"/>
                <w:sz w:val="18"/>
                <w:szCs w:val="18"/>
                <w:color w:val="auto"/>
                <w:w w:val="94"/>
              </w:rPr>
              <w:t>Form of 2.375% Senior Convertible Note due 2012 (included in Exhibit 4.10) (Incorporated by reference to Exhibit B to Exhibit 4.3 to the</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reference to Exhibit 4.5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reference to Exhibit 4.6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10.1(a)</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Lease between Plainsboro Associates and American Biomaterials Corporation dated as of April 16, 1985, as assigned to Colla-Tec, Inc. on</w:t>
            </w:r>
          </w:p>
        </w:tc>
      </w:tr>
      <w:tr>
        <w:trPr>
          <w:trHeight w:val="216"/>
        </w:trPr>
        <w:tc>
          <w:tcPr>
            <w:tcW w:w="84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September 30, 1988 and as amended on November 1, 1992 as Lease Modification #1 (Incorporated by reference to Exhibit 10.30 to the</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10/A (File No. 0-26224) which became effective on August 8, 1995)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10.1(b)</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Lease Modification #2 entered into as of October 28, 2005,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10.1(c)</w:t>
            </w:r>
          </w:p>
        </w:tc>
        <w:tc>
          <w:tcPr>
            <w:tcW w:w="10460" w:type="dxa"/>
            <w:vAlign w:val="bottom"/>
          </w:tcPr>
          <w:p>
            <w:pPr>
              <w:ind w:left="300"/>
              <w:spacing w:after="0"/>
              <w:rPr>
                <w:sz w:val="20"/>
                <w:szCs w:val="20"/>
                <w:color w:val="auto"/>
              </w:rPr>
            </w:pPr>
            <w:r>
              <w:rPr>
                <w:rFonts w:ascii="Arial" w:cs="Arial" w:eastAsia="Arial" w:hAnsi="Arial"/>
                <w:sz w:val="18"/>
                <w:szCs w:val="18"/>
                <w:color w:val="auto"/>
                <w:w w:val="95"/>
              </w:rPr>
              <w:t>Lease Modification #3 entered into as of March 2, 2011,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March 3, 2011)</w:t>
            </w:r>
          </w:p>
        </w:tc>
      </w:tr>
    </w:tbl>
    <w:p>
      <w:pPr>
        <w:sectPr>
          <w:pgSz w:w="11900" w:h="16838" w:orient="portrait"/>
          <w:cols w:equalWidth="0" w:num="1">
            <w:col w:w="11300"/>
          </w:cols>
          <w:pgMar w:left="280" w:top="530" w:right="31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 (a)</w:t>
            </w:r>
          </w:p>
        </w:tc>
        <w:tc>
          <w:tcPr>
            <w:tcW w:w="10440" w:type="dxa"/>
            <w:vAlign w:val="bottom"/>
          </w:tcPr>
          <w:p>
            <w:pPr>
              <w:ind w:left="260"/>
              <w:spacing w:after="0"/>
              <w:rPr>
                <w:sz w:val="20"/>
                <w:szCs w:val="20"/>
                <w:color w:val="auto"/>
              </w:rPr>
            </w:pPr>
            <w:r>
              <w:rPr>
                <w:rFonts w:ascii="Arial" w:cs="Arial" w:eastAsia="Arial" w:hAnsi="Arial"/>
                <w:sz w:val="18"/>
                <w:szCs w:val="18"/>
                <w:color w:val="auto"/>
                <w:w w:val="90"/>
              </w:rPr>
              <w:t>Equipment Lease Agreement between Medicus Corporation and the Company, dated as of June 1, 2000 (Incorporated by reference to Exhibit</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10.1 to the Company’s Quarterly Report on Form 10-Q for the quarter ended June 30, 2000)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10.2(b)</w:t>
            </w:r>
          </w:p>
        </w:tc>
        <w:tc>
          <w:tcPr>
            <w:tcW w:w="10440" w:type="dxa"/>
            <w:vAlign w:val="bottom"/>
          </w:tcPr>
          <w:p>
            <w:pPr>
              <w:ind w:left="260"/>
              <w:spacing w:after="0"/>
              <w:rPr>
                <w:sz w:val="20"/>
                <w:szCs w:val="20"/>
                <w:color w:val="auto"/>
              </w:rPr>
            </w:pPr>
            <w:r>
              <w:rPr>
                <w:rFonts w:ascii="Arial" w:cs="Arial" w:eastAsia="Arial" w:hAnsi="Arial"/>
                <w:sz w:val="18"/>
                <w:szCs w:val="18"/>
                <w:color w:val="auto"/>
                <w:w w:val="90"/>
              </w:rPr>
              <w:t>First Amendment to Equipment Lease Agreement between Medicus Corporation and the Company, dated as of June 29, 2010 (Incorporated</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by reference to Exhibit 10.2 to the Company’s Quarterly Report on Form 10-Q for the quarter ended June 30,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tcPr>
          <w:p>
            <w:pPr>
              <w:ind w:left="260"/>
              <w:spacing w:after="0"/>
              <w:rPr>
                <w:sz w:val="20"/>
                <w:szCs w:val="20"/>
                <w:color w:val="auto"/>
              </w:rPr>
            </w:pPr>
            <w:r>
              <w:rPr>
                <w:rFonts w:ascii="Arial" w:cs="Arial" w:eastAsia="Arial" w:hAnsi="Arial"/>
                <w:sz w:val="18"/>
                <w:szCs w:val="18"/>
                <w:color w:val="auto"/>
                <w:w w:val="93"/>
              </w:rPr>
              <w:t>Form of Indemnification Agreement between the Company and [ ] dated August 16, 1995, including a schedule identifying the individuals</w:t>
            </w:r>
          </w:p>
        </w:tc>
      </w:tr>
      <w:tr>
        <w:trPr>
          <w:trHeight w:val="216"/>
        </w:trPr>
        <w:tc>
          <w:tcPr>
            <w:tcW w:w="880" w:type="dxa"/>
            <w:vAlign w:val="bottom"/>
          </w:tcPr>
          <w:p>
            <w:pPr>
              <w:spacing w:after="0"/>
              <w:rPr>
                <w:sz w:val="18"/>
                <w:szCs w:val="18"/>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w w:val="90"/>
              </w:rPr>
              <w:t>that are a party to such Indemnification Agreements (Incorporated by reference to Exhibit 10.37 to the Company’s Registration Statement on</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Form S-1 (File No. 33-98698) which became effective on January 24, 1996)*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tcPr>
          <w:p>
            <w:pPr>
              <w:ind w:left="260"/>
              <w:spacing w:after="0"/>
              <w:rPr>
                <w:sz w:val="20"/>
                <w:szCs w:val="20"/>
                <w:color w:val="auto"/>
              </w:rPr>
            </w:pPr>
            <w:r>
              <w:rPr>
                <w:rFonts w:ascii="Arial" w:cs="Arial" w:eastAsia="Arial" w:hAnsi="Arial"/>
                <w:sz w:val="18"/>
                <w:szCs w:val="18"/>
                <w:color w:val="auto"/>
                <w:w w:val="91"/>
              </w:rPr>
              <w:t>1996 Incentive Stock Option and Non-Qualified Stock Option Plan (as amended through December 27, 1997) (Incorporated by reference to</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Exhibit 10.4 to the Company’s Current Report on Form 8-K filed on February 3, 1998)*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1998 Stock Option Plan (amended and restated as of July 26, 2005) (Incorporated by reference to Exhibit 10.3 to the Company’s Quarterly</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1999 Stock Option Plan (amended and restated as of July 26, 2005) (Incorporated by reference to Exhibit 10.4 to the Company’s Quarterly</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10.7(a)</w:t>
            </w:r>
          </w:p>
        </w:tc>
        <w:tc>
          <w:tcPr>
            <w:tcW w:w="10440" w:type="dxa"/>
            <w:vAlign w:val="bottom"/>
          </w:tcPr>
          <w:p>
            <w:pPr>
              <w:ind w:left="260"/>
              <w:spacing w:after="0"/>
              <w:rPr>
                <w:sz w:val="20"/>
                <w:szCs w:val="20"/>
                <w:color w:val="auto"/>
              </w:rPr>
            </w:pPr>
            <w:r>
              <w:rPr>
                <w:rFonts w:ascii="Arial" w:cs="Arial" w:eastAsia="Arial" w:hAnsi="Arial"/>
                <w:sz w:val="18"/>
                <w:szCs w:val="18"/>
                <w:color w:val="auto"/>
                <w:w w:val="94"/>
              </w:rPr>
              <w:t>Employee Stock Purchase Plan (as amended on May 17, 2004) (Incorporated by reference to Exhibit 4.1 to the Company’s Registration</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10.7(b)</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First Amendment to Employee Stock Purchase Plan, dated October 26, 2005 (Incorporated by reference to Exhibit 10.1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Current Report on Form 8-K filed on November 1,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10.8(a)</w:t>
            </w:r>
          </w:p>
        </w:tc>
        <w:tc>
          <w:tcPr>
            <w:tcW w:w="10440" w:type="dxa"/>
            <w:vAlign w:val="bottom"/>
          </w:tcPr>
          <w:p>
            <w:pPr>
              <w:ind w:left="260"/>
              <w:spacing w:after="0"/>
              <w:rPr>
                <w:sz w:val="20"/>
                <w:szCs w:val="20"/>
                <w:color w:val="auto"/>
              </w:rPr>
            </w:pPr>
            <w:r>
              <w:rPr>
                <w:rFonts w:ascii="Arial" w:cs="Arial" w:eastAsia="Arial" w:hAnsi="Arial"/>
                <w:sz w:val="18"/>
                <w:szCs w:val="18"/>
                <w:color w:val="auto"/>
                <w:w w:val="96"/>
              </w:rPr>
              <w:t>2000 Equity Incentive Plan (amended and restated as of July 26, 2005) (Incorporated by reference to Exhibit 10.5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10.8(b)</w:t>
            </w:r>
          </w:p>
        </w:tc>
        <w:tc>
          <w:tcPr>
            <w:tcW w:w="10440" w:type="dxa"/>
            <w:vAlign w:val="bottom"/>
          </w:tcPr>
          <w:p>
            <w:pPr>
              <w:ind w:left="260"/>
              <w:spacing w:after="0"/>
              <w:rPr>
                <w:sz w:val="20"/>
                <w:szCs w:val="20"/>
                <w:color w:val="auto"/>
              </w:rPr>
            </w:pPr>
            <w:r>
              <w:rPr>
                <w:rFonts w:ascii="Arial" w:cs="Arial" w:eastAsia="Arial" w:hAnsi="Arial"/>
                <w:sz w:val="18"/>
                <w:szCs w:val="18"/>
                <w:color w:val="auto"/>
                <w:w w:val="95"/>
              </w:rPr>
              <w:t>Amendment to 2000 Equity Incentive Plan (effective as of May 17, 2012) (Incorporated by reference to Exhibit 10.7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10.8(c)</w:t>
            </w:r>
          </w:p>
        </w:tc>
        <w:tc>
          <w:tcPr>
            <w:tcW w:w="10440" w:type="dxa"/>
            <w:vAlign w:val="bottom"/>
          </w:tcPr>
          <w:p>
            <w:pPr>
              <w:ind w:left="260"/>
              <w:spacing w:after="0"/>
              <w:rPr>
                <w:sz w:val="20"/>
                <w:szCs w:val="20"/>
                <w:color w:val="auto"/>
              </w:rPr>
            </w:pPr>
            <w:r>
              <w:rPr>
                <w:rFonts w:ascii="Arial" w:cs="Arial" w:eastAsia="Arial" w:hAnsi="Arial"/>
                <w:sz w:val="18"/>
                <w:szCs w:val="18"/>
                <w:color w:val="auto"/>
              </w:rPr>
              <w:t>Amendment to 2000 Equity Incentive Plan (effective as of January 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10.9(a)</w:t>
            </w:r>
          </w:p>
        </w:tc>
        <w:tc>
          <w:tcPr>
            <w:tcW w:w="10440" w:type="dxa"/>
            <w:vAlign w:val="bottom"/>
          </w:tcPr>
          <w:p>
            <w:pPr>
              <w:ind w:left="260"/>
              <w:spacing w:after="0"/>
              <w:rPr>
                <w:sz w:val="20"/>
                <w:szCs w:val="20"/>
                <w:color w:val="auto"/>
              </w:rPr>
            </w:pPr>
            <w:r>
              <w:rPr>
                <w:rFonts w:ascii="Arial" w:cs="Arial" w:eastAsia="Arial" w:hAnsi="Arial"/>
                <w:sz w:val="18"/>
                <w:szCs w:val="18"/>
                <w:color w:val="auto"/>
                <w:w w:val="96"/>
              </w:rPr>
              <w:t>2001 Equity Incentive Plan (amended and restated as of July 26, 2005) (Incorporated by reference to Exhibit 10.6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10.9(b)</w:t>
            </w:r>
          </w:p>
        </w:tc>
        <w:tc>
          <w:tcPr>
            <w:tcW w:w="10440" w:type="dxa"/>
            <w:vAlign w:val="bottom"/>
          </w:tcPr>
          <w:p>
            <w:pPr>
              <w:ind w:left="260"/>
              <w:spacing w:after="0"/>
              <w:rPr>
                <w:sz w:val="20"/>
                <w:szCs w:val="20"/>
                <w:color w:val="auto"/>
              </w:rPr>
            </w:pPr>
            <w:r>
              <w:rPr>
                <w:rFonts w:ascii="Arial" w:cs="Arial" w:eastAsia="Arial" w:hAnsi="Arial"/>
                <w:sz w:val="18"/>
                <w:szCs w:val="18"/>
                <w:color w:val="auto"/>
                <w:w w:val="95"/>
              </w:rPr>
              <w:t>Amendment to 2001 Equity Incentive Plan (effective as of May 17, 2012) (Incorporated by reference to Exhibit 10.8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10.9(c)</w:t>
            </w:r>
          </w:p>
        </w:tc>
        <w:tc>
          <w:tcPr>
            <w:tcW w:w="10440" w:type="dxa"/>
            <w:vAlign w:val="bottom"/>
          </w:tcPr>
          <w:p>
            <w:pPr>
              <w:ind w:left="260"/>
              <w:spacing w:after="0"/>
              <w:rPr>
                <w:sz w:val="20"/>
                <w:szCs w:val="20"/>
                <w:color w:val="auto"/>
              </w:rPr>
            </w:pPr>
            <w:r>
              <w:rPr>
                <w:rFonts w:ascii="Arial" w:cs="Arial" w:eastAsia="Arial" w:hAnsi="Arial"/>
                <w:sz w:val="18"/>
                <w:szCs w:val="18"/>
                <w:color w:val="auto"/>
              </w:rPr>
              <w:t>Amendment to 2001 Equity Incentive Plan (effective as of January 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10.10(a)</w:t>
            </w:r>
          </w:p>
        </w:tc>
        <w:tc>
          <w:tcPr>
            <w:tcW w:w="10440" w:type="dxa"/>
            <w:vAlign w:val="bottom"/>
          </w:tcPr>
          <w:p>
            <w:pPr>
              <w:ind w:left="260"/>
              <w:spacing w:after="0"/>
              <w:rPr>
                <w:sz w:val="20"/>
                <w:szCs w:val="20"/>
                <w:color w:val="auto"/>
              </w:rPr>
            </w:pPr>
            <w:r>
              <w:rPr>
                <w:rFonts w:ascii="Arial" w:cs="Arial" w:eastAsia="Arial" w:hAnsi="Arial"/>
                <w:sz w:val="18"/>
                <w:szCs w:val="18"/>
                <w:color w:val="auto"/>
                <w:w w:val="98"/>
              </w:rPr>
              <w:t>Second Amended and Restated 2003 Equity Incentive Plan effective May 19, 2010 (Incorporated by reference to Exhibit 10 to the</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May 21,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10.10(b)</w:t>
            </w:r>
          </w:p>
        </w:tc>
        <w:tc>
          <w:tcPr>
            <w:tcW w:w="10440" w:type="dxa"/>
            <w:vAlign w:val="bottom"/>
          </w:tcPr>
          <w:p>
            <w:pPr>
              <w:ind w:left="260"/>
              <w:spacing w:after="0"/>
              <w:rPr>
                <w:sz w:val="20"/>
                <w:szCs w:val="20"/>
                <w:color w:val="auto"/>
              </w:rPr>
            </w:pPr>
            <w:r>
              <w:rPr>
                <w:rFonts w:ascii="Arial" w:cs="Arial" w:eastAsia="Arial" w:hAnsi="Arial"/>
                <w:sz w:val="18"/>
                <w:szCs w:val="18"/>
                <w:color w:val="auto"/>
                <w:w w:val="91"/>
              </w:rPr>
              <w:t>Amendment to the Second Amended and Restated 2003 Equity Incentive Plan effective May 17, 2012 (Incorporated by reference to Exhibit</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10.9 to the Company’s 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10.10(c)</w:t>
            </w:r>
          </w:p>
        </w:tc>
        <w:tc>
          <w:tcPr>
            <w:tcW w:w="10440" w:type="dxa"/>
            <w:vAlign w:val="bottom"/>
          </w:tcPr>
          <w:p>
            <w:pPr>
              <w:ind w:left="260"/>
              <w:spacing w:after="0"/>
              <w:rPr>
                <w:sz w:val="20"/>
                <w:szCs w:val="20"/>
                <w:color w:val="auto"/>
              </w:rPr>
            </w:pPr>
            <w:r>
              <w:rPr>
                <w:rFonts w:ascii="Arial" w:cs="Arial" w:eastAsia="Arial" w:hAnsi="Arial"/>
                <w:sz w:val="18"/>
                <w:szCs w:val="18"/>
                <w:color w:val="auto"/>
              </w:rPr>
              <w:t>Amendment to the Second Amended and Restated 2003 Equity Incentive Plan effective January 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10.11(a)</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Second Amended and Restated Employment Agreement dated July 27, 2004 between the Company and Stuart M. Essig (Incorporated by</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Quarterly Report on Form 10-Q for the quarter ended September 30,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10.11(b)</w:t>
            </w:r>
          </w:p>
        </w:tc>
        <w:tc>
          <w:tcPr>
            <w:tcW w:w="10440" w:type="dxa"/>
            <w:vAlign w:val="bottom"/>
          </w:tcPr>
          <w:p>
            <w:pPr>
              <w:ind w:left="260"/>
              <w:spacing w:after="0"/>
              <w:rPr>
                <w:sz w:val="20"/>
                <w:szCs w:val="20"/>
                <w:color w:val="auto"/>
              </w:rPr>
            </w:pPr>
            <w:r>
              <w:rPr>
                <w:rFonts w:ascii="Arial" w:cs="Arial" w:eastAsia="Arial" w:hAnsi="Arial"/>
                <w:sz w:val="18"/>
                <w:szCs w:val="18"/>
                <w:color w:val="auto"/>
                <w:w w:val="90"/>
              </w:rPr>
              <w:t>Amendment 2006-1, dated as of December 19, 2006, to the Second Amended and Restated Employment Agreement, between the Company</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w w:val="91"/>
              </w:rPr>
              <w:t>and Stuart M. Essig (Incorporated by reference to Exhibit 10.1 to the Company’s Current Report on Form 8-K filed on December 22,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10.11(c)</w:t>
            </w:r>
          </w:p>
        </w:tc>
        <w:tc>
          <w:tcPr>
            <w:tcW w:w="10440" w:type="dxa"/>
            <w:vAlign w:val="bottom"/>
          </w:tcPr>
          <w:p>
            <w:pPr>
              <w:ind w:left="260"/>
              <w:spacing w:after="0"/>
              <w:rPr>
                <w:sz w:val="20"/>
                <w:szCs w:val="20"/>
                <w:color w:val="auto"/>
              </w:rPr>
            </w:pPr>
            <w:r>
              <w:rPr>
                <w:rFonts w:ascii="Arial" w:cs="Arial" w:eastAsia="Arial" w:hAnsi="Arial"/>
                <w:sz w:val="18"/>
                <w:szCs w:val="18"/>
                <w:color w:val="auto"/>
                <w:w w:val="91"/>
              </w:rPr>
              <w:t>Amendment 2008-1, dated as of March 6, 2008, to the Second Amended and Restated Employment Agreement, between the Company and</w:t>
            </w:r>
          </w:p>
        </w:tc>
      </w:tr>
      <w:tr>
        <w:trPr>
          <w:trHeight w:val="216"/>
        </w:trPr>
        <w:tc>
          <w:tcPr>
            <w:tcW w:w="880" w:type="dxa"/>
            <w:vAlign w:val="bottom"/>
          </w:tcPr>
          <w:p>
            <w:pPr>
              <w:spacing w:after="0"/>
              <w:rPr>
                <w:sz w:val="18"/>
                <w:szCs w:val="18"/>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w w:val="99"/>
              </w:rPr>
              <w:t>Stuart M. Essig (Incorporated by reference to Exhibit 10.12(c) to the Company’s Annual Report on Form 10-K for the year ended</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December 31, 2007)*</w:t>
            </w:r>
          </w:p>
        </w:tc>
      </w:tr>
    </w:tbl>
    <w:p>
      <w:pPr>
        <w:sectPr>
          <w:pgSz w:w="11900" w:h="16838" w:orient="portrait"/>
          <w:cols w:equalWidth="0" w:num="1">
            <w:col w:w="11320"/>
          </w:cols>
          <w:pgMar w:left="280" w:top="530" w:right="299" w:bottom="1440" w:gutter="0" w:footer="0" w:header="0"/>
        </w:sectPr>
      </w:pPr>
    </w:p>
    <w:bookmarkStart w:id="99" w:name="page100"/>
    <w:bookmarkEnd w:id="99"/>
    <w:p>
      <w:pPr>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10.11(d)</w:t>
      </w:r>
      <w:r>
        <w:rPr>
          <w:sz w:val="20"/>
          <w:szCs w:val="20"/>
          <w:color w:val="auto"/>
        </w:rPr>
        <w:tab/>
      </w:r>
      <w:r>
        <w:rPr>
          <w:rFonts w:ascii="Arial" w:cs="Arial" w:eastAsia="Arial" w:hAnsi="Arial"/>
          <w:sz w:val="18"/>
          <w:szCs w:val="18"/>
          <w:color w:val="auto"/>
        </w:rPr>
        <w:t>Amendment 2008-2, dated as of August 6, 2008, to the Second Amended and Restated Employment Agreement between Stuart M. Essig and the Company (Incorporated by reference to Exhibit 10.7 to the Company’s Quarterly Report on Form 10-Q for the quarter ended June 30, 2008)*</w:t>
      </w:r>
    </w:p>
    <w:p>
      <w:pPr>
        <w:spacing w:after="0" w:line="181" w:lineRule="exact"/>
        <w:rPr>
          <w:sz w:val="20"/>
          <w:szCs w:val="20"/>
          <w:color w:val="auto"/>
        </w:rPr>
      </w:pPr>
    </w:p>
    <w:p>
      <w:pPr>
        <w:ind w:left="1140" w:right="60" w:hanging="1147"/>
        <w:spacing w:after="0" w:line="342" w:lineRule="auto"/>
        <w:tabs>
          <w:tab w:leader="none" w:pos="1120" w:val="left"/>
        </w:tabs>
        <w:rPr>
          <w:sz w:val="20"/>
          <w:szCs w:val="20"/>
          <w:color w:val="auto"/>
        </w:rPr>
      </w:pPr>
      <w:r>
        <w:rPr>
          <w:rFonts w:ascii="Arial" w:cs="Arial" w:eastAsia="Arial" w:hAnsi="Arial"/>
          <w:sz w:val="18"/>
          <w:szCs w:val="18"/>
          <w:color w:val="auto"/>
        </w:rPr>
        <w:t>10.11(e)</w:t>
      </w:r>
      <w:r>
        <w:rPr>
          <w:sz w:val="20"/>
          <w:szCs w:val="20"/>
          <w:color w:val="auto"/>
        </w:rPr>
        <w:tab/>
      </w:r>
      <w:r>
        <w:rPr>
          <w:rFonts w:ascii="Arial" w:cs="Arial" w:eastAsia="Arial" w:hAnsi="Arial"/>
          <w:sz w:val="16"/>
          <w:szCs w:val="16"/>
          <w:color w:val="auto"/>
        </w:rPr>
        <w:t>Amendment 2009-1, dated as of April 13, 2009, to the Second Amended and Restated Employment Agreement between Stuart M. Essig and the Company (Incorporated by reference to Exhibit 10.2 to the Company’s Current Report on Form 8-K filed on April 13, 2009)*</w:t>
      </w:r>
    </w:p>
    <w:p>
      <w:pPr>
        <w:spacing w:after="0" w:line="124" w:lineRule="exact"/>
        <w:rPr>
          <w:sz w:val="20"/>
          <w:szCs w:val="20"/>
          <w:color w:val="auto"/>
        </w:rPr>
      </w:pPr>
    </w:p>
    <w:p>
      <w:pPr>
        <w:ind w:left="1140" w:right="800" w:hanging="1147"/>
        <w:spacing w:after="0" w:line="277" w:lineRule="auto"/>
        <w:tabs>
          <w:tab w:leader="none" w:pos="1120" w:val="left"/>
        </w:tabs>
        <w:rPr>
          <w:sz w:val="20"/>
          <w:szCs w:val="20"/>
          <w:color w:val="auto"/>
        </w:rPr>
      </w:pPr>
      <w:r>
        <w:rPr>
          <w:rFonts w:ascii="Arial" w:cs="Arial" w:eastAsia="Arial" w:hAnsi="Arial"/>
          <w:sz w:val="18"/>
          <w:szCs w:val="18"/>
          <w:color w:val="auto"/>
        </w:rPr>
        <w:t>10.11(f)</w:t>
      </w:r>
      <w:r>
        <w:rPr>
          <w:sz w:val="20"/>
          <w:szCs w:val="20"/>
          <w:color w:val="auto"/>
        </w:rPr>
        <w:tab/>
      </w:r>
      <w:r>
        <w:rPr>
          <w:rFonts w:ascii="Arial" w:cs="Arial" w:eastAsia="Arial" w:hAnsi="Arial"/>
          <w:sz w:val="18"/>
          <w:szCs w:val="18"/>
          <w:color w:val="auto"/>
        </w:rPr>
        <w:t>Letter Agreement dated May 17, 2011 between the Company and Stuart M. Essig (Incorporated by reference to Exhibit 10.1 to the Company’s Current Report on Form 8-K filed May 23, 2011)*</w:t>
      </w:r>
    </w:p>
    <w:p>
      <w:pPr>
        <w:spacing w:after="0" w:line="170" w:lineRule="exact"/>
        <w:rPr>
          <w:sz w:val="20"/>
          <w:szCs w:val="20"/>
          <w:color w:val="auto"/>
        </w:rPr>
      </w:pPr>
    </w:p>
    <w:p>
      <w:pPr>
        <w:ind w:left="1140" w:right="140" w:hanging="1147"/>
        <w:spacing w:after="0" w:line="277" w:lineRule="auto"/>
        <w:tabs>
          <w:tab w:leader="none" w:pos="1120" w:val="left"/>
        </w:tabs>
        <w:rPr>
          <w:sz w:val="20"/>
          <w:szCs w:val="20"/>
          <w:color w:val="auto"/>
        </w:rPr>
      </w:pPr>
      <w:r>
        <w:rPr>
          <w:rFonts w:ascii="Arial" w:cs="Arial" w:eastAsia="Arial" w:hAnsi="Arial"/>
          <w:sz w:val="18"/>
          <w:szCs w:val="18"/>
          <w:color w:val="auto"/>
        </w:rPr>
        <w:t>10.11(g)</w:t>
      </w:r>
      <w:r>
        <w:rPr>
          <w:sz w:val="20"/>
          <w:szCs w:val="20"/>
          <w:color w:val="auto"/>
        </w:rPr>
        <w:tab/>
      </w:r>
      <w:r>
        <w:rPr>
          <w:rFonts w:ascii="Arial" w:cs="Arial" w:eastAsia="Arial" w:hAnsi="Arial"/>
          <w:sz w:val="18"/>
          <w:szCs w:val="18"/>
          <w:color w:val="auto"/>
        </w:rPr>
        <w:t>Letter dated December 20, 2011 from Stuart M. Essig to the Company (Incorporated by reference to Exhibit 10.3 to the Company’s Current Report on Form 8-K filed December 23, 2011)*</w:t>
      </w:r>
    </w:p>
    <w:p>
      <w:pPr>
        <w:spacing w:after="0" w:line="170" w:lineRule="exact"/>
        <w:rPr>
          <w:sz w:val="20"/>
          <w:szCs w:val="20"/>
          <w:color w:val="auto"/>
        </w:rPr>
      </w:pPr>
    </w:p>
    <w:p>
      <w:pPr>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10.11(h)</w:t>
      </w:r>
      <w:r>
        <w:rPr>
          <w:sz w:val="20"/>
          <w:szCs w:val="20"/>
          <w:color w:val="auto"/>
        </w:rPr>
        <w:tab/>
      </w:r>
      <w:r>
        <w:rPr>
          <w:rFonts w:ascii="Arial" w:cs="Arial" w:eastAsia="Arial" w:hAnsi="Arial"/>
          <w:sz w:val="18"/>
          <w:szCs w:val="18"/>
          <w:color w:val="auto"/>
        </w:rPr>
        <w:t>Letter Agreement dated June 7, 2012 between Stuart M. Essig and the Company (Incorporated by reference to Exhibit 10.1 to the Company’s Current Report on Form 8-K filed on June 7, 2012)*</w:t>
      </w:r>
    </w:p>
    <w:p>
      <w:pPr>
        <w:spacing w:after="0" w:line="170" w:lineRule="exact"/>
        <w:rPr>
          <w:sz w:val="20"/>
          <w:szCs w:val="20"/>
          <w:color w:val="auto"/>
        </w:rPr>
      </w:pPr>
    </w:p>
    <w:p>
      <w:pPr>
        <w:ind w:left="1140" w:right="60" w:hanging="1147"/>
        <w:spacing w:after="0" w:line="277" w:lineRule="auto"/>
        <w:tabs>
          <w:tab w:leader="none" w:pos="11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Indemnity letter agreement dated December 27, 1997 from the Company to Stuart M. Essig (Incorporated by reference to Exhibit 10.5 to the Company’s Current Report on Form 8-K filed on February 3, 1998)*</w:t>
      </w:r>
    </w:p>
    <w:p>
      <w:pPr>
        <w:spacing w:after="0" w:line="170" w:lineRule="exact"/>
        <w:rPr>
          <w:sz w:val="20"/>
          <w:szCs w:val="20"/>
          <w:color w:val="auto"/>
        </w:rPr>
      </w:pPr>
    </w:p>
    <w:p>
      <w:pPr>
        <w:ind w:left="1140" w:right="120" w:hanging="1147"/>
        <w:spacing w:after="0" w:line="277" w:lineRule="auto"/>
        <w:tabs>
          <w:tab w:leader="none" w:pos="1120" w:val="left"/>
        </w:tabs>
        <w:rPr>
          <w:sz w:val="20"/>
          <w:szCs w:val="20"/>
          <w:color w:val="auto"/>
        </w:rPr>
      </w:pPr>
      <w:r>
        <w:rPr>
          <w:rFonts w:ascii="Arial" w:cs="Arial" w:eastAsia="Arial" w:hAnsi="Arial"/>
          <w:sz w:val="18"/>
          <w:szCs w:val="18"/>
          <w:color w:val="auto"/>
        </w:rPr>
        <w:t>10.13(a)</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Current Report on Form 8-K filed on February 3, 1998)*</w:t>
      </w:r>
    </w:p>
    <w:p>
      <w:pPr>
        <w:spacing w:after="0" w:line="170" w:lineRule="exact"/>
        <w:rPr>
          <w:sz w:val="20"/>
          <w:szCs w:val="20"/>
          <w:color w:val="auto"/>
        </w:rPr>
      </w:pPr>
    </w:p>
    <w:p>
      <w:pPr>
        <w:ind w:left="1140" w:right="60" w:hanging="1147"/>
        <w:spacing w:after="0" w:line="277" w:lineRule="auto"/>
        <w:tabs>
          <w:tab w:leader="none" w:pos="1120" w:val="left"/>
        </w:tabs>
        <w:rPr>
          <w:sz w:val="20"/>
          <w:szCs w:val="20"/>
          <w:color w:val="auto"/>
        </w:rPr>
      </w:pPr>
      <w:r>
        <w:rPr>
          <w:rFonts w:ascii="Arial" w:cs="Arial" w:eastAsia="Arial" w:hAnsi="Arial"/>
          <w:sz w:val="18"/>
          <w:szCs w:val="18"/>
          <w:color w:val="auto"/>
        </w:rPr>
        <w:t>10.13(b)</w:t>
      </w:r>
      <w:r>
        <w:rPr>
          <w:sz w:val="20"/>
          <w:szCs w:val="20"/>
          <w:color w:val="auto"/>
        </w:rPr>
        <w:tab/>
      </w:r>
      <w:r>
        <w:rPr>
          <w:rFonts w:ascii="Arial" w:cs="Arial" w:eastAsia="Arial" w:hAnsi="Arial"/>
          <w:sz w:val="18"/>
          <w:szCs w:val="18"/>
          <w:color w:val="auto"/>
        </w:rPr>
        <w:t>Registration Rights Provisions for Stuart M. Essig (Incorporated by reference to Exhibit 10.2 to the Company’s Current Report on Form 8-K filed on January 8, 2001)*</w:t>
      </w:r>
    </w:p>
    <w:p>
      <w:pPr>
        <w:spacing w:after="0" w:line="170" w:lineRule="exact"/>
        <w:rPr>
          <w:sz w:val="20"/>
          <w:szCs w:val="20"/>
          <w:color w:val="auto"/>
        </w:rPr>
      </w:pPr>
    </w:p>
    <w:p>
      <w:pPr>
        <w:ind w:left="1140" w:right="520" w:hanging="1147"/>
        <w:spacing w:after="0" w:line="277" w:lineRule="auto"/>
        <w:tabs>
          <w:tab w:leader="none" w:pos="1120" w:val="left"/>
        </w:tabs>
        <w:rPr>
          <w:sz w:val="20"/>
          <w:szCs w:val="20"/>
          <w:color w:val="auto"/>
        </w:rPr>
      </w:pPr>
      <w:r>
        <w:rPr>
          <w:rFonts w:ascii="Arial" w:cs="Arial" w:eastAsia="Arial" w:hAnsi="Arial"/>
          <w:sz w:val="18"/>
          <w:szCs w:val="18"/>
          <w:color w:val="auto"/>
        </w:rPr>
        <w:t>10.13(c)</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Quarterly Report on Form 10-Q for the quarter ended September 30, 2004)*</w:t>
      </w:r>
    </w:p>
    <w:p>
      <w:pPr>
        <w:spacing w:after="0" w:line="170" w:lineRule="exact"/>
        <w:rPr>
          <w:sz w:val="20"/>
          <w:szCs w:val="20"/>
          <w:color w:val="auto"/>
        </w:rPr>
      </w:pPr>
    </w:p>
    <w:p>
      <w:pPr>
        <w:ind w:left="1140" w:right="600" w:hanging="1147"/>
        <w:spacing w:after="0" w:line="342" w:lineRule="auto"/>
        <w:tabs>
          <w:tab w:leader="none" w:pos="112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6"/>
          <w:szCs w:val="16"/>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1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10.14(b)</w:t>
      </w:r>
      <w:r>
        <w:rPr>
          <w:sz w:val="20"/>
          <w:szCs w:val="20"/>
          <w:color w:val="auto"/>
        </w:rPr>
        <w:tab/>
      </w:r>
      <w:r>
        <w:rPr>
          <w:rFonts w:ascii="Arial" w:cs="Arial" w:eastAsia="Arial" w:hAnsi="Arial"/>
          <w:sz w:val="16"/>
          <w:szCs w:val="16"/>
          <w:color w:val="auto"/>
        </w:rPr>
        <w:t>Amendment 2008-1, dated as of January 2, 2008, to the Amended and Restated 2005 Employment Agreement between John B.</w:t>
      </w:r>
    </w:p>
    <w:p>
      <w:pPr>
        <w:spacing w:after="0" w:line="23" w:lineRule="exact"/>
        <w:rPr>
          <w:sz w:val="20"/>
          <w:szCs w:val="20"/>
          <w:color w:val="auto"/>
        </w:rPr>
      </w:pPr>
    </w:p>
    <w:p>
      <w:pPr>
        <w:ind w:left="1140" w:right="80"/>
        <w:spacing w:after="0" w:line="261" w:lineRule="auto"/>
        <w:rPr>
          <w:sz w:val="20"/>
          <w:szCs w:val="20"/>
          <w:color w:val="auto"/>
        </w:rPr>
      </w:pPr>
      <w:r>
        <w:rPr>
          <w:rFonts w:ascii="Arial" w:cs="Arial" w:eastAsia="Arial" w:hAnsi="Arial"/>
          <w:sz w:val="18"/>
          <w:szCs w:val="18"/>
          <w:color w:val="auto"/>
        </w:rPr>
        <w:t>Henneman, III and the Company (Incorporated by reference to Exhibit 10.15(b) to the Company’s Annual Report on Form 10-K for the year ended December 31, 2007)*</w:t>
      </w:r>
    </w:p>
    <w:p>
      <w:pPr>
        <w:spacing w:after="0" w:line="184" w:lineRule="exact"/>
        <w:rPr>
          <w:sz w:val="20"/>
          <w:szCs w:val="20"/>
          <w:color w:val="auto"/>
        </w:rPr>
      </w:pPr>
    </w:p>
    <w:p>
      <w:pPr>
        <w:jc w:val="both"/>
        <w:ind w:left="1140" w:right="720" w:hanging="1147"/>
        <w:spacing w:after="0" w:line="264" w:lineRule="auto"/>
        <w:tabs>
          <w:tab w:leader="none" w:pos="1120" w:val="left"/>
        </w:tabs>
        <w:rPr>
          <w:sz w:val="20"/>
          <w:szCs w:val="20"/>
          <w:color w:val="auto"/>
        </w:rPr>
      </w:pPr>
      <w:r>
        <w:rPr>
          <w:rFonts w:ascii="Arial" w:cs="Arial" w:eastAsia="Arial" w:hAnsi="Arial"/>
          <w:sz w:val="18"/>
          <w:szCs w:val="18"/>
          <w:color w:val="auto"/>
        </w:rPr>
        <w:t>10.14(c)</w:t>
      </w:r>
      <w:r>
        <w:rPr>
          <w:sz w:val="20"/>
          <w:szCs w:val="20"/>
          <w:color w:val="auto"/>
        </w:rPr>
        <w:tab/>
      </w:r>
      <w:r>
        <w:rPr>
          <w:rFonts w:ascii="Arial" w:cs="Arial" w:eastAsia="Arial" w:hAnsi="Arial"/>
          <w:sz w:val="18"/>
          <w:szCs w:val="18"/>
          <w:color w:val="auto"/>
        </w:rPr>
        <w:t>Amendment 2008-2, dated as of December 18, 2008, to the Amended and Restated 2005 Employment Agreement between John B. Henneman, III and the Company (Incorporated by reference to Exhibit 10.2 to the Company’s Current Report on Form 8-K filed on December 24, 2008)*</w:t>
      </w:r>
    </w:p>
    <w:p>
      <w:pPr>
        <w:spacing w:after="0" w:line="181" w:lineRule="exact"/>
        <w:rPr>
          <w:sz w:val="20"/>
          <w:szCs w:val="20"/>
          <w:color w:val="auto"/>
        </w:rPr>
      </w:pPr>
    </w:p>
    <w:p>
      <w:pPr>
        <w:ind w:left="1140" w:right="20" w:hanging="1147"/>
        <w:spacing w:after="0" w:line="342" w:lineRule="auto"/>
        <w:tabs>
          <w:tab w:leader="none" w:pos="1120" w:val="left"/>
        </w:tabs>
        <w:rPr>
          <w:sz w:val="20"/>
          <w:szCs w:val="20"/>
          <w:color w:val="auto"/>
        </w:rPr>
      </w:pPr>
      <w:r>
        <w:rPr>
          <w:rFonts w:ascii="Arial" w:cs="Arial" w:eastAsia="Arial" w:hAnsi="Arial"/>
          <w:sz w:val="18"/>
          <w:szCs w:val="18"/>
          <w:color w:val="auto"/>
        </w:rPr>
        <w:t>10.14(d)</w:t>
      </w:r>
      <w:r>
        <w:rPr>
          <w:sz w:val="20"/>
          <w:szCs w:val="20"/>
          <w:color w:val="auto"/>
        </w:rPr>
        <w:tab/>
      </w:r>
      <w:r>
        <w:rPr>
          <w:rFonts w:ascii="Arial" w:cs="Arial" w:eastAsia="Arial" w:hAnsi="Arial"/>
          <w:sz w:val="16"/>
          <w:szCs w:val="16"/>
          <w:color w:val="auto"/>
        </w:rPr>
        <w:t>Amendment 2009-1, dated as of April 13, 2009, to the Amended and Restated 2005 Employment Agreement between John B. Henneman, III and the Company (Incorporated by reference to Exhibit 10.5 to the Company’s Current Report on Form 8-K filed on April 13, 2009)*</w:t>
      </w:r>
    </w:p>
    <w:p>
      <w:pPr>
        <w:spacing w:after="0" w:line="124" w:lineRule="exact"/>
        <w:rPr>
          <w:sz w:val="20"/>
          <w:szCs w:val="20"/>
          <w:color w:val="auto"/>
        </w:rPr>
      </w:pPr>
    </w:p>
    <w:p>
      <w:pPr>
        <w:ind w:left="1140" w:right="40" w:hanging="1147"/>
        <w:spacing w:after="0" w:line="264" w:lineRule="auto"/>
        <w:tabs>
          <w:tab w:leader="none" w:pos="1120" w:val="left"/>
        </w:tabs>
        <w:rPr>
          <w:sz w:val="20"/>
          <w:szCs w:val="20"/>
          <w:color w:val="auto"/>
        </w:rPr>
      </w:pPr>
      <w:r>
        <w:rPr>
          <w:rFonts w:ascii="Arial" w:cs="Arial" w:eastAsia="Arial" w:hAnsi="Arial"/>
          <w:sz w:val="18"/>
          <w:szCs w:val="18"/>
          <w:color w:val="auto"/>
        </w:rPr>
        <w:t>10.14(e)</w:t>
      </w:r>
      <w:r>
        <w:rPr>
          <w:sz w:val="20"/>
          <w:szCs w:val="20"/>
          <w:color w:val="auto"/>
        </w:rPr>
        <w:tab/>
      </w:r>
      <w:r>
        <w:rPr>
          <w:rFonts w:ascii="Arial" w:cs="Arial" w:eastAsia="Arial" w:hAnsi="Arial"/>
          <w:sz w:val="18"/>
          <w:szCs w:val="18"/>
          <w:color w:val="auto"/>
        </w:rPr>
        <w:t>Amendment 2010-1, dated as of October 12, 2010, to the Amended and Restated 2005 Employment Agreement between John B. Henneman, III and the Company (Incorporated by reference to Exhibit 10.3 to the Company’s Current Report on Form 8-K filed October 12, 2010)*</w:t>
      </w:r>
    </w:p>
    <w:p>
      <w:pPr>
        <w:spacing w:after="0" w:line="181" w:lineRule="exact"/>
        <w:rPr>
          <w:sz w:val="20"/>
          <w:szCs w:val="20"/>
          <w:color w:val="auto"/>
        </w:rPr>
      </w:pPr>
    </w:p>
    <w:p>
      <w:pPr>
        <w:ind w:left="1140" w:right="760" w:hanging="1147"/>
        <w:spacing w:after="0" w:line="277" w:lineRule="auto"/>
        <w:tabs>
          <w:tab w:leader="none" w:pos="1120" w:val="left"/>
        </w:tabs>
        <w:rPr>
          <w:sz w:val="20"/>
          <w:szCs w:val="20"/>
          <w:color w:val="auto"/>
        </w:rPr>
      </w:pPr>
      <w:r>
        <w:rPr>
          <w:rFonts w:ascii="Arial" w:cs="Arial" w:eastAsia="Arial" w:hAnsi="Arial"/>
          <w:sz w:val="18"/>
          <w:szCs w:val="18"/>
          <w:color w:val="auto"/>
        </w:rPr>
        <w:t>10.14(f)</w:t>
      </w:r>
      <w:r>
        <w:rPr>
          <w:sz w:val="20"/>
          <w:szCs w:val="20"/>
          <w:color w:val="auto"/>
        </w:rPr>
        <w:tab/>
      </w:r>
      <w:r>
        <w:rPr>
          <w:rFonts w:ascii="Arial" w:cs="Arial" w:eastAsia="Arial" w:hAnsi="Arial"/>
          <w:sz w:val="18"/>
          <w:szCs w:val="18"/>
          <w:color w:val="auto"/>
        </w:rPr>
        <w:t>Letter dated as of February 22, 2012 from John B. Henneman, III to the Company (Incorporated by reference to Exhibit 10.1 to the Company’s Current Report on Form 8-K filed February 22, 2012)*</w:t>
      </w:r>
    </w:p>
    <w:p>
      <w:pPr>
        <w:spacing w:after="0" w:line="170" w:lineRule="exact"/>
        <w:rPr>
          <w:sz w:val="20"/>
          <w:szCs w:val="20"/>
          <w:color w:val="auto"/>
        </w:rPr>
      </w:pPr>
    </w:p>
    <w:p>
      <w:pPr>
        <w:ind w:left="1140" w:right="140" w:hanging="1147"/>
        <w:spacing w:after="0" w:line="277" w:lineRule="auto"/>
        <w:tabs>
          <w:tab w:leader="none" w:pos="11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Consulting Agreement, dated October 12, 2010, between the Company and Inception Surgical (Incorporated by reference to Exhibit 10.1 to the Company’s Current Report on Form 8-K filed on October 12, 2010)*</w:t>
      </w:r>
    </w:p>
    <w:p>
      <w:pPr>
        <w:spacing w:after="0" w:line="170" w:lineRule="exact"/>
        <w:rPr>
          <w:sz w:val="20"/>
          <w:szCs w:val="20"/>
          <w:color w:val="auto"/>
        </w:rPr>
      </w:pPr>
    </w:p>
    <w:p>
      <w:pPr>
        <w:ind w:left="1140" w:right="120" w:hanging="1147"/>
        <w:spacing w:after="0" w:line="277" w:lineRule="auto"/>
        <w:tabs>
          <w:tab w:leader="none" w:pos="1120" w:val="left"/>
        </w:tabs>
        <w:rPr>
          <w:sz w:val="20"/>
          <w:szCs w:val="20"/>
          <w:color w:val="auto"/>
        </w:rPr>
      </w:pPr>
      <w:r>
        <w:rPr>
          <w:rFonts w:ascii="Arial" w:cs="Arial" w:eastAsia="Arial" w:hAnsi="Arial"/>
          <w:sz w:val="18"/>
          <w:szCs w:val="18"/>
          <w:color w:val="auto"/>
        </w:rPr>
        <w:t>10.16(a)</w:t>
      </w:r>
      <w:r>
        <w:rPr>
          <w:sz w:val="20"/>
          <w:szCs w:val="20"/>
          <w:color w:val="auto"/>
        </w:rPr>
        <w:tab/>
      </w:r>
      <w:r>
        <w:rPr>
          <w:rFonts w:ascii="Arial" w:cs="Arial" w:eastAsia="Arial" w:hAnsi="Arial"/>
          <w:sz w:val="18"/>
          <w:szCs w:val="18"/>
          <w:color w:val="auto"/>
        </w:rPr>
        <w:t>Severance Agreement between Judith O’Grady and the Company dated as of January 4, 2010 (Incorporated by reference to Exhibit 10.17 to the Company’s Annual Report on Form 10-K for the year ended December 31, 2009)*</w:t>
      </w:r>
    </w:p>
    <w:p>
      <w:pPr>
        <w:spacing w:after="0" w:line="170" w:lineRule="exact"/>
        <w:rPr>
          <w:sz w:val="20"/>
          <w:szCs w:val="20"/>
          <w:color w:val="auto"/>
        </w:rPr>
      </w:pPr>
    </w:p>
    <w:p>
      <w:pPr>
        <w:ind w:left="1140" w:right="100" w:hanging="1147"/>
        <w:spacing w:after="0" w:line="277" w:lineRule="auto"/>
        <w:tabs>
          <w:tab w:leader="none" w:pos="1120" w:val="left"/>
        </w:tabs>
        <w:rPr>
          <w:sz w:val="20"/>
          <w:szCs w:val="20"/>
          <w:color w:val="auto"/>
        </w:rPr>
      </w:pPr>
      <w:r>
        <w:rPr>
          <w:rFonts w:ascii="Arial" w:cs="Arial" w:eastAsia="Arial" w:hAnsi="Arial"/>
          <w:sz w:val="18"/>
          <w:szCs w:val="18"/>
          <w:color w:val="auto"/>
        </w:rPr>
        <w:t>10.16(b)</w:t>
      </w:r>
      <w:r>
        <w:rPr>
          <w:sz w:val="20"/>
          <w:szCs w:val="20"/>
          <w:color w:val="auto"/>
        </w:rPr>
        <w:tab/>
      </w:r>
      <w:r>
        <w:rPr>
          <w:rFonts w:ascii="Arial" w:cs="Arial" w:eastAsia="Arial" w:hAnsi="Arial"/>
          <w:sz w:val="18"/>
          <w:szCs w:val="18"/>
          <w:color w:val="auto"/>
        </w:rPr>
        <w:t>Severance Agreement between Judith O’Grady and the Company dated as of January 3, 2011 (Incorporated by reference to Exhibit 10.17(a) to the Company’s Annual Report on Form 10-K for the year ended December 31, 2010)*</w:t>
      </w:r>
    </w:p>
    <w:p>
      <w:pPr>
        <w:spacing w:after="0" w:line="170" w:lineRule="exact"/>
        <w:rPr>
          <w:sz w:val="20"/>
          <w:szCs w:val="20"/>
          <w:color w:val="auto"/>
        </w:rPr>
      </w:pPr>
    </w:p>
    <w:p>
      <w:pPr>
        <w:ind w:left="1140" w:right="100" w:hanging="1147"/>
        <w:spacing w:after="0" w:line="277" w:lineRule="auto"/>
        <w:tabs>
          <w:tab w:leader="none" w:pos="1120" w:val="left"/>
        </w:tabs>
        <w:rPr>
          <w:sz w:val="20"/>
          <w:szCs w:val="20"/>
          <w:color w:val="auto"/>
        </w:rPr>
      </w:pPr>
      <w:r>
        <w:rPr>
          <w:rFonts w:ascii="Arial" w:cs="Arial" w:eastAsia="Arial" w:hAnsi="Arial"/>
          <w:sz w:val="18"/>
          <w:szCs w:val="18"/>
          <w:color w:val="auto"/>
        </w:rPr>
        <w:t>10.16(c)</w:t>
      </w:r>
      <w:r>
        <w:rPr>
          <w:sz w:val="20"/>
          <w:szCs w:val="20"/>
          <w:color w:val="auto"/>
        </w:rPr>
        <w:tab/>
      </w:r>
      <w:r>
        <w:rPr>
          <w:rFonts w:ascii="Arial" w:cs="Arial" w:eastAsia="Arial" w:hAnsi="Arial"/>
          <w:sz w:val="18"/>
          <w:szCs w:val="18"/>
          <w:color w:val="auto"/>
        </w:rPr>
        <w:t>Severance Agreement between Judith O’Grady and the Company dated as of January 3, 2012 (Incorporated by reference to Exhibit 10.16(c) to the Company’s Annual Report on Form 10-K for the year ended December 31, 2011)*</w:t>
      </w:r>
    </w:p>
    <w:p>
      <w:pPr>
        <w:sectPr>
          <w:pgSz w:w="11900" w:h="16838" w:orient="portrait"/>
          <w:cols w:equalWidth="0" w:num="1">
            <w:col w:w="11340"/>
          </w:cols>
          <w:pgMar w:left="280" w:top="530" w:right="2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10.17(a)</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Employment Agreement, dated as of October 12, 2010, between Peter J. Arduini and the Company (Incorporated by reference to Exhibit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October 12,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10.17(b)</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Amended and Restated Employment Agreement dated December 20, 2011 between Peter J. Arduini and the Company (Incorporated by</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December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Form of Notice of Stock Option Grant with Eight-Year Term for Peter J. Arduini (Incorporated by reference to Exhibit 10.2 to the Company’s</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Current Report on Form 8-K filed December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10.19(a)</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Lease Contract, dated April 1, 2005, between the Puerto Rico Industrial Development Company and Integra CI, Inc. (executed on September</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15, 2006) (Incorporated by reference to Exhibit 10.3 to the Company’s Quarterly Report on Form 10-Q for the quarter ended September 30,</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10.19(b)</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Amendment to Lease Contract dated as of November 2, 2011, between Integra CI, Inc. and Puerto Rico Industrial Development Company</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r>
        <w:trPr>
          <w:trHeight w:val="580"/>
        </w:trPr>
        <w:tc>
          <w:tcPr>
            <w:tcW w:w="880" w:type="dxa"/>
            <w:vAlign w:val="bottom"/>
          </w:tcPr>
          <w:p>
            <w:pPr>
              <w:spacing w:after="0"/>
              <w:rPr>
                <w:sz w:val="20"/>
                <w:szCs w:val="20"/>
                <w:color w:val="auto"/>
              </w:rPr>
            </w:pPr>
            <w:r>
              <w:rPr>
                <w:rFonts w:ascii="Arial" w:cs="Arial" w:eastAsia="Arial" w:hAnsi="Arial"/>
                <w:sz w:val="18"/>
                <w:szCs w:val="18"/>
                <w:color w:val="auto"/>
              </w:rPr>
              <w:t>10.19(c)</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Termination of Amendment to Lease Contract, dated as of April 2, 2012, between Integra CI, Inc. and Puerto Rico Industrial Development</w:t>
            </w:r>
          </w:p>
        </w:tc>
      </w:tr>
      <w:tr>
        <w:trPr>
          <w:trHeight w:val="216"/>
        </w:trPr>
        <w:tc>
          <w:tcPr>
            <w:tcW w:w="8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5"/>
              </w:rPr>
              <w:t>Company (Incorporated by reference to Exhibit 10.2 to the Company’s Quarterly Report on Form 10-Q for the quarter ended March 31,</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Restricted Units Agreement dated December 27, 1997 between the Company and Stuart M. Essig (Incorporated by reference to Exhibit 10.3</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to the Company’s Current Report on Form 8-K filed on February 3, 1998)*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Stock Option Grant and Agreement pursuant to 1999 Stock Option Plan dated December 22, 2000 between the Company and Stuart M. Essig</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260"/>
              <w:spacing w:after="0"/>
              <w:rPr>
                <w:sz w:val="20"/>
                <w:szCs w:val="20"/>
                <w:color w:val="auto"/>
              </w:rPr>
            </w:pPr>
            <w:r>
              <w:rPr>
                <w:rFonts w:ascii="Arial" w:cs="Arial" w:eastAsia="Arial" w:hAnsi="Arial"/>
                <w:sz w:val="18"/>
                <w:szCs w:val="18"/>
                <w:color w:val="auto"/>
                <w:w w:val="94"/>
              </w:rPr>
              <w:t>Stock Option Grant and Agreement pursuant to 2000 Equity Incentive Plan dated December 22, 2000 between the Company and Stuart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M. Essig (Incorporated by reference to Exhibit 4.2 to 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10.23(a)</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Restricted Units Agreement dated December 22, 2000 between the Company and Stuart M. Essig (Incorporated by reference to Exhibit 4.3 to</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10.23(b)</w:t>
            </w:r>
          </w:p>
        </w:tc>
        <w:tc>
          <w:tcPr>
            <w:tcW w:w="10460" w:type="dxa"/>
            <w:vAlign w:val="bottom"/>
          </w:tcPr>
          <w:p>
            <w:pPr>
              <w:ind w:left="260"/>
              <w:spacing w:after="0"/>
              <w:rPr>
                <w:sz w:val="20"/>
                <w:szCs w:val="20"/>
                <w:color w:val="auto"/>
              </w:rPr>
            </w:pPr>
            <w:r>
              <w:rPr>
                <w:rFonts w:ascii="Arial" w:cs="Arial" w:eastAsia="Arial" w:hAnsi="Arial"/>
                <w:sz w:val="18"/>
                <w:szCs w:val="18"/>
                <w:color w:val="auto"/>
                <w:w w:val="95"/>
              </w:rPr>
              <w:t>Amendment 2006-1, dated as of October 30, 2006, to the Stuart M. Essig Restricted Units Agreement dated as of December 22, 2000</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Stock Option Grant and Agreement pursuant to 2003 Equity Incentive Plan dated July 27, 2004 between the Company and Stuart M. Essig</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10.30 to the 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10.25(a)</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Contract Stock/Restricted Units Agreement pursuant to 2003 Equity Incentive Plan dated July 27, 2004 between the Company and Stuart M.</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Essig (Incorporated by reference to Exhibit 10.31 to the 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10.25(b)</w:t>
            </w:r>
          </w:p>
        </w:tc>
        <w:tc>
          <w:tcPr>
            <w:tcW w:w="10460" w:type="dxa"/>
            <w:vAlign w:val="bottom"/>
          </w:tcPr>
          <w:p>
            <w:pPr>
              <w:ind w:left="260"/>
              <w:spacing w:after="0"/>
              <w:rPr>
                <w:sz w:val="20"/>
                <w:szCs w:val="20"/>
                <w:color w:val="auto"/>
              </w:rPr>
            </w:pPr>
            <w:r>
              <w:rPr>
                <w:rFonts w:ascii="Arial" w:cs="Arial" w:eastAsia="Arial" w:hAnsi="Arial"/>
                <w:sz w:val="18"/>
                <w:szCs w:val="18"/>
                <w:color w:val="auto"/>
                <w:w w:val="93"/>
              </w:rPr>
              <w:t>Amendment 2006-1, dated as of October 30, 2006, to the Stuart M. Essig Contract Stock/Restricted Units Agreement dated as of July 27,</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10.25(c)</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Amendment 2008-1, dated as of March 6, 2008, to the Stuart M. Essig Contract Stock/Restricted Units Agreement dated as of July 27, 2004</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5"/>
              </w:rPr>
              <w:t>(Incorporated by reference to Exhibit 10.25(c) to the Company’s Annual Report on Form 10-K for the year ended December 31,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10.25(d)</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Amendment 2011-1, dated as of May 17, 2011, to the Stuart M. Essig Contract Stock/Restricted Units Agreement dated as of July 24, 2004</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10.6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Contract Stock/Units Agreement dated as of May 17, 2011 between the Company and Stuart M. Essig (Incorporated by reference to Exhibit</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on May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Form of Amendment 2011-1 to Contract Stock/Restricted Units Agreements between the Company and Mr. Essig (Incorporated by reference</w:t>
            </w:r>
          </w:p>
        </w:tc>
      </w:tr>
      <w:tr>
        <w:trPr>
          <w:trHeight w:val="230"/>
        </w:trPr>
        <w:tc>
          <w:tcPr>
            <w:tcW w:w="8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to Exhibit 10.5 to the Company’s Quarterly Report on Form 10-Q for the quarter ended June 30, 2011)*</w:t>
            </w:r>
          </w:p>
        </w:tc>
      </w:tr>
    </w:tbl>
    <w:p>
      <w:pPr>
        <w:sectPr>
          <w:pgSz w:w="11900" w:h="16838" w:orient="portrait"/>
          <w:cols w:equalWidth="0" w:num="1">
            <w:col w:w="11340"/>
          </w:cols>
          <w:pgMar w:left="280" w:top="530" w:right="27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440" w:type="dxa"/>
            <w:vAlign w:val="bottom"/>
          </w:tcPr>
          <w:p>
            <w:pPr>
              <w:ind w:left="260"/>
              <w:spacing w:after="0"/>
              <w:rPr>
                <w:sz w:val="20"/>
                <w:szCs w:val="20"/>
                <w:color w:val="auto"/>
              </w:rPr>
            </w:pPr>
            <w:r>
              <w:rPr>
                <w:rFonts w:ascii="Arial" w:cs="Arial" w:eastAsia="Arial" w:hAnsi="Arial"/>
                <w:sz w:val="18"/>
                <w:szCs w:val="18"/>
                <w:color w:val="auto"/>
                <w:w w:val="93"/>
              </w:rPr>
              <w:t>Form of Stock Option Grant and Agreement between the Company and Stuart M. Essig (Incorporated by reference to Exhibit 10.32 to the</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10.29(a)</w:t>
            </w:r>
          </w:p>
        </w:tc>
        <w:tc>
          <w:tcPr>
            <w:tcW w:w="10440" w:type="dxa"/>
            <w:vAlign w:val="bottom"/>
          </w:tcPr>
          <w:p>
            <w:pPr>
              <w:ind w:left="260"/>
              <w:spacing w:after="0"/>
              <w:rPr>
                <w:sz w:val="20"/>
                <w:szCs w:val="20"/>
                <w:color w:val="auto"/>
              </w:rPr>
            </w:pPr>
            <w:r>
              <w:rPr>
                <w:rFonts w:ascii="Arial" w:cs="Arial" w:eastAsia="Arial" w:hAnsi="Arial"/>
                <w:sz w:val="18"/>
                <w:szCs w:val="18"/>
                <w:color w:val="auto"/>
                <w:w w:val="97"/>
              </w:rPr>
              <w:t>Form of Contract Stock/Restricted Units Agreement for Stuart M. Essig (Incorporated by reference to Exhibit 10.8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10.29(b)</w:t>
            </w:r>
          </w:p>
        </w:tc>
        <w:tc>
          <w:tcPr>
            <w:tcW w:w="10440" w:type="dxa"/>
            <w:vAlign w:val="bottom"/>
          </w:tcPr>
          <w:p>
            <w:pPr>
              <w:ind w:left="260"/>
              <w:spacing w:after="0"/>
              <w:rPr>
                <w:sz w:val="20"/>
                <w:szCs w:val="20"/>
                <w:color w:val="auto"/>
              </w:rPr>
            </w:pPr>
            <w:r>
              <w:rPr>
                <w:rFonts w:ascii="Arial" w:cs="Arial" w:eastAsia="Arial" w:hAnsi="Arial"/>
                <w:sz w:val="18"/>
                <w:szCs w:val="18"/>
                <w:color w:val="auto"/>
                <w:w w:val="95"/>
              </w:rPr>
              <w:t>New Form of Contract Stock/Restricted Units Agreement (for Annual Equity Awards) for Stuart M. Essig (Incorporated by reference to</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10.29(c)</w:t>
            </w:r>
          </w:p>
        </w:tc>
        <w:tc>
          <w:tcPr>
            <w:tcW w:w="10440" w:type="dxa"/>
            <w:vAlign w:val="bottom"/>
          </w:tcPr>
          <w:p>
            <w:pPr>
              <w:ind w:left="260"/>
              <w:spacing w:after="0"/>
              <w:rPr>
                <w:sz w:val="20"/>
                <w:szCs w:val="20"/>
                <w:color w:val="auto"/>
              </w:rPr>
            </w:pPr>
            <w:r>
              <w:rPr>
                <w:rFonts w:ascii="Arial" w:cs="Arial" w:eastAsia="Arial" w:hAnsi="Arial"/>
                <w:sz w:val="18"/>
                <w:szCs w:val="18"/>
                <w:color w:val="auto"/>
                <w:w w:val="90"/>
              </w:rPr>
              <w:t>Form of Amendment 2011-1 to Contract Stock/Restricted Units Agreement betweeen the Company and Mr. Essig (Incorporated by reference</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to Exhibit 10.4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440" w:type="dxa"/>
            <w:vAlign w:val="bottom"/>
          </w:tcPr>
          <w:p>
            <w:pPr>
              <w:ind w:left="260"/>
              <w:spacing w:after="0"/>
              <w:rPr>
                <w:sz w:val="20"/>
                <w:szCs w:val="20"/>
                <w:color w:val="auto"/>
              </w:rPr>
            </w:pPr>
            <w:r>
              <w:rPr>
                <w:rFonts w:ascii="Arial" w:cs="Arial" w:eastAsia="Arial" w:hAnsi="Arial"/>
                <w:sz w:val="18"/>
                <w:szCs w:val="18"/>
                <w:color w:val="auto"/>
                <w:w w:val="91"/>
              </w:rPr>
              <w:t>Form of Performance Stock Agreement for Stuart M. Essig (Incorporated by reference to Exhibit 10.9 to the Company’s Quarterly Report on</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44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for Stuart M. Essig for 2009 (Incorporated by reference to Exhibit 10.3 to the Company’s Current</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Report on Form 8-K filed April 13,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New Form of Contract Stock/Restricted Units Agreement pursuant to 2003 Equity Incentive Plan (for 2011) Annual Equity Award for Stuart</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w w:val="90"/>
              </w:rPr>
              <w:t>M. Essig) (Incorporated by reference to Exhibit 10.3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Form of Notice of Grant of Stock Option and Stock Option Agreement (Incorporated by reference to Exhibit 10.1 to the Company’s Current</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Report on Form 8-K filed on July 29,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440" w:type="dxa"/>
            <w:vAlign w:val="bottom"/>
          </w:tcPr>
          <w:p>
            <w:pPr>
              <w:ind w:left="260"/>
              <w:spacing w:after="0"/>
              <w:rPr>
                <w:sz w:val="20"/>
                <w:szCs w:val="20"/>
                <w:color w:val="auto"/>
              </w:rPr>
            </w:pPr>
            <w:r>
              <w:rPr>
                <w:rFonts w:ascii="Arial" w:cs="Arial" w:eastAsia="Arial" w:hAnsi="Arial"/>
                <w:sz w:val="18"/>
                <w:szCs w:val="18"/>
                <w:color w:val="auto"/>
                <w:w w:val="95"/>
              </w:rPr>
              <w:t>Form of Non-Qualified Stock Option Agreement (Non-Directors) (Incorporated by reference to Exhibit 10.35 to the Company’s Annual</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Form of Incentive Stock Option Agreement (Incorporated by reference to Exhibit 10.36 to the Company’s Annual Report on Form 10-K for</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Form of Non-Qualified Stock Option Agreement (Directors) (Incorporated by reference to Exhibit 10.37 to the Company’s Annual Report on</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10.37(a)</w:t>
            </w:r>
          </w:p>
        </w:tc>
        <w:tc>
          <w:tcPr>
            <w:tcW w:w="10440" w:type="dxa"/>
            <w:vAlign w:val="bottom"/>
          </w:tcPr>
          <w:p>
            <w:pPr>
              <w:ind w:left="260"/>
              <w:spacing w:after="0"/>
              <w:rPr>
                <w:sz w:val="20"/>
                <w:szCs w:val="20"/>
                <w:color w:val="auto"/>
              </w:rPr>
            </w:pPr>
            <w:r>
              <w:rPr>
                <w:rFonts w:ascii="Arial" w:cs="Arial" w:eastAsia="Arial" w:hAnsi="Arial"/>
                <w:sz w:val="18"/>
                <w:szCs w:val="18"/>
                <w:color w:val="auto"/>
                <w:w w:val="94"/>
              </w:rPr>
              <w:t>Compensation of Directors of the Company effective May 17, 2011 (Incorporated by reference to Exhibit 10.1 to the Company’s Current</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Report on Form 8-K filed on December 16,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10.37(b)</w:t>
            </w:r>
          </w:p>
        </w:tc>
        <w:tc>
          <w:tcPr>
            <w:tcW w:w="1044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17, 2012 (Incorporated by reference to Exhibit 10.1 to the</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10.37(c)</w:t>
            </w:r>
          </w:p>
        </w:tc>
        <w:tc>
          <w:tcPr>
            <w:tcW w:w="1044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22, 2013 (Incorporated by reference to Exhibit 10.1 to the</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December 14,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10.38(a)</w:t>
            </w:r>
          </w:p>
        </w:tc>
        <w:tc>
          <w:tcPr>
            <w:tcW w:w="1044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Non-Employee Directors under the 2003 Equity Incentive Plan (Incorporated by reference to</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Exhibit 10.4 to the Company’s 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10.38(b)</w:t>
            </w:r>
          </w:p>
        </w:tc>
        <w:tc>
          <w:tcPr>
            <w:tcW w:w="10440" w:type="dxa"/>
            <w:vAlign w:val="bottom"/>
          </w:tcPr>
          <w:p>
            <w:pPr>
              <w:ind w:left="260"/>
              <w:spacing w:after="0"/>
              <w:rPr>
                <w:sz w:val="20"/>
                <w:szCs w:val="20"/>
                <w:color w:val="auto"/>
              </w:rPr>
            </w:pPr>
            <w:r>
              <w:rPr>
                <w:rFonts w:ascii="Arial" w:cs="Arial" w:eastAsia="Arial" w:hAnsi="Arial"/>
                <w:sz w:val="18"/>
                <w:szCs w:val="18"/>
                <w:color w:val="auto"/>
              </w:rPr>
              <w:t>New Form of Restricted Stock Agreement for Non-Employee Directors under the 2003 Equity Incentive Plan*+</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10.38(c)</w:t>
            </w:r>
          </w:p>
        </w:tc>
        <w:tc>
          <w:tcPr>
            <w:tcW w:w="10440" w:type="dxa"/>
            <w:vAlign w:val="bottom"/>
          </w:tcPr>
          <w:p>
            <w:pPr>
              <w:ind w:left="260"/>
              <w:spacing w:after="0"/>
              <w:rPr>
                <w:sz w:val="20"/>
                <w:szCs w:val="20"/>
                <w:color w:val="auto"/>
              </w:rPr>
            </w:pPr>
            <w:r>
              <w:rPr>
                <w:rFonts w:ascii="Arial" w:cs="Arial" w:eastAsia="Arial" w:hAnsi="Arial"/>
                <w:sz w:val="18"/>
                <w:szCs w:val="18"/>
                <w:color w:val="auto"/>
                <w:w w:val="92"/>
              </w:rPr>
              <w:t>Form of Restricted Stock Agreement for Executive Officers — Annual Vesting (Incorporated by reference to Exhibit 10.1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Current Report on Form 8-K filed on February 25,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10.38(d)</w:t>
            </w:r>
          </w:p>
        </w:tc>
        <w:tc>
          <w:tcPr>
            <w:tcW w:w="10440" w:type="dxa"/>
            <w:vAlign w:val="bottom"/>
          </w:tcPr>
          <w:p>
            <w:pPr>
              <w:ind w:left="260"/>
              <w:spacing w:after="0"/>
              <w:rPr>
                <w:sz w:val="20"/>
                <w:szCs w:val="20"/>
                <w:color w:val="auto"/>
              </w:rPr>
            </w:pPr>
            <w:r>
              <w:rPr>
                <w:rFonts w:ascii="Arial" w:cs="Arial" w:eastAsia="Arial" w:hAnsi="Arial"/>
                <w:sz w:val="18"/>
                <w:szCs w:val="18"/>
                <w:color w:val="auto"/>
                <w:w w:val="93"/>
              </w:rPr>
              <w:t>Form of Restricted Stock Agreement for Executive Officers – Annual Vesting (Incorporated by reference to Exhibit 10.5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10.38(e)</w:t>
            </w:r>
          </w:p>
        </w:tc>
        <w:tc>
          <w:tcPr>
            <w:tcW w:w="10440" w:type="dxa"/>
            <w:vAlign w:val="bottom"/>
          </w:tcPr>
          <w:p>
            <w:pPr>
              <w:ind w:left="260"/>
              <w:spacing w:after="0"/>
              <w:rPr>
                <w:sz w:val="20"/>
                <w:szCs w:val="20"/>
                <w:color w:val="auto"/>
              </w:rPr>
            </w:pPr>
            <w:r>
              <w:rPr>
                <w:rFonts w:ascii="Arial" w:cs="Arial" w:eastAsia="Arial" w:hAnsi="Arial"/>
                <w:sz w:val="18"/>
                <w:szCs w:val="18"/>
                <w:color w:val="auto"/>
              </w:rPr>
              <w:t>New Form of Restricted Stock Agreement for Executive Officers – Annual Vesting*+</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10.38(f)</w:t>
            </w:r>
          </w:p>
        </w:tc>
        <w:tc>
          <w:tcPr>
            <w:tcW w:w="1044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for Executive Officers – Cliff Vesting (Incorporated by reference to Exhibit 10.8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Quarter Report on Form 10-Q for the quarter ended March 31,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10.38(g)</w:t>
            </w:r>
          </w:p>
        </w:tc>
        <w:tc>
          <w:tcPr>
            <w:tcW w:w="1044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for Executive Officers – Cliff Vesting (Incorporated by reference to Exhibit 10.6 to the Company’s</w:t>
            </w:r>
          </w:p>
        </w:tc>
      </w:tr>
      <w:tr>
        <w:trPr>
          <w:trHeight w:val="230"/>
        </w:trPr>
        <w:tc>
          <w:tcPr>
            <w:tcW w:w="880" w:type="dxa"/>
            <w:vAlign w:val="bottom"/>
          </w:tcPr>
          <w:p>
            <w:pPr>
              <w:spacing w:after="0"/>
              <w:rPr>
                <w:sz w:val="20"/>
                <w:szCs w:val="20"/>
                <w:color w:val="auto"/>
              </w:rPr>
            </w:pPr>
          </w:p>
        </w:tc>
        <w:tc>
          <w:tcPr>
            <w:tcW w:w="1044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10.38(h)</w:t>
            </w:r>
          </w:p>
        </w:tc>
        <w:tc>
          <w:tcPr>
            <w:tcW w:w="10440" w:type="dxa"/>
            <w:vAlign w:val="bottom"/>
          </w:tcPr>
          <w:p>
            <w:pPr>
              <w:ind w:left="260"/>
              <w:spacing w:after="0"/>
              <w:rPr>
                <w:sz w:val="20"/>
                <w:szCs w:val="20"/>
                <w:color w:val="auto"/>
              </w:rPr>
            </w:pPr>
            <w:r>
              <w:rPr>
                <w:rFonts w:ascii="Arial" w:cs="Arial" w:eastAsia="Arial" w:hAnsi="Arial"/>
                <w:sz w:val="18"/>
                <w:szCs w:val="18"/>
                <w:color w:val="auto"/>
              </w:rPr>
              <w:t>New Form of Restricted Stock Agreement for Executive Officers – Cliff Vesting*+</w:t>
            </w:r>
          </w:p>
        </w:tc>
      </w:tr>
    </w:tbl>
    <w:p>
      <w:pPr>
        <w:sectPr>
          <w:pgSz w:w="11900" w:h="16838" w:orient="portrait"/>
          <w:cols w:equalWidth="0" w:num="1">
            <w:col w:w="11320"/>
          </w:cols>
          <w:pgMar w:left="280" w:top="530" w:right="29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10.38(i)</w:t>
            </w: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Form of Restricted Stock Agreement for Mr. Henneman for 2008 and 2009 (Incorporated by reference to Exhibit 10.6 to the Company’s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Current Report on Form 8-K filed on April 13,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10.38(j)</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Form of Contract Stock/Restricted Units Agreement pursuant to 2003 Equity Incentive Plan for Mr. Henneman (Incorporated by reference to</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Exhibit 10.4 to the Company’s Current Report on Form 8-K filed on December 24,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10.38(k)</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Option Agreement for John B. Henneman, III (Incorporated by reference to Exhibit 10.1 to the Company’s Current Report on Form</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8-K filed on June 6,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10.38(l)</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Performance Stock Agreement for John B. Henneman, III (Incorporated by reference to Exhibit 10.37(b) to the Company’s Annual</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10.38(m)</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Form of Contract Stock/Restricted Units Agreement (for Signing Grant) for Mr. Arduini (Incorporated by reference to Exhibit 10.4 to the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10.38(n)</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Form of Contract Stock/Restricted Units Agreement (for Annual Equity Awards) for Mr. Arduini (Incorporated by reference to Exhibit 10.5</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10.38(o)</w:t>
            </w:r>
          </w:p>
        </w:tc>
        <w:tc>
          <w:tcPr>
            <w:tcW w:w="10440" w:type="dxa"/>
            <w:vAlign w:val="bottom"/>
          </w:tcPr>
          <w:p>
            <w:pPr>
              <w:ind w:left="240"/>
              <w:spacing w:after="0"/>
              <w:rPr>
                <w:sz w:val="20"/>
                <w:szCs w:val="20"/>
                <w:color w:val="auto"/>
              </w:rPr>
            </w:pPr>
            <w:r>
              <w:rPr>
                <w:rFonts w:ascii="Arial" w:cs="Arial" w:eastAsia="Arial" w:hAnsi="Arial"/>
                <w:sz w:val="18"/>
                <w:szCs w:val="18"/>
                <w:color w:val="auto"/>
                <w:w w:val="97"/>
              </w:rPr>
              <w:t>Form of Non-Qualified Stock Option Agreement for Mr. Arduini (Incorporated by reference to Exhibit 10.6 to the Company’s Current</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10.38(p)</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Form of Restricted Stock Agreement for Mr. Henneman (Incorporated by reference to Exhibit 10.7 to the Company’s Current Report 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10.38(q)</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Form of Restricted Stock Agreement (Annual Vesting) for Mr. Henneman (Incorporated by reference to Exhibit 10.39(n) to the Company’s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Annual Report on Form 10-K for the year ended December 31, 2011) *</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10.39</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Asset Purchase Agreement, dated as of September 7, 2005, by and between Tyco Healthcare Group LP and Sherwood Services, AG and</w:t>
            </w:r>
          </w:p>
        </w:tc>
      </w:tr>
      <w:tr>
        <w:trPr>
          <w:trHeight w:val="216"/>
        </w:trPr>
        <w:tc>
          <w:tcPr>
            <w:tcW w:w="90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Integra LifeSciences Corporation and Integra LifeSciences (Ireland) Limited (Incorporated by reference to Exhibit 10.1 to the Company’s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Current Report on Form 8-K filed on September 13,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10.40</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Stock Purchase Agreement, dated as of April 19, 2006, by and between ASP/Miltex LLC and Integra LifeSciences Corporation (Incorporated</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by reference to Exhibit 10.1 to the Company’s Current Report on Form 8-K filed on April 25,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10.41</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Stock Agreement and Plan of Merger, dated as of June 30, 2006, by and between Integra LifeSciences Corporation, Integra California, Inc.,</w:t>
            </w:r>
          </w:p>
        </w:tc>
      </w:tr>
      <w:tr>
        <w:trPr>
          <w:trHeight w:val="216"/>
        </w:trPr>
        <w:tc>
          <w:tcPr>
            <w:tcW w:w="90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Kinetikos Medical, Inc., Telegraph Hill Partners Management LLC, as Shareholders Representative, and the Shareholders party thereto</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10.1 to the Company’s Current Report on Form 8-K filed on July 7,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Amended and Restated Management Incentive Compensation Plan, as of January 1, 2008 (Incorporated by reference to Exhibit 10.43(c) to</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the Company’s Annual 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10.43</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2010 Convertible Bond Hedge Transaction Confirmation, dated June 6, 2007, between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and dealer (Incorporated by reference to Exhibit 10.1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10.44</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2012 Convertible Bond Hedge Transaction Confirmation, dated June 6, 2007, between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and dealer (Incorporated by reference to Exhibit 10.2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10.45</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Form of 2010 Amended and Restated Issuer Warrant Transaction Confirmation, dated June 6, 2007, between Integra LifeSciences Holdings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Corporation and dealer (Incorporated by reference to Exhibit 10.3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10.46</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Form of 2012 Amended and Restated Issuer Warrant Transaction Confirmation, dated June 6, 2007, between Integra LifeSciences Holdings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Corporation and dealer (Incorporated by reference to Exhibit 10.4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10.47</w:t>
            </w:r>
          </w:p>
        </w:tc>
        <w:tc>
          <w:tcPr>
            <w:tcW w:w="10440" w:type="dxa"/>
            <w:vAlign w:val="bottom"/>
          </w:tcPr>
          <w:p>
            <w:pPr>
              <w:ind w:left="24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regarding the Base Call Option Transaction (Incorporated by reference to Exhibit 10.4 to the Company’s Form 8-K filed on June 15, 2011)</w:t>
            </w:r>
          </w:p>
        </w:tc>
      </w:tr>
    </w:tbl>
    <w:p>
      <w:pPr>
        <w:sectPr>
          <w:pgSz w:w="11900" w:h="16838" w:orient="portrait"/>
          <w:cols w:equalWidth="0" w:num="1">
            <w:col w:w="11340"/>
          </w:cols>
          <w:pgMar w:left="280" w:top="530" w:right="27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10.48</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Letter Agreement, dated June 9, 2011, between Royal Bank of Canada and Integra LifeSciences Holdings Corporation, regarding the Base</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Call Option Transaction (Incorporated by reference to Exhibit 10.8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10.49</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Letter Agreement, dated June 9,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the Base Call Option Transaction (Incorporated by reference to Exhibit 10.6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10.50</w:t>
            </w: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Letter Agreement, dated June 9, 2011, between Wells Fargo Bank, National Association and Integra LifeSciences Holdings Corporation,</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regarding the Base Call Option Transaction (Incorporated by reference to Exhibit 10.2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10.51</w:t>
            </w:r>
          </w:p>
        </w:tc>
        <w:tc>
          <w:tcPr>
            <w:tcW w:w="10500" w:type="dxa"/>
            <w:vAlign w:val="bottom"/>
          </w:tcPr>
          <w:p>
            <w:pPr>
              <w:ind w:left="36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regarding the Base Warrant Transaction (Incorporated by reference to Exhibit 10.3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10.52</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Letter Agreement, dated June 9, 2011, between Royal Bank of Canada and Integra LifeSciences Holdings Corporation, regarding the Base</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Warrant Transaction (Incorporated by reference to Exhibit 10.7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10.53</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Letter Agreement, dated June 9,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the Base Warrant Transaction (Incorporated by reference to Exhibit 10.5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10.54</w:t>
            </w: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Letter Agreement, dated June 9, 2011, between Wells Fargo Bank, National Association and Integra LifeSciences Holdings Corporation,</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regarding the Base Warrant Transaction (Incorporated by reference to Exhibit 10.1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10.55</w:t>
            </w:r>
          </w:p>
        </w:tc>
        <w:tc>
          <w:tcPr>
            <w:tcW w:w="10500" w:type="dxa"/>
            <w:vAlign w:val="bottom"/>
          </w:tcPr>
          <w:p>
            <w:pPr>
              <w:ind w:left="3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10.9 to the Company’s Form 8-K filed on June 15,</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10.56</w:t>
            </w: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Letter Agreement, dated June 14, 2011, between Royal Bank of Canada and Integra LifeSciences Holdings Corporation, regarding the</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Additional Call Option Transaction (Incorporated by reference to Exhibit 10.10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10.57</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5"/>
              </w:rPr>
              <w:t>the Additional Call Option Transaction (Incorporated by reference to Exhibit 10.11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10.58</w:t>
            </w: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Letter Agreement, dated June 14, 2011, between Wells Fargo Bank, National Association and Integra LifeSciences Holdings Corporation,</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regarding the Additional Call Option Transaction (Incorporated by reference to Exhibit 10.12 to the Company’s Form 8-K filed on June 15,</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10.59</w:t>
            </w:r>
          </w:p>
        </w:tc>
        <w:tc>
          <w:tcPr>
            <w:tcW w:w="10500" w:type="dxa"/>
            <w:vAlign w:val="bottom"/>
          </w:tcPr>
          <w:p>
            <w:pPr>
              <w:ind w:left="3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regarding the Additional Warrant Transaction (Incorporated by reference to Exhibit 10.13 to the Company’s Form 8-K filed on June 15,</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10.60</w:t>
            </w: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Letter Agreement, dated June 14, 2011, between Royal Bank of Canada and Integra LifeSciences Holdings Corporation, regarding the</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Additional Warrant Transaction (Incorporated by reference to Exhibit 10.14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10.61</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7"/>
              </w:rPr>
              <w:t>the Additional Warrant Transaction (Incorporated by reference to Exhibit 10.15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10.62</w:t>
            </w: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Letter Agreement, dated June 14, 2011, between Wells Fargo Bank, National Association and Integra LifeSciences Holdings Corporation,</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regarding the Additional Warrant Transaction (Incorporated by reference to Exhibit 10.16 to the Company’s Form 8-K filed on June 15,</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10.63</w:t>
            </w:r>
          </w:p>
        </w:tc>
        <w:tc>
          <w:tcPr>
            <w:tcW w:w="10500" w:type="dxa"/>
            <w:vAlign w:val="bottom"/>
          </w:tcPr>
          <w:p>
            <w:pPr>
              <w:ind w:left="360"/>
              <w:spacing w:after="0"/>
              <w:rPr>
                <w:sz w:val="20"/>
                <w:szCs w:val="20"/>
                <w:color w:val="auto"/>
              </w:rPr>
            </w:pPr>
            <w:r>
              <w:rPr>
                <w:rFonts w:ascii="Arial" w:cs="Arial" w:eastAsia="Arial" w:hAnsi="Arial"/>
                <w:sz w:val="18"/>
                <w:szCs w:val="18"/>
                <w:color w:val="auto"/>
                <w:w w:val="90"/>
              </w:rPr>
              <w:t>Unit Purchase Agreement, dated as of July 23, 2008, by and among Integra LifeSciences Holdings Corporation, Theken Spine LLC, Randall</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R. Theken and the other members of Theken Spine, LLC party thereto (Incorporated by reference to Exhibit 10.1 to the Company’s Current</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Report on Form 8-K filed on July 24, 2008)</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10.64</w:t>
            </w: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for Non-Employee Directors and Officers (Incorporated by reference to Exhibit 10.1 to the Company’s</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Current Report on Form 8-K filed on December 24, 2008)*</w:t>
            </w:r>
          </w:p>
        </w:tc>
      </w:tr>
    </w:tbl>
    <w:p>
      <w:pPr>
        <w:sectPr>
          <w:pgSz w:w="11900" w:h="16838" w:orient="portrait"/>
          <w:cols w:equalWidth="0" w:num="1">
            <w:col w:w="11280"/>
          </w:cols>
          <w:pgMar w:left="280" w:top="530" w:right="339" w:bottom="1440" w:gutter="0" w:footer="0" w:header="0"/>
        </w:sectPr>
      </w:pPr>
    </w:p>
    <w:bookmarkStart w:id="104" w:name="page105"/>
    <w:bookmarkEnd w:id="10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10.65</w:t>
            </w:r>
          </w:p>
        </w:tc>
        <w:tc>
          <w:tcPr>
            <w:tcW w:w="10360" w:type="dxa"/>
            <w:vAlign w:val="bottom"/>
          </w:tcPr>
          <w:p>
            <w:pPr>
              <w:ind w:left="260"/>
              <w:spacing w:after="0"/>
              <w:rPr>
                <w:sz w:val="20"/>
                <w:szCs w:val="20"/>
                <w:color w:val="auto"/>
              </w:rPr>
            </w:pPr>
            <w:r>
              <w:rPr>
                <w:rFonts w:ascii="Arial" w:cs="Arial" w:eastAsia="Arial" w:hAnsi="Arial"/>
                <w:sz w:val="18"/>
                <w:szCs w:val="18"/>
                <w:color w:val="auto"/>
                <w:w w:val="94"/>
              </w:rPr>
              <w:t>Piggyback Registration Rights Agreement dated December 22, 2008 between Integra LifeSciences Holdings Corporation and George</w:t>
            </w:r>
          </w:p>
        </w:tc>
      </w:tr>
      <w:tr>
        <w:trPr>
          <w:trHeight w:val="216"/>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4"/>
              </w:rPr>
              <w:t>Heenan, Thomas Gilliam and Michael Evers, as trustees of The Bruce A. LeVahn 2008 Trust and Steven M. LeVahn (Incorporated by</w:t>
            </w:r>
          </w:p>
        </w:tc>
      </w:tr>
      <w:tr>
        <w:trPr>
          <w:trHeight w:val="230"/>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on December 29,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10.66(a)</w:t>
            </w:r>
          </w:p>
        </w:tc>
        <w:tc>
          <w:tcPr>
            <w:tcW w:w="10360" w:type="dxa"/>
            <w:vAlign w:val="bottom"/>
          </w:tcPr>
          <w:p>
            <w:pPr>
              <w:ind w:left="260"/>
              <w:spacing w:after="0"/>
              <w:rPr>
                <w:sz w:val="20"/>
                <w:szCs w:val="20"/>
                <w:color w:val="auto"/>
              </w:rPr>
            </w:pPr>
            <w:r>
              <w:rPr>
                <w:rFonts w:ascii="Arial" w:cs="Arial" w:eastAsia="Arial" w:hAnsi="Arial"/>
                <w:sz w:val="18"/>
                <w:szCs w:val="18"/>
                <w:color w:val="auto"/>
                <w:w w:val="90"/>
              </w:rPr>
              <w:t>Lease Agreement between 109 Morgan Lane, LLC and Integra LifeSciences Corporation, dated May 15, 2008 (Incorporated by reference to</w:t>
            </w:r>
          </w:p>
        </w:tc>
      </w:tr>
      <w:tr>
        <w:trPr>
          <w:trHeight w:val="230"/>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Exhibit 10.10 to the Company’s 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10.66(b)</w:t>
            </w:r>
          </w:p>
        </w:tc>
        <w:tc>
          <w:tcPr>
            <w:tcW w:w="10360" w:type="dxa"/>
            <w:vAlign w:val="bottom"/>
          </w:tcPr>
          <w:p>
            <w:pPr>
              <w:ind w:left="260"/>
              <w:spacing w:after="0"/>
              <w:rPr>
                <w:sz w:val="20"/>
                <w:szCs w:val="20"/>
                <w:color w:val="auto"/>
              </w:rPr>
            </w:pPr>
            <w:r>
              <w:rPr>
                <w:rFonts w:ascii="Arial" w:cs="Arial" w:eastAsia="Arial" w:hAnsi="Arial"/>
                <w:sz w:val="18"/>
                <w:szCs w:val="18"/>
                <w:color w:val="auto"/>
                <w:w w:val="96"/>
              </w:rPr>
              <w:t>First Amendment to Lease Agreement between 109 Morgan Lane, LLC and Integra LifeSciences Corporation, dated March 9, 2009</w:t>
            </w:r>
          </w:p>
        </w:tc>
      </w:tr>
      <w:tr>
        <w:trPr>
          <w:trHeight w:val="230"/>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6"/>
              </w:rPr>
              <w:t>(Incorporated by reference to Exhibit 10.9 to the Company’s Quarterly Report on Form 10-Q for the quarter ended March 31, 2009)</w:t>
            </w:r>
          </w:p>
        </w:tc>
      </w:tr>
    </w:tbl>
    <w:p>
      <w:pPr>
        <w:spacing w:after="0" w:line="229" w:lineRule="exact"/>
        <w:rPr>
          <w:sz w:val="20"/>
          <w:szCs w:val="20"/>
          <w:color w:val="auto"/>
        </w:rPr>
      </w:pPr>
    </w:p>
    <w:p>
      <w:pPr>
        <w:ind w:left="1180" w:hanging="1145"/>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Preferability Letter of Independent Public Accounting Firm dated July 31, 2012 (Incorporated by reference to Exhibit 18.1 to the Company’s Quarterly Report on Form 10-Q for the quarter ended June 30, 2012)</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24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10240" w:type="dxa"/>
            <w:vAlign w:val="bottom"/>
          </w:tcPr>
          <w:p>
            <w:pPr>
              <w:ind w:left="240"/>
              <w:spacing w:after="0"/>
              <w:rPr>
                <w:sz w:val="20"/>
                <w:szCs w:val="20"/>
                <w:color w:val="auto"/>
              </w:rPr>
            </w:pPr>
            <w:r>
              <w:rPr>
                <w:rFonts w:ascii="Arial" w:cs="Arial" w:eastAsia="Arial" w:hAnsi="Arial"/>
                <w:sz w:val="18"/>
                <w:szCs w:val="18"/>
                <w:color w:val="auto"/>
              </w:rPr>
              <w:t>Consent of Pricewaterhouse Coopers LLP+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240" w:type="dxa"/>
            <w:vAlign w:val="bottom"/>
          </w:tcPr>
          <w:p>
            <w:pPr>
              <w:ind w:left="240"/>
              <w:spacing w:after="0"/>
              <w:rPr>
                <w:sz w:val="20"/>
                <w:szCs w:val="20"/>
                <w:color w:val="auto"/>
              </w:rPr>
            </w:pPr>
            <w:r>
              <w:rPr>
                <w:rFonts w:ascii="Arial" w:cs="Arial" w:eastAsia="Arial" w:hAnsi="Arial"/>
                <w:sz w:val="18"/>
                <w:szCs w:val="18"/>
                <w:color w:val="auto"/>
                <w:w w:val="91"/>
              </w:rPr>
              <w:t>Letter, dated December 21, 2011, from the United States Food and Drug Administration to Integra LifeSciences Corporation (Incorporated</w:t>
            </w:r>
          </w:p>
        </w:tc>
      </w:tr>
      <w:tr>
        <w:trPr>
          <w:trHeight w:val="230"/>
        </w:trPr>
        <w:tc>
          <w:tcPr>
            <w:tcW w:w="90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by reference to Exhibit 99.1 to the Company’s Current Report on Form 8-K filed on January 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99.2</w:t>
            </w:r>
          </w:p>
        </w:tc>
        <w:tc>
          <w:tcPr>
            <w:tcW w:w="10240" w:type="dxa"/>
            <w:vAlign w:val="bottom"/>
          </w:tcPr>
          <w:p>
            <w:pPr>
              <w:ind w:left="240"/>
              <w:spacing w:after="0"/>
              <w:rPr>
                <w:sz w:val="20"/>
                <w:szCs w:val="20"/>
                <w:color w:val="auto"/>
              </w:rPr>
            </w:pPr>
            <w:r>
              <w:rPr>
                <w:rFonts w:ascii="Arial" w:cs="Arial" w:eastAsia="Arial" w:hAnsi="Arial"/>
                <w:sz w:val="18"/>
                <w:szCs w:val="18"/>
                <w:color w:val="auto"/>
                <w:w w:val="97"/>
              </w:rPr>
              <w:t>Food and Drug Administration Form FDA-483, dated July 30, 2012, relating to inspection of Plainsboro, NJ manufacturing facility</w:t>
            </w:r>
          </w:p>
        </w:tc>
      </w:tr>
      <w:tr>
        <w:trPr>
          <w:trHeight w:val="230"/>
        </w:trPr>
        <w:tc>
          <w:tcPr>
            <w:tcW w:w="90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w w:val="96"/>
              </w:rPr>
              <w:t>(Incorporated by reference to Exhibit 99.1 to the Company’s Quarterly Report on Form 10-Q for the quarter ended June 30,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99.3</w:t>
            </w:r>
          </w:p>
        </w:tc>
        <w:tc>
          <w:tcPr>
            <w:tcW w:w="10240" w:type="dxa"/>
            <w:vAlign w:val="bottom"/>
          </w:tcPr>
          <w:p>
            <w:pPr>
              <w:ind w:left="240"/>
              <w:spacing w:after="0"/>
              <w:rPr>
                <w:sz w:val="20"/>
                <w:szCs w:val="20"/>
                <w:color w:val="auto"/>
              </w:rPr>
            </w:pPr>
            <w:r>
              <w:rPr>
                <w:rFonts w:ascii="Arial" w:cs="Arial" w:eastAsia="Arial" w:hAnsi="Arial"/>
                <w:sz w:val="18"/>
                <w:szCs w:val="18"/>
                <w:color w:val="auto"/>
                <w:w w:val="93"/>
              </w:rPr>
              <w:t>Letter, dated November 1, 2012, from the United States Food and Drug Administration to Integra NeuroSciences Ltd. (Incorporated by</w:t>
            </w:r>
          </w:p>
        </w:tc>
      </w:tr>
      <w:tr>
        <w:trPr>
          <w:trHeight w:val="230"/>
        </w:trPr>
        <w:tc>
          <w:tcPr>
            <w:tcW w:w="90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November 13, 2012)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40" w:right="5900" w:hanging="5"/>
        <w:spacing w:after="0" w:line="497" w:lineRule="auto"/>
        <w:tabs>
          <w:tab w:leader="none" w:pos="27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ind w:left="260" w:right="180" w:hanging="225"/>
        <w:spacing w:after="0" w:line="302" w:lineRule="auto"/>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Annual Report on Form 10-K for the year ended December 31, 2012 filed on February 26, 2013 formatted in XBRL (Extensible Business Reporting Language): (i) the Consolidated Statements of Operations, (ii) the Consolidated Balance Sheets, (iii) Parenthetical Data to the Consolidated Balance Sheets, (iv) the Consolidated Statements of Cash Flows, (v) the Consolidated Statements of Changes in Stockholders’ Equity, and (vi) Notes to Consolidated Financial Statements, is furnished electronically herewith.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ectPr>
          <w:pgSz w:w="11900" w:h="16838" w:orient="portrait"/>
          <w:cols w:equalWidth="0" w:num="1">
            <w:col w:w="11320"/>
          </w:cols>
          <w:pgMar w:left="240" w:top="53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10.38(b)</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RESTRICTED STOCK AGREEMENT </w:t>
      </w:r>
      <w:r>
        <w:rPr>
          <w:rFonts w:ascii="Arial" w:cs="Arial" w:eastAsia="Arial" w:hAnsi="Arial"/>
          <w:sz w:val="21"/>
          <w:szCs w:val="21"/>
          <w:color w:val="auto"/>
        </w:rPr>
        <w:t>(the “Award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dated as of _______________ (the “Award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Date”), is made by and between Integra LifeSciences Holdings Corporation</w:t>
      </w:r>
      <w:r>
        <w:rPr>
          <w:rFonts w:ascii="Arial" w:cs="Arial" w:eastAsia="Arial" w:hAnsi="Arial"/>
          <w:sz w:val="21"/>
          <w:szCs w:val="21"/>
          <w:b w:val="1"/>
          <w:bCs w:val="1"/>
          <w:color w:val="auto"/>
        </w:rPr>
        <w:t>,</w:t>
      </w:r>
      <w:r>
        <w:rPr>
          <w:rFonts w:ascii="Arial" w:cs="Arial" w:eastAsia="Arial" w:hAnsi="Arial"/>
          <w:sz w:val="21"/>
          <w:szCs w:val="21"/>
          <w:color w:val="auto"/>
        </w:rPr>
        <w:t xml:space="preserve"> a Delaware corporation (the “Company”),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_____________ </w:t>
      </w:r>
      <w:r>
        <w:rPr>
          <w:rFonts w:ascii="Arial" w:cs="Arial" w:eastAsia="Arial" w:hAnsi="Arial"/>
          <w:sz w:val="22"/>
          <w:szCs w:val="22"/>
          <w:b w:val="1"/>
          <w:bCs w:val="1"/>
          <w:color w:val="auto"/>
        </w:rPr>
        <w:t>a non-employee director</w:t>
      </w:r>
      <w:r>
        <w:rPr>
          <w:rFonts w:ascii="Arial" w:cs="Arial" w:eastAsia="Arial" w:hAnsi="Arial"/>
          <w:sz w:val="22"/>
          <w:szCs w:val="22"/>
          <w:color w:val="auto"/>
        </w:rPr>
        <w:t xml:space="preserve"> of the Company, hereinafter referred to as the “Participant”:</w:t>
      </w:r>
    </w:p>
    <w:p>
      <w:pPr>
        <w:spacing w:after="0" w:line="220" w:lineRule="exact"/>
        <w:rPr>
          <w:sz w:val="20"/>
          <w:szCs w:val="20"/>
          <w:color w:val="auto"/>
        </w:rPr>
      </w:pPr>
    </w:p>
    <w:p>
      <w:pPr>
        <w:ind w:right="200"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Integra LifeSciences Holdings Corporation 2003 Equity Incentive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(the “Plan”), and wishes to carry out the Plan, the terms of which are hereby incorporated by reference and made part of this Award Agreement; and</w:t>
      </w:r>
    </w:p>
    <w:p>
      <w:pPr>
        <w:spacing w:after="0" w:line="70" w:lineRule="exact"/>
        <w:rPr>
          <w:sz w:val="20"/>
          <w:szCs w:val="20"/>
          <w:color w:val="auto"/>
        </w:rPr>
      </w:pPr>
    </w:p>
    <w:p>
      <w:pPr>
        <w:ind w:right="620" w:firstLine="648"/>
        <w:spacing w:after="0" w:line="308"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various covenants herein contained, and intending to be legally bound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the parties hereto agree as follows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377" w:lineRule="exact"/>
        <w:rPr>
          <w:sz w:val="20"/>
          <w:szCs w:val="20"/>
          <w:color w:val="auto"/>
        </w:rPr>
      </w:pPr>
    </w:p>
    <w:p>
      <w:pPr>
        <w:ind w:right="340" w:firstLine="648"/>
        <w:spacing w:after="0" w:line="302" w:lineRule="auto"/>
        <w:rPr>
          <w:sz w:val="20"/>
          <w:szCs w:val="20"/>
          <w:color w:val="auto"/>
        </w:rPr>
      </w:pPr>
      <w:r>
        <w:rPr>
          <w:rFonts w:ascii="Arial" w:cs="Arial" w:eastAsia="Arial" w:hAnsi="Arial"/>
          <w:sz w:val="22"/>
          <w:szCs w:val="22"/>
          <w:color w:val="auto"/>
        </w:rPr>
        <w:t>Capitalized terms not otherwise defined below shall have the meaning set forth in the Plan. The masculine pronoun shall include the feminine and neuter, and the singular the plural, where the context so indicates.</w:t>
      </w:r>
    </w:p>
    <w:p>
      <w:pPr>
        <w:spacing w:after="0" w:line="343"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u w:val="single" w:color="auto"/>
          <w:color w:val="auto"/>
        </w:rPr>
        <w:t>Section 1.1</w:t>
      </w:r>
      <w:r>
        <w:rPr>
          <w:sz w:val="20"/>
          <w:szCs w:val="20"/>
          <w:color w:val="auto"/>
        </w:rPr>
        <w:tab/>
      </w:r>
      <w:r>
        <w:rPr>
          <w:rFonts w:ascii="Arial" w:cs="Arial" w:eastAsia="Arial" w:hAnsi="Arial"/>
          <w:sz w:val="19"/>
          <w:szCs w:val="19"/>
          <w:b w:val="1"/>
          <w:bCs w:val="1"/>
          <w:color w:val="auto"/>
        </w:rPr>
        <w:t>Restricted Stock</w:t>
      </w:r>
      <w:r>
        <w:rPr>
          <w:rFonts w:ascii="Arial" w:cs="Arial" w:eastAsia="Arial" w:hAnsi="Arial"/>
          <w:sz w:val="19"/>
          <w:szCs w:val="19"/>
          <w:color w:val="auto"/>
        </w:rPr>
        <w:t>. “Restricted Stock” shall mean [ _____ ] shares of Common Stock of the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Company issued under this Award Agreement and subject to the Restrictions imposed hereunder.</w:t>
      </w:r>
    </w:p>
    <w:p>
      <w:pPr>
        <w:spacing w:after="0" w:line="214" w:lineRule="exact"/>
        <w:rPr>
          <w:sz w:val="20"/>
          <w:szCs w:val="20"/>
          <w:color w:val="auto"/>
        </w:rPr>
      </w:pPr>
    </w:p>
    <w:p>
      <w:pPr>
        <w:ind w:right="220" w:firstLine="1945"/>
        <w:spacing w:after="0" w:line="308" w:lineRule="auto"/>
        <w:rPr>
          <w:sz w:val="20"/>
          <w:szCs w:val="20"/>
          <w:color w:val="auto"/>
        </w:rPr>
      </w:pPr>
      <w:r>
        <w:rPr>
          <w:rFonts w:ascii="Arial" w:cs="Arial" w:eastAsia="Arial" w:hAnsi="Arial"/>
          <w:sz w:val="22"/>
          <w:szCs w:val="22"/>
          <w:b w:val="1"/>
          <w:bCs w:val="1"/>
          <w:u w:val="single" w:color="auto"/>
          <w:color w:val="auto"/>
        </w:rPr>
        <w:t>Section 1.2</w:t>
      </w:r>
      <w:r>
        <w:rPr>
          <w:rFonts w:ascii="Arial" w:cs="Arial" w:eastAsia="Arial" w:hAnsi="Arial"/>
          <w:sz w:val="22"/>
          <w:szCs w:val="22"/>
          <w:b w:val="1"/>
          <w:bCs w:val="1"/>
          <w:color w:val="auto"/>
        </w:rPr>
        <w:t xml:space="preserve"> Restrictions. </w:t>
      </w:r>
      <w:r>
        <w:rPr>
          <w:rFonts w:ascii="Arial" w:cs="Arial" w:eastAsia="Arial" w:hAnsi="Arial"/>
          <w:sz w:val="22"/>
          <w:szCs w:val="22"/>
          <w:color w:val="auto"/>
        </w:rPr>
        <w:t>“Restrictions” shall mean the forfeiture and transferability restrictions imposed</w:t>
      </w:r>
      <w:r>
        <w:rPr>
          <w:rFonts w:ascii="Arial" w:cs="Arial" w:eastAsia="Arial" w:hAnsi="Arial"/>
          <w:sz w:val="22"/>
          <w:szCs w:val="22"/>
          <w:b w:val="1"/>
          <w:bCs w:val="1"/>
          <w:color w:val="auto"/>
        </w:rPr>
        <w:t xml:space="preserve"> </w:t>
      </w:r>
      <w:r>
        <w:rPr>
          <w:rFonts w:ascii="Arial" w:cs="Arial" w:eastAsia="Arial" w:hAnsi="Arial"/>
          <w:sz w:val="22"/>
          <w:szCs w:val="22"/>
          <w:color w:val="auto"/>
        </w:rPr>
        <w:t>upon Restricted Stock under the Plan and this Award Agreement.</w:t>
      </w:r>
    </w:p>
    <w:p>
      <w:pPr>
        <w:spacing w:after="0" w:line="161" w:lineRule="exact"/>
        <w:rPr>
          <w:sz w:val="20"/>
          <w:szCs w:val="20"/>
          <w:color w:val="auto"/>
        </w:rPr>
      </w:pPr>
    </w:p>
    <w:p>
      <w:pPr>
        <w:ind w:right="200" w:firstLine="1945"/>
        <w:spacing w:after="0" w:line="308" w:lineRule="auto"/>
        <w:rPr>
          <w:sz w:val="20"/>
          <w:szCs w:val="20"/>
          <w:color w:val="auto"/>
        </w:rPr>
      </w:pPr>
      <w:r>
        <w:rPr>
          <w:rFonts w:ascii="Arial" w:cs="Arial" w:eastAsia="Arial" w:hAnsi="Arial"/>
          <w:sz w:val="22"/>
          <w:szCs w:val="22"/>
          <w:b w:val="1"/>
          <w:bCs w:val="1"/>
          <w:u w:val="single" w:color="auto"/>
          <w:color w:val="auto"/>
        </w:rPr>
        <w:t>Section 1,3</w:t>
      </w:r>
      <w:r>
        <w:rPr>
          <w:rFonts w:ascii="Arial" w:cs="Arial" w:eastAsia="Arial" w:hAnsi="Arial"/>
          <w:sz w:val="22"/>
          <w:szCs w:val="22"/>
          <w:b w:val="1"/>
          <w:bCs w:val="1"/>
          <w:color w:val="auto"/>
        </w:rPr>
        <w:t xml:space="preserve"> “Rule 16b-3” </w:t>
      </w:r>
      <w:r>
        <w:rPr>
          <w:rFonts w:ascii="Arial" w:cs="Arial" w:eastAsia="Arial" w:hAnsi="Arial"/>
          <w:sz w:val="22"/>
          <w:szCs w:val="22"/>
          <w:color w:val="auto"/>
        </w:rPr>
        <w:t>shall mean that certain Rule 16b-3 under the Exchange Act, as such Rule may</w:t>
      </w:r>
      <w:r>
        <w:rPr>
          <w:rFonts w:ascii="Arial" w:cs="Arial" w:eastAsia="Arial" w:hAnsi="Arial"/>
          <w:sz w:val="22"/>
          <w:szCs w:val="22"/>
          <w:b w:val="1"/>
          <w:bCs w:val="1"/>
          <w:color w:val="auto"/>
        </w:rPr>
        <w:t xml:space="preserve"> </w:t>
      </w:r>
      <w:r>
        <w:rPr>
          <w:rFonts w:ascii="Arial" w:cs="Arial" w:eastAsia="Arial" w:hAnsi="Arial"/>
          <w:sz w:val="22"/>
          <w:szCs w:val="22"/>
          <w:color w:val="auto"/>
        </w:rPr>
        <w:t>be amended from time to time.</w:t>
      </w:r>
    </w:p>
    <w:p>
      <w:pPr>
        <w:spacing w:after="0" w:line="148"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u w:val="single" w:color="auto"/>
          <w:color w:val="auto"/>
        </w:rPr>
        <w:t>Section 1.4</w:t>
      </w:r>
      <w:r>
        <w:rPr>
          <w:sz w:val="20"/>
          <w:szCs w:val="20"/>
          <w:color w:val="auto"/>
        </w:rPr>
        <w:tab/>
      </w:r>
      <w:r>
        <w:rPr>
          <w:rFonts w:ascii="Arial" w:cs="Arial" w:eastAsia="Arial" w:hAnsi="Arial"/>
          <w:sz w:val="19"/>
          <w:szCs w:val="19"/>
          <w:b w:val="1"/>
          <w:bCs w:val="1"/>
          <w:color w:val="auto"/>
        </w:rPr>
        <w:t xml:space="preserve">Secretary. </w:t>
      </w:r>
      <w:r>
        <w:rPr>
          <w:rFonts w:ascii="Arial" w:cs="Arial" w:eastAsia="Arial" w:hAnsi="Arial"/>
          <w:sz w:val="19"/>
          <w:szCs w:val="19"/>
          <w:color w:val="auto"/>
        </w:rPr>
        <w:t>“Secretary” shall mean the Secretary of the Company.</w:t>
      </w:r>
    </w:p>
    <w:p>
      <w:pPr>
        <w:spacing w:after="0" w:line="220" w:lineRule="exact"/>
        <w:rPr>
          <w:sz w:val="20"/>
          <w:szCs w:val="20"/>
          <w:color w:val="auto"/>
        </w:rPr>
      </w:pPr>
    </w:p>
    <w:p>
      <w:pPr>
        <w:ind w:right="180" w:firstLine="1945"/>
        <w:spacing w:after="0" w:line="249" w:lineRule="auto"/>
        <w:rPr>
          <w:sz w:val="20"/>
          <w:szCs w:val="20"/>
          <w:color w:val="auto"/>
        </w:rPr>
      </w:pPr>
      <w:r>
        <w:rPr>
          <w:rFonts w:ascii="Arial" w:cs="Arial" w:eastAsia="Arial" w:hAnsi="Arial"/>
          <w:sz w:val="22"/>
          <w:szCs w:val="22"/>
          <w:b w:val="1"/>
          <w:bCs w:val="1"/>
          <w:u w:val="single" w:color="auto"/>
          <w:color w:val="auto"/>
        </w:rPr>
        <w:t>Section 1.5</w:t>
      </w:r>
      <w:r>
        <w:rPr>
          <w:rFonts w:ascii="Arial" w:cs="Arial" w:eastAsia="Arial" w:hAnsi="Arial"/>
          <w:sz w:val="22"/>
          <w:szCs w:val="22"/>
          <w:b w:val="1"/>
          <w:bCs w:val="1"/>
          <w:color w:val="auto"/>
        </w:rPr>
        <w:t xml:space="preserve"> Termination of Service. </w:t>
      </w:r>
      <w:r>
        <w:rPr>
          <w:rFonts w:ascii="Arial" w:cs="Arial" w:eastAsia="Arial" w:hAnsi="Arial"/>
          <w:sz w:val="22"/>
          <w:szCs w:val="22"/>
          <w:color w:val="auto"/>
        </w:rPr>
        <w:t>“Termination of Service” shall mean the time when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ceases to provide services to the 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w:t>
      </w:r>
    </w:p>
    <w:p>
      <w:pPr>
        <w:sectPr>
          <w:pgSz w:w="11900" w:h="16838" w:orient="portrait"/>
          <w:cols w:equalWidth="0" w:num="1">
            <w:col w:w="11420"/>
          </w:cols>
          <w:pgMar w:left="240" w:top="580" w:right="2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to, the Company and/or one or more of its Related Corporations and Affiliates or a successor entity thereto.</w:t>
      </w:r>
    </w:p>
    <w:p>
      <w:pPr>
        <w:spacing w:after="0" w:line="227" w:lineRule="exact"/>
        <w:rPr>
          <w:sz w:val="20"/>
          <w:szCs w:val="20"/>
          <w:color w:val="auto"/>
        </w:rPr>
      </w:pPr>
    </w:p>
    <w:p>
      <w:pPr>
        <w:ind w:right="240" w:firstLine="1945"/>
        <w:spacing w:after="0" w:line="308" w:lineRule="auto"/>
        <w:rPr>
          <w:sz w:val="20"/>
          <w:szCs w:val="20"/>
          <w:color w:val="auto"/>
        </w:rPr>
      </w:pPr>
      <w:r>
        <w:rPr>
          <w:rFonts w:ascii="Arial" w:cs="Arial" w:eastAsia="Arial" w:hAnsi="Arial"/>
          <w:sz w:val="22"/>
          <w:szCs w:val="22"/>
          <w:b w:val="1"/>
          <w:bCs w:val="1"/>
          <w:u w:val="single" w:color="auto"/>
          <w:color w:val="auto"/>
        </w:rPr>
        <w:t>Section 1.6</w:t>
      </w:r>
      <w:r>
        <w:rPr>
          <w:rFonts w:ascii="Arial" w:cs="Arial" w:eastAsia="Arial" w:hAnsi="Arial"/>
          <w:sz w:val="22"/>
          <w:szCs w:val="22"/>
          <w:b w:val="1"/>
          <w:bCs w:val="1"/>
          <w:color w:val="auto"/>
        </w:rPr>
        <w:t xml:space="preserve"> Vested Shares. </w:t>
      </w:r>
      <w:r>
        <w:rPr>
          <w:rFonts w:ascii="Arial" w:cs="Arial" w:eastAsia="Arial" w:hAnsi="Arial"/>
          <w:sz w:val="22"/>
          <w:szCs w:val="22"/>
          <w:color w:val="auto"/>
        </w:rPr>
        <w:t>“Vested Shares” shall mean the shares of Restricted Stock which are no longer</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Restrictions by reason of Section 3.2.</w:t>
      </w:r>
    </w:p>
    <w:p>
      <w:pPr>
        <w:spacing w:after="0" w:line="269" w:lineRule="exact"/>
        <w:rPr>
          <w:sz w:val="20"/>
          <w:szCs w:val="20"/>
          <w:color w:val="auto"/>
        </w:rPr>
      </w:pPr>
    </w:p>
    <w:p>
      <w:pPr>
        <w:ind w:right="240" w:firstLine="1945"/>
        <w:spacing w:after="0" w:line="308" w:lineRule="auto"/>
        <w:rPr>
          <w:sz w:val="20"/>
          <w:szCs w:val="20"/>
          <w:color w:val="auto"/>
        </w:rPr>
      </w:pPr>
      <w:r>
        <w:rPr>
          <w:rFonts w:ascii="Arial" w:cs="Arial" w:eastAsia="Arial" w:hAnsi="Arial"/>
          <w:sz w:val="22"/>
          <w:szCs w:val="22"/>
          <w:b w:val="1"/>
          <w:bCs w:val="1"/>
          <w:u w:val="single" w:color="auto"/>
          <w:color w:val="auto"/>
        </w:rPr>
        <w:t>Section 1.7</w:t>
      </w:r>
      <w:r>
        <w:rPr>
          <w:rFonts w:ascii="Arial" w:cs="Arial" w:eastAsia="Arial" w:hAnsi="Arial"/>
          <w:sz w:val="22"/>
          <w:szCs w:val="22"/>
          <w:b w:val="1"/>
          <w:bCs w:val="1"/>
          <w:color w:val="auto"/>
        </w:rPr>
        <w:t xml:space="preserve"> Vesting Date. </w:t>
      </w:r>
      <w:r>
        <w:rPr>
          <w:rFonts w:ascii="Arial" w:cs="Arial" w:eastAsia="Arial" w:hAnsi="Arial"/>
          <w:sz w:val="22"/>
          <w:szCs w:val="22"/>
          <w:color w:val="auto"/>
        </w:rPr>
        <w:t>“Vesting Date” shall mean each of the three-month, six- month, nine-month and</w:t>
      </w:r>
      <w:r>
        <w:rPr>
          <w:rFonts w:ascii="Arial" w:cs="Arial" w:eastAsia="Arial" w:hAnsi="Arial"/>
          <w:sz w:val="22"/>
          <w:szCs w:val="22"/>
          <w:b w:val="1"/>
          <w:bCs w:val="1"/>
          <w:color w:val="auto"/>
        </w:rPr>
        <w:t xml:space="preserve"> </w:t>
      </w:r>
      <w:r>
        <w:rPr>
          <w:rFonts w:ascii="Arial" w:cs="Arial" w:eastAsia="Arial" w:hAnsi="Arial"/>
          <w:sz w:val="22"/>
          <w:szCs w:val="22"/>
          <w:color w:val="auto"/>
        </w:rPr>
        <w:t>twelve-month anniversary dates of the Award Date.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ISSUANCE OF RESTRICTED STOCK</w:t>
      </w:r>
    </w:p>
    <w:p>
      <w:pPr>
        <w:spacing w:after="0" w:line="398" w:lineRule="exact"/>
        <w:rPr>
          <w:sz w:val="20"/>
          <w:szCs w:val="20"/>
          <w:color w:val="auto"/>
        </w:rPr>
      </w:pPr>
    </w:p>
    <w:p>
      <w:pPr>
        <w:ind w:right="140" w:firstLine="1945"/>
        <w:spacing w:after="0" w:line="340" w:lineRule="auto"/>
        <w:rPr>
          <w:sz w:val="20"/>
          <w:szCs w:val="20"/>
          <w:color w:val="auto"/>
        </w:rPr>
      </w:pPr>
      <w:r>
        <w:rPr>
          <w:rFonts w:ascii="Arial" w:cs="Arial" w:eastAsia="Arial" w:hAnsi="Arial"/>
          <w:sz w:val="19"/>
          <w:szCs w:val="19"/>
          <w:b w:val="1"/>
          <w:bCs w:val="1"/>
          <w:u w:val="single" w:color="auto"/>
          <w:color w:val="auto"/>
        </w:rPr>
        <w:t>Section 2.1</w:t>
      </w:r>
      <w:r>
        <w:rPr>
          <w:rFonts w:ascii="Arial" w:cs="Arial" w:eastAsia="Arial" w:hAnsi="Arial"/>
          <w:sz w:val="19"/>
          <w:szCs w:val="19"/>
          <w:b w:val="1"/>
          <w:bCs w:val="1"/>
          <w:color w:val="auto"/>
        </w:rPr>
        <w:t xml:space="preserve"> Issuance of Restricted Stock. </w:t>
      </w:r>
      <w:r>
        <w:rPr>
          <w:rFonts w:ascii="Arial" w:cs="Arial" w:eastAsia="Arial" w:hAnsi="Arial"/>
          <w:sz w:val="19"/>
          <w:szCs w:val="19"/>
          <w:color w:val="auto"/>
        </w:rPr>
        <w:t>On the date hereof the Company issues to the Participant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Restricted Stock subject to the 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34" w:lineRule="exact"/>
        <w:rPr>
          <w:sz w:val="20"/>
          <w:szCs w:val="20"/>
          <w:color w:val="auto"/>
        </w:rPr>
      </w:pPr>
    </w:p>
    <w:p>
      <w:pPr>
        <w:ind w:right="180" w:firstLine="1945"/>
        <w:spacing w:after="0" w:line="385" w:lineRule="auto"/>
        <w:rPr>
          <w:sz w:val="20"/>
          <w:szCs w:val="20"/>
          <w:color w:val="auto"/>
        </w:rPr>
      </w:pPr>
      <w:r>
        <w:rPr>
          <w:rFonts w:ascii="Arial" w:cs="Arial" w:eastAsia="Arial" w:hAnsi="Arial"/>
          <w:sz w:val="19"/>
          <w:szCs w:val="19"/>
          <w:b w:val="1"/>
          <w:bCs w:val="1"/>
          <w:u w:val="single" w:color="auto"/>
          <w:color w:val="auto"/>
        </w:rPr>
        <w:t>Section 2.2</w:t>
      </w:r>
      <w:r>
        <w:rPr>
          <w:rFonts w:ascii="Arial" w:cs="Arial" w:eastAsia="Arial" w:hAnsi="Arial"/>
          <w:sz w:val="19"/>
          <w:szCs w:val="19"/>
          <w:b w:val="1"/>
          <w:bCs w:val="1"/>
          <w:color w:val="auto"/>
        </w:rPr>
        <w:t xml:space="preserve"> Restrictions. </w:t>
      </w:r>
      <w:r>
        <w:rPr>
          <w:rFonts w:ascii="Arial" w:cs="Arial" w:eastAsia="Arial" w:hAnsi="Arial"/>
          <w:sz w:val="19"/>
          <w:szCs w:val="19"/>
          <w:color w:val="auto"/>
        </w:rPr>
        <w:t>Until vested pursuant to Section 3.2, the Restricted Stock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forfeiture as provided in Section 3.1 and may not be sold, assigned, transferred, pledged, or otherwise encumbered or disposed of.</w:t>
      </w:r>
    </w:p>
    <w:p>
      <w:pPr>
        <w:spacing w:after="0" w:line="1" w:lineRule="exact"/>
        <w:rPr>
          <w:sz w:val="20"/>
          <w:szCs w:val="20"/>
          <w:color w:val="auto"/>
        </w:rPr>
      </w:pPr>
    </w:p>
    <w:p>
      <w:pPr>
        <w:jc w:val="both"/>
        <w:ind w:right="340" w:firstLine="1945"/>
        <w:spacing w:after="0" w:line="360" w:lineRule="auto"/>
        <w:rPr>
          <w:sz w:val="20"/>
          <w:szCs w:val="20"/>
          <w:color w:val="auto"/>
        </w:rPr>
      </w:pPr>
      <w:r>
        <w:rPr>
          <w:rFonts w:ascii="Arial" w:cs="Arial" w:eastAsia="Arial" w:hAnsi="Arial"/>
          <w:sz w:val="19"/>
          <w:szCs w:val="19"/>
          <w:b w:val="1"/>
          <w:bCs w:val="1"/>
          <w:u w:val="single" w:color="auto"/>
          <w:color w:val="auto"/>
        </w:rPr>
        <w:t>Section 2.3</w:t>
      </w:r>
      <w:r>
        <w:rPr>
          <w:rFonts w:ascii="Arial" w:cs="Arial" w:eastAsia="Arial" w:hAnsi="Arial"/>
          <w:sz w:val="19"/>
          <w:szCs w:val="19"/>
          <w:b w:val="1"/>
          <w:bCs w:val="1"/>
          <w:color w:val="auto"/>
        </w:rPr>
        <w:t xml:space="preserve"> Voting and Dividend Rights. </w:t>
      </w:r>
      <w:r>
        <w:rPr>
          <w:rFonts w:ascii="Arial" w:cs="Arial" w:eastAsia="Arial" w:hAnsi="Arial"/>
          <w:sz w:val="19"/>
          <w:szCs w:val="19"/>
          <w:color w:val="auto"/>
        </w:rPr>
        <w:t>The Participant, shall have all the rights of a stockholder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his Restricted Stock, including the right to vote the Restricted Stock, except that the Participant shall have the right to receive all dividends or other distributions paid or made with respect to only those outstanding vested shares of Common Stock.</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RESTRICTIONS</w:t>
      </w:r>
    </w:p>
    <w:p>
      <w:pPr>
        <w:spacing w:after="0" w:line="358" w:lineRule="exact"/>
        <w:rPr>
          <w:sz w:val="20"/>
          <w:szCs w:val="20"/>
          <w:color w:val="auto"/>
        </w:rPr>
      </w:pPr>
    </w:p>
    <w:p>
      <w:pPr>
        <w:ind w:left="1960"/>
        <w:spacing w:after="0"/>
        <w:rPr>
          <w:sz w:val="20"/>
          <w:szCs w:val="20"/>
          <w:color w:val="auto"/>
        </w:rPr>
      </w:pPr>
      <w:r>
        <w:rPr>
          <w:rFonts w:ascii="Arial" w:cs="Arial" w:eastAsia="Arial" w:hAnsi="Arial"/>
          <w:sz w:val="19"/>
          <w:szCs w:val="19"/>
          <w:b w:val="1"/>
          <w:bCs w:val="1"/>
          <w:u w:val="single" w:color="auto"/>
          <w:color w:val="auto"/>
        </w:rPr>
        <w:t>Section 3.1</w:t>
      </w:r>
      <w:r>
        <w:rPr>
          <w:rFonts w:ascii="Arial" w:cs="Arial" w:eastAsia="Arial" w:hAnsi="Arial"/>
          <w:sz w:val="19"/>
          <w:szCs w:val="19"/>
          <w:b w:val="1"/>
          <w:bCs w:val="1"/>
          <w:color w:val="auto"/>
        </w:rPr>
        <w:t xml:space="preserve"> Forfeiture. </w:t>
      </w:r>
      <w:r>
        <w:rPr>
          <w:rFonts w:ascii="Arial" w:cs="Arial" w:eastAsia="Arial" w:hAnsi="Arial"/>
          <w:sz w:val="19"/>
          <w:szCs w:val="19"/>
          <w:color w:val="auto"/>
        </w:rPr>
        <w:t>Upon the Participant’s Termination of Service other than by (i) death or Disability or</w:t>
      </w:r>
    </w:p>
    <w:p>
      <w:pPr>
        <w:spacing w:after="0" w:line="62" w:lineRule="exact"/>
        <w:rPr>
          <w:sz w:val="20"/>
          <w:szCs w:val="20"/>
          <w:color w:val="auto"/>
        </w:rPr>
      </w:pPr>
    </w:p>
    <w:p>
      <w:pPr>
        <w:jc w:val="both"/>
        <w:ind w:right="40" w:firstLine="8"/>
        <w:spacing w:after="0" w:line="260" w:lineRule="auto"/>
        <w:tabs>
          <w:tab w:leader="none" w:pos="318" w:val="left"/>
        </w:tabs>
        <w:numPr>
          <w:ilvl w:val="0"/>
          <w:numId w:val="39"/>
        </w:numPr>
        <w:rPr>
          <w:rFonts w:ascii="Arial" w:cs="Arial" w:eastAsia="Arial" w:hAnsi="Arial"/>
          <w:sz w:val="21"/>
          <w:szCs w:val="21"/>
          <w:color w:val="auto"/>
        </w:rPr>
      </w:pPr>
      <w:r>
        <w:rPr>
          <w:rFonts w:ascii="Arial" w:cs="Arial" w:eastAsia="Arial" w:hAnsi="Arial"/>
          <w:sz w:val="21"/>
          <w:szCs w:val="21"/>
          <w:color w:val="auto"/>
        </w:rPr>
        <w:t>a Qualifying Termination upon a Change in Control as further described in Section 3.2, the Participant’s rights in Restricted 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172" w:lineRule="exact"/>
        <w:rPr>
          <w:sz w:val="20"/>
          <w:szCs w:val="20"/>
          <w:color w:val="auto"/>
        </w:rPr>
      </w:pPr>
    </w:p>
    <w:p>
      <w:pPr>
        <w:jc w:val="both"/>
        <w:ind w:firstLine="1945"/>
        <w:spacing w:after="0" w:line="288" w:lineRule="auto"/>
        <w:rPr>
          <w:sz w:val="20"/>
          <w:szCs w:val="20"/>
          <w:color w:val="auto"/>
        </w:rPr>
      </w:pPr>
      <w:r>
        <w:rPr>
          <w:rFonts w:ascii="Arial" w:cs="Arial" w:eastAsia="Arial" w:hAnsi="Arial"/>
          <w:sz w:val="19"/>
          <w:szCs w:val="19"/>
          <w:b w:val="1"/>
          <w:bCs w:val="1"/>
          <w:u w:val="single" w:color="auto"/>
          <w:color w:val="auto"/>
        </w:rPr>
        <w:t>Section 3.2</w:t>
      </w:r>
      <w:r>
        <w:rPr>
          <w:rFonts w:ascii="Arial" w:cs="Arial" w:eastAsia="Arial" w:hAnsi="Arial"/>
          <w:sz w:val="19"/>
          <w:szCs w:val="19"/>
          <w:b w:val="1"/>
          <w:bCs w:val="1"/>
          <w:color w:val="auto"/>
        </w:rPr>
        <w:t xml:space="preserve"> Termination of Restrictions. </w:t>
      </w:r>
      <w:r>
        <w:rPr>
          <w:rFonts w:ascii="Arial" w:cs="Arial" w:eastAsia="Arial" w:hAnsi="Arial"/>
          <w:sz w:val="19"/>
          <w:szCs w:val="19"/>
          <w:color w:val="auto"/>
        </w:rPr>
        <w:t>The Restrictions shall terminate and lapse, and such shares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vest in the Participant and become Vested Shares on each Vesting Date as provided in Section 3.3, provided that the Participant has continued to serve as an employee or an Associate from the Award Date to and including such Vesting Date. Notwithstanding the foregoing, (i) in the event that a Change in Control occurs and the Participant incurs a Qualifying Termination on or within twelve</w:t>
      </w:r>
    </w:p>
    <w:p>
      <w:pPr>
        <w:spacing w:after="0" w:line="2" w:lineRule="exact"/>
        <w:rPr>
          <w:sz w:val="20"/>
          <w:szCs w:val="20"/>
          <w:color w:val="auto"/>
        </w:rPr>
      </w:pPr>
    </w:p>
    <w:p>
      <w:pPr>
        <w:ind w:firstLine="8"/>
        <w:spacing w:after="0" w:line="323" w:lineRule="auto"/>
        <w:tabs>
          <w:tab w:leader="none" w:pos="416" w:val="left"/>
        </w:tabs>
        <w:numPr>
          <w:ilvl w:val="0"/>
          <w:numId w:val="40"/>
        </w:numPr>
        <w:rPr>
          <w:rFonts w:ascii="Arial" w:cs="Arial" w:eastAsia="Arial" w:hAnsi="Arial"/>
          <w:sz w:val="19"/>
          <w:szCs w:val="19"/>
          <w:color w:val="auto"/>
        </w:rPr>
      </w:pPr>
      <w:r>
        <w:rPr>
          <w:rFonts w:ascii="Arial" w:cs="Arial" w:eastAsia="Arial" w:hAnsi="Arial"/>
          <w:sz w:val="19"/>
          <w:szCs w:val="19"/>
          <w:color w:val="auto"/>
        </w:rPr>
        <w:t>months following the date of such Change in Control or (ii) in the event of the Participant’s death or Disability, all Restrictions shall lapse and all Restricted Stock shall become Vested Shares upon such Qualifying Termination, death or Disability.</w:t>
      </w:r>
    </w:p>
    <w:p>
      <w:pPr>
        <w:sectPr>
          <w:pgSz w:w="11900" w:h="16838" w:orient="portrait"/>
          <w:cols w:equalWidth="0" w:num="1">
            <w:col w:w="11420"/>
          </w:cols>
          <w:pgMar w:left="240" w:top="591" w:right="239" w:bottom="1440" w:gutter="0" w:footer="0" w:header="0"/>
        </w:sectPr>
      </w:pPr>
    </w:p>
    <w:bookmarkStart w:id="107" w:name="page108"/>
    <w:bookmarkEnd w:id="107"/>
    <w:p>
      <w:pPr>
        <w:ind w:firstLine="1945"/>
        <w:spacing w:after="0" w:line="259" w:lineRule="auto"/>
        <w:rPr>
          <w:sz w:val="20"/>
          <w:szCs w:val="20"/>
          <w:color w:val="auto"/>
        </w:rPr>
      </w:pPr>
      <w:r>
        <w:rPr>
          <w:rFonts w:ascii="Arial" w:cs="Arial" w:eastAsia="Arial" w:hAnsi="Arial"/>
          <w:sz w:val="21"/>
          <w:szCs w:val="21"/>
          <w:b w:val="1"/>
          <w:bCs w:val="1"/>
          <w:u w:val="single" w:color="auto"/>
          <w:color w:val="auto"/>
        </w:rPr>
        <w:t>Section 3.3</w:t>
      </w:r>
      <w:r>
        <w:rPr>
          <w:rFonts w:ascii="Arial" w:cs="Arial" w:eastAsia="Arial" w:hAnsi="Arial"/>
          <w:sz w:val="21"/>
          <w:szCs w:val="21"/>
          <w:b w:val="1"/>
          <w:bCs w:val="1"/>
          <w:color w:val="auto"/>
        </w:rPr>
        <w:t xml:space="preserve"> Lapse of Restrictions. </w:t>
      </w:r>
      <w:r>
        <w:rPr>
          <w:rFonts w:ascii="Arial" w:cs="Arial" w:eastAsia="Arial" w:hAnsi="Arial"/>
          <w:sz w:val="21"/>
          <w:szCs w:val="21"/>
          <w:color w:val="auto"/>
        </w:rPr>
        <w:t>One-fourth of the shares of Restricted Stock shall become Vested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on each Vesting Date. On each Vesting Date, the Company shall issue new certificates evidencing such Vested Shares and deliver such certificates to the Participant or his legal representative, or record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 representative unless and until the Participant or his legal representative shall have paid to the Company in cash or by check the full amount of all federal, state and local withholding or other employment taxes applicable to the taxable income of the Participant resulting from the lapse of the Restrictions.</w:t>
      </w:r>
    </w:p>
    <w:p>
      <w:pPr>
        <w:spacing w:after="0" w:line="176"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9"/>
          <w:szCs w:val="19"/>
          <w:b w:val="1"/>
          <w:bCs w:val="1"/>
          <w:u w:val="single" w:color="auto"/>
          <w:color w:val="auto"/>
        </w:rPr>
        <w:t>Section 3.4</w:t>
      </w:r>
      <w:r>
        <w:rPr>
          <w:rFonts w:ascii="Arial" w:cs="Arial" w:eastAsia="Arial" w:hAnsi="Arial"/>
          <w:sz w:val="19"/>
          <w:szCs w:val="19"/>
          <w:b w:val="1"/>
          <w:bCs w:val="1"/>
          <w:color w:val="auto"/>
        </w:rPr>
        <w:t xml:space="preserve"> Clawback. </w:t>
      </w:r>
      <w:r>
        <w:rPr>
          <w:rFonts w:ascii="Arial" w:cs="Arial" w:eastAsia="Arial" w:hAnsi="Arial"/>
          <w:sz w:val="19"/>
          <w:szCs w:val="19"/>
          <w:color w:val="auto"/>
        </w:rPr>
        <w:t>Notwithstanding anything contained in the Plan or the Award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the Restricted Stock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Restricted Stock under the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358" w:lineRule="exact"/>
        <w:rPr>
          <w:sz w:val="20"/>
          <w:szCs w:val="20"/>
          <w:color w:val="auto"/>
        </w:rPr>
      </w:pPr>
    </w:p>
    <w:p>
      <w:pPr>
        <w:ind w:right="280" w:firstLine="1945"/>
        <w:spacing w:after="0" w:line="315" w:lineRule="auto"/>
        <w:rPr>
          <w:sz w:val="20"/>
          <w:szCs w:val="20"/>
          <w:color w:val="auto"/>
        </w:rPr>
      </w:pPr>
      <w:r>
        <w:rPr>
          <w:rFonts w:ascii="Arial" w:cs="Arial" w:eastAsia="Arial" w:hAnsi="Arial"/>
          <w:sz w:val="19"/>
          <w:szCs w:val="19"/>
          <w:b w:val="1"/>
          <w:bCs w:val="1"/>
          <w:u w:val="single" w:color="auto"/>
          <w:color w:val="auto"/>
        </w:rPr>
        <w:t>Section 4.1</w:t>
      </w:r>
      <w:r>
        <w:rPr>
          <w:rFonts w:ascii="Arial" w:cs="Arial" w:eastAsia="Arial" w:hAnsi="Arial"/>
          <w:sz w:val="19"/>
          <w:szCs w:val="19"/>
          <w:b w:val="1"/>
          <w:bCs w:val="1"/>
          <w:color w:val="auto"/>
        </w:rPr>
        <w:t xml:space="preserve"> No Additional Rights. </w:t>
      </w:r>
      <w:r>
        <w:rPr>
          <w:rFonts w:ascii="Arial" w:cs="Arial" w:eastAsia="Arial" w:hAnsi="Arial"/>
          <w:sz w:val="19"/>
          <w:szCs w:val="19"/>
          <w:color w:val="auto"/>
        </w:rPr>
        <w:t>Nothing in this Award Agreement or in the Plan shall confer upon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any right to a position as an Associate or continued employment by the Company or any of its Related Corporations or Affiliates or affect in any way the right of any of the foregoing to terminate the services of an individual at any time.</w:t>
      </w:r>
    </w:p>
    <w:p>
      <w:pPr>
        <w:spacing w:after="0" w:line="126" w:lineRule="exact"/>
        <w:rPr>
          <w:sz w:val="20"/>
          <w:szCs w:val="20"/>
          <w:color w:val="auto"/>
        </w:rPr>
      </w:pPr>
    </w:p>
    <w:p>
      <w:pPr>
        <w:ind w:right="220" w:firstLine="1945"/>
        <w:spacing w:after="0" w:line="350" w:lineRule="auto"/>
        <w:rPr>
          <w:sz w:val="20"/>
          <w:szCs w:val="20"/>
          <w:color w:val="auto"/>
        </w:rPr>
      </w:pPr>
      <w:r>
        <w:rPr>
          <w:rFonts w:ascii="Arial" w:cs="Arial" w:eastAsia="Arial" w:hAnsi="Arial"/>
          <w:sz w:val="19"/>
          <w:szCs w:val="19"/>
          <w:b w:val="1"/>
          <w:bCs w:val="1"/>
          <w:u w:val="single" w:color="auto"/>
          <w:color w:val="auto"/>
        </w:rPr>
        <w:t>Section 4.2</w:t>
      </w:r>
      <w:r>
        <w:rPr>
          <w:rFonts w:ascii="Arial" w:cs="Arial" w:eastAsia="Arial" w:hAnsi="Arial"/>
          <w:sz w:val="19"/>
          <w:szCs w:val="19"/>
          <w:b w:val="1"/>
          <w:bCs w:val="1"/>
          <w:color w:val="auto"/>
        </w:rPr>
        <w:t xml:space="preserve"> Legend. </w:t>
      </w:r>
      <w:r>
        <w:rPr>
          <w:rFonts w:ascii="Arial" w:cs="Arial" w:eastAsia="Arial" w:hAnsi="Arial"/>
          <w:sz w:val="19"/>
          <w:szCs w:val="19"/>
          <w:color w:val="auto"/>
        </w:rPr>
        <w:t>Any certificates representing shares of Restricted Stock issued pursuant to this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until all Restrictions lapse and new certificates are issued pursuant to Section 3.3, bear the following legend:</w:t>
      </w:r>
    </w:p>
    <w:p>
      <w:pPr>
        <w:spacing w:after="0" w:line="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191" w:lineRule="exact"/>
        <w:rPr>
          <w:sz w:val="20"/>
          <w:szCs w:val="20"/>
          <w:color w:val="auto"/>
        </w:rPr>
      </w:pPr>
    </w:p>
    <w:p>
      <w:pPr>
        <w:ind w:right="20" w:firstLine="1945"/>
        <w:spacing w:after="0" w:line="249" w:lineRule="auto"/>
        <w:rPr>
          <w:sz w:val="20"/>
          <w:szCs w:val="20"/>
          <w:color w:val="auto"/>
        </w:rPr>
      </w:pPr>
      <w:r>
        <w:rPr>
          <w:rFonts w:ascii="Arial" w:cs="Arial" w:eastAsia="Arial" w:hAnsi="Arial"/>
          <w:sz w:val="22"/>
          <w:szCs w:val="22"/>
          <w:b w:val="1"/>
          <w:bCs w:val="1"/>
          <w:u w:val="single" w:color="auto"/>
          <w:color w:val="auto"/>
        </w:rPr>
        <w:t>Section 4.3</w:t>
      </w:r>
      <w:r>
        <w:rPr>
          <w:rFonts w:ascii="Arial" w:cs="Arial" w:eastAsia="Arial" w:hAnsi="Arial"/>
          <w:sz w:val="22"/>
          <w:szCs w:val="22"/>
          <w:b w:val="1"/>
          <w:bCs w:val="1"/>
          <w:color w:val="auto"/>
        </w:rPr>
        <w:t xml:space="preserve"> Tax Withholding. </w:t>
      </w:r>
      <w:r>
        <w:rPr>
          <w:rFonts w:ascii="Arial" w:cs="Arial" w:eastAsia="Arial" w:hAnsi="Arial"/>
          <w:sz w:val="22"/>
          <w:szCs w:val="22"/>
          <w:color w:val="auto"/>
        </w:rPr>
        <w:t>On each Vesting Date, the Company shall notify the Participant of the amount</w:t>
      </w:r>
      <w:r>
        <w:rPr>
          <w:rFonts w:ascii="Arial" w:cs="Arial" w:eastAsia="Arial" w:hAnsi="Arial"/>
          <w:sz w:val="22"/>
          <w:szCs w:val="22"/>
          <w:b w:val="1"/>
          <w:bCs w:val="1"/>
          <w:color w:val="auto"/>
        </w:rPr>
        <w:t xml:space="preserve"> </w:t>
      </w:r>
      <w:r>
        <w:rPr>
          <w:rFonts w:ascii="Arial" w:cs="Arial" w:eastAsia="Arial" w:hAnsi="Arial"/>
          <w:sz w:val="22"/>
          <w:szCs w:val="22"/>
          <w:color w:val="auto"/>
        </w:rPr>
        <w:t>of tax which must be withheld by the Company under all applicable federal, state and local tax laws. Subject to any applicable legal conditions or restrictions, the Company shall withhold from the shares of Restricted Stock a number of whole shares of common stock having a fair market value, determined as of each Vesting Date, not in excess of the minimum tax required to be withheld by law.</w:t>
      </w:r>
    </w:p>
    <w:p>
      <w:pPr>
        <w:sectPr>
          <w:pgSz w:w="11900" w:h="16838" w:orient="portrait"/>
          <w:cols w:equalWidth="0" w:num="1">
            <w:col w:w="11420"/>
          </w:cols>
          <w:pgMar w:left="240" w:top="585" w:right="239" w:bottom="1440" w:gutter="0" w:footer="0" w:header="0"/>
        </w:sectPr>
      </w:pPr>
    </w:p>
    <w:bookmarkStart w:id="108" w:name="page109"/>
    <w:bookmarkEnd w:id="108"/>
    <w:p>
      <w:pPr>
        <w:ind w:right="20" w:firstLine="1945"/>
        <w:spacing w:after="0" w:line="291" w:lineRule="auto"/>
        <w:rPr>
          <w:sz w:val="20"/>
          <w:szCs w:val="20"/>
          <w:color w:val="auto"/>
        </w:rPr>
      </w:pPr>
      <w:r>
        <w:rPr>
          <w:rFonts w:ascii="Arial" w:cs="Arial" w:eastAsia="Arial" w:hAnsi="Arial"/>
          <w:sz w:val="19"/>
          <w:szCs w:val="19"/>
          <w:b w:val="1"/>
          <w:bCs w:val="1"/>
          <w:u w:val="single" w:color="auto"/>
          <w:color w:val="auto"/>
        </w:rPr>
        <w:t>Section 4.4</w:t>
      </w:r>
      <w:r>
        <w:rPr>
          <w:rFonts w:ascii="Arial" w:cs="Arial" w:eastAsia="Arial" w:hAnsi="Arial"/>
          <w:sz w:val="19"/>
          <w:szCs w:val="19"/>
          <w:b w:val="1"/>
          <w:bCs w:val="1"/>
          <w:color w:val="auto"/>
        </w:rPr>
        <w:t xml:space="preserve"> Notices. </w:t>
      </w:r>
      <w:r>
        <w:rPr>
          <w:rFonts w:ascii="Arial" w:cs="Arial" w:eastAsia="Arial" w:hAnsi="Arial"/>
          <w:sz w:val="19"/>
          <w:szCs w:val="19"/>
          <w:color w:val="auto"/>
        </w:rPr>
        <w:t>Any notice to be given under the terms of this Award Agreement to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addressed to the Company in 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150" w:lineRule="exact"/>
        <w:rPr>
          <w:sz w:val="20"/>
          <w:szCs w:val="20"/>
          <w:color w:val="auto"/>
        </w:rPr>
      </w:pPr>
    </w:p>
    <w:p>
      <w:pPr>
        <w:ind w:right="720" w:firstLine="1945"/>
        <w:spacing w:after="0" w:line="269" w:lineRule="auto"/>
        <w:rPr>
          <w:sz w:val="20"/>
          <w:szCs w:val="20"/>
          <w:color w:val="auto"/>
        </w:rPr>
      </w:pPr>
      <w:r>
        <w:rPr>
          <w:rFonts w:ascii="Arial" w:cs="Arial" w:eastAsia="Arial" w:hAnsi="Arial"/>
          <w:sz w:val="22"/>
          <w:szCs w:val="22"/>
          <w:b w:val="1"/>
          <w:bCs w:val="1"/>
          <w:u w:val="single" w:color="auto"/>
          <w:color w:val="auto"/>
        </w:rPr>
        <w:t>Section 4.5</w:t>
      </w:r>
      <w:r>
        <w:rPr>
          <w:rFonts w:ascii="Arial" w:cs="Arial" w:eastAsia="Arial" w:hAnsi="Arial"/>
          <w:sz w:val="22"/>
          <w:szCs w:val="22"/>
          <w:b w:val="1"/>
          <w:bCs w:val="1"/>
          <w:color w:val="auto"/>
        </w:rPr>
        <w:t xml:space="preserve"> Titles. </w:t>
      </w:r>
      <w:r>
        <w:rPr>
          <w:rFonts w:ascii="Arial" w:cs="Arial" w:eastAsia="Arial" w:hAnsi="Arial"/>
          <w:sz w:val="22"/>
          <w:szCs w:val="22"/>
          <w:color w:val="auto"/>
        </w:rPr>
        <w:t>Titles are provided herein for convenience only and are not to serve as a basis for</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interpretation or construction of this Award Agreement.</w:t>
      </w:r>
    </w:p>
    <w:p>
      <w:pPr>
        <w:spacing w:after="0" w:line="162" w:lineRule="exact"/>
        <w:rPr>
          <w:sz w:val="20"/>
          <w:szCs w:val="20"/>
          <w:color w:val="auto"/>
        </w:rPr>
      </w:pPr>
    </w:p>
    <w:p>
      <w:pPr>
        <w:ind w:right="60" w:firstLine="1945"/>
        <w:spacing w:after="0" w:line="295" w:lineRule="auto"/>
        <w:rPr>
          <w:sz w:val="20"/>
          <w:szCs w:val="20"/>
          <w:color w:val="auto"/>
        </w:rPr>
      </w:pPr>
      <w:r>
        <w:rPr>
          <w:rFonts w:ascii="Arial" w:cs="Arial" w:eastAsia="Arial" w:hAnsi="Arial"/>
          <w:sz w:val="19"/>
          <w:szCs w:val="19"/>
          <w:b w:val="1"/>
          <w:bCs w:val="1"/>
          <w:u w:val="single" w:color="auto"/>
          <w:color w:val="auto"/>
        </w:rPr>
        <w:t>Section 4.6</w:t>
      </w:r>
      <w:r>
        <w:rPr>
          <w:rFonts w:ascii="Arial" w:cs="Arial" w:eastAsia="Arial" w:hAnsi="Arial"/>
          <w:sz w:val="19"/>
          <w:szCs w:val="19"/>
          <w:b w:val="1"/>
          <w:bCs w:val="1"/>
          <w:color w:val="auto"/>
        </w:rPr>
        <w:t xml:space="preserve"> Conformity to Securities Laws. </w:t>
      </w:r>
      <w:r>
        <w:rPr>
          <w:rFonts w:ascii="Arial" w:cs="Arial" w:eastAsia="Arial" w:hAnsi="Arial"/>
          <w:sz w:val="19"/>
          <w:szCs w:val="19"/>
          <w:color w:val="auto"/>
        </w:rPr>
        <w:t>This Award Agreement is intended to conform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144" w:lineRule="exact"/>
        <w:rPr>
          <w:sz w:val="20"/>
          <w:szCs w:val="20"/>
          <w:color w:val="auto"/>
        </w:rPr>
      </w:pPr>
    </w:p>
    <w:p>
      <w:pPr>
        <w:ind w:firstLine="1945"/>
        <w:spacing w:after="0" w:line="269" w:lineRule="auto"/>
        <w:rPr>
          <w:sz w:val="20"/>
          <w:szCs w:val="20"/>
          <w:color w:val="auto"/>
        </w:rPr>
      </w:pP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 xml:space="preserve"> Amendment. </w:t>
      </w:r>
      <w:r>
        <w:rPr>
          <w:rFonts w:ascii="Arial" w:cs="Arial" w:eastAsia="Arial" w:hAnsi="Arial"/>
          <w:sz w:val="22"/>
          <w:szCs w:val="22"/>
          <w:color w:val="auto"/>
        </w:rPr>
        <w:t>This Award Agreement may be amended only by a writing executed by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which specifically states that it is amending this Award Agreement.</w:t>
      </w:r>
    </w:p>
    <w:p>
      <w:pPr>
        <w:spacing w:after="0" w:line="162" w:lineRule="exact"/>
        <w:rPr>
          <w:sz w:val="20"/>
          <w:szCs w:val="20"/>
          <w:color w:val="auto"/>
        </w:rPr>
      </w:pPr>
    </w:p>
    <w:p>
      <w:pPr>
        <w:jc w:val="both"/>
        <w:ind w:right="340" w:firstLine="1945"/>
        <w:spacing w:after="0" w:line="256" w:lineRule="auto"/>
        <w:rPr>
          <w:sz w:val="20"/>
          <w:szCs w:val="20"/>
          <w:color w:val="auto"/>
        </w:rPr>
      </w:pPr>
      <w:r>
        <w:rPr>
          <w:rFonts w:ascii="Arial" w:cs="Arial" w:eastAsia="Arial" w:hAnsi="Arial"/>
          <w:sz w:val="22"/>
          <w:szCs w:val="22"/>
          <w:b w:val="1"/>
          <w:bCs w:val="1"/>
          <w:u w:val="single" w:color="auto"/>
          <w:color w:val="auto"/>
        </w:rPr>
        <w:t>Section 4.8</w:t>
      </w:r>
      <w:r>
        <w:rPr>
          <w:rFonts w:ascii="Arial" w:cs="Arial" w:eastAsia="Arial" w:hAnsi="Arial"/>
          <w:sz w:val="22"/>
          <w:szCs w:val="22"/>
          <w:b w:val="1"/>
          <w:bCs w:val="1"/>
          <w:color w:val="auto"/>
        </w:rPr>
        <w:t xml:space="preserve"> Governing Law. </w:t>
      </w:r>
      <w:r>
        <w:rPr>
          <w:rFonts w:ascii="Arial" w:cs="Arial" w:eastAsia="Arial" w:hAnsi="Arial"/>
          <w:sz w:val="22"/>
          <w:szCs w:val="22"/>
          <w:color w:val="auto"/>
        </w:rPr>
        <w:t>The laws of the State of Delaware shall govern the interpretation,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enforcement and performance of the terms of this Award Agreement regardless of the law that might be applied under principles of conflicts of laws.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IN WITNESS HEREOF</w:t>
      </w:r>
      <w:r>
        <w:rPr>
          <w:rFonts w:ascii="Arial" w:cs="Arial" w:eastAsia="Arial" w:hAnsi="Arial"/>
          <w:sz w:val="22"/>
          <w:szCs w:val="22"/>
          <w:color w:val="auto"/>
        </w:rPr>
        <w:t>, this Award Agreement has been executed and delivered by the parties hereto.</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520" w:type="dxa"/>
            <w:vAlign w:val="bottom"/>
          </w:tcPr>
          <w:p>
            <w:pPr>
              <w:spacing w:after="0"/>
              <w:rPr>
                <w:sz w:val="20"/>
                <w:szCs w:val="20"/>
                <w:color w:val="auto"/>
              </w:rPr>
            </w:pPr>
            <w:r>
              <w:rPr>
                <w:rFonts w:ascii="Arial" w:cs="Arial" w:eastAsia="Arial" w:hAnsi="Arial"/>
                <w:sz w:val="22"/>
                <w:szCs w:val="22"/>
                <w:color w:val="auto"/>
              </w:rPr>
              <w:t>THE PARTICIPANT</w:t>
            </w:r>
          </w:p>
        </w:tc>
        <w:tc>
          <w:tcPr>
            <w:tcW w:w="5900" w:type="dxa"/>
            <w:vAlign w:val="bottom"/>
          </w:tcPr>
          <w:p>
            <w:pPr>
              <w:ind w:left="2260"/>
              <w:spacing w:after="0"/>
              <w:rPr>
                <w:sz w:val="20"/>
                <w:szCs w:val="20"/>
                <w:color w:val="auto"/>
              </w:rPr>
            </w:pPr>
            <w:r>
              <w:rPr>
                <w:rFonts w:ascii="Arial" w:cs="Arial" w:eastAsia="Arial" w:hAnsi="Arial"/>
                <w:sz w:val="22"/>
                <w:szCs w:val="22"/>
                <w:color w:val="auto"/>
                <w:w w:val="94"/>
              </w:rPr>
              <w:t>INTEGRA LIFESCIENCES HOLDINGS</w:t>
            </w:r>
          </w:p>
        </w:tc>
        <w:tc>
          <w:tcPr>
            <w:tcW w:w="0" w:type="dxa"/>
            <w:vAlign w:val="bottom"/>
          </w:tcPr>
          <w:p>
            <w:pPr>
              <w:spacing w:after="0"/>
              <w:rPr>
                <w:sz w:val="1"/>
                <w:szCs w:val="1"/>
                <w:color w:val="auto"/>
              </w:rPr>
            </w:pPr>
          </w:p>
        </w:tc>
      </w:tr>
      <w:tr>
        <w:trPr>
          <w:trHeight w:val="275"/>
        </w:trPr>
        <w:tc>
          <w:tcPr>
            <w:tcW w:w="4520" w:type="dxa"/>
            <w:vAlign w:val="bottom"/>
          </w:tcPr>
          <w:p>
            <w:pPr>
              <w:spacing w:after="0"/>
              <w:rPr>
                <w:sz w:val="23"/>
                <w:szCs w:val="23"/>
                <w:color w:val="auto"/>
              </w:rPr>
            </w:pPr>
          </w:p>
        </w:tc>
        <w:tc>
          <w:tcPr>
            <w:tcW w:w="5900" w:type="dxa"/>
            <w:vAlign w:val="bottom"/>
          </w:tcPr>
          <w:p>
            <w:pPr>
              <w:ind w:left="2260"/>
              <w:spacing w:after="0"/>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440"/>
        </w:trPr>
        <w:tc>
          <w:tcPr>
            <w:tcW w:w="4520" w:type="dxa"/>
            <w:vAlign w:val="bottom"/>
          </w:tcPr>
          <w:p>
            <w:pPr>
              <w:spacing w:after="0"/>
              <w:rPr>
                <w:sz w:val="20"/>
                <w:szCs w:val="20"/>
                <w:color w:val="auto"/>
              </w:rPr>
            </w:pPr>
            <w:r>
              <w:rPr>
                <w:rFonts w:ascii="Arial" w:cs="Arial" w:eastAsia="Arial" w:hAnsi="Arial"/>
                <w:sz w:val="20"/>
                <w:szCs w:val="20"/>
                <w:color w:val="auto"/>
              </w:rPr>
              <w:t>_______________________</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5900" w:type="dxa"/>
            <w:vAlign w:val="bottom"/>
            <w:vMerge w:val="restart"/>
          </w:tcPr>
          <w:p>
            <w:pPr>
              <w:ind w:left="2260"/>
              <w:spacing w:after="0"/>
              <w:rPr>
                <w:sz w:val="20"/>
                <w:szCs w:val="20"/>
                <w:color w:val="auto"/>
              </w:rPr>
            </w:pPr>
            <w:r>
              <w:rPr>
                <w:rFonts w:ascii="Arial" w:cs="Arial" w:eastAsia="Arial" w:hAnsi="Arial"/>
                <w:sz w:val="20"/>
                <w:szCs w:val="20"/>
                <w:color w:val="auto"/>
              </w:rPr>
              <w:t>By: _______________________</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5900" w:type="dxa"/>
            <w:vAlign w:val="bottom"/>
          </w:tcPr>
          <w:p>
            <w:pPr>
              <w:ind w:left="22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b w:val="1"/>
                <w:bCs w:val="1"/>
                <w:color w:val="auto"/>
              </w:rPr>
              <w:t>Peter Arduini</w:t>
            </w: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2"/>
                <w:szCs w:val="22"/>
                <w:color w:val="auto"/>
              </w:rPr>
            </w:pPr>
          </w:p>
        </w:tc>
        <w:tc>
          <w:tcPr>
            <w:tcW w:w="5900" w:type="dxa"/>
            <w:vAlign w:val="bottom"/>
          </w:tcPr>
          <w:p>
            <w:pPr>
              <w:ind w:left="226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b w:val="1"/>
                <w:bCs w:val="1"/>
                <w:color w:val="auto"/>
              </w:rPr>
              <w:t>CEO</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0"/>
                <w:szCs w:val="20"/>
                <w:color w:val="auto"/>
              </w:rPr>
            </w:pPr>
            <w:r>
              <w:rPr>
                <w:rFonts w:ascii="Arial" w:cs="Arial" w:eastAsia="Arial" w:hAnsi="Arial"/>
                <w:sz w:val="20"/>
                <w:szCs w:val="20"/>
                <w:color w:val="auto"/>
              </w:rPr>
              <w:t>_______________________</w:t>
            </w:r>
          </w:p>
        </w:tc>
        <w:tc>
          <w:tcPr>
            <w:tcW w:w="5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0"/>
                <w:szCs w:val="20"/>
                <w:color w:val="auto"/>
              </w:rPr>
            </w:pPr>
            <w:r>
              <w:rPr>
                <w:rFonts w:ascii="Arial" w:cs="Arial" w:eastAsia="Arial" w:hAnsi="Arial"/>
                <w:sz w:val="20"/>
                <w:szCs w:val="20"/>
                <w:color w:val="auto"/>
              </w:rPr>
              <w:t>Address</w:t>
            </w:r>
          </w:p>
        </w:tc>
        <w:tc>
          <w:tcPr>
            <w:tcW w:w="5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85" w:right="299" w:bottom="1440" w:gutter="0" w:footer="0" w:header="0"/>
        </w:sectPr>
      </w:pPr>
    </w:p>
    <w:bookmarkStart w:id="109" w:name="page110"/>
    <w:bookmarkEnd w:id="109"/>
    <w:p>
      <w:pPr>
        <w:jc w:val="center"/>
        <w:ind w:right="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CONSENT OF SPOUSE</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 ____________________, spouse of _________________, have read and approve the foregoing Award Agreement.</w:t>
      </w:r>
    </w:p>
    <w:p>
      <w:pPr>
        <w:spacing w:after="0" w:line="4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consideration of granting of the right to my spouse to 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 ______</w:t>
      </w:r>
    </w:p>
    <w:p>
      <w:pPr>
        <w:ind w:left="6100"/>
        <w:spacing w:after="0" w:line="230" w:lineRule="auto"/>
        <w:rPr>
          <w:sz w:val="20"/>
          <w:szCs w:val="20"/>
          <w:color w:val="auto"/>
        </w:rPr>
      </w:pPr>
      <w:r>
        <w:rPr>
          <w:rFonts w:ascii="Arial" w:cs="Arial" w:eastAsia="Arial" w:hAnsi="Arial"/>
          <w:sz w:val="22"/>
          <w:szCs w:val="22"/>
          <w:color w:val="auto"/>
        </w:rPr>
        <w:t>_____________________</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[Spouse’s Name]</w:t>
      </w:r>
    </w:p>
    <w:p>
      <w:pPr>
        <w:sectPr>
          <w:pgSz w:w="11900" w:h="16838" w:orient="portrait"/>
          <w:cols w:equalWidth="0" w:num="1">
            <w:col w:w="10640"/>
          </w:cols>
          <w:pgMar w:left="280" w:top="1179" w:right="97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10.38 (e)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RESTRICTED STOCK AGREEMENT </w:t>
      </w:r>
      <w:r>
        <w:rPr>
          <w:rFonts w:ascii="Arial" w:cs="Arial" w:eastAsia="Arial" w:hAnsi="Arial"/>
          <w:sz w:val="21"/>
          <w:szCs w:val="21"/>
          <w:color w:val="auto"/>
        </w:rPr>
        <w:t>(the “Award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dated as of ______________(the “Award</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Date”), is made by and between Integra LifeSciences Holdings Corporation</w:t>
      </w:r>
      <w:r>
        <w:rPr>
          <w:rFonts w:ascii="Arial" w:cs="Arial" w:eastAsia="Arial" w:hAnsi="Arial"/>
          <w:sz w:val="21"/>
          <w:szCs w:val="21"/>
          <w:b w:val="1"/>
          <w:bCs w:val="1"/>
          <w:color w:val="auto"/>
        </w:rPr>
        <w:t>,</w:t>
      </w:r>
      <w:r>
        <w:rPr>
          <w:rFonts w:ascii="Arial" w:cs="Arial" w:eastAsia="Arial" w:hAnsi="Arial"/>
          <w:sz w:val="21"/>
          <w:szCs w:val="21"/>
          <w:color w:val="auto"/>
        </w:rPr>
        <w:t xml:space="preserve"> a Delaware corporation (the “Company”), and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_____________ an employee of the Company, (or one or more of its Related Corporations or Affiliates) hereinafter referred to 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“Participant”:</w:t>
      </w:r>
    </w:p>
    <w:p>
      <w:pPr>
        <w:spacing w:after="0" w:line="236"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Integra LifeSciences Holdings Corporation</w:t>
      </w:r>
      <w:r>
        <w:rPr>
          <w:rFonts w:ascii="Arial" w:cs="Arial" w:eastAsia="Arial" w:hAnsi="Arial"/>
          <w:sz w:val="22"/>
          <w:szCs w:val="22"/>
          <w:b w:val="1"/>
          <w:bCs w:val="1"/>
          <w:color w:val="auto"/>
        </w:rPr>
        <w:t xml:space="preserve"> [2003] or [2001] </w:t>
      </w:r>
      <w:r>
        <w:rPr>
          <w:rFonts w:ascii="Arial" w:cs="Arial" w:eastAsia="Arial" w:hAnsi="Arial"/>
          <w:sz w:val="22"/>
          <w:szCs w:val="22"/>
          <w:color w:val="auto"/>
        </w:rPr>
        <w:t>Equity 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Plan, as amended (the “Plan”), and wishes to carry out the Plan, the terms of which are hereby incorporated by reference and made part of this Award Agreement; and</w:t>
      </w:r>
    </w:p>
    <w:p>
      <w:pPr>
        <w:spacing w:after="0" w:line="217" w:lineRule="exact"/>
        <w:rPr>
          <w:sz w:val="20"/>
          <w:szCs w:val="20"/>
          <w:color w:val="auto"/>
        </w:rPr>
      </w:pPr>
    </w:p>
    <w:p>
      <w:pPr>
        <w:ind w:right="62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various covenants herein contained, and intending to be legally bound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the parties hereto agree as follows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42" w:lineRule="exact"/>
        <w:rPr>
          <w:sz w:val="20"/>
          <w:szCs w:val="20"/>
          <w:color w:val="auto"/>
        </w:rPr>
      </w:pPr>
    </w:p>
    <w:p>
      <w:pPr>
        <w:ind w:right="660" w:firstLine="324"/>
        <w:spacing w:after="0" w:line="263" w:lineRule="auto"/>
        <w:rPr>
          <w:sz w:val="20"/>
          <w:szCs w:val="20"/>
          <w:color w:val="auto"/>
        </w:rPr>
      </w:pPr>
      <w:r>
        <w:rPr>
          <w:rFonts w:ascii="Arial" w:cs="Arial" w:eastAsia="Arial" w:hAnsi="Arial"/>
          <w:sz w:val="22"/>
          <w:szCs w:val="22"/>
          <w:color w:val="auto"/>
        </w:rPr>
        <w:t>Capitalized terms not otherwise defined below shall have the meaning set forth in the Plan. The masculine pronoun shall include the feminine and neuter, and the singular the plural, where the context so indicates.</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9"/>
          <w:szCs w:val="19"/>
          <w:b w:val="1"/>
          <w:bCs w:val="1"/>
          <w:u w:val="single" w:color="auto"/>
          <w:color w:val="auto"/>
        </w:rPr>
        <w:t>Section 1.1</w:t>
      </w:r>
      <w:r>
        <w:rPr>
          <w:rFonts w:ascii="Arial" w:cs="Arial" w:eastAsia="Arial" w:hAnsi="Arial"/>
          <w:sz w:val="19"/>
          <w:szCs w:val="19"/>
          <w:b w:val="1"/>
          <w:bCs w:val="1"/>
          <w:color w:val="auto"/>
        </w:rPr>
        <w:t xml:space="preserve"> Restricted Stock. </w:t>
      </w:r>
      <w:r>
        <w:rPr>
          <w:rFonts w:ascii="Arial" w:cs="Arial" w:eastAsia="Arial" w:hAnsi="Arial"/>
          <w:sz w:val="19"/>
          <w:szCs w:val="19"/>
          <w:color w:val="auto"/>
        </w:rPr>
        <w:t>“Restricted Stock” shall mean _____ shares of Common Stock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issued under this Award Agreement and subject to the Restrictions imposed hereunder.</w:t>
      </w:r>
    </w:p>
    <w:p>
      <w:pPr>
        <w:spacing w:after="0" w:line="142" w:lineRule="exact"/>
        <w:rPr>
          <w:sz w:val="20"/>
          <w:szCs w:val="20"/>
          <w:color w:val="auto"/>
        </w:rPr>
      </w:pPr>
    </w:p>
    <w:p>
      <w:pPr>
        <w:ind w:right="540" w:firstLine="1297"/>
        <w:spacing w:after="0" w:line="269" w:lineRule="auto"/>
        <w:rPr>
          <w:sz w:val="20"/>
          <w:szCs w:val="20"/>
          <w:color w:val="auto"/>
        </w:rPr>
      </w:pPr>
      <w:r>
        <w:rPr>
          <w:rFonts w:ascii="Arial" w:cs="Arial" w:eastAsia="Arial" w:hAnsi="Arial"/>
          <w:sz w:val="22"/>
          <w:szCs w:val="22"/>
          <w:b w:val="1"/>
          <w:bCs w:val="1"/>
          <w:u w:val="single" w:color="auto"/>
          <w:color w:val="auto"/>
        </w:rPr>
        <w:t>Section 1.2</w:t>
      </w:r>
      <w:r>
        <w:rPr>
          <w:rFonts w:ascii="Arial" w:cs="Arial" w:eastAsia="Arial" w:hAnsi="Arial"/>
          <w:sz w:val="22"/>
          <w:szCs w:val="22"/>
          <w:b w:val="1"/>
          <w:bCs w:val="1"/>
          <w:color w:val="auto"/>
        </w:rPr>
        <w:t xml:space="preserve"> Restrictions. </w:t>
      </w:r>
      <w:r>
        <w:rPr>
          <w:rFonts w:ascii="Arial" w:cs="Arial" w:eastAsia="Arial" w:hAnsi="Arial"/>
          <w:sz w:val="22"/>
          <w:szCs w:val="22"/>
          <w:color w:val="auto"/>
        </w:rPr>
        <w:t>“Restrictions” shall mean the forfeiture and transferability restrictions imposed upon</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under the Plan and this Award Agreement.</w:t>
      </w:r>
    </w:p>
    <w:p>
      <w:pPr>
        <w:spacing w:after="0" w:line="108" w:lineRule="exact"/>
        <w:rPr>
          <w:sz w:val="20"/>
          <w:szCs w:val="20"/>
          <w:color w:val="auto"/>
        </w:rPr>
      </w:pPr>
    </w:p>
    <w:p>
      <w:pPr>
        <w:ind w:right="740" w:firstLine="1297"/>
        <w:spacing w:after="0" w:line="269" w:lineRule="auto"/>
        <w:rPr>
          <w:sz w:val="20"/>
          <w:szCs w:val="20"/>
          <w:color w:val="auto"/>
        </w:rPr>
      </w:pPr>
      <w:r>
        <w:rPr>
          <w:rFonts w:ascii="Arial" w:cs="Arial" w:eastAsia="Arial" w:hAnsi="Arial"/>
          <w:sz w:val="22"/>
          <w:szCs w:val="22"/>
          <w:b w:val="1"/>
          <w:bCs w:val="1"/>
          <w:u w:val="single" w:color="auto"/>
          <w:color w:val="auto"/>
        </w:rPr>
        <w:t>Section 1,3</w:t>
      </w:r>
      <w:r>
        <w:rPr>
          <w:rFonts w:ascii="Arial" w:cs="Arial" w:eastAsia="Arial" w:hAnsi="Arial"/>
          <w:sz w:val="22"/>
          <w:szCs w:val="22"/>
          <w:b w:val="1"/>
          <w:bCs w:val="1"/>
          <w:color w:val="auto"/>
        </w:rPr>
        <w:t xml:space="preserve">. “Rule 16b-3” </w:t>
      </w:r>
      <w:r>
        <w:rPr>
          <w:rFonts w:ascii="Arial" w:cs="Arial" w:eastAsia="Arial" w:hAnsi="Arial"/>
          <w:sz w:val="22"/>
          <w:szCs w:val="22"/>
          <w:color w:val="auto"/>
        </w:rPr>
        <w:t>shall mean that certain Rule 16b-3 under the Exchange Act, as such Rule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2"/>
          <w:szCs w:val="22"/>
          <w:b w:val="1"/>
          <w:bCs w:val="1"/>
          <w:u w:val="single" w:color="auto"/>
          <w:color w:val="auto"/>
        </w:rPr>
        <w:t>Section 1.4</w:t>
      </w:r>
      <w:r>
        <w:rPr>
          <w:rFonts w:ascii="Arial" w:cs="Arial" w:eastAsia="Arial" w:hAnsi="Arial"/>
          <w:sz w:val="22"/>
          <w:szCs w:val="22"/>
          <w:b w:val="1"/>
          <w:bCs w:val="1"/>
          <w:color w:val="auto"/>
        </w:rPr>
        <w:t xml:space="preserve"> Secretary. </w:t>
      </w:r>
      <w:r>
        <w:rPr>
          <w:rFonts w:ascii="Arial" w:cs="Arial" w:eastAsia="Arial" w:hAnsi="Arial"/>
          <w:sz w:val="22"/>
          <w:szCs w:val="22"/>
          <w:color w:val="auto"/>
        </w:rPr>
        <w:t>“Secretary” shall mean the Secretary of the Company.</w:t>
      </w:r>
    </w:p>
    <w:p>
      <w:pPr>
        <w:spacing w:after="0" w:line="166" w:lineRule="exact"/>
        <w:rPr>
          <w:sz w:val="20"/>
          <w:szCs w:val="20"/>
          <w:color w:val="auto"/>
        </w:rPr>
      </w:pPr>
    </w:p>
    <w:p>
      <w:pPr>
        <w:ind w:right="100" w:firstLine="1297"/>
        <w:spacing w:after="0" w:line="298" w:lineRule="auto"/>
        <w:rPr>
          <w:sz w:val="20"/>
          <w:szCs w:val="20"/>
          <w:color w:val="auto"/>
        </w:rPr>
      </w:pPr>
      <w:r>
        <w:rPr>
          <w:rFonts w:ascii="Arial" w:cs="Arial" w:eastAsia="Arial" w:hAnsi="Arial"/>
          <w:sz w:val="19"/>
          <w:szCs w:val="19"/>
          <w:b w:val="1"/>
          <w:bCs w:val="1"/>
          <w:u w:val="single" w:color="auto"/>
          <w:color w:val="auto"/>
        </w:rPr>
        <w:t>Section 1.5</w:t>
      </w:r>
      <w:r>
        <w:rPr>
          <w:rFonts w:ascii="Arial" w:cs="Arial" w:eastAsia="Arial" w:hAnsi="Arial"/>
          <w:sz w:val="19"/>
          <w:szCs w:val="19"/>
          <w:b w:val="1"/>
          <w:bCs w:val="1"/>
          <w:color w:val="auto"/>
        </w:rPr>
        <w:t xml:space="preserve"> Termination of Service. </w:t>
      </w:r>
      <w:r>
        <w:rPr>
          <w:rFonts w:ascii="Arial" w:cs="Arial" w:eastAsia="Arial" w:hAnsi="Arial"/>
          <w:sz w:val="19"/>
          <w:szCs w:val="19"/>
          <w:color w:val="auto"/>
        </w:rPr>
        <w:t>“Termination of Service” shall mean the time when the Participant ceases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services to the 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89" w:lineRule="exact"/>
        <w:rPr>
          <w:sz w:val="20"/>
          <w:szCs w:val="20"/>
          <w:color w:val="auto"/>
        </w:rPr>
      </w:pPr>
    </w:p>
    <w:p>
      <w:pPr>
        <w:ind w:right="60" w:firstLine="1297"/>
        <w:spacing w:after="0" w:line="269" w:lineRule="auto"/>
        <w:rPr>
          <w:sz w:val="20"/>
          <w:szCs w:val="20"/>
          <w:color w:val="auto"/>
        </w:rPr>
      </w:pPr>
      <w:r>
        <w:rPr>
          <w:rFonts w:ascii="Arial" w:cs="Arial" w:eastAsia="Arial" w:hAnsi="Arial"/>
          <w:sz w:val="22"/>
          <w:szCs w:val="22"/>
          <w:b w:val="1"/>
          <w:bCs w:val="1"/>
          <w:u w:val="single" w:color="auto"/>
          <w:color w:val="auto"/>
        </w:rPr>
        <w:t>Section1.6</w:t>
      </w:r>
      <w:r>
        <w:rPr>
          <w:rFonts w:ascii="Arial" w:cs="Arial" w:eastAsia="Arial" w:hAnsi="Arial"/>
          <w:sz w:val="22"/>
          <w:szCs w:val="22"/>
          <w:b w:val="1"/>
          <w:bCs w:val="1"/>
          <w:color w:val="auto"/>
        </w:rPr>
        <w:t xml:space="preserve"> Vested Shares. </w:t>
      </w:r>
      <w:r>
        <w:rPr>
          <w:rFonts w:ascii="Arial" w:cs="Arial" w:eastAsia="Arial" w:hAnsi="Arial"/>
          <w:sz w:val="22"/>
          <w:szCs w:val="22"/>
          <w:color w:val="auto"/>
        </w:rPr>
        <w:t>“Vested Shares” shall mean the shares of Restricted Stock which are no longer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Restrictions by reason of Section 3.2.</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19"/>
          <w:szCs w:val="19"/>
          <w:b w:val="1"/>
          <w:bCs w:val="1"/>
          <w:u w:val="single" w:color="auto"/>
          <w:color w:val="auto"/>
        </w:rPr>
        <w:t>Section 1.7</w:t>
      </w:r>
      <w:r>
        <w:rPr>
          <w:rFonts w:ascii="Arial" w:cs="Arial" w:eastAsia="Arial" w:hAnsi="Arial"/>
          <w:sz w:val="19"/>
          <w:szCs w:val="19"/>
          <w:b w:val="1"/>
          <w:bCs w:val="1"/>
          <w:color w:val="auto"/>
        </w:rPr>
        <w:t xml:space="preserve"> Vesting Date. </w:t>
      </w:r>
      <w:r>
        <w:rPr>
          <w:rFonts w:ascii="Arial" w:cs="Arial" w:eastAsia="Arial" w:hAnsi="Arial"/>
          <w:sz w:val="19"/>
          <w:szCs w:val="19"/>
          <w:color w:val="auto"/>
        </w:rPr>
        <w:t>“Vesting Date” shall mean each of the first, second and third anniversaries of the Award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420"/>
          </w:cols>
          <w:pgMar w:left="240" w:top="585" w:right="239" w:bottom="1440" w:gutter="0" w:footer="0" w:header="0"/>
        </w:sectPr>
      </w:pPr>
    </w:p>
    <w:bookmarkStart w:id="111" w:name="page112"/>
    <w:bookmarkEnd w:id="111"/>
    <w:p>
      <w:pPr>
        <w:ind w:left="508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4020"/>
        <w:spacing w:after="0"/>
        <w:rPr>
          <w:sz w:val="20"/>
          <w:szCs w:val="20"/>
          <w:color w:val="auto"/>
        </w:rPr>
      </w:pPr>
      <w:r>
        <w:rPr>
          <w:rFonts w:ascii="Arial" w:cs="Arial" w:eastAsia="Arial" w:hAnsi="Arial"/>
          <w:sz w:val="22"/>
          <w:szCs w:val="22"/>
          <w:b w:val="1"/>
          <w:bCs w:val="1"/>
          <w:u w:val="single" w:color="auto"/>
          <w:color w:val="auto"/>
        </w:rPr>
        <w:t>ISSUANCE OF RESTRICTED STOCK</w:t>
      </w:r>
    </w:p>
    <w:p>
      <w:pPr>
        <w:spacing w:after="0" w:line="142" w:lineRule="exact"/>
        <w:rPr>
          <w:sz w:val="20"/>
          <w:szCs w:val="20"/>
          <w:color w:val="auto"/>
        </w:rPr>
      </w:pPr>
    </w:p>
    <w:p>
      <w:pPr>
        <w:ind w:right="120" w:firstLine="1297"/>
        <w:spacing w:after="0" w:line="262" w:lineRule="auto"/>
        <w:rPr>
          <w:sz w:val="20"/>
          <w:szCs w:val="20"/>
          <w:color w:val="auto"/>
        </w:rPr>
      </w:pPr>
      <w:r>
        <w:rPr>
          <w:rFonts w:ascii="Arial" w:cs="Arial" w:eastAsia="Arial" w:hAnsi="Arial"/>
          <w:sz w:val="21"/>
          <w:szCs w:val="21"/>
          <w:b w:val="1"/>
          <w:bCs w:val="1"/>
          <w:u w:val="single" w:color="auto"/>
          <w:color w:val="auto"/>
        </w:rPr>
        <w:t>Section 2.1</w:t>
      </w:r>
      <w:r>
        <w:rPr>
          <w:rFonts w:ascii="Arial" w:cs="Arial" w:eastAsia="Arial" w:hAnsi="Arial"/>
          <w:sz w:val="21"/>
          <w:szCs w:val="21"/>
          <w:b w:val="1"/>
          <w:bCs w:val="1"/>
          <w:color w:val="auto"/>
        </w:rPr>
        <w:t xml:space="preserve"> Issuance of Restricted Stock. </w:t>
      </w:r>
      <w:r>
        <w:rPr>
          <w:rFonts w:ascii="Arial" w:cs="Arial" w:eastAsia="Arial" w:hAnsi="Arial"/>
          <w:sz w:val="21"/>
          <w:szCs w:val="21"/>
          <w:color w:val="auto"/>
        </w:rPr>
        <w:t>On the date hereof the Company issues to the Participant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Stock subject to the 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20" w:lineRule="exact"/>
        <w:rPr>
          <w:sz w:val="20"/>
          <w:szCs w:val="20"/>
          <w:color w:val="auto"/>
        </w:rPr>
      </w:pPr>
    </w:p>
    <w:p>
      <w:pPr>
        <w:ind w:right="200" w:firstLine="1297"/>
        <w:spacing w:after="0" w:line="350" w:lineRule="auto"/>
        <w:rPr>
          <w:sz w:val="20"/>
          <w:szCs w:val="20"/>
          <w:color w:val="auto"/>
        </w:rPr>
      </w:pPr>
      <w:r>
        <w:rPr>
          <w:rFonts w:ascii="Arial" w:cs="Arial" w:eastAsia="Arial" w:hAnsi="Arial"/>
          <w:sz w:val="19"/>
          <w:szCs w:val="19"/>
          <w:b w:val="1"/>
          <w:bCs w:val="1"/>
          <w:u w:val="single" w:color="auto"/>
          <w:color w:val="auto"/>
        </w:rPr>
        <w:t>Section 2.2</w:t>
      </w:r>
      <w:r>
        <w:rPr>
          <w:rFonts w:ascii="Arial" w:cs="Arial" w:eastAsia="Arial" w:hAnsi="Arial"/>
          <w:sz w:val="19"/>
          <w:szCs w:val="19"/>
          <w:b w:val="1"/>
          <w:bCs w:val="1"/>
          <w:color w:val="auto"/>
        </w:rPr>
        <w:t xml:space="preserve"> Restrictions. </w:t>
      </w:r>
      <w:r>
        <w:rPr>
          <w:rFonts w:ascii="Arial" w:cs="Arial" w:eastAsia="Arial" w:hAnsi="Arial"/>
          <w:sz w:val="19"/>
          <w:szCs w:val="19"/>
          <w:color w:val="auto"/>
        </w:rPr>
        <w:t>Until vested pursuant to Section 3.2, the Restricted Stock shall be subject to forfeiture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Section 3.1 and may not be sold, assigned, transferred, pledged, or otherwise encumbered or disposed of.</w:t>
      </w:r>
    </w:p>
    <w:p>
      <w:pPr>
        <w:spacing w:after="0" w:line="38" w:lineRule="exact"/>
        <w:rPr>
          <w:sz w:val="20"/>
          <w:szCs w:val="20"/>
          <w:color w:val="auto"/>
        </w:rPr>
      </w:pPr>
    </w:p>
    <w:p>
      <w:pPr>
        <w:ind w:right="180" w:firstLine="1297"/>
        <w:spacing w:after="0" w:line="315" w:lineRule="auto"/>
        <w:rPr>
          <w:sz w:val="20"/>
          <w:szCs w:val="20"/>
          <w:color w:val="auto"/>
        </w:rPr>
      </w:pPr>
      <w:r>
        <w:rPr>
          <w:rFonts w:ascii="Arial" w:cs="Arial" w:eastAsia="Arial" w:hAnsi="Arial"/>
          <w:sz w:val="19"/>
          <w:szCs w:val="19"/>
          <w:b w:val="1"/>
          <w:bCs w:val="1"/>
          <w:u w:val="single" w:color="auto"/>
          <w:color w:val="auto"/>
        </w:rPr>
        <w:t>Section 2.3</w:t>
      </w:r>
      <w:r>
        <w:rPr>
          <w:rFonts w:ascii="Arial" w:cs="Arial" w:eastAsia="Arial" w:hAnsi="Arial"/>
          <w:sz w:val="19"/>
          <w:szCs w:val="19"/>
          <w:b w:val="1"/>
          <w:bCs w:val="1"/>
          <w:color w:val="auto"/>
        </w:rPr>
        <w:t xml:space="preserve"> Voting and Dividend Rights</w:t>
      </w:r>
      <w:r>
        <w:rPr>
          <w:rFonts w:ascii="Arial" w:cs="Arial" w:eastAsia="Arial" w:hAnsi="Arial"/>
          <w:sz w:val="19"/>
          <w:szCs w:val="19"/>
          <w:color w:val="auto"/>
        </w:rPr>
        <w:t>. The Participant, shall have all the rights of a stockholder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his Restricted Stock, including the right to vote the Restricted Stock, except that the Participant shall have the right to receive all dividends or other distributions paid or made with respect to only those outstanding vested shares of Common Stock.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RESTRICTIONS</w:t>
      </w:r>
    </w:p>
    <w:p>
      <w:pPr>
        <w:spacing w:after="0" w:line="209" w:lineRule="exact"/>
        <w:rPr>
          <w:sz w:val="20"/>
          <w:szCs w:val="20"/>
          <w:color w:val="auto"/>
        </w:rPr>
      </w:pPr>
    </w:p>
    <w:p>
      <w:pPr>
        <w:ind w:right="200" w:firstLine="1297"/>
        <w:spacing w:after="0" w:line="264" w:lineRule="auto"/>
        <w:rPr>
          <w:sz w:val="20"/>
          <w:szCs w:val="20"/>
          <w:color w:val="auto"/>
        </w:rPr>
      </w:pPr>
      <w:r>
        <w:rPr>
          <w:rFonts w:ascii="Arial" w:cs="Arial" w:eastAsia="Arial" w:hAnsi="Arial"/>
          <w:sz w:val="21"/>
          <w:szCs w:val="21"/>
          <w:b w:val="1"/>
          <w:bCs w:val="1"/>
          <w:u w:val="single" w:color="auto"/>
          <w:color w:val="auto"/>
        </w:rPr>
        <w:t>Section 3.1</w:t>
      </w:r>
      <w:r>
        <w:rPr>
          <w:rFonts w:ascii="Arial" w:cs="Arial" w:eastAsia="Arial" w:hAnsi="Arial"/>
          <w:sz w:val="21"/>
          <w:szCs w:val="21"/>
          <w:b w:val="1"/>
          <w:bCs w:val="1"/>
          <w:color w:val="auto"/>
        </w:rPr>
        <w:t xml:space="preserve"> Forfeiture. </w:t>
      </w:r>
      <w:r>
        <w:rPr>
          <w:rFonts w:ascii="Arial" w:cs="Arial" w:eastAsia="Arial" w:hAnsi="Arial"/>
          <w:sz w:val="21"/>
          <w:szCs w:val="21"/>
          <w:color w:val="auto"/>
        </w:rPr>
        <w:t>Upon the Participant’s Termination of Service other than by (i) death or Disability or (ii) a</w:t>
      </w:r>
      <w:r>
        <w:rPr>
          <w:rFonts w:ascii="Arial" w:cs="Arial" w:eastAsia="Arial" w:hAnsi="Arial"/>
          <w:sz w:val="21"/>
          <w:szCs w:val="21"/>
          <w:b w:val="1"/>
          <w:bCs w:val="1"/>
          <w:color w:val="auto"/>
        </w:rPr>
        <w:t xml:space="preserve"> </w:t>
      </w:r>
      <w:r>
        <w:rPr>
          <w:rFonts w:ascii="Arial" w:cs="Arial" w:eastAsia="Arial" w:hAnsi="Arial"/>
          <w:sz w:val="21"/>
          <w:szCs w:val="21"/>
          <w:color w:val="auto"/>
        </w:rPr>
        <w:t>Qualifying Termination upon a Change in Control as further described in Section 3.2, the Participant’s rights in Restricted 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211" w:lineRule="exact"/>
        <w:rPr>
          <w:sz w:val="20"/>
          <w:szCs w:val="20"/>
          <w:color w:val="auto"/>
        </w:rPr>
      </w:pPr>
    </w:p>
    <w:p>
      <w:pPr>
        <w:jc w:val="both"/>
        <w:ind w:firstLine="1216"/>
        <w:spacing w:after="0" w:line="290" w:lineRule="auto"/>
        <w:rPr>
          <w:sz w:val="20"/>
          <w:szCs w:val="20"/>
          <w:color w:val="auto"/>
        </w:rPr>
      </w:pPr>
      <w:r>
        <w:rPr>
          <w:rFonts w:ascii="Arial" w:cs="Arial" w:eastAsia="Arial" w:hAnsi="Arial"/>
          <w:sz w:val="19"/>
          <w:szCs w:val="19"/>
          <w:b w:val="1"/>
          <w:bCs w:val="1"/>
          <w:u w:val="single" w:color="auto"/>
          <w:color w:val="auto"/>
        </w:rPr>
        <w:t>Section 3.2</w:t>
      </w:r>
      <w:r>
        <w:rPr>
          <w:rFonts w:ascii="Arial" w:cs="Arial" w:eastAsia="Arial" w:hAnsi="Arial"/>
          <w:sz w:val="19"/>
          <w:szCs w:val="19"/>
          <w:b w:val="1"/>
          <w:bCs w:val="1"/>
          <w:color w:val="auto"/>
        </w:rPr>
        <w:t xml:space="preserve"> Termination of Restrictions. </w:t>
      </w:r>
      <w:r>
        <w:rPr>
          <w:rFonts w:ascii="Arial" w:cs="Arial" w:eastAsia="Arial" w:hAnsi="Arial"/>
          <w:sz w:val="19"/>
          <w:szCs w:val="19"/>
          <w:color w:val="auto"/>
        </w:rPr>
        <w:t>The Restrictions shall terminate and lapse, and such shares shall vest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become Vested Shares on each Vesting Date as provided in Section 3.3, provided that the Participant has continued to serve as an employee or an Associate from the Award Date to and including such Vesting Date. Notwithstanding the foregoing,</w:t>
      </w:r>
    </w:p>
    <w:p>
      <w:pPr>
        <w:spacing w:after="0" w:line="2" w:lineRule="exact"/>
        <w:rPr>
          <w:sz w:val="20"/>
          <w:szCs w:val="20"/>
          <w:color w:val="auto"/>
        </w:rPr>
      </w:pPr>
    </w:p>
    <w:p>
      <w:pPr>
        <w:jc w:val="both"/>
        <w:ind w:firstLine="8"/>
        <w:spacing w:after="0" w:line="302" w:lineRule="auto"/>
        <w:tabs>
          <w:tab w:leader="none" w:pos="258"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 the event that a Change in Control occurs and the Participant incurs a Qualifying Termination on or within twelve (12) months following the date of such Change in Control or (ii) in the event of the Participant’s death or Disability, all Restrictions shall lapse and all Restricted Stock shall become Vested Shares upon such Qualifying Termination, death or Disability.</w:t>
      </w:r>
    </w:p>
    <w:p>
      <w:pPr>
        <w:spacing w:after="0" w:line="178"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b w:val="1"/>
          <w:bCs w:val="1"/>
          <w:u w:val="single" w:color="auto"/>
          <w:color w:val="auto"/>
        </w:rPr>
        <w:t>Section 3.3</w:t>
      </w:r>
      <w:r>
        <w:rPr>
          <w:rFonts w:ascii="Arial" w:cs="Arial" w:eastAsia="Arial" w:hAnsi="Arial"/>
          <w:sz w:val="21"/>
          <w:szCs w:val="21"/>
          <w:b w:val="1"/>
          <w:bCs w:val="1"/>
          <w:color w:val="auto"/>
        </w:rPr>
        <w:t xml:space="preserve"> Lapse of Restrictions. </w:t>
      </w:r>
      <w:r>
        <w:rPr>
          <w:rFonts w:ascii="Arial" w:cs="Arial" w:eastAsia="Arial" w:hAnsi="Arial"/>
          <w:sz w:val="21"/>
          <w:szCs w:val="21"/>
          <w:color w:val="auto"/>
        </w:rPr>
        <w:t>Thirty-three percent (33%) of the shares of Restricted Stock shall become Vested</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on each of the first two Vesting Dates, and thirty-four percent (34%) of the shares of Restricted Stock shall become Vested Shares on the third Vesting Date. On each Vesting Date, the Company shall issue new certificates evidencing the Vested Shares or record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w:t>
      </w:r>
    </w:p>
    <w:p>
      <w:pPr>
        <w:sectPr>
          <w:pgSz w:w="11900" w:h="16838" w:orient="portrait"/>
          <w:cols w:equalWidth="0" w:num="1">
            <w:col w:w="11420"/>
          </w:cols>
          <w:pgMar w:left="240" w:top="841" w:right="239" w:bottom="1440" w:gutter="0" w:footer="0" w:header="0"/>
        </w:sectPr>
      </w:pPr>
    </w:p>
    <w:bookmarkStart w:id="112" w:name="page113"/>
    <w:bookmarkEnd w:id="112"/>
    <w:p>
      <w:pPr>
        <w:ind w:right="100"/>
        <w:spacing w:after="0" w:line="253" w:lineRule="auto"/>
        <w:rPr>
          <w:sz w:val="20"/>
          <w:szCs w:val="20"/>
          <w:color w:val="auto"/>
        </w:rPr>
      </w:pPr>
      <w:r>
        <w:rPr>
          <w:rFonts w:ascii="Arial" w:cs="Arial" w:eastAsia="Arial" w:hAnsi="Arial"/>
          <w:sz w:val="22"/>
          <w:szCs w:val="22"/>
          <w:color w:val="auto"/>
        </w:rPr>
        <w:t>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22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b w:val="1"/>
          <w:bCs w:val="1"/>
          <w:u w:val="single" w:color="auto"/>
          <w:color w:val="auto"/>
        </w:rPr>
        <w:t>Section 3.4</w:t>
      </w:r>
      <w:r>
        <w:rPr>
          <w:rFonts w:ascii="Arial" w:cs="Arial" w:eastAsia="Arial" w:hAnsi="Arial"/>
          <w:sz w:val="19"/>
          <w:szCs w:val="19"/>
          <w:b w:val="1"/>
          <w:bCs w:val="1"/>
          <w:color w:val="auto"/>
        </w:rPr>
        <w:t xml:space="preserve"> Clawback. </w:t>
      </w:r>
      <w:r>
        <w:rPr>
          <w:rFonts w:ascii="Arial" w:cs="Arial" w:eastAsia="Arial" w:hAnsi="Arial"/>
          <w:sz w:val="19"/>
          <w:szCs w:val="19"/>
          <w:color w:val="auto"/>
        </w:rPr>
        <w:t>Notwithstanding anything contained in the Plan or the Award Agreement to the contrary,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Restricted Stock under the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9" w:lineRule="exact"/>
        <w:rPr>
          <w:sz w:val="20"/>
          <w:szCs w:val="20"/>
          <w:color w:val="auto"/>
        </w:rPr>
      </w:pPr>
    </w:p>
    <w:p>
      <w:pPr>
        <w:ind w:right="40" w:firstLine="1297"/>
        <w:spacing w:after="0" w:line="315" w:lineRule="auto"/>
        <w:rPr>
          <w:sz w:val="20"/>
          <w:szCs w:val="20"/>
          <w:color w:val="auto"/>
        </w:rPr>
      </w:pPr>
      <w:r>
        <w:rPr>
          <w:rFonts w:ascii="Arial" w:cs="Arial" w:eastAsia="Arial" w:hAnsi="Arial"/>
          <w:sz w:val="19"/>
          <w:szCs w:val="19"/>
          <w:b w:val="1"/>
          <w:bCs w:val="1"/>
          <w:u w:val="single" w:color="auto"/>
          <w:color w:val="auto"/>
        </w:rPr>
        <w:t>Section 4.1</w:t>
      </w:r>
      <w:r>
        <w:rPr>
          <w:rFonts w:ascii="Arial" w:cs="Arial" w:eastAsia="Arial" w:hAnsi="Arial"/>
          <w:sz w:val="19"/>
          <w:szCs w:val="19"/>
          <w:b w:val="1"/>
          <w:bCs w:val="1"/>
          <w:color w:val="auto"/>
        </w:rPr>
        <w:t xml:space="preserve"> No Additional Rights. </w:t>
      </w:r>
      <w:r>
        <w:rPr>
          <w:rFonts w:ascii="Arial" w:cs="Arial" w:eastAsia="Arial" w:hAnsi="Arial"/>
          <w:sz w:val="19"/>
          <w:szCs w:val="19"/>
          <w:color w:val="auto"/>
        </w:rPr>
        <w:t>Nothing in this Award Agreement or in the Plan shall confer upon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 to a position as an Associate or continued employment by the Company or any of its Related Corporations or Affiliates or affect in any way the right of any of the foregoing to terminate the services of an individual at any time.</w:t>
      </w:r>
    </w:p>
    <w:p>
      <w:pPr>
        <w:spacing w:after="0" w:line="166" w:lineRule="exact"/>
        <w:rPr>
          <w:sz w:val="20"/>
          <w:szCs w:val="20"/>
          <w:color w:val="auto"/>
        </w:rPr>
      </w:pPr>
    </w:p>
    <w:p>
      <w:pPr>
        <w:ind w:right="500" w:firstLine="1297"/>
        <w:spacing w:after="0" w:line="350" w:lineRule="auto"/>
        <w:rPr>
          <w:sz w:val="20"/>
          <w:szCs w:val="20"/>
          <w:color w:val="auto"/>
        </w:rPr>
      </w:pPr>
      <w:r>
        <w:rPr>
          <w:rFonts w:ascii="Arial" w:cs="Arial" w:eastAsia="Arial" w:hAnsi="Arial"/>
          <w:sz w:val="19"/>
          <w:szCs w:val="19"/>
          <w:b w:val="1"/>
          <w:bCs w:val="1"/>
          <w:u w:val="single" w:color="auto"/>
          <w:color w:val="auto"/>
        </w:rPr>
        <w:t>Section 4.2</w:t>
      </w:r>
      <w:r>
        <w:rPr>
          <w:rFonts w:ascii="Arial" w:cs="Arial" w:eastAsia="Arial" w:hAnsi="Arial"/>
          <w:sz w:val="19"/>
          <w:szCs w:val="19"/>
          <w:b w:val="1"/>
          <w:bCs w:val="1"/>
          <w:color w:val="auto"/>
        </w:rPr>
        <w:t xml:space="preserve"> Legend. </w:t>
      </w:r>
      <w:r>
        <w:rPr>
          <w:rFonts w:ascii="Arial" w:cs="Arial" w:eastAsia="Arial" w:hAnsi="Arial"/>
          <w:sz w:val="19"/>
          <w:szCs w:val="19"/>
          <w:color w:val="auto"/>
        </w:rPr>
        <w:t>Any certificates representing shares of Restricted Stock issued pursuant to this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until all Restrictions lapse and new certificates are issued pursuant to Section 3.3, bear the following legend:</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232" w:lineRule="exact"/>
        <w:rPr>
          <w:sz w:val="20"/>
          <w:szCs w:val="20"/>
          <w:color w:val="auto"/>
        </w:rPr>
      </w:pPr>
    </w:p>
    <w:p>
      <w:pPr>
        <w:ind w:right="100" w:firstLine="1297"/>
        <w:spacing w:after="0" w:line="249" w:lineRule="auto"/>
        <w:rPr>
          <w:sz w:val="20"/>
          <w:szCs w:val="20"/>
          <w:color w:val="auto"/>
        </w:rPr>
      </w:pPr>
      <w:r>
        <w:rPr>
          <w:rFonts w:ascii="Arial" w:cs="Arial" w:eastAsia="Arial" w:hAnsi="Arial"/>
          <w:sz w:val="22"/>
          <w:szCs w:val="22"/>
          <w:b w:val="1"/>
          <w:bCs w:val="1"/>
          <w:u w:val="single" w:color="auto"/>
          <w:color w:val="auto"/>
        </w:rPr>
        <w:t>Section 4.3</w:t>
      </w:r>
      <w:r>
        <w:rPr>
          <w:rFonts w:ascii="Arial" w:cs="Arial" w:eastAsia="Arial" w:hAnsi="Arial"/>
          <w:sz w:val="22"/>
          <w:szCs w:val="22"/>
          <w:b w:val="1"/>
          <w:bCs w:val="1"/>
          <w:color w:val="auto"/>
        </w:rPr>
        <w:t xml:space="preserve"> Tax Withholding. </w:t>
      </w:r>
      <w:r>
        <w:rPr>
          <w:rFonts w:ascii="Arial" w:cs="Arial" w:eastAsia="Arial" w:hAnsi="Arial"/>
          <w:sz w:val="22"/>
          <w:szCs w:val="22"/>
          <w:color w:val="auto"/>
        </w:rPr>
        <w:t>On each Vesting Date, the Company shall notify the Participant of the amount of tax</w:t>
      </w:r>
      <w:r>
        <w:rPr>
          <w:rFonts w:ascii="Arial" w:cs="Arial" w:eastAsia="Arial" w:hAnsi="Arial"/>
          <w:sz w:val="22"/>
          <w:szCs w:val="22"/>
          <w:b w:val="1"/>
          <w:bCs w:val="1"/>
          <w:color w:val="auto"/>
        </w:rPr>
        <w:t xml:space="preserve"> </w:t>
      </w:r>
      <w:r>
        <w:rPr>
          <w:rFonts w:ascii="Arial" w:cs="Arial" w:eastAsia="Arial" w:hAnsi="Arial"/>
          <w:sz w:val="22"/>
          <w:szCs w:val="22"/>
          <w:color w:val="auto"/>
        </w:rPr>
        <w:t>which must be withheld by the Company under all applicable federal, state and local tax laws. Subject to any applicable legal conditions or restrictions, the Company shall withhold from the shares of Restricted Stock a number of whole shares of common stock having a fair market value, determined as of each Vesting Date, not in excess of the minimum tax required to be withheld by law.</w:t>
      </w:r>
    </w:p>
    <w:p>
      <w:pPr>
        <w:spacing w:after="0" w:line="227" w:lineRule="exact"/>
        <w:rPr>
          <w:sz w:val="20"/>
          <w:szCs w:val="20"/>
          <w:color w:val="auto"/>
        </w:rPr>
      </w:pPr>
    </w:p>
    <w:p>
      <w:pPr>
        <w:ind w:right="80" w:firstLine="1297"/>
        <w:spacing w:after="0" w:line="261" w:lineRule="auto"/>
        <w:rPr>
          <w:sz w:val="20"/>
          <w:szCs w:val="20"/>
          <w:color w:val="auto"/>
        </w:rPr>
      </w:pPr>
      <w:r>
        <w:rPr>
          <w:rFonts w:ascii="Arial" w:cs="Arial" w:eastAsia="Arial" w:hAnsi="Arial"/>
          <w:sz w:val="21"/>
          <w:szCs w:val="21"/>
          <w:b w:val="1"/>
          <w:bCs w:val="1"/>
          <w:u w:val="single" w:color="auto"/>
          <w:color w:val="auto"/>
        </w:rPr>
        <w:t>Section 4.4</w:t>
      </w:r>
      <w:r>
        <w:rPr>
          <w:rFonts w:ascii="Arial" w:cs="Arial" w:eastAsia="Arial" w:hAnsi="Arial"/>
          <w:sz w:val="21"/>
          <w:szCs w:val="21"/>
          <w:b w:val="1"/>
          <w:bCs w:val="1"/>
          <w:color w:val="auto"/>
        </w:rPr>
        <w:t xml:space="preserve"> Notices. </w:t>
      </w:r>
      <w:r>
        <w:rPr>
          <w:rFonts w:ascii="Arial" w:cs="Arial" w:eastAsia="Arial" w:hAnsi="Arial"/>
          <w:sz w:val="21"/>
          <w:szCs w:val="21"/>
          <w:color w:val="auto"/>
        </w:rPr>
        <w:t>Any notice to be given under the terms of this Award Agreement to the Company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addressed to the Company in 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w:t>
      </w:r>
    </w:p>
    <w:p>
      <w:pPr>
        <w:sectPr>
          <w:pgSz w:w="11900" w:h="16838" w:orient="portrait"/>
          <w:cols w:equalWidth="0" w:num="1">
            <w:col w:w="11420"/>
          </w:cols>
          <w:pgMar w:left="240" w:top="591" w:right="239" w:bottom="1440" w:gutter="0" w:footer="0" w:header="0"/>
        </w:sectPr>
      </w:pPr>
    </w:p>
    <w:bookmarkStart w:id="113" w:name="page114"/>
    <w:bookmarkEnd w:id="113"/>
    <w:p>
      <w:pPr>
        <w:ind w:right="160"/>
        <w:spacing w:after="0" w:line="263" w:lineRule="auto"/>
        <w:rPr>
          <w:sz w:val="20"/>
          <w:szCs w:val="20"/>
          <w:color w:val="auto"/>
        </w:rPr>
      </w:pPr>
      <w:r>
        <w:rPr>
          <w:rFonts w:ascii="Arial" w:cs="Arial" w:eastAsia="Arial" w:hAnsi="Arial"/>
          <w:sz w:val="22"/>
          <w:szCs w:val="22"/>
          <w:color w:val="auto"/>
        </w:rPr>
        <w:t>aforesaid, deposited (with postage prepaid) in a post office or branch post office regularly maintained by the United States Postal Service.</w:t>
      </w:r>
    </w:p>
    <w:p>
      <w:pPr>
        <w:spacing w:after="0" w:line="209" w:lineRule="exact"/>
        <w:rPr>
          <w:sz w:val="20"/>
          <w:szCs w:val="20"/>
          <w:color w:val="auto"/>
        </w:rPr>
      </w:pPr>
    </w:p>
    <w:p>
      <w:pPr>
        <w:ind w:right="100" w:firstLine="1297"/>
        <w:spacing w:after="0" w:line="269" w:lineRule="auto"/>
        <w:rPr>
          <w:sz w:val="20"/>
          <w:szCs w:val="20"/>
          <w:color w:val="auto"/>
        </w:rPr>
      </w:pPr>
      <w:r>
        <w:rPr>
          <w:rFonts w:ascii="Arial" w:cs="Arial" w:eastAsia="Arial" w:hAnsi="Arial"/>
          <w:sz w:val="22"/>
          <w:szCs w:val="22"/>
          <w:b w:val="1"/>
          <w:bCs w:val="1"/>
          <w:u w:val="single" w:color="auto"/>
          <w:color w:val="auto"/>
        </w:rPr>
        <w:t>Section 4.</w:t>
      </w:r>
      <w:r>
        <w:rPr>
          <w:rFonts w:ascii="Arial" w:cs="Arial" w:eastAsia="Arial" w:hAnsi="Arial"/>
          <w:sz w:val="22"/>
          <w:szCs w:val="22"/>
          <w:b w:val="1"/>
          <w:bCs w:val="1"/>
          <w:color w:val="auto"/>
        </w:rPr>
        <w:t xml:space="preserve">5 Titles. </w:t>
      </w:r>
      <w:r>
        <w:rPr>
          <w:rFonts w:ascii="Arial" w:cs="Arial" w:eastAsia="Arial" w:hAnsi="Arial"/>
          <w:sz w:val="22"/>
          <w:szCs w:val="22"/>
          <w:color w:val="auto"/>
        </w:rPr>
        <w:t>Titles are provided herein for convenience only and are not to serve as a basis for 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construction of this Award Agreement.</w:t>
      </w:r>
    </w:p>
    <w:p>
      <w:pPr>
        <w:spacing w:after="0" w:line="203" w:lineRule="exact"/>
        <w:rPr>
          <w:sz w:val="20"/>
          <w:szCs w:val="20"/>
          <w:color w:val="auto"/>
        </w:rPr>
      </w:pPr>
    </w:p>
    <w:p>
      <w:pPr>
        <w:ind w:firstLine="1297"/>
        <w:spacing w:after="0" w:line="295" w:lineRule="auto"/>
        <w:rPr>
          <w:sz w:val="20"/>
          <w:szCs w:val="20"/>
          <w:color w:val="auto"/>
        </w:rPr>
      </w:pPr>
      <w:r>
        <w:rPr>
          <w:rFonts w:ascii="Arial" w:cs="Arial" w:eastAsia="Arial" w:hAnsi="Arial"/>
          <w:sz w:val="19"/>
          <w:szCs w:val="19"/>
          <w:b w:val="1"/>
          <w:bCs w:val="1"/>
          <w:u w:val="single" w:color="auto"/>
          <w:color w:val="auto"/>
        </w:rPr>
        <w:t>Section 4.6</w:t>
      </w:r>
      <w:r>
        <w:rPr>
          <w:rFonts w:ascii="Arial" w:cs="Arial" w:eastAsia="Arial" w:hAnsi="Arial"/>
          <w:sz w:val="19"/>
          <w:szCs w:val="19"/>
          <w:b w:val="1"/>
          <w:bCs w:val="1"/>
          <w:color w:val="auto"/>
        </w:rPr>
        <w:t xml:space="preserve"> Conformity to Securities Laws. </w:t>
      </w:r>
      <w:r>
        <w:rPr>
          <w:rFonts w:ascii="Arial" w:cs="Arial" w:eastAsia="Arial" w:hAnsi="Arial"/>
          <w:sz w:val="19"/>
          <w:szCs w:val="19"/>
          <w:color w:val="auto"/>
        </w:rPr>
        <w:t>This Award Agreement is intended to conform to the extent necessary</w:t>
      </w:r>
      <w:r>
        <w:rPr>
          <w:rFonts w:ascii="Arial" w:cs="Arial" w:eastAsia="Arial" w:hAnsi="Arial"/>
          <w:sz w:val="19"/>
          <w:szCs w:val="19"/>
          <w:b w:val="1"/>
          <w:bCs w:val="1"/>
          <w:color w:val="auto"/>
        </w:rPr>
        <w:t xml:space="preserve"> </w:t>
      </w:r>
      <w:r>
        <w:rPr>
          <w:rFonts w:ascii="Arial" w:cs="Arial" w:eastAsia="Arial" w:hAnsi="Arial"/>
          <w:sz w:val="19"/>
          <w:szCs w:val="19"/>
          <w:color w:val="auto"/>
        </w:rPr>
        <w:t>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185"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 xml:space="preserve"> Amendment. </w:t>
      </w:r>
      <w:r>
        <w:rPr>
          <w:rFonts w:ascii="Arial" w:cs="Arial" w:eastAsia="Arial" w:hAnsi="Arial"/>
          <w:sz w:val="22"/>
          <w:szCs w:val="22"/>
          <w:color w:val="auto"/>
        </w:rPr>
        <w:t>This Award Agreement may be amended only by a writing executed by the parties hereto</w:t>
      </w:r>
      <w:r>
        <w:rPr>
          <w:rFonts w:ascii="Arial" w:cs="Arial" w:eastAsia="Arial" w:hAnsi="Arial"/>
          <w:sz w:val="22"/>
          <w:szCs w:val="22"/>
          <w:b w:val="1"/>
          <w:bCs w:val="1"/>
          <w:color w:val="auto"/>
        </w:rPr>
        <w:t xml:space="preserve"> </w:t>
      </w:r>
      <w:r>
        <w:rPr>
          <w:rFonts w:ascii="Arial" w:cs="Arial" w:eastAsia="Arial" w:hAnsi="Arial"/>
          <w:sz w:val="22"/>
          <w:szCs w:val="22"/>
          <w:color w:val="auto"/>
        </w:rPr>
        <w:t>which specifically states that it is amending this Award Agreement.</w:t>
      </w:r>
    </w:p>
    <w:p>
      <w:pPr>
        <w:spacing w:after="0" w:line="203" w:lineRule="exact"/>
        <w:rPr>
          <w:sz w:val="20"/>
          <w:szCs w:val="20"/>
          <w:color w:val="auto"/>
        </w:rPr>
      </w:pPr>
    </w:p>
    <w:p>
      <w:pPr>
        <w:ind w:right="300" w:firstLine="1297"/>
        <w:spacing w:after="0" w:line="256" w:lineRule="auto"/>
        <w:rPr>
          <w:sz w:val="20"/>
          <w:szCs w:val="20"/>
          <w:color w:val="auto"/>
        </w:rPr>
      </w:pPr>
      <w:r>
        <w:rPr>
          <w:rFonts w:ascii="Arial" w:cs="Arial" w:eastAsia="Arial" w:hAnsi="Arial"/>
          <w:sz w:val="22"/>
          <w:szCs w:val="22"/>
          <w:b w:val="1"/>
          <w:bCs w:val="1"/>
          <w:u w:val="single" w:color="auto"/>
          <w:color w:val="auto"/>
        </w:rPr>
        <w:t>Section 4.8</w:t>
      </w:r>
      <w:r>
        <w:rPr>
          <w:rFonts w:ascii="Arial" w:cs="Arial" w:eastAsia="Arial" w:hAnsi="Arial"/>
          <w:sz w:val="22"/>
          <w:szCs w:val="22"/>
          <w:b w:val="1"/>
          <w:bCs w:val="1"/>
          <w:color w:val="auto"/>
        </w:rPr>
        <w:t xml:space="preserve"> Governing Law. </w:t>
      </w:r>
      <w:r>
        <w:rPr>
          <w:rFonts w:ascii="Arial" w:cs="Arial" w:eastAsia="Arial" w:hAnsi="Arial"/>
          <w:sz w:val="22"/>
          <w:szCs w:val="22"/>
          <w:color w:val="auto"/>
        </w:rPr>
        <w:t>The laws of the State of Delaware shall govern the interpretation,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enforcement and performance of the terms of this Award Agreement regardless of the law that might be applied under principles of conflicts of laws.</w:t>
      </w:r>
    </w:p>
    <w:p>
      <w:pPr>
        <w:spacing w:after="0" w:line="37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397"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IN WITNESS HEREOF</w:t>
      </w:r>
      <w:r>
        <w:rPr>
          <w:rFonts w:ascii="Arial" w:cs="Arial" w:eastAsia="Arial" w:hAnsi="Arial"/>
          <w:sz w:val="22"/>
          <w:szCs w:val="22"/>
          <w:color w:val="auto"/>
        </w:rPr>
        <w:t>, this Award Agreement has been executed and delivered by the parties hereto.</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520" w:type="dxa"/>
            <w:vAlign w:val="bottom"/>
          </w:tcPr>
          <w:p>
            <w:pPr>
              <w:spacing w:after="0"/>
              <w:rPr>
                <w:sz w:val="20"/>
                <w:szCs w:val="20"/>
                <w:color w:val="auto"/>
              </w:rPr>
            </w:pPr>
            <w:r>
              <w:rPr>
                <w:rFonts w:ascii="Arial" w:cs="Arial" w:eastAsia="Arial" w:hAnsi="Arial"/>
                <w:sz w:val="22"/>
                <w:szCs w:val="22"/>
                <w:color w:val="auto"/>
              </w:rPr>
              <w:t>THE PARTICIPANT</w:t>
            </w:r>
          </w:p>
        </w:tc>
        <w:tc>
          <w:tcPr>
            <w:tcW w:w="5900" w:type="dxa"/>
            <w:vAlign w:val="bottom"/>
          </w:tcPr>
          <w:p>
            <w:pPr>
              <w:ind w:left="2260"/>
              <w:spacing w:after="0"/>
              <w:rPr>
                <w:sz w:val="20"/>
                <w:szCs w:val="20"/>
                <w:color w:val="auto"/>
              </w:rPr>
            </w:pPr>
            <w:r>
              <w:rPr>
                <w:rFonts w:ascii="Arial" w:cs="Arial" w:eastAsia="Arial" w:hAnsi="Arial"/>
                <w:sz w:val="22"/>
                <w:szCs w:val="22"/>
                <w:color w:val="auto"/>
                <w:w w:val="94"/>
              </w:rPr>
              <w:t>INTEGRA LIFESCIENCES HOLDINGS</w:t>
            </w:r>
          </w:p>
        </w:tc>
        <w:tc>
          <w:tcPr>
            <w:tcW w:w="0" w:type="dxa"/>
            <w:vAlign w:val="bottom"/>
          </w:tcPr>
          <w:p>
            <w:pPr>
              <w:spacing w:after="0"/>
              <w:rPr>
                <w:sz w:val="1"/>
                <w:szCs w:val="1"/>
                <w:color w:val="auto"/>
              </w:rPr>
            </w:pPr>
          </w:p>
        </w:tc>
      </w:tr>
      <w:tr>
        <w:trPr>
          <w:trHeight w:val="275"/>
        </w:trPr>
        <w:tc>
          <w:tcPr>
            <w:tcW w:w="4520" w:type="dxa"/>
            <w:vAlign w:val="bottom"/>
          </w:tcPr>
          <w:p>
            <w:pPr>
              <w:spacing w:after="0"/>
              <w:rPr>
                <w:sz w:val="23"/>
                <w:szCs w:val="23"/>
                <w:color w:val="auto"/>
              </w:rPr>
            </w:pPr>
          </w:p>
        </w:tc>
        <w:tc>
          <w:tcPr>
            <w:tcW w:w="5900" w:type="dxa"/>
            <w:vAlign w:val="bottom"/>
          </w:tcPr>
          <w:p>
            <w:pPr>
              <w:ind w:left="2260"/>
              <w:spacing w:after="0"/>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440"/>
        </w:trPr>
        <w:tc>
          <w:tcPr>
            <w:tcW w:w="4520" w:type="dxa"/>
            <w:vAlign w:val="bottom"/>
          </w:tcPr>
          <w:p>
            <w:pPr>
              <w:spacing w:after="0"/>
              <w:rPr>
                <w:sz w:val="20"/>
                <w:szCs w:val="20"/>
                <w:color w:val="auto"/>
              </w:rPr>
            </w:pPr>
            <w:r>
              <w:rPr>
                <w:rFonts w:ascii="Arial" w:cs="Arial" w:eastAsia="Arial" w:hAnsi="Arial"/>
                <w:sz w:val="20"/>
                <w:szCs w:val="20"/>
                <w:color w:val="auto"/>
              </w:rPr>
              <w:t>_______________________</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5900" w:type="dxa"/>
            <w:vAlign w:val="bottom"/>
            <w:vMerge w:val="restart"/>
          </w:tcPr>
          <w:p>
            <w:pPr>
              <w:ind w:left="2260"/>
              <w:spacing w:after="0"/>
              <w:rPr>
                <w:sz w:val="20"/>
                <w:szCs w:val="20"/>
                <w:color w:val="auto"/>
              </w:rPr>
            </w:pPr>
            <w:r>
              <w:rPr>
                <w:rFonts w:ascii="Arial" w:cs="Arial" w:eastAsia="Arial" w:hAnsi="Arial"/>
                <w:sz w:val="20"/>
                <w:szCs w:val="20"/>
                <w:color w:val="auto"/>
              </w:rPr>
              <w:t>By: _______________________</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5900" w:type="dxa"/>
            <w:vAlign w:val="bottom"/>
          </w:tcPr>
          <w:p>
            <w:pPr>
              <w:ind w:left="2260"/>
              <w:spacing w:after="0"/>
              <w:rPr>
                <w:sz w:val="20"/>
                <w:szCs w:val="20"/>
                <w:color w:val="auto"/>
              </w:rPr>
            </w:pPr>
            <w:r>
              <w:rPr>
                <w:rFonts w:ascii="Arial" w:cs="Arial" w:eastAsia="Arial" w:hAnsi="Arial"/>
                <w:sz w:val="20"/>
                <w:szCs w:val="20"/>
                <w:color w:val="auto"/>
              </w:rPr>
              <w:t>Name:</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5900" w:type="dxa"/>
            <w:vAlign w:val="bottom"/>
          </w:tcPr>
          <w:p>
            <w:pPr>
              <w:ind w:left="226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0"/>
                <w:szCs w:val="20"/>
                <w:color w:val="auto"/>
              </w:rPr>
            </w:pPr>
            <w:r>
              <w:rPr>
                <w:rFonts w:ascii="Arial" w:cs="Arial" w:eastAsia="Arial" w:hAnsi="Arial"/>
                <w:sz w:val="20"/>
                <w:szCs w:val="20"/>
                <w:color w:val="auto"/>
              </w:rPr>
              <w:t>_______________________</w:t>
            </w:r>
          </w:p>
        </w:tc>
        <w:tc>
          <w:tcPr>
            <w:tcW w:w="5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0"/>
                <w:szCs w:val="20"/>
                <w:color w:val="auto"/>
              </w:rPr>
            </w:pPr>
            <w:r>
              <w:rPr>
                <w:rFonts w:ascii="Arial" w:cs="Arial" w:eastAsia="Arial" w:hAnsi="Arial"/>
                <w:sz w:val="20"/>
                <w:szCs w:val="20"/>
                <w:color w:val="auto"/>
              </w:rPr>
              <w:t>Address</w:t>
            </w:r>
          </w:p>
        </w:tc>
        <w:tc>
          <w:tcPr>
            <w:tcW w:w="5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591" w:right="339" w:bottom="1440" w:gutter="0" w:footer="0" w:header="0"/>
        </w:sectPr>
      </w:pPr>
    </w:p>
    <w:bookmarkStart w:id="114" w:name="page115"/>
    <w:bookmarkEnd w:id="114"/>
    <w:p>
      <w:pPr>
        <w:jc w:val="center"/>
        <w:ind w:right="8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6800850" cy="2795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0850" cy="2795905"/>
                    </a:xfrm>
                    <a:prstGeom prst="rect">
                      <a:avLst/>
                    </a:prstGeom>
                    <a:noFill/>
                  </pic:spPr>
                </pic:pic>
              </a:graphicData>
            </a:graphic>
          </wp:anchor>
        </w:drawing>
        <w:t>EXHIBIT A</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CONSENT OF SPOUSE</w:t>
      </w:r>
    </w:p>
    <w:p>
      <w:pPr>
        <w:spacing w:after="0" w:line="200" w:lineRule="exact"/>
        <w:rPr>
          <w:sz w:val="20"/>
          <w:szCs w:val="20"/>
          <w:color w:val="auto"/>
        </w:rPr>
      </w:pPr>
    </w:p>
    <w:p>
      <w:pPr>
        <w:spacing w:after="0" w:line="296" w:lineRule="exact"/>
        <w:rPr>
          <w:sz w:val="20"/>
          <w:szCs w:val="20"/>
          <w:color w:val="auto"/>
        </w:rPr>
      </w:pPr>
    </w:p>
    <w:p>
      <w:pPr>
        <w:ind w:left="400"/>
        <w:spacing w:after="0"/>
        <w:rPr>
          <w:sz w:val="20"/>
          <w:szCs w:val="20"/>
          <w:color w:val="auto"/>
        </w:rPr>
      </w:pPr>
      <w:r>
        <w:rPr>
          <w:rFonts w:ascii="Arial" w:cs="Arial" w:eastAsia="Arial" w:hAnsi="Arial"/>
          <w:sz w:val="19"/>
          <w:szCs w:val="19"/>
          <w:color w:val="auto"/>
        </w:rPr>
        <w:t>I, ____________________, spouse of _________________, have read and approve the foregoing Award Agreement.</w:t>
      </w:r>
    </w:p>
    <w:p>
      <w:pPr>
        <w:spacing w:after="0" w:line="4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consideration of granting of the right to my spouse to 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 ______</w:t>
      </w:r>
    </w:p>
    <w:p>
      <w:pPr>
        <w:ind w:left="6120"/>
        <w:spacing w:after="0" w:line="230" w:lineRule="auto"/>
        <w:rPr>
          <w:sz w:val="20"/>
          <w:szCs w:val="20"/>
          <w:color w:val="auto"/>
        </w:rPr>
      </w:pPr>
      <w:r>
        <w:rPr>
          <w:rFonts w:ascii="Arial" w:cs="Arial" w:eastAsia="Arial" w:hAnsi="Arial"/>
          <w:sz w:val="22"/>
          <w:szCs w:val="22"/>
          <w:color w:val="auto"/>
        </w:rPr>
        <w:t>_____________________</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0640"/>
          </w:cols>
          <w:pgMar w:left="280" w:top="747" w:right="97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10.38 (h)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RESTRICTED STOCK AGREEMENT </w:t>
      </w:r>
      <w:r>
        <w:rPr>
          <w:rFonts w:ascii="Arial" w:cs="Arial" w:eastAsia="Arial" w:hAnsi="Arial"/>
          <w:sz w:val="21"/>
          <w:szCs w:val="21"/>
          <w:color w:val="auto"/>
        </w:rPr>
        <w:t>(the “Award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dated as of ______________ (the “Award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Date”), is made by and between Integra LifeSciences Holdings Corporation</w:t>
      </w:r>
      <w:r>
        <w:rPr>
          <w:rFonts w:ascii="Arial" w:cs="Arial" w:eastAsia="Arial" w:hAnsi="Arial"/>
          <w:sz w:val="21"/>
          <w:szCs w:val="21"/>
          <w:b w:val="1"/>
          <w:bCs w:val="1"/>
          <w:color w:val="auto"/>
        </w:rPr>
        <w:t>,</w:t>
      </w:r>
      <w:r>
        <w:rPr>
          <w:rFonts w:ascii="Arial" w:cs="Arial" w:eastAsia="Arial" w:hAnsi="Arial"/>
          <w:sz w:val="21"/>
          <w:szCs w:val="21"/>
          <w:color w:val="auto"/>
        </w:rPr>
        <w:t xml:space="preserve"> a Delaware corporation (the “Company”), and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_____________ an employee of the Company, (or one or more of its Related Corporations or Affiliates) hereinafter referred to as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the “Participant”:</w:t>
      </w:r>
    </w:p>
    <w:p>
      <w:pPr>
        <w:spacing w:after="0" w:line="214" w:lineRule="exact"/>
        <w:rPr>
          <w:sz w:val="20"/>
          <w:szCs w:val="20"/>
          <w:color w:val="auto"/>
        </w:rPr>
      </w:pPr>
    </w:p>
    <w:p>
      <w:pPr>
        <w:ind w:right="100"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Integra LifeSciences Holdings Corporation</w:t>
      </w:r>
      <w:r>
        <w:rPr>
          <w:rFonts w:ascii="Arial" w:cs="Arial" w:eastAsia="Arial" w:hAnsi="Arial"/>
          <w:sz w:val="22"/>
          <w:szCs w:val="22"/>
          <w:b w:val="1"/>
          <w:bCs w:val="1"/>
          <w:color w:val="auto"/>
        </w:rPr>
        <w:t xml:space="preserve"> [2003] or [2001] </w:t>
      </w:r>
      <w:r>
        <w:rPr>
          <w:rFonts w:ascii="Arial" w:cs="Arial" w:eastAsia="Arial" w:hAnsi="Arial"/>
          <w:sz w:val="22"/>
          <w:szCs w:val="22"/>
          <w:color w:val="auto"/>
        </w:rPr>
        <w:t>Equity 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Plan, as amended (the “Plan”), and wishes to carry out the Plan, the terms of which are hereby incorporated by reference and made part of this Award Agreement; and</w:t>
      </w:r>
    </w:p>
    <w:p>
      <w:pPr>
        <w:spacing w:after="0" w:line="70" w:lineRule="exact"/>
        <w:rPr>
          <w:sz w:val="20"/>
          <w:szCs w:val="20"/>
          <w:color w:val="auto"/>
        </w:rPr>
      </w:pPr>
    </w:p>
    <w:p>
      <w:pPr>
        <w:ind w:right="620" w:firstLine="648"/>
        <w:spacing w:after="0" w:line="308"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various covenants herein contained, and intending to be legally bound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the parties hereto agree as follows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42"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Capitalized terms not otherwise defined below shall have the meaning set forth in the Plan. The masculine pronoun shall include the feminine and neuter, and the singular the plural, where the context so indicates.</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9"/>
          <w:szCs w:val="19"/>
          <w:b w:val="1"/>
          <w:bCs w:val="1"/>
          <w:u w:val="single" w:color="auto"/>
          <w:color w:val="auto"/>
        </w:rPr>
        <w:t>Section 1.1</w:t>
      </w:r>
      <w:r>
        <w:rPr>
          <w:rFonts w:ascii="Arial" w:cs="Arial" w:eastAsia="Arial" w:hAnsi="Arial"/>
          <w:sz w:val="19"/>
          <w:szCs w:val="19"/>
          <w:b w:val="1"/>
          <w:bCs w:val="1"/>
          <w:color w:val="auto"/>
        </w:rPr>
        <w:t xml:space="preserve"> Restricted Stock</w:t>
      </w:r>
      <w:r>
        <w:rPr>
          <w:rFonts w:ascii="Arial" w:cs="Arial" w:eastAsia="Arial" w:hAnsi="Arial"/>
          <w:sz w:val="19"/>
          <w:szCs w:val="19"/>
          <w:color w:val="auto"/>
        </w:rPr>
        <w:t>. “Restricted Stock” shall mean _____ shares of Common Stock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issued under this Award Agreement and subject to the Restrictions imposed hereunder.</w:t>
      </w:r>
    </w:p>
    <w:p>
      <w:pPr>
        <w:spacing w:after="0" w:line="236" w:lineRule="exact"/>
        <w:rPr>
          <w:sz w:val="20"/>
          <w:szCs w:val="20"/>
          <w:color w:val="auto"/>
        </w:rPr>
      </w:pPr>
    </w:p>
    <w:p>
      <w:pPr>
        <w:ind w:right="360" w:firstLine="1297"/>
        <w:spacing w:after="0" w:line="254" w:lineRule="auto"/>
        <w:rPr>
          <w:sz w:val="20"/>
          <w:szCs w:val="20"/>
          <w:color w:val="auto"/>
        </w:rPr>
      </w:pPr>
      <w:r>
        <w:rPr>
          <w:rFonts w:ascii="Arial" w:cs="Arial" w:eastAsia="Arial" w:hAnsi="Arial"/>
          <w:sz w:val="22"/>
          <w:szCs w:val="22"/>
          <w:b w:val="1"/>
          <w:bCs w:val="1"/>
          <w:u w:val="single" w:color="auto"/>
          <w:color w:val="auto"/>
        </w:rPr>
        <w:t>Section 1.2</w:t>
      </w:r>
      <w:r>
        <w:rPr>
          <w:rFonts w:ascii="Arial" w:cs="Arial" w:eastAsia="Arial" w:hAnsi="Arial"/>
          <w:sz w:val="22"/>
          <w:szCs w:val="22"/>
          <w:b w:val="1"/>
          <w:bCs w:val="1"/>
          <w:color w:val="auto"/>
        </w:rPr>
        <w:t xml:space="preserve"> Restrictions. “</w:t>
      </w:r>
      <w:r>
        <w:rPr>
          <w:rFonts w:ascii="Arial" w:cs="Arial" w:eastAsia="Arial" w:hAnsi="Arial"/>
          <w:sz w:val="22"/>
          <w:szCs w:val="22"/>
          <w:color w:val="auto"/>
        </w:rPr>
        <w:t>Restrictions” shall mean the forfeiture and transferability restrictions imposed upon</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under the Plan and this Award Agreement.</w:t>
      </w:r>
    </w:p>
    <w:p>
      <w:pPr>
        <w:spacing w:after="0" w:line="2" w:lineRule="exact"/>
        <w:rPr>
          <w:sz w:val="20"/>
          <w:szCs w:val="20"/>
          <w:color w:val="auto"/>
        </w:rPr>
      </w:pPr>
    </w:p>
    <w:p>
      <w:pPr>
        <w:ind w:right="420" w:firstLine="1297"/>
        <w:spacing w:after="0" w:line="246" w:lineRule="auto"/>
        <w:rPr>
          <w:sz w:val="20"/>
          <w:szCs w:val="20"/>
          <w:color w:val="auto"/>
        </w:rPr>
      </w:pPr>
      <w:r>
        <w:rPr>
          <w:rFonts w:ascii="Arial" w:cs="Arial" w:eastAsia="Arial" w:hAnsi="Arial"/>
          <w:sz w:val="22"/>
          <w:szCs w:val="22"/>
          <w:b w:val="1"/>
          <w:bCs w:val="1"/>
          <w:u w:val="single" w:color="auto"/>
          <w:color w:val="auto"/>
        </w:rPr>
        <w:t>Section 1.3</w:t>
      </w:r>
      <w:r>
        <w:rPr>
          <w:rFonts w:ascii="Arial" w:cs="Arial" w:eastAsia="Arial" w:hAnsi="Arial"/>
          <w:sz w:val="22"/>
          <w:szCs w:val="22"/>
          <w:b w:val="1"/>
          <w:bCs w:val="1"/>
          <w:color w:val="auto"/>
        </w:rPr>
        <w:t xml:space="preserve"> Rule 16b-3. “</w:t>
      </w:r>
      <w:r>
        <w:rPr>
          <w:rFonts w:ascii="Arial" w:cs="Arial" w:eastAsia="Arial" w:hAnsi="Arial"/>
          <w:sz w:val="22"/>
          <w:szCs w:val="22"/>
          <w:color w:val="auto"/>
        </w:rPr>
        <w:t>Rule 16b-3” shall mean that certain Rule 16b-3 under the Exchange Act, as such Rule</w:t>
      </w:r>
      <w:r>
        <w:rPr>
          <w:rFonts w:ascii="Arial" w:cs="Arial" w:eastAsia="Arial" w:hAnsi="Arial"/>
          <w:sz w:val="22"/>
          <w:szCs w:val="22"/>
          <w:b w:val="1"/>
          <w:bCs w:val="1"/>
          <w:color w:val="auto"/>
        </w:rPr>
        <w:t xml:space="preserve"> </w:t>
      </w:r>
      <w:r>
        <w:rPr>
          <w:rFonts w:ascii="Arial" w:cs="Arial" w:eastAsia="Arial" w:hAnsi="Arial"/>
          <w:sz w:val="22"/>
          <w:szCs w:val="22"/>
          <w:color w:val="auto"/>
        </w:rPr>
        <w:t>may be amended from time to time.</w:t>
      </w:r>
    </w:p>
    <w:p>
      <w:pPr>
        <w:spacing w:after="0" w:line="227"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b w:val="1"/>
          <w:bCs w:val="1"/>
          <w:u w:val="single" w:color="auto"/>
          <w:color w:val="auto"/>
        </w:rPr>
        <w:t>Section 1.4</w:t>
      </w:r>
      <w:r>
        <w:rPr>
          <w:sz w:val="20"/>
          <w:szCs w:val="20"/>
          <w:color w:val="auto"/>
        </w:rPr>
        <w:tab/>
      </w:r>
      <w:r>
        <w:rPr>
          <w:rFonts w:ascii="Arial" w:cs="Arial" w:eastAsia="Arial" w:hAnsi="Arial"/>
          <w:sz w:val="19"/>
          <w:szCs w:val="19"/>
          <w:b w:val="1"/>
          <w:bCs w:val="1"/>
          <w:color w:val="auto"/>
        </w:rPr>
        <w:t xml:space="preserve">Secretary. </w:t>
      </w:r>
      <w:r>
        <w:rPr>
          <w:rFonts w:ascii="Arial" w:cs="Arial" w:eastAsia="Arial" w:hAnsi="Arial"/>
          <w:sz w:val="19"/>
          <w:szCs w:val="19"/>
          <w:color w:val="auto"/>
        </w:rPr>
        <w:t>“Secretary” shall mean the Secretary of the Company.</w:t>
      </w:r>
    </w:p>
    <w:p>
      <w:pPr>
        <w:spacing w:after="0" w:line="260" w:lineRule="exact"/>
        <w:rPr>
          <w:sz w:val="20"/>
          <w:szCs w:val="20"/>
          <w:color w:val="auto"/>
        </w:rPr>
      </w:pPr>
    </w:p>
    <w:p>
      <w:pPr>
        <w:ind w:right="100" w:firstLine="1297"/>
        <w:spacing w:after="0" w:line="298" w:lineRule="auto"/>
        <w:rPr>
          <w:sz w:val="20"/>
          <w:szCs w:val="20"/>
          <w:color w:val="auto"/>
        </w:rPr>
      </w:pPr>
      <w:r>
        <w:rPr>
          <w:rFonts w:ascii="Arial" w:cs="Arial" w:eastAsia="Arial" w:hAnsi="Arial"/>
          <w:sz w:val="19"/>
          <w:szCs w:val="19"/>
          <w:b w:val="1"/>
          <w:bCs w:val="1"/>
          <w:u w:val="single" w:color="auto"/>
          <w:color w:val="auto"/>
        </w:rPr>
        <w:t>Section 1.5</w:t>
      </w:r>
      <w:r>
        <w:rPr>
          <w:rFonts w:ascii="Arial" w:cs="Arial" w:eastAsia="Arial" w:hAnsi="Arial"/>
          <w:sz w:val="19"/>
          <w:szCs w:val="19"/>
          <w:b w:val="1"/>
          <w:bCs w:val="1"/>
          <w:color w:val="auto"/>
        </w:rPr>
        <w:t xml:space="preserve"> Termination of Service. </w:t>
      </w:r>
      <w:r>
        <w:rPr>
          <w:rFonts w:ascii="Arial" w:cs="Arial" w:eastAsia="Arial" w:hAnsi="Arial"/>
          <w:sz w:val="19"/>
          <w:szCs w:val="19"/>
          <w:color w:val="auto"/>
        </w:rPr>
        <w:t>“Termination of Service” shall mean the time when the Participant ceases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services to the 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183"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b w:val="1"/>
          <w:bCs w:val="1"/>
          <w:u w:val="single" w:color="auto"/>
          <w:color w:val="auto"/>
        </w:rPr>
        <w:t>Section 1.6</w:t>
      </w:r>
      <w:r>
        <w:rPr>
          <w:rFonts w:ascii="Arial" w:cs="Arial" w:eastAsia="Arial" w:hAnsi="Arial"/>
          <w:sz w:val="22"/>
          <w:szCs w:val="22"/>
          <w:b w:val="1"/>
          <w:bCs w:val="1"/>
          <w:color w:val="auto"/>
        </w:rPr>
        <w:t xml:space="preserve"> Vested Shares. </w:t>
      </w:r>
      <w:r>
        <w:rPr>
          <w:rFonts w:ascii="Arial" w:cs="Arial" w:eastAsia="Arial" w:hAnsi="Arial"/>
          <w:sz w:val="22"/>
          <w:szCs w:val="22"/>
          <w:color w:val="auto"/>
        </w:rPr>
        <w:t>“Vested Shares” shall mean the shares of Restricted Stock which are no longer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Restrictions by reason of Section 3.2.</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b w:val="1"/>
          <w:bCs w:val="1"/>
          <w:u w:val="single" w:color="auto"/>
          <w:color w:val="auto"/>
        </w:rPr>
        <w:t>Section 1.7</w:t>
      </w:r>
      <w:r>
        <w:rPr>
          <w:rFonts w:ascii="Arial" w:cs="Arial" w:eastAsia="Arial" w:hAnsi="Arial"/>
          <w:sz w:val="22"/>
          <w:szCs w:val="22"/>
          <w:b w:val="1"/>
          <w:bCs w:val="1"/>
          <w:color w:val="auto"/>
        </w:rPr>
        <w:t xml:space="preserve"> Vesting Date. </w:t>
      </w:r>
      <w:r>
        <w:rPr>
          <w:rFonts w:ascii="Arial" w:cs="Arial" w:eastAsia="Arial" w:hAnsi="Arial"/>
          <w:sz w:val="22"/>
          <w:szCs w:val="22"/>
          <w:color w:val="auto"/>
        </w:rPr>
        <w:t>“Vesting Date” shall mean the three-year anniversary of the Award Date.</w:t>
      </w:r>
    </w:p>
    <w:p>
      <w:pPr>
        <w:sectPr>
          <w:pgSz w:w="11900" w:h="16838" w:orient="portrait"/>
          <w:cols w:equalWidth="0" w:num="1">
            <w:col w:w="11420"/>
          </w:cols>
          <w:pgMar w:left="240" w:top="603"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ISSUANCE OF RESTRICTED STOCK</w:t>
      </w:r>
    </w:p>
    <w:p>
      <w:pPr>
        <w:spacing w:after="0" w:line="236" w:lineRule="exact"/>
        <w:rPr>
          <w:sz w:val="20"/>
          <w:szCs w:val="20"/>
          <w:color w:val="auto"/>
        </w:rPr>
      </w:pPr>
    </w:p>
    <w:p>
      <w:pPr>
        <w:ind w:right="100" w:firstLine="1297"/>
        <w:spacing w:after="0" w:line="262" w:lineRule="auto"/>
        <w:rPr>
          <w:sz w:val="20"/>
          <w:szCs w:val="20"/>
          <w:color w:val="auto"/>
        </w:rPr>
      </w:pPr>
      <w:r>
        <w:rPr>
          <w:rFonts w:ascii="Arial" w:cs="Arial" w:eastAsia="Arial" w:hAnsi="Arial"/>
          <w:sz w:val="21"/>
          <w:szCs w:val="21"/>
          <w:b w:val="1"/>
          <w:bCs w:val="1"/>
          <w:u w:val="single" w:color="auto"/>
          <w:color w:val="auto"/>
        </w:rPr>
        <w:t>Section 2.1</w:t>
      </w:r>
      <w:r>
        <w:rPr>
          <w:rFonts w:ascii="Arial" w:cs="Arial" w:eastAsia="Arial" w:hAnsi="Arial"/>
          <w:sz w:val="21"/>
          <w:szCs w:val="21"/>
          <w:b w:val="1"/>
          <w:bCs w:val="1"/>
          <w:color w:val="auto"/>
        </w:rPr>
        <w:t xml:space="preserve"> Issuance of Restricted Stock. </w:t>
      </w:r>
      <w:r>
        <w:rPr>
          <w:rFonts w:ascii="Arial" w:cs="Arial" w:eastAsia="Arial" w:hAnsi="Arial"/>
          <w:sz w:val="21"/>
          <w:szCs w:val="21"/>
          <w:color w:val="auto"/>
        </w:rPr>
        <w:t>On the date hereof the Company issues to the Participant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Stock subject to the 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214" w:lineRule="exact"/>
        <w:rPr>
          <w:sz w:val="20"/>
          <w:szCs w:val="20"/>
          <w:color w:val="auto"/>
        </w:rPr>
      </w:pPr>
    </w:p>
    <w:p>
      <w:pPr>
        <w:ind w:right="180" w:firstLine="1297"/>
        <w:spacing w:after="0" w:line="350" w:lineRule="auto"/>
        <w:rPr>
          <w:sz w:val="20"/>
          <w:szCs w:val="20"/>
          <w:color w:val="auto"/>
        </w:rPr>
      </w:pPr>
      <w:r>
        <w:rPr>
          <w:rFonts w:ascii="Arial" w:cs="Arial" w:eastAsia="Arial" w:hAnsi="Arial"/>
          <w:sz w:val="19"/>
          <w:szCs w:val="19"/>
          <w:b w:val="1"/>
          <w:bCs w:val="1"/>
          <w:color w:val="auto"/>
        </w:rPr>
        <w:t xml:space="preserve">Section 2.2 Restrictions. </w:t>
      </w:r>
      <w:r>
        <w:rPr>
          <w:rFonts w:ascii="Arial" w:cs="Arial" w:eastAsia="Arial" w:hAnsi="Arial"/>
          <w:sz w:val="19"/>
          <w:szCs w:val="19"/>
          <w:color w:val="auto"/>
        </w:rPr>
        <w:t>Until vested pursuant to Section 3.2, the Restricted Stock shall be subject to forfeiture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Section 3.1 and may not be sold, assigned, transferred, pledged, or otherwise encumbered or disposed of.</w:t>
      </w:r>
    </w:p>
    <w:p>
      <w:pPr>
        <w:spacing w:after="0" w:line="146" w:lineRule="exact"/>
        <w:rPr>
          <w:sz w:val="20"/>
          <w:szCs w:val="20"/>
          <w:color w:val="auto"/>
        </w:rPr>
      </w:pPr>
    </w:p>
    <w:p>
      <w:pPr>
        <w:ind w:right="160" w:firstLine="1297"/>
        <w:spacing w:after="0" w:line="360" w:lineRule="auto"/>
        <w:rPr>
          <w:sz w:val="20"/>
          <w:szCs w:val="20"/>
          <w:color w:val="auto"/>
        </w:rPr>
      </w:pPr>
      <w:r>
        <w:rPr>
          <w:rFonts w:ascii="Arial" w:cs="Arial" w:eastAsia="Arial" w:hAnsi="Arial"/>
          <w:sz w:val="19"/>
          <w:szCs w:val="19"/>
          <w:b w:val="1"/>
          <w:bCs w:val="1"/>
          <w:u w:val="single" w:color="auto"/>
          <w:color w:val="auto"/>
        </w:rPr>
        <w:t>Section 2.3</w:t>
      </w:r>
      <w:r>
        <w:rPr>
          <w:rFonts w:ascii="Arial" w:cs="Arial" w:eastAsia="Arial" w:hAnsi="Arial"/>
          <w:sz w:val="19"/>
          <w:szCs w:val="19"/>
          <w:b w:val="1"/>
          <w:bCs w:val="1"/>
          <w:color w:val="auto"/>
        </w:rPr>
        <w:t xml:space="preserve"> Voting and Dividend Rights. </w:t>
      </w:r>
      <w:r>
        <w:rPr>
          <w:rFonts w:ascii="Arial" w:cs="Arial" w:eastAsia="Arial" w:hAnsi="Arial"/>
          <w:sz w:val="19"/>
          <w:szCs w:val="19"/>
          <w:color w:val="auto"/>
        </w:rPr>
        <w:t>The Participant, shall have all the rights of a stockholder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his Restricted Stock, including the right to vote the Restricted Stock, except that the Participant shall have the right to receive all dividends or other distributions paid or made with respect to only those outstanding vested shares of Common Stock.</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RESTRICTIONS</w:t>
      </w:r>
    </w:p>
    <w:p>
      <w:pPr>
        <w:spacing w:after="0" w:line="250" w:lineRule="exact"/>
        <w:rPr>
          <w:sz w:val="20"/>
          <w:szCs w:val="20"/>
          <w:color w:val="auto"/>
        </w:rPr>
      </w:pPr>
    </w:p>
    <w:p>
      <w:pPr>
        <w:ind w:right="180" w:firstLine="1297"/>
        <w:spacing w:after="0" w:line="304" w:lineRule="auto"/>
        <w:rPr>
          <w:sz w:val="20"/>
          <w:szCs w:val="20"/>
          <w:color w:val="auto"/>
        </w:rPr>
      </w:pPr>
      <w:r>
        <w:rPr>
          <w:rFonts w:ascii="Arial" w:cs="Arial" w:eastAsia="Arial" w:hAnsi="Arial"/>
          <w:sz w:val="21"/>
          <w:szCs w:val="21"/>
          <w:b w:val="1"/>
          <w:bCs w:val="1"/>
          <w:u w:val="single" w:color="auto"/>
          <w:color w:val="auto"/>
        </w:rPr>
        <w:t>Section 3.1</w:t>
      </w:r>
      <w:r>
        <w:rPr>
          <w:rFonts w:ascii="Arial" w:cs="Arial" w:eastAsia="Arial" w:hAnsi="Arial"/>
          <w:sz w:val="21"/>
          <w:szCs w:val="21"/>
          <w:b w:val="1"/>
          <w:bCs w:val="1"/>
          <w:color w:val="auto"/>
        </w:rPr>
        <w:t xml:space="preserve"> Forfeiture. </w:t>
      </w:r>
      <w:r>
        <w:rPr>
          <w:rFonts w:ascii="Arial" w:cs="Arial" w:eastAsia="Arial" w:hAnsi="Arial"/>
          <w:sz w:val="21"/>
          <w:szCs w:val="21"/>
          <w:color w:val="auto"/>
        </w:rPr>
        <w:t>Upon the Participant’s Termination of Service other than by (i) death or Disability or (ii) a</w:t>
      </w:r>
      <w:r>
        <w:rPr>
          <w:rFonts w:ascii="Arial" w:cs="Arial" w:eastAsia="Arial" w:hAnsi="Arial"/>
          <w:sz w:val="21"/>
          <w:szCs w:val="21"/>
          <w:b w:val="1"/>
          <w:bCs w:val="1"/>
          <w:color w:val="auto"/>
        </w:rPr>
        <w:t xml:space="preserve"> </w:t>
      </w:r>
      <w:r>
        <w:rPr>
          <w:rFonts w:ascii="Arial" w:cs="Arial" w:eastAsia="Arial" w:hAnsi="Arial"/>
          <w:sz w:val="21"/>
          <w:szCs w:val="21"/>
          <w:color w:val="auto"/>
        </w:rPr>
        <w:t>Qualifying Termination upon a Change in Control as further described in Section 3.2, the Participant’s rights in Restricted 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132" w:lineRule="exact"/>
        <w:rPr>
          <w:sz w:val="20"/>
          <w:szCs w:val="20"/>
          <w:color w:val="auto"/>
        </w:rPr>
      </w:pPr>
    </w:p>
    <w:p>
      <w:pPr>
        <w:ind w:right="140" w:firstLine="1297"/>
        <w:spacing w:after="0" w:line="328" w:lineRule="auto"/>
        <w:rPr>
          <w:sz w:val="20"/>
          <w:szCs w:val="20"/>
          <w:color w:val="auto"/>
        </w:rPr>
      </w:pPr>
      <w:r>
        <w:rPr>
          <w:rFonts w:ascii="Arial" w:cs="Arial" w:eastAsia="Arial" w:hAnsi="Arial"/>
          <w:sz w:val="19"/>
          <w:szCs w:val="19"/>
          <w:b w:val="1"/>
          <w:bCs w:val="1"/>
          <w:u w:val="single" w:color="auto"/>
          <w:color w:val="auto"/>
        </w:rPr>
        <w:t>Section 3.2</w:t>
      </w:r>
      <w:r>
        <w:rPr>
          <w:rFonts w:ascii="Arial" w:cs="Arial" w:eastAsia="Arial" w:hAnsi="Arial"/>
          <w:sz w:val="19"/>
          <w:szCs w:val="19"/>
          <w:b w:val="1"/>
          <w:bCs w:val="1"/>
          <w:color w:val="auto"/>
        </w:rPr>
        <w:t xml:space="preserve"> Termination of Restrictions. </w:t>
      </w:r>
      <w:r>
        <w:rPr>
          <w:rFonts w:ascii="Arial" w:cs="Arial" w:eastAsia="Arial" w:hAnsi="Arial"/>
          <w:sz w:val="19"/>
          <w:szCs w:val="19"/>
          <w:color w:val="auto"/>
        </w:rPr>
        <w:t>The Restrictions shall terminate and lapse, and such shares shall vest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and become Vested Shares on the Vesting Date as provided in Section 3.3, provided that the Participant has continued to serve as an employee or an Associate from the Award Date to and including the Vesting Date. Notwithstanding the foregoing, (i) in the event that a Change in Control occurs and the Participant incurs a Qualifying Termination on or within twelve</w:t>
      </w:r>
    </w:p>
    <w:p>
      <w:pPr>
        <w:ind w:right="20" w:firstLine="8"/>
        <w:spacing w:after="0" w:line="387" w:lineRule="auto"/>
        <w:tabs>
          <w:tab w:leader="none" w:pos="414" w:val="left"/>
        </w:tabs>
        <w:numPr>
          <w:ilvl w:val="0"/>
          <w:numId w:val="42"/>
        </w:numPr>
        <w:rPr>
          <w:rFonts w:ascii="Arial" w:cs="Arial" w:eastAsia="Arial" w:hAnsi="Arial"/>
          <w:sz w:val="19"/>
          <w:szCs w:val="19"/>
          <w:color w:val="auto"/>
        </w:rPr>
      </w:pPr>
      <w:r>
        <w:rPr>
          <w:rFonts w:ascii="Arial" w:cs="Arial" w:eastAsia="Arial" w:hAnsi="Arial"/>
          <w:sz w:val="19"/>
          <w:szCs w:val="19"/>
          <w:color w:val="auto"/>
        </w:rPr>
        <w:t>months following the date of such Change in Control or (ii) in the event of the Participant’s death or Disability, all Restrictions shall lapse and all Restricted Stock shall become Vested Shares upon such Qualifying Termination, death or Disability.</w:t>
      </w:r>
    </w:p>
    <w:p>
      <w:pPr>
        <w:spacing w:after="0" w:line="59" w:lineRule="exact"/>
        <w:rPr>
          <w:sz w:val="20"/>
          <w:szCs w:val="20"/>
          <w:color w:val="auto"/>
        </w:rPr>
      </w:pPr>
    </w:p>
    <w:p>
      <w:pPr>
        <w:ind w:firstLine="1297"/>
        <w:spacing w:after="0" w:line="303" w:lineRule="auto"/>
        <w:rPr>
          <w:sz w:val="20"/>
          <w:szCs w:val="20"/>
          <w:color w:val="auto"/>
        </w:rPr>
      </w:pPr>
      <w:r>
        <w:rPr>
          <w:rFonts w:ascii="Arial" w:cs="Arial" w:eastAsia="Arial" w:hAnsi="Arial"/>
          <w:sz w:val="21"/>
          <w:szCs w:val="21"/>
          <w:b w:val="1"/>
          <w:bCs w:val="1"/>
          <w:u w:val="single" w:color="auto"/>
          <w:color w:val="auto"/>
        </w:rPr>
        <w:t>Section 3.3</w:t>
      </w:r>
      <w:r>
        <w:rPr>
          <w:rFonts w:ascii="Arial" w:cs="Arial" w:eastAsia="Arial" w:hAnsi="Arial"/>
          <w:sz w:val="21"/>
          <w:szCs w:val="21"/>
          <w:b w:val="1"/>
          <w:bCs w:val="1"/>
          <w:color w:val="auto"/>
        </w:rPr>
        <w:t xml:space="preserve"> Lapse of Restrictions. </w:t>
      </w:r>
      <w:r>
        <w:rPr>
          <w:rFonts w:ascii="Arial" w:cs="Arial" w:eastAsia="Arial" w:hAnsi="Arial"/>
          <w:sz w:val="21"/>
          <w:szCs w:val="21"/>
          <w:color w:val="auto"/>
        </w:rPr>
        <w:t>Upon the Vesting Dates, the Company shall issue new certificates evidencing the</w:t>
      </w:r>
      <w:r>
        <w:rPr>
          <w:rFonts w:ascii="Arial" w:cs="Arial" w:eastAsia="Arial" w:hAnsi="Arial"/>
          <w:sz w:val="21"/>
          <w:szCs w:val="21"/>
          <w:b w:val="1"/>
          <w:bCs w:val="1"/>
          <w:color w:val="auto"/>
        </w:rPr>
        <w:t xml:space="preserve"> </w:t>
      </w:r>
      <w:r>
        <w:rPr>
          <w:rFonts w:ascii="Arial" w:cs="Arial" w:eastAsia="Arial" w:hAnsi="Arial"/>
          <w:sz w:val="21"/>
          <w:szCs w:val="21"/>
          <w:color w:val="auto"/>
        </w:rPr>
        <w:t>Vested Shares and deliver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w:t>
      </w:r>
    </w:p>
    <w:p>
      <w:pPr>
        <w:sectPr>
          <w:pgSz w:w="11900" w:h="16838" w:orient="portrait"/>
          <w:cols w:equalWidth="0" w:num="1">
            <w:col w:w="11400"/>
          </w:cols>
          <w:pgMar w:left="240" w:top="585" w:right="259" w:bottom="1440" w:gutter="0" w:footer="0" w:header="0"/>
        </w:sectPr>
      </w:pPr>
    </w:p>
    <w:bookmarkStart w:id="117" w:name="page118"/>
    <w:bookmarkEnd w:id="117"/>
    <w:p>
      <w:pPr>
        <w:ind w:right="100"/>
        <w:spacing w:after="0" w:line="292" w:lineRule="auto"/>
        <w:rPr>
          <w:sz w:val="20"/>
          <w:szCs w:val="20"/>
          <w:color w:val="auto"/>
        </w:rPr>
      </w:pPr>
      <w:r>
        <w:rPr>
          <w:rFonts w:ascii="Arial" w:cs="Arial" w:eastAsia="Arial" w:hAnsi="Arial"/>
          <w:sz w:val="22"/>
          <w:szCs w:val="22"/>
          <w:color w:val="auto"/>
        </w:rPr>
        <w:t>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138" w:lineRule="exact"/>
        <w:rPr>
          <w:sz w:val="20"/>
          <w:szCs w:val="20"/>
          <w:color w:val="auto"/>
        </w:rPr>
      </w:pPr>
    </w:p>
    <w:p>
      <w:pPr>
        <w:ind w:right="40" w:firstLine="1297"/>
        <w:spacing w:after="0" w:line="343" w:lineRule="auto"/>
        <w:rPr>
          <w:sz w:val="20"/>
          <w:szCs w:val="20"/>
          <w:color w:val="auto"/>
        </w:rPr>
      </w:pPr>
      <w:r>
        <w:rPr>
          <w:rFonts w:ascii="Arial" w:cs="Arial" w:eastAsia="Arial" w:hAnsi="Arial"/>
          <w:sz w:val="19"/>
          <w:szCs w:val="19"/>
          <w:b w:val="1"/>
          <w:bCs w:val="1"/>
          <w:u w:val="single" w:color="auto"/>
          <w:color w:val="auto"/>
        </w:rPr>
        <w:t>Section 3.4</w:t>
      </w:r>
      <w:r>
        <w:rPr>
          <w:rFonts w:ascii="Arial" w:cs="Arial" w:eastAsia="Arial" w:hAnsi="Arial"/>
          <w:sz w:val="19"/>
          <w:szCs w:val="19"/>
          <w:b w:val="1"/>
          <w:bCs w:val="1"/>
          <w:color w:val="auto"/>
        </w:rPr>
        <w:t xml:space="preserve"> Clawback. </w:t>
      </w:r>
      <w:r>
        <w:rPr>
          <w:rFonts w:ascii="Arial" w:cs="Arial" w:eastAsia="Arial" w:hAnsi="Arial"/>
          <w:sz w:val="19"/>
          <w:szCs w:val="19"/>
          <w:color w:val="auto"/>
        </w:rPr>
        <w:t>Notwithstanding anything contained in the Plan or the Award Agreement to the contrary,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Restricted Stock under the Plan.</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IV.</w:t>
      </w:r>
    </w:p>
    <w:p>
      <w:pPr>
        <w:spacing w:after="0" w:line="4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341" w:lineRule="exact"/>
        <w:rPr>
          <w:sz w:val="20"/>
          <w:szCs w:val="20"/>
          <w:color w:val="auto"/>
        </w:rPr>
      </w:pPr>
    </w:p>
    <w:p>
      <w:pPr>
        <w:ind w:right="40" w:firstLine="1297"/>
        <w:spacing w:after="0" w:line="360" w:lineRule="auto"/>
        <w:rPr>
          <w:sz w:val="20"/>
          <w:szCs w:val="20"/>
          <w:color w:val="auto"/>
        </w:rPr>
      </w:pPr>
      <w:r>
        <w:rPr>
          <w:rFonts w:ascii="Arial" w:cs="Arial" w:eastAsia="Arial" w:hAnsi="Arial"/>
          <w:sz w:val="19"/>
          <w:szCs w:val="19"/>
          <w:b w:val="1"/>
          <w:bCs w:val="1"/>
          <w:u w:val="single" w:color="auto"/>
          <w:color w:val="auto"/>
        </w:rPr>
        <w:t>Section 4.1</w:t>
      </w:r>
      <w:r>
        <w:rPr>
          <w:rFonts w:ascii="Arial" w:cs="Arial" w:eastAsia="Arial" w:hAnsi="Arial"/>
          <w:sz w:val="19"/>
          <w:szCs w:val="19"/>
          <w:b w:val="1"/>
          <w:bCs w:val="1"/>
          <w:color w:val="auto"/>
        </w:rPr>
        <w:t xml:space="preserve"> No Additional Rights. </w:t>
      </w:r>
      <w:r>
        <w:rPr>
          <w:rFonts w:ascii="Arial" w:cs="Arial" w:eastAsia="Arial" w:hAnsi="Arial"/>
          <w:sz w:val="19"/>
          <w:szCs w:val="19"/>
          <w:color w:val="auto"/>
        </w:rPr>
        <w:t>Nothing in this Award Agreement or in the Plan shall confer upon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 to a position as an Associate or continued employment by the Company or any of its Related Corporations or Affiliates or affect in any way the right of any of the foregoing to terminate the services of an individual at any time.</w:t>
      </w:r>
    </w:p>
    <w:p>
      <w:pPr>
        <w:spacing w:after="0" w:line="84" w:lineRule="exact"/>
        <w:rPr>
          <w:sz w:val="20"/>
          <w:szCs w:val="20"/>
          <w:color w:val="auto"/>
        </w:rPr>
      </w:pPr>
    </w:p>
    <w:p>
      <w:pPr>
        <w:ind w:right="500" w:firstLine="1297"/>
        <w:spacing w:after="0" w:line="394" w:lineRule="auto"/>
        <w:rPr>
          <w:sz w:val="20"/>
          <w:szCs w:val="20"/>
          <w:color w:val="auto"/>
        </w:rPr>
      </w:pPr>
      <w:r>
        <w:rPr>
          <w:rFonts w:ascii="Arial" w:cs="Arial" w:eastAsia="Arial" w:hAnsi="Arial"/>
          <w:sz w:val="19"/>
          <w:szCs w:val="19"/>
          <w:b w:val="1"/>
          <w:bCs w:val="1"/>
          <w:u w:val="single" w:color="auto"/>
          <w:color w:val="auto"/>
        </w:rPr>
        <w:t>Section 4.2</w:t>
      </w:r>
      <w:r>
        <w:rPr>
          <w:rFonts w:ascii="Arial" w:cs="Arial" w:eastAsia="Arial" w:hAnsi="Arial"/>
          <w:sz w:val="19"/>
          <w:szCs w:val="19"/>
          <w:b w:val="1"/>
          <w:bCs w:val="1"/>
          <w:color w:val="auto"/>
        </w:rPr>
        <w:t xml:space="preserve"> Legend. </w:t>
      </w:r>
      <w:r>
        <w:rPr>
          <w:rFonts w:ascii="Arial" w:cs="Arial" w:eastAsia="Arial" w:hAnsi="Arial"/>
          <w:sz w:val="19"/>
          <w:szCs w:val="19"/>
          <w:color w:val="auto"/>
        </w:rPr>
        <w:t>Any certificates representing shares of Restricted Stock issued pursuant to this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until all Restrictions lapse and new certificates are issued pursuant to Section 3.3, bear the following legend:</w:t>
      </w:r>
    </w:p>
    <w:p>
      <w:pPr>
        <w:spacing w:after="0" w:line="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147" w:lineRule="exact"/>
        <w:rPr>
          <w:sz w:val="20"/>
          <w:szCs w:val="20"/>
          <w:color w:val="auto"/>
        </w:rPr>
      </w:pPr>
    </w:p>
    <w:p>
      <w:pPr>
        <w:ind w:right="40" w:firstLine="1297"/>
        <w:spacing w:after="0" w:line="288" w:lineRule="auto"/>
        <w:rPr>
          <w:sz w:val="20"/>
          <w:szCs w:val="20"/>
          <w:color w:val="auto"/>
        </w:rPr>
      </w:pPr>
      <w:r>
        <w:rPr>
          <w:rFonts w:ascii="Arial" w:cs="Arial" w:eastAsia="Arial" w:hAnsi="Arial"/>
          <w:sz w:val="22"/>
          <w:szCs w:val="22"/>
          <w:b w:val="1"/>
          <w:bCs w:val="1"/>
          <w:u w:val="single" w:color="auto"/>
          <w:color w:val="auto"/>
        </w:rPr>
        <w:t>Section 4.3</w:t>
      </w:r>
      <w:r>
        <w:rPr>
          <w:rFonts w:ascii="Arial" w:cs="Arial" w:eastAsia="Arial" w:hAnsi="Arial"/>
          <w:sz w:val="22"/>
          <w:szCs w:val="22"/>
          <w:b w:val="1"/>
          <w:bCs w:val="1"/>
          <w:color w:val="auto"/>
        </w:rPr>
        <w:t xml:space="preserve"> Tax Withholding. </w:t>
      </w:r>
      <w:r>
        <w:rPr>
          <w:rFonts w:ascii="Arial" w:cs="Arial" w:eastAsia="Arial" w:hAnsi="Arial"/>
          <w:sz w:val="22"/>
          <w:szCs w:val="22"/>
          <w:color w:val="auto"/>
        </w:rPr>
        <w:t>On the Vesting Date, the Company shall notify the Participant of the amount of tax</w:t>
      </w:r>
      <w:r>
        <w:rPr>
          <w:rFonts w:ascii="Arial" w:cs="Arial" w:eastAsia="Arial" w:hAnsi="Arial"/>
          <w:sz w:val="22"/>
          <w:szCs w:val="22"/>
          <w:b w:val="1"/>
          <w:bCs w:val="1"/>
          <w:color w:val="auto"/>
        </w:rPr>
        <w:t xml:space="preserve"> </w:t>
      </w:r>
      <w:r>
        <w:rPr>
          <w:rFonts w:ascii="Arial" w:cs="Arial" w:eastAsia="Arial" w:hAnsi="Arial"/>
          <w:sz w:val="22"/>
          <w:szCs w:val="22"/>
          <w:color w:val="auto"/>
        </w:rPr>
        <w:t>which must be withheld by the Company under all applicable federal, state and local tax laws. Subject to any applicable legal conditions or restrictions, the Company shall withhold from the shares of Restricted Stock a number of whole shares of common stock having a fair market value, determined as of the Vesting Date, not in excess of the minimum of tax required to be withheld by law.</w:t>
      </w:r>
    </w:p>
    <w:p>
      <w:pPr>
        <w:spacing w:after="0" w:line="143" w:lineRule="exact"/>
        <w:rPr>
          <w:sz w:val="20"/>
          <w:szCs w:val="20"/>
          <w:color w:val="auto"/>
        </w:rPr>
      </w:pPr>
    </w:p>
    <w:p>
      <w:pPr>
        <w:ind w:right="360" w:firstLine="1297"/>
        <w:spacing w:after="0" w:line="288" w:lineRule="auto"/>
        <w:rPr>
          <w:sz w:val="20"/>
          <w:szCs w:val="20"/>
          <w:color w:val="auto"/>
        </w:rPr>
      </w:pPr>
      <w:r>
        <w:rPr>
          <w:rFonts w:ascii="Arial" w:cs="Arial" w:eastAsia="Arial" w:hAnsi="Arial"/>
          <w:sz w:val="22"/>
          <w:szCs w:val="22"/>
          <w:b w:val="1"/>
          <w:bCs w:val="1"/>
          <w:u w:val="single" w:color="auto"/>
          <w:color w:val="auto"/>
        </w:rPr>
        <w:t>Section 4.4</w:t>
      </w:r>
      <w:r>
        <w:rPr>
          <w:rFonts w:ascii="Arial" w:cs="Arial" w:eastAsia="Arial" w:hAnsi="Arial"/>
          <w:sz w:val="22"/>
          <w:szCs w:val="22"/>
          <w:b w:val="1"/>
          <w:bCs w:val="1"/>
          <w:color w:val="auto"/>
        </w:rPr>
        <w:t xml:space="preserve"> Notices. </w:t>
      </w:r>
      <w:r>
        <w:rPr>
          <w:rFonts w:ascii="Arial" w:cs="Arial" w:eastAsia="Arial" w:hAnsi="Arial"/>
          <w:sz w:val="22"/>
          <w:szCs w:val="22"/>
          <w:color w:val="auto"/>
        </w:rPr>
        <w:t>Any notice to be given under the terms of this Award Agreement to the Company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addressed to the Company in 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w:t>
      </w:r>
    </w:p>
    <w:p>
      <w:pPr>
        <w:sectPr>
          <w:pgSz w:w="11900" w:h="16838" w:orient="portrait"/>
          <w:cols w:equalWidth="0" w:num="1">
            <w:col w:w="11420"/>
          </w:cols>
          <w:pgMar w:left="240" w:top="604" w:right="239" w:bottom="1440" w:gutter="0" w:footer="0" w:header="0"/>
        </w:sectPr>
      </w:pPr>
    </w:p>
    <w:bookmarkStart w:id="118" w:name="page119"/>
    <w:bookmarkEnd w:id="118"/>
    <w:p>
      <w:pPr>
        <w:ind w:right="60"/>
        <w:spacing w:after="0" w:line="288" w:lineRule="auto"/>
        <w:rPr>
          <w:sz w:val="20"/>
          <w:szCs w:val="20"/>
          <w:color w:val="auto"/>
        </w:rPr>
      </w:pPr>
      <w:r>
        <w:rPr>
          <w:rFonts w:ascii="Arial" w:cs="Arial" w:eastAsia="Arial" w:hAnsi="Arial"/>
          <w:sz w:val="22"/>
          <w:szCs w:val="22"/>
          <w:color w:val="auto"/>
        </w:rPr>
        <w:t>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144" w:lineRule="exact"/>
        <w:rPr>
          <w:sz w:val="20"/>
          <w:szCs w:val="20"/>
          <w:color w:val="auto"/>
        </w:rPr>
      </w:pPr>
    </w:p>
    <w:p>
      <w:pPr>
        <w:ind w:right="100" w:firstLine="1297"/>
        <w:spacing w:after="0" w:line="308" w:lineRule="auto"/>
        <w:rPr>
          <w:sz w:val="20"/>
          <w:szCs w:val="20"/>
          <w:color w:val="auto"/>
        </w:rPr>
      </w:pPr>
      <w:r>
        <w:rPr>
          <w:rFonts w:ascii="Arial" w:cs="Arial" w:eastAsia="Arial" w:hAnsi="Arial"/>
          <w:sz w:val="22"/>
          <w:szCs w:val="22"/>
          <w:b w:val="1"/>
          <w:bCs w:val="1"/>
          <w:u w:val="single" w:color="auto"/>
          <w:color w:val="auto"/>
        </w:rPr>
        <w:t>Section 4.5</w:t>
      </w:r>
      <w:r>
        <w:rPr>
          <w:rFonts w:ascii="Arial" w:cs="Arial" w:eastAsia="Arial" w:hAnsi="Arial"/>
          <w:sz w:val="22"/>
          <w:szCs w:val="22"/>
          <w:b w:val="1"/>
          <w:bCs w:val="1"/>
          <w:color w:val="auto"/>
        </w:rPr>
        <w:t xml:space="preserve"> Titles. </w:t>
      </w:r>
      <w:r>
        <w:rPr>
          <w:rFonts w:ascii="Arial" w:cs="Arial" w:eastAsia="Arial" w:hAnsi="Arial"/>
          <w:sz w:val="22"/>
          <w:szCs w:val="22"/>
          <w:color w:val="auto"/>
        </w:rPr>
        <w:t>Titles are provided herein for convenience only and are not to serve as a basis for 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construction of this Award Agreement.</w:t>
      </w:r>
    </w:p>
    <w:p>
      <w:pPr>
        <w:spacing w:after="0" w:line="121" w:lineRule="exact"/>
        <w:rPr>
          <w:sz w:val="20"/>
          <w:szCs w:val="20"/>
          <w:color w:val="auto"/>
        </w:rPr>
      </w:pPr>
    </w:p>
    <w:p>
      <w:pPr>
        <w:ind w:firstLine="1297"/>
        <w:spacing w:after="0" w:line="340" w:lineRule="auto"/>
        <w:rPr>
          <w:sz w:val="20"/>
          <w:szCs w:val="20"/>
          <w:color w:val="auto"/>
        </w:rPr>
      </w:pPr>
      <w:r>
        <w:rPr>
          <w:rFonts w:ascii="Arial" w:cs="Arial" w:eastAsia="Arial" w:hAnsi="Arial"/>
          <w:sz w:val="19"/>
          <w:szCs w:val="19"/>
          <w:b w:val="1"/>
          <w:bCs w:val="1"/>
          <w:u w:val="single" w:color="auto"/>
          <w:color w:val="auto"/>
        </w:rPr>
        <w:t>Section 4.6</w:t>
      </w:r>
      <w:r>
        <w:rPr>
          <w:rFonts w:ascii="Arial" w:cs="Arial" w:eastAsia="Arial" w:hAnsi="Arial"/>
          <w:sz w:val="19"/>
          <w:szCs w:val="19"/>
          <w:b w:val="1"/>
          <w:bCs w:val="1"/>
          <w:color w:val="auto"/>
        </w:rPr>
        <w:t xml:space="preserve"> Conformity to Securities Laws. </w:t>
      </w:r>
      <w:r>
        <w:rPr>
          <w:rFonts w:ascii="Arial" w:cs="Arial" w:eastAsia="Arial" w:hAnsi="Arial"/>
          <w:sz w:val="19"/>
          <w:szCs w:val="19"/>
          <w:color w:val="auto"/>
        </w:rPr>
        <w:t>This Award Agreement is intended to conform to the extent necessary</w:t>
      </w:r>
      <w:r>
        <w:rPr>
          <w:rFonts w:ascii="Arial" w:cs="Arial" w:eastAsia="Arial" w:hAnsi="Arial"/>
          <w:sz w:val="19"/>
          <w:szCs w:val="19"/>
          <w:b w:val="1"/>
          <w:bCs w:val="1"/>
          <w:color w:val="auto"/>
        </w:rPr>
        <w:t xml:space="preserve"> </w:t>
      </w:r>
      <w:r>
        <w:rPr>
          <w:rFonts w:ascii="Arial" w:cs="Arial" w:eastAsia="Arial" w:hAnsi="Arial"/>
          <w:sz w:val="19"/>
          <w:szCs w:val="19"/>
          <w:color w:val="auto"/>
        </w:rPr>
        <w:t>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101" w:lineRule="exact"/>
        <w:rPr>
          <w:sz w:val="20"/>
          <w:szCs w:val="20"/>
          <w:color w:val="auto"/>
        </w:rPr>
      </w:pPr>
    </w:p>
    <w:p>
      <w:pPr>
        <w:ind w:firstLine="1297"/>
        <w:spacing w:after="0" w:line="308" w:lineRule="auto"/>
        <w:rPr>
          <w:sz w:val="20"/>
          <w:szCs w:val="20"/>
          <w:color w:val="auto"/>
        </w:rPr>
      </w:pP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 xml:space="preserve"> Amendment. </w:t>
      </w:r>
      <w:r>
        <w:rPr>
          <w:rFonts w:ascii="Arial" w:cs="Arial" w:eastAsia="Arial" w:hAnsi="Arial"/>
          <w:sz w:val="22"/>
          <w:szCs w:val="22"/>
          <w:color w:val="auto"/>
        </w:rPr>
        <w:t>This Award Agreement may be amended only by a writing executed by the parties hereto</w:t>
      </w:r>
      <w:r>
        <w:rPr>
          <w:rFonts w:ascii="Arial" w:cs="Arial" w:eastAsia="Arial" w:hAnsi="Arial"/>
          <w:sz w:val="22"/>
          <w:szCs w:val="22"/>
          <w:b w:val="1"/>
          <w:bCs w:val="1"/>
          <w:color w:val="auto"/>
        </w:rPr>
        <w:t xml:space="preserve"> </w:t>
      </w:r>
      <w:r>
        <w:rPr>
          <w:rFonts w:ascii="Arial" w:cs="Arial" w:eastAsia="Arial" w:hAnsi="Arial"/>
          <w:sz w:val="22"/>
          <w:szCs w:val="22"/>
          <w:color w:val="auto"/>
        </w:rPr>
        <w:t>which specifically states that it is amending this Award Agreement.</w:t>
      </w:r>
    </w:p>
    <w:p>
      <w:pPr>
        <w:spacing w:after="0" w:line="121" w:lineRule="exact"/>
        <w:rPr>
          <w:sz w:val="20"/>
          <w:szCs w:val="20"/>
          <w:color w:val="auto"/>
        </w:rPr>
      </w:pPr>
    </w:p>
    <w:p>
      <w:pPr>
        <w:ind w:right="300" w:firstLine="1297"/>
        <w:spacing w:after="0" w:line="294" w:lineRule="auto"/>
        <w:rPr>
          <w:sz w:val="20"/>
          <w:szCs w:val="20"/>
          <w:color w:val="auto"/>
        </w:rPr>
      </w:pPr>
      <w:r>
        <w:rPr>
          <w:rFonts w:ascii="Arial" w:cs="Arial" w:eastAsia="Arial" w:hAnsi="Arial"/>
          <w:sz w:val="22"/>
          <w:szCs w:val="22"/>
          <w:b w:val="1"/>
          <w:bCs w:val="1"/>
          <w:u w:val="single" w:color="auto"/>
          <w:color w:val="auto"/>
        </w:rPr>
        <w:t>Section 4.8</w:t>
      </w:r>
      <w:r>
        <w:rPr>
          <w:rFonts w:ascii="Arial" w:cs="Arial" w:eastAsia="Arial" w:hAnsi="Arial"/>
          <w:sz w:val="22"/>
          <w:szCs w:val="22"/>
          <w:b w:val="1"/>
          <w:bCs w:val="1"/>
          <w:color w:val="auto"/>
        </w:rPr>
        <w:t xml:space="preserve"> Governing Law. </w:t>
      </w:r>
      <w:r>
        <w:rPr>
          <w:rFonts w:ascii="Arial" w:cs="Arial" w:eastAsia="Arial" w:hAnsi="Arial"/>
          <w:sz w:val="22"/>
          <w:szCs w:val="22"/>
          <w:color w:val="auto"/>
        </w:rPr>
        <w:t>The laws of the State of Delaware shall govern the interpretation,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enforcement and performance of the terms of this Award Agreement regardless of the law that might be applied under principles of conflicts of laws.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 * * *</w:t>
      </w:r>
    </w:p>
    <w:p>
      <w:pPr>
        <w:spacing w:after="0" w:line="349"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IN WITNESS HEREOF</w:t>
      </w:r>
      <w:r>
        <w:rPr>
          <w:rFonts w:ascii="Arial" w:cs="Arial" w:eastAsia="Arial" w:hAnsi="Arial"/>
          <w:sz w:val="22"/>
          <w:szCs w:val="22"/>
          <w:color w:val="auto"/>
        </w:rPr>
        <w:t>, this Award Agreement has been executed and delivered by the parties hereto.</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520" w:type="dxa"/>
            <w:vAlign w:val="bottom"/>
          </w:tcPr>
          <w:p>
            <w:pPr>
              <w:spacing w:after="0"/>
              <w:rPr>
                <w:sz w:val="20"/>
                <w:szCs w:val="20"/>
                <w:color w:val="auto"/>
              </w:rPr>
            </w:pPr>
            <w:r>
              <w:rPr>
                <w:rFonts w:ascii="Arial" w:cs="Arial" w:eastAsia="Arial" w:hAnsi="Arial"/>
                <w:sz w:val="22"/>
                <w:szCs w:val="22"/>
                <w:color w:val="auto"/>
              </w:rPr>
              <w:t>THE PARTICIPANT</w:t>
            </w:r>
          </w:p>
        </w:tc>
        <w:tc>
          <w:tcPr>
            <w:tcW w:w="5900" w:type="dxa"/>
            <w:vAlign w:val="bottom"/>
          </w:tcPr>
          <w:p>
            <w:pPr>
              <w:ind w:left="2260"/>
              <w:spacing w:after="0"/>
              <w:rPr>
                <w:sz w:val="20"/>
                <w:szCs w:val="20"/>
                <w:color w:val="auto"/>
              </w:rPr>
            </w:pPr>
            <w:r>
              <w:rPr>
                <w:rFonts w:ascii="Arial" w:cs="Arial" w:eastAsia="Arial" w:hAnsi="Arial"/>
                <w:sz w:val="22"/>
                <w:szCs w:val="22"/>
                <w:color w:val="auto"/>
                <w:w w:val="94"/>
              </w:rPr>
              <w:t>INTEGRA LIFESCIENCES HOLDINGS</w:t>
            </w:r>
          </w:p>
        </w:tc>
        <w:tc>
          <w:tcPr>
            <w:tcW w:w="0" w:type="dxa"/>
            <w:vAlign w:val="bottom"/>
          </w:tcPr>
          <w:p>
            <w:pPr>
              <w:spacing w:after="0"/>
              <w:rPr>
                <w:sz w:val="1"/>
                <w:szCs w:val="1"/>
                <w:color w:val="auto"/>
              </w:rPr>
            </w:pPr>
          </w:p>
        </w:tc>
      </w:tr>
      <w:tr>
        <w:trPr>
          <w:trHeight w:val="275"/>
        </w:trPr>
        <w:tc>
          <w:tcPr>
            <w:tcW w:w="4520" w:type="dxa"/>
            <w:vAlign w:val="bottom"/>
          </w:tcPr>
          <w:p>
            <w:pPr>
              <w:spacing w:after="0"/>
              <w:rPr>
                <w:sz w:val="23"/>
                <w:szCs w:val="23"/>
                <w:color w:val="auto"/>
              </w:rPr>
            </w:pPr>
          </w:p>
        </w:tc>
        <w:tc>
          <w:tcPr>
            <w:tcW w:w="5900" w:type="dxa"/>
            <w:vAlign w:val="bottom"/>
          </w:tcPr>
          <w:p>
            <w:pPr>
              <w:ind w:left="2260"/>
              <w:spacing w:after="0"/>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440"/>
        </w:trPr>
        <w:tc>
          <w:tcPr>
            <w:tcW w:w="4520" w:type="dxa"/>
            <w:vAlign w:val="bottom"/>
          </w:tcPr>
          <w:p>
            <w:pPr>
              <w:spacing w:after="0"/>
              <w:rPr>
                <w:sz w:val="20"/>
                <w:szCs w:val="20"/>
                <w:color w:val="auto"/>
              </w:rPr>
            </w:pPr>
            <w:r>
              <w:rPr>
                <w:rFonts w:ascii="Arial" w:cs="Arial" w:eastAsia="Arial" w:hAnsi="Arial"/>
                <w:sz w:val="20"/>
                <w:szCs w:val="20"/>
                <w:color w:val="auto"/>
              </w:rPr>
              <w:t>_______________________</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5900" w:type="dxa"/>
            <w:vAlign w:val="bottom"/>
            <w:vMerge w:val="restart"/>
          </w:tcPr>
          <w:p>
            <w:pPr>
              <w:ind w:left="2260"/>
              <w:spacing w:after="0"/>
              <w:rPr>
                <w:sz w:val="20"/>
                <w:szCs w:val="20"/>
                <w:color w:val="auto"/>
              </w:rPr>
            </w:pPr>
            <w:r>
              <w:rPr>
                <w:rFonts w:ascii="Arial" w:cs="Arial" w:eastAsia="Arial" w:hAnsi="Arial"/>
                <w:sz w:val="20"/>
                <w:szCs w:val="20"/>
                <w:color w:val="auto"/>
              </w:rPr>
              <w:t>By: _______________________</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5900" w:type="dxa"/>
            <w:vAlign w:val="bottom"/>
          </w:tcPr>
          <w:p>
            <w:pPr>
              <w:ind w:left="2260"/>
              <w:spacing w:after="0"/>
              <w:rPr>
                <w:sz w:val="20"/>
                <w:szCs w:val="20"/>
                <w:color w:val="auto"/>
              </w:rPr>
            </w:pPr>
            <w:r>
              <w:rPr>
                <w:rFonts w:ascii="Arial" w:cs="Arial" w:eastAsia="Arial" w:hAnsi="Arial"/>
                <w:sz w:val="20"/>
                <w:szCs w:val="20"/>
                <w:color w:val="auto"/>
              </w:rPr>
              <w:t>Name:</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5900" w:type="dxa"/>
            <w:vAlign w:val="bottom"/>
          </w:tcPr>
          <w:p>
            <w:pPr>
              <w:ind w:left="226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0"/>
                <w:szCs w:val="20"/>
                <w:color w:val="auto"/>
              </w:rPr>
            </w:pPr>
            <w:r>
              <w:rPr>
                <w:rFonts w:ascii="Arial" w:cs="Arial" w:eastAsia="Arial" w:hAnsi="Arial"/>
                <w:sz w:val="20"/>
                <w:szCs w:val="20"/>
                <w:color w:val="auto"/>
              </w:rPr>
              <w:t>_______________________</w:t>
            </w:r>
          </w:p>
        </w:tc>
        <w:tc>
          <w:tcPr>
            <w:tcW w:w="5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0"/>
                <w:szCs w:val="20"/>
                <w:color w:val="auto"/>
              </w:rPr>
            </w:pPr>
            <w:r>
              <w:rPr>
                <w:rFonts w:ascii="Arial" w:cs="Arial" w:eastAsia="Arial" w:hAnsi="Arial"/>
                <w:sz w:val="20"/>
                <w:szCs w:val="20"/>
                <w:color w:val="auto"/>
              </w:rPr>
              <w:t>Address</w:t>
            </w:r>
          </w:p>
        </w:tc>
        <w:tc>
          <w:tcPr>
            <w:tcW w:w="5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604" w:right="339" w:bottom="1440" w:gutter="0" w:footer="0" w:header="0"/>
        </w:sectPr>
      </w:pPr>
    </w:p>
    <w:bookmarkStart w:id="119" w:name="page120"/>
    <w:bookmarkEnd w:id="119"/>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CONSENT OF SPOUSE</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 ____________________, spouse of _________________, have read and approve the foregoing Award Agreement.</w:t>
      </w:r>
    </w:p>
    <w:p>
      <w:pPr>
        <w:spacing w:after="0" w:line="4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consideration of granting of the right to my spouse to 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 ______</w:t>
      </w:r>
    </w:p>
    <w:p>
      <w:pPr>
        <w:ind w:left="6100"/>
        <w:spacing w:after="0" w:line="230" w:lineRule="auto"/>
        <w:rPr>
          <w:sz w:val="20"/>
          <w:szCs w:val="20"/>
          <w:color w:val="auto"/>
        </w:rPr>
      </w:pPr>
      <w:r>
        <w:rPr>
          <w:rFonts w:ascii="Arial" w:cs="Arial" w:eastAsia="Arial" w:hAnsi="Arial"/>
          <w:sz w:val="22"/>
          <w:szCs w:val="22"/>
          <w:color w:val="auto"/>
        </w:rPr>
        <w:t>_____________________</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0640"/>
          </w:cols>
          <w:pgMar w:left="280" w:top="1440" w:right="97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10.8(c)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January 1, 2013)</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Amendment (the “Amendment”) to the Integra LifeSciences Holdings Corporation 2000 Equity Incentive Plan, as amended (the “Plan”)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amends the Plan as follows:</w:t>
      </w:r>
    </w:p>
    <w:p>
      <w:pPr>
        <w:spacing w:after="0" w:line="21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2 of the Plan is hereby amended to include the following definitions:</w:t>
      </w:r>
    </w:p>
    <w:p>
      <w:pPr>
        <w:spacing w:after="0" w:line="225"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his or her employment which constitutes gross negligence or willful misconduct.</w:t>
      </w:r>
    </w:p>
    <w:p>
      <w:pPr>
        <w:spacing w:after="0" w:line="169" w:lineRule="exact"/>
        <w:rPr>
          <w:sz w:val="20"/>
          <w:szCs w:val="20"/>
          <w:color w:val="auto"/>
        </w:rPr>
      </w:pPr>
    </w:p>
    <w:p>
      <w:pPr>
        <w:jc w:val="both"/>
        <w:ind w:left="66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mean, with respect to any Participant, “Good Reason” as defined in an employment, severance or applicable award agreement between such Participant and the Company if such an agreement exists and contains a definition of Good Reason or, if no such agreement exists or such agreement does not contain a definition of Good Reason, then Good Reason shall mean, without the express written consent of the Participant, the occurrence of any of the following:</w:t>
      </w:r>
    </w:p>
    <w:p>
      <w:pPr>
        <w:spacing w:after="0" w:line="187" w:lineRule="exact"/>
        <w:rPr>
          <w:sz w:val="20"/>
          <w:szCs w:val="20"/>
          <w:color w:val="auto"/>
        </w:rPr>
      </w:pPr>
    </w:p>
    <w:p>
      <w:pPr>
        <w:ind w:left="660" w:right="600" w:firstLine="645"/>
        <w:spacing w:after="0" w:line="277" w:lineRule="auto"/>
        <w:tabs>
          <w:tab w:leader="none" w:pos="15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material diminution in the Participant's authority, duties or responsibilities or the assignment of duties to the Participant that are materially inconsistent with the Participant's position with the Company;</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6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change in the geographic location at which the Participant must perform services to a location more than fifty miles from the location at which the Participant normally performs such services as of the date of grant of the award,</w:t>
      </w:r>
    </w:p>
    <w:p>
      <w:pPr>
        <w:spacing w:after="0" w:line="170" w:lineRule="exact"/>
        <w:rPr>
          <w:sz w:val="20"/>
          <w:szCs w:val="20"/>
          <w:color w:val="auto"/>
        </w:rPr>
      </w:pPr>
    </w:p>
    <w:p>
      <w:pPr>
        <w:jc w:val="both"/>
        <w:ind w:left="660" w:right="260"/>
        <w:spacing w:after="0" w:line="279" w:lineRule="auto"/>
        <w:rPr>
          <w:sz w:val="20"/>
          <w:szCs w:val="20"/>
          <w:color w:val="auto"/>
        </w:rPr>
      </w:pPr>
      <w:r>
        <w:rPr>
          <w:rFonts w:ascii="Arial" w:cs="Arial" w:eastAsia="Arial" w:hAnsi="Arial"/>
          <w:sz w:val="17"/>
          <w:szCs w:val="17"/>
          <w:color w:val="auto"/>
        </w:rPr>
        <w:t>provided, that the Participant's resignation shall only constitute a resignation for Good Reason if (x) the Participant provides the Company with a notice of termination for Good Reason within thirty days after the initial existence of the facts or circumstances constituting Good Reason, (y) the Company has failed to cure such facts or circumstances within thirty days after receipt of the notice of termination, and (z) the date of termination occurs no later than sixty days after the initial occurrence of the facts or circumstances constituting Good Reason.</w:t>
      </w:r>
    </w:p>
    <w:p>
      <w:pPr>
        <w:spacing w:after="0" w:line="171"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Termination</w:t>
      </w:r>
      <w:r>
        <w:rPr>
          <w:rFonts w:ascii="Arial" w:cs="Arial" w:eastAsia="Arial" w:hAnsi="Arial"/>
          <w:sz w:val="18"/>
          <w:szCs w:val="18"/>
          <w:color w:val="auto"/>
        </w:rPr>
        <w:t>” shall mean a termination of a Participant's service (i) by the Company without Cause or (ii) with respect to a Participant who is a member of the Company's Executive Leadership Team and/or a Participant who is party to an employment, severance or applicable award agreement that contains a definition of Good Reason, by the Participant for Good Reason.</w:t>
      </w:r>
    </w:p>
    <w:p>
      <w:pPr>
        <w:spacing w:after="0" w:line="18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Section 8.5(a) of the Plan is hereby deleted in its entirety and replaced with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 other provision of this Plan and subject to Section 8.6 below:</w:t>
      </w:r>
    </w:p>
    <w:p>
      <w:pPr>
        <w:spacing w:after="0" w:line="225" w:lineRule="exact"/>
        <w:rPr>
          <w:sz w:val="20"/>
          <w:szCs w:val="20"/>
          <w:color w:val="auto"/>
        </w:rPr>
      </w:pPr>
    </w:p>
    <w:p>
      <w:pPr>
        <w:ind w:left="660" w:right="460" w:hanging="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With respect to Awards granted under the Plan prior to January 1, 2013, all outstanding Options and all Stock Appreciation Rights shall become fully vested and exercisable, all Performance Stock and all Dividend</w:t>
      </w:r>
    </w:p>
    <w:p>
      <w:pPr>
        <w:sectPr>
          <w:pgSz w:w="11900" w:h="16838" w:orient="portrait"/>
          <w:cols w:equalWidth="0" w:num="1">
            <w:col w:w="11420"/>
          </w:cols>
          <w:pgMar w:left="240" w:top="580" w:right="239" w:bottom="1440" w:gutter="0" w:footer="0" w:header="0"/>
        </w:sectPr>
      </w:pPr>
    </w:p>
    <w:bookmarkStart w:id="121" w:name="page122"/>
    <w:bookmarkEnd w:id="121"/>
    <w:p>
      <w:pPr>
        <w:ind w:left="660" w:right="200"/>
        <w:spacing w:after="0" w:line="277" w:lineRule="auto"/>
        <w:rPr>
          <w:sz w:val="20"/>
          <w:szCs w:val="20"/>
          <w:color w:val="auto"/>
        </w:rPr>
      </w:pPr>
      <w:r>
        <w:rPr>
          <w:rFonts w:ascii="Arial" w:cs="Arial" w:eastAsia="Arial" w:hAnsi="Arial"/>
          <w:sz w:val="18"/>
          <w:szCs w:val="18"/>
          <w:color w:val="auto"/>
        </w:rPr>
        <w:t>Equivalent Rights shall become fully vested, all Contract Stock shall become immediately payable, and all restrictions shall be removed from any outstanding Restricted Stock, upon a Change in Control; and</w:t>
      </w:r>
    </w:p>
    <w:p>
      <w:pPr>
        <w:spacing w:after="0" w:line="170" w:lineRule="exact"/>
        <w:rPr>
          <w:sz w:val="20"/>
          <w:szCs w:val="20"/>
          <w:color w:val="auto"/>
        </w:rPr>
      </w:pPr>
    </w:p>
    <w:p>
      <w:pPr>
        <w:ind w:left="660" w:firstLine="645"/>
        <w:spacing w:after="0" w:line="257" w:lineRule="auto"/>
        <w:tabs>
          <w:tab w:leader="none" w:pos="15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the extent allowed under applicable law or regulatory filings or unless otherwise determined by the Committee, with respect to Awards granted under the Plan on or after to January 1, 2013, in the event that a Change in Control occurs and the Participant incurs a Qualifying Termination on or within twelve (12) months following the date of such Change in Control, each outstanding Award held by a Participant, other than any Award subject to performance-vesting, shall become fully vested (and, as applicable, exercisable) and all forfeiture restrictions thereon shall lapse upon such Qualifying Termination.”</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new Section 10.16 is hereby added to the Plan:</w:t>
      </w:r>
    </w:p>
    <w:p>
      <w:pPr>
        <w:spacing w:after="0" w:line="225"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i w:val="1"/>
          <w:iCs w:val="1"/>
          <w:color w:val="auto"/>
        </w:rPr>
        <w:t>Clawback, Repayment or Recapture Policy</w:t>
      </w:r>
      <w:r>
        <w:rPr>
          <w:rFonts w:ascii="Arial" w:cs="Arial" w:eastAsia="Arial" w:hAnsi="Arial"/>
          <w:sz w:val="16"/>
          <w:szCs w:val="16"/>
          <w:color w:val="auto"/>
        </w:rPr>
        <w:t>. Notwithstanding anything contained in the Plan to the contrary, to the extent allowed under applicable law or regulatory filings or unless otherwise determined by the Committee, all Awards granted under the Plan on or after January 1, 2013, and any related payments made under the Plan after such date,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an Award or payment under the Plan.”</w:t>
      </w:r>
    </w:p>
    <w:p>
      <w:pPr>
        <w:spacing w:after="0" w:line="3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WITNESS WHEREOF, the undersigned, a duly authorized officer of Integra LifeSciences Holdings Corporation, has caused this Amendment to be executed on this 13th day of December, 2012.</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INTEGRA LIFESCIENCES HOLDINGS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D. Gorelick</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Richard D. Gorelick</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Corporate Vice President, General Counsel,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Administration and Secretary</w:t>
      </w:r>
    </w:p>
    <w:p>
      <w:pPr>
        <w:sectPr>
          <w:pgSz w:w="11900" w:h="16838" w:orient="portrait"/>
          <w:cols w:equalWidth="0" w:num="1">
            <w:col w:w="11360"/>
          </w:cols>
          <w:pgMar w:left="240" w:top="584" w:right="2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10.9(c)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January 1, 2013)</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Amendment (the “Amendment”) to the Integra LifeSciences Holdings Corporation 2001 Equity Incentive Plan, as amended (the “Plan”)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amends the Plan as follows:</w:t>
      </w:r>
    </w:p>
    <w:p>
      <w:pPr>
        <w:spacing w:after="0" w:line="21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2 of the Plan is hereby amended to include the following definitions:</w:t>
      </w:r>
    </w:p>
    <w:p>
      <w:pPr>
        <w:spacing w:after="0" w:line="225"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his or her employment which constitutes gross negligence or willful misconduct.</w:t>
      </w:r>
    </w:p>
    <w:p>
      <w:pPr>
        <w:spacing w:after="0" w:line="169" w:lineRule="exact"/>
        <w:rPr>
          <w:sz w:val="20"/>
          <w:szCs w:val="20"/>
          <w:color w:val="auto"/>
        </w:rPr>
      </w:pPr>
    </w:p>
    <w:p>
      <w:pPr>
        <w:jc w:val="both"/>
        <w:ind w:left="66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mean, with respect to any Participant, “Good Reason” as defined in an employment, severance or applicable award agreement between such Participant and the Company if such an agreement exists and contains a definition of Good Reason or, if no such agreement exists or such agreement does not contain a definition of Good Reason, then Good Reason shall mean, without the express written consent of the Participant, the occurrence of any of the following:</w:t>
      </w:r>
    </w:p>
    <w:p>
      <w:pPr>
        <w:spacing w:after="0" w:line="187" w:lineRule="exact"/>
        <w:rPr>
          <w:sz w:val="20"/>
          <w:szCs w:val="20"/>
          <w:color w:val="auto"/>
        </w:rPr>
      </w:pPr>
    </w:p>
    <w:p>
      <w:pPr>
        <w:ind w:left="660" w:right="600" w:firstLine="645"/>
        <w:spacing w:after="0" w:line="277" w:lineRule="auto"/>
        <w:tabs>
          <w:tab w:leader="none" w:pos="15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material diminution in the Participant's authority, duties or responsibilities or the assignment of duties to the Participant that are materially inconsistent with the Participant's position with the Company;</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6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change in the geographic location at which the Participant must perform services to a location more than fifty miles from the location at which the Participant normally performs such services as of the date of grant of the award,</w:t>
      </w:r>
    </w:p>
    <w:p>
      <w:pPr>
        <w:spacing w:after="0" w:line="170" w:lineRule="exact"/>
        <w:rPr>
          <w:sz w:val="20"/>
          <w:szCs w:val="20"/>
          <w:color w:val="auto"/>
        </w:rPr>
      </w:pPr>
    </w:p>
    <w:p>
      <w:pPr>
        <w:jc w:val="both"/>
        <w:ind w:left="660" w:right="260"/>
        <w:spacing w:after="0" w:line="279" w:lineRule="auto"/>
        <w:rPr>
          <w:sz w:val="20"/>
          <w:szCs w:val="20"/>
          <w:color w:val="auto"/>
        </w:rPr>
      </w:pPr>
      <w:r>
        <w:rPr>
          <w:rFonts w:ascii="Arial" w:cs="Arial" w:eastAsia="Arial" w:hAnsi="Arial"/>
          <w:sz w:val="17"/>
          <w:szCs w:val="17"/>
          <w:color w:val="auto"/>
        </w:rPr>
        <w:t>provided, that the Participant's resignation shall only constitute a resignation for Good Reason if (x) the Participant provides the Company with a notice of termination for Good Reason within thirty days after the initial existence of the facts or circumstances constituting Good Reason, (y) the Company has failed to cure such facts or circumstances within thirty days after receipt of the notice of termination, and (z) the date of termination occurs no later than sixty days after the initial occurrence of the facts or circumstances constituting Good Reason.</w:t>
      </w:r>
    </w:p>
    <w:p>
      <w:pPr>
        <w:spacing w:after="0" w:line="171"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Termination</w:t>
      </w:r>
      <w:r>
        <w:rPr>
          <w:rFonts w:ascii="Arial" w:cs="Arial" w:eastAsia="Arial" w:hAnsi="Arial"/>
          <w:sz w:val="18"/>
          <w:szCs w:val="18"/>
          <w:color w:val="auto"/>
        </w:rPr>
        <w:t>” shall mean a termination of a Participant's service (i) by the Company without Cause or (ii) with respect to a Participant who is a member of the Company's Executive Leadership Team and/or a Participant who is party to an employment, severance or applicable award agreement that contains a definition of Good Reason, by the Participant for Good Reason.</w:t>
      </w:r>
    </w:p>
    <w:p>
      <w:pPr>
        <w:spacing w:after="0" w:line="18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Section 8.5(a) of the Plan is hereby deleted in its entirety and replaced with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 other provision of this Plan and subject to Section 8.6 below:</w:t>
      </w:r>
    </w:p>
    <w:p>
      <w:pPr>
        <w:spacing w:after="0" w:line="225" w:lineRule="exact"/>
        <w:rPr>
          <w:sz w:val="20"/>
          <w:szCs w:val="20"/>
          <w:color w:val="auto"/>
        </w:rPr>
      </w:pPr>
    </w:p>
    <w:p>
      <w:pPr>
        <w:ind w:left="660" w:right="460" w:hanging="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With respect to Awards granted under the Plan prior to January 1, 2013, all outstanding Options and all Stock Appreciation Rights shall become fully vested and exercisable, all Performance Stock and all Dividend</w:t>
      </w:r>
    </w:p>
    <w:p>
      <w:pPr>
        <w:sectPr>
          <w:pgSz w:w="11900" w:h="16838" w:orient="portrait"/>
          <w:cols w:equalWidth="0" w:num="1">
            <w:col w:w="11420"/>
          </w:cols>
          <w:pgMar w:left="240" w:top="580" w:right="239" w:bottom="1440" w:gutter="0" w:footer="0" w:header="0"/>
        </w:sectPr>
      </w:pPr>
    </w:p>
    <w:bookmarkStart w:id="123" w:name="page124"/>
    <w:bookmarkEnd w:id="123"/>
    <w:p>
      <w:pPr>
        <w:ind w:left="660" w:right="200"/>
        <w:spacing w:after="0" w:line="277" w:lineRule="auto"/>
        <w:rPr>
          <w:sz w:val="20"/>
          <w:szCs w:val="20"/>
          <w:color w:val="auto"/>
        </w:rPr>
      </w:pPr>
      <w:r>
        <w:rPr>
          <w:rFonts w:ascii="Arial" w:cs="Arial" w:eastAsia="Arial" w:hAnsi="Arial"/>
          <w:sz w:val="18"/>
          <w:szCs w:val="18"/>
          <w:color w:val="auto"/>
        </w:rPr>
        <w:t>Equivalent Rights shall become fully vested, all Contract Stock shall become immediately payable, and all restrictions shall be removed from any outstanding Restricted Stock, upon a Change in Control; and</w:t>
      </w:r>
    </w:p>
    <w:p>
      <w:pPr>
        <w:spacing w:after="0" w:line="170" w:lineRule="exact"/>
        <w:rPr>
          <w:sz w:val="20"/>
          <w:szCs w:val="20"/>
          <w:color w:val="auto"/>
        </w:rPr>
      </w:pPr>
    </w:p>
    <w:p>
      <w:pPr>
        <w:ind w:left="660" w:firstLine="645"/>
        <w:spacing w:after="0" w:line="257" w:lineRule="auto"/>
        <w:tabs>
          <w:tab w:leader="none" w:pos="1573"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the extent allowed under applicable law or regulatory filings or unless otherwise determined by the Committee, with respect to Awards granted under the Plan on or after to January 1, 2013, in the event that a Change in Control occurs and the Participant incurs a Qualifying Termination on or within twelve (12) months following the date of such Change in Control, each outstanding Award held by a Participant, other than any Award subject to performance-vesting, shall become fully vested (and, as applicable, exercisable) and all forfeiture restrictions thereon shall lapse upon such Qualifying Termination.”</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new Section 10.16 is hereby added to the Plan:</w:t>
      </w:r>
    </w:p>
    <w:p>
      <w:pPr>
        <w:spacing w:after="0" w:line="225"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i w:val="1"/>
          <w:iCs w:val="1"/>
          <w:color w:val="auto"/>
        </w:rPr>
        <w:t>Clawback, Repayment or Recapture Policy</w:t>
      </w:r>
      <w:r>
        <w:rPr>
          <w:rFonts w:ascii="Arial" w:cs="Arial" w:eastAsia="Arial" w:hAnsi="Arial"/>
          <w:sz w:val="16"/>
          <w:szCs w:val="16"/>
          <w:color w:val="auto"/>
        </w:rPr>
        <w:t>. Notwithstanding anything contained in the Plan to the contrary, to the extent allowed under applicable law or regulatory filings or unless otherwise determined by the Committee, all Awards granted under the Plan on or after January 1, 2013, and any related payments made under the Plan after such date,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an Award or payment under the Plan.”</w:t>
      </w:r>
    </w:p>
    <w:p>
      <w:pPr>
        <w:spacing w:after="0" w:line="3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WITNESS WHEREOF, the undersigned, a duly authorized officer of Integra LifeSciences Holdings Corporation, has caused this Amendment to be executed on this 13th day of December, 2012.</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INTEGRA LIFESCIENCES HOLDINGS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D. Gorelick</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Richard D. Gorelick</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Corporate Vice President, General Counsel,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Administration and Secretary</w:t>
      </w:r>
    </w:p>
    <w:p>
      <w:pPr>
        <w:sectPr>
          <w:pgSz w:w="11900" w:h="16838" w:orient="portrait"/>
          <w:cols w:equalWidth="0" w:num="1">
            <w:col w:w="11360"/>
          </w:cols>
          <w:pgMar w:left="240" w:top="584" w:right="2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21</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Name of Subsidiary</w:t>
            </w:r>
          </w:p>
        </w:tc>
        <w:tc>
          <w:tcPr>
            <w:tcW w:w="2000" w:type="dxa"/>
            <w:vAlign w:val="bottom"/>
          </w:tcPr>
          <w:p>
            <w:pPr>
              <w:ind w:left="360"/>
              <w:spacing w:after="0"/>
              <w:rPr>
                <w:sz w:val="20"/>
                <w:szCs w:val="20"/>
                <w:color w:val="auto"/>
              </w:rPr>
            </w:pPr>
            <w:r>
              <w:rPr>
                <w:rFonts w:ascii="Arial" w:cs="Arial" w:eastAsia="Arial" w:hAnsi="Arial"/>
                <w:sz w:val="13"/>
                <w:szCs w:val="13"/>
                <w:b w:val="1"/>
                <w:bCs w:val="1"/>
                <w:color w:val="auto"/>
              </w:rPr>
              <w:t>State or Country of</w:t>
            </w:r>
          </w:p>
        </w:tc>
        <w:tc>
          <w:tcPr>
            <w:tcW w:w="0" w:type="dxa"/>
            <w:vAlign w:val="bottom"/>
          </w:tcPr>
          <w:p>
            <w:pPr>
              <w:spacing w:after="0"/>
              <w:rPr>
                <w:sz w:val="1"/>
                <w:szCs w:val="1"/>
                <w:color w:val="auto"/>
              </w:rPr>
            </w:pPr>
          </w:p>
        </w:tc>
      </w:tr>
      <w:tr>
        <w:trPr>
          <w:trHeight w:val="97"/>
        </w:trPr>
        <w:tc>
          <w:tcPr>
            <w:tcW w:w="5600" w:type="dxa"/>
            <w:vAlign w:val="bottom"/>
            <w:vMerge w:val="continue"/>
          </w:tcPr>
          <w:p>
            <w:pPr>
              <w:spacing w:after="0"/>
              <w:rPr>
                <w:sz w:val="8"/>
                <w:szCs w:val="8"/>
                <w:color w:val="auto"/>
              </w:rPr>
            </w:pPr>
          </w:p>
        </w:tc>
        <w:tc>
          <w:tcPr>
            <w:tcW w:w="2000" w:type="dxa"/>
            <w:vAlign w:val="bottom"/>
            <w:vMerge w:val="restart"/>
          </w:tcPr>
          <w:p>
            <w:pPr>
              <w:ind w:left="360"/>
              <w:spacing w:after="0"/>
              <w:rPr>
                <w:sz w:val="20"/>
                <w:szCs w:val="20"/>
                <w:color w:val="auto"/>
              </w:rPr>
            </w:pPr>
            <w:r>
              <w:rPr>
                <w:rFonts w:ascii="Arial" w:cs="Arial" w:eastAsia="Arial" w:hAnsi="Arial"/>
                <w:sz w:val="13"/>
                <w:szCs w:val="13"/>
                <w:b w:val="1"/>
                <w:bCs w:val="1"/>
                <w:color w:val="auto"/>
                <w:w w:val="88"/>
              </w:rPr>
              <w:t>Incorporation or Organization</w:t>
            </w: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5600" w:type="dxa"/>
            <w:vAlign w:val="bottom"/>
          </w:tcPr>
          <w:p>
            <w:pPr>
              <w:spacing w:after="0"/>
              <w:rPr>
                <w:sz w:val="20"/>
                <w:szCs w:val="20"/>
                <w:color w:val="auto"/>
              </w:rPr>
            </w:pPr>
            <w:r>
              <w:rPr>
                <w:rFonts w:ascii="Arial" w:cs="Arial" w:eastAsia="Arial" w:hAnsi="Arial"/>
                <w:sz w:val="18"/>
                <w:szCs w:val="18"/>
                <w:color w:val="auto"/>
              </w:rPr>
              <w:t>Ascension Orthopedics, Inc.</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Ascension Orthopedics, Ltd.</w:t>
            </w:r>
          </w:p>
        </w:tc>
        <w:tc>
          <w:tcPr>
            <w:tcW w:w="2000" w:type="dxa"/>
            <w:vAlign w:val="bottom"/>
          </w:tcPr>
          <w:p>
            <w:pPr>
              <w:ind w:left="3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Bimeco, Inc.</w:t>
            </w:r>
          </w:p>
        </w:tc>
        <w:tc>
          <w:tcPr>
            <w:tcW w:w="2000" w:type="dxa"/>
            <w:vAlign w:val="bottom"/>
          </w:tcPr>
          <w:p>
            <w:pPr>
              <w:ind w:left="36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CardioDyne, Inc.</w:t>
            </w:r>
          </w:p>
        </w:tc>
        <w:tc>
          <w:tcPr>
            <w:tcW w:w="2000" w:type="dxa"/>
            <w:vAlign w:val="bottom"/>
          </w:tcPr>
          <w:p>
            <w:pPr>
              <w:ind w:left="36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Cathtec, Incorporated</w:t>
            </w:r>
          </w:p>
        </w:tc>
        <w:tc>
          <w:tcPr>
            <w:tcW w:w="2000" w:type="dxa"/>
            <w:vAlign w:val="bottom"/>
          </w:tcPr>
          <w:p>
            <w:pPr>
              <w:ind w:left="36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Caveangle Limited</w:t>
            </w:r>
          </w:p>
        </w:tc>
        <w:tc>
          <w:tcPr>
            <w:tcW w:w="2000" w:type="dxa"/>
            <w:vAlign w:val="bottom"/>
          </w:tcPr>
          <w:p>
            <w:pPr>
              <w:ind w:left="3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EndoSolutions, Inc.</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Fiber Imaging Technologies, Inc.</w:t>
            </w:r>
          </w:p>
        </w:tc>
        <w:tc>
          <w:tcPr>
            <w:tcW w:w="2000" w:type="dxa"/>
            <w:vAlign w:val="bottom"/>
          </w:tcPr>
          <w:p>
            <w:pPr>
              <w:ind w:left="36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GMS, Gesellschaft für medizinische Sondentechnik mbH</w:t>
            </w:r>
          </w:p>
        </w:tc>
        <w:tc>
          <w:tcPr>
            <w:tcW w:w="2000" w:type="dxa"/>
            <w:vAlign w:val="bottom"/>
          </w:tcPr>
          <w:p>
            <w:pPr>
              <w:ind w:left="3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ILS Services Switzerland Ltd.</w:t>
            </w:r>
          </w:p>
        </w:tc>
        <w:tc>
          <w:tcPr>
            <w:tcW w:w="2000" w:type="dxa"/>
            <w:vAlign w:val="bottom"/>
          </w:tcPr>
          <w:p>
            <w:pPr>
              <w:ind w:left="36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w w:val="99"/>
              </w:rPr>
              <w:t>Integra Burlington MA, Inc. (formerly known as Integra Radionics, Inc.)</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Canada ULC (formerly known as Canada Microsurgical ULC)</w:t>
            </w:r>
          </w:p>
        </w:tc>
        <w:tc>
          <w:tcPr>
            <w:tcW w:w="2000" w:type="dxa"/>
            <w:vAlign w:val="bottom"/>
          </w:tcPr>
          <w:p>
            <w:pPr>
              <w:ind w:left="3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CI, Inc.</w:t>
            </w:r>
          </w:p>
        </w:tc>
        <w:tc>
          <w:tcPr>
            <w:tcW w:w="2000" w:type="dxa"/>
            <w:vAlign w:val="bottom"/>
          </w:tcPr>
          <w:p>
            <w:pPr>
              <w:ind w:left="3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Euro Holdings, Inc.</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France Holdings SAS</w:t>
            </w:r>
          </w:p>
        </w:tc>
        <w:tc>
          <w:tcPr>
            <w:tcW w:w="2000" w:type="dxa"/>
            <w:vAlign w:val="bottom"/>
          </w:tcPr>
          <w:p>
            <w:pPr>
              <w:ind w:left="3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German Holdings GmbH</w:t>
            </w:r>
          </w:p>
        </w:tc>
        <w:tc>
          <w:tcPr>
            <w:tcW w:w="2000" w:type="dxa"/>
            <w:vAlign w:val="bottom"/>
          </w:tcPr>
          <w:p>
            <w:pPr>
              <w:ind w:left="3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GmbH</w:t>
            </w:r>
          </w:p>
        </w:tc>
        <w:tc>
          <w:tcPr>
            <w:tcW w:w="2000" w:type="dxa"/>
            <w:vAlign w:val="bottom"/>
          </w:tcPr>
          <w:p>
            <w:pPr>
              <w:ind w:left="3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(Canada) Holdings, Inc.</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(France) LLC</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(Ireland) Limited</w:t>
            </w:r>
          </w:p>
        </w:tc>
        <w:tc>
          <w:tcPr>
            <w:tcW w:w="2000" w:type="dxa"/>
            <w:vAlign w:val="bottom"/>
          </w:tcPr>
          <w:p>
            <w:pPr>
              <w:ind w:left="3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Holdings SAS</w:t>
            </w:r>
          </w:p>
        </w:tc>
        <w:tc>
          <w:tcPr>
            <w:tcW w:w="2000" w:type="dxa"/>
            <w:vAlign w:val="bottom"/>
          </w:tcPr>
          <w:p>
            <w:pPr>
              <w:ind w:left="3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NR Ireland Limited</w:t>
            </w:r>
          </w:p>
        </w:tc>
        <w:tc>
          <w:tcPr>
            <w:tcW w:w="2000" w:type="dxa"/>
            <w:vAlign w:val="bottom"/>
          </w:tcPr>
          <w:p>
            <w:pPr>
              <w:ind w:left="3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w w:val="98"/>
              </w:rPr>
              <w:t>Integra LifeSciences Sales LLC (f/k/a Integra Healthcare Products LLC)</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Sales (Ireland) Limited</w:t>
            </w:r>
          </w:p>
        </w:tc>
        <w:tc>
          <w:tcPr>
            <w:tcW w:w="2000" w:type="dxa"/>
            <w:vAlign w:val="bottom"/>
          </w:tcPr>
          <w:p>
            <w:pPr>
              <w:ind w:left="3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Services (France) SAS</w:t>
            </w:r>
          </w:p>
        </w:tc>
        <w:tc>
          <w:tcPr>
            <w:tcW w:w="2000" w:type="dxa"/>
            <w:vAlign w:val="bottom"/>
          </w:tcPr>
          <w:p>
            <w:pPr>
              <w:ind w:left="3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Shared Services (Ireland) Limited</w:t>
            </w:r>
          </w:p>
        </w:tc>
        <w:tc>
          <w:tcPr>
            <w:tcW w:w="2000" w:type="dxa"/>
            <w:vAlign w:val="bottom"/>
          </w:tcPr>
          <w:p>
            <w:pPr>
              <w:ind w:left="3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LifeSciences Singapore Pte. Ltd.</w:t>
            </w:r>
          </w:p>
        </w:tc>
        <w:tc>
          <w:tcPr>
            <w:tcW w:w="2000" w:type="dxa"/>
            <w:vAlign w:val="bottom"/>
          </w:tcPr>
          <w:p>
            <w:pPr>
              <w:ind w:left="36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LS (Benelux) NV</w:t>
            </w:r>
          </w:p>
        </w:tc>
        <w:tc>
          <w:tcPr>
            <w:tcW w:w="2000" w:type="dxa"/>
            <w:vAlign w:val="bottom"/>
          </w:tcPr>
          <w:p>
            <w:pPr>
              <w:ind w:left="36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Luxtec, Inc.</w:t>
            </w:r>
          </w:p>
        </w:tc>
        <w:tc>
          <w:tcPr>
            <w:tcW w:w="2000" w:type="dxa"/>
            <w:vAlign w:val="bottom"/>
          </w:tcPr>
          <w:p>
            <w:pPr>
              <w:ind w:left="36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ME GmbH</w:t>
            </w:r>
          </w:p>
        </w:tc>
        <w:tc>
          <w:tcPr>
            <w:tcW w:w="2000" w:type="dxa"/>
            <w:vAlign w:val="bottom"/>
          </w:tcPr>
          <w:p>
            <w:pPr>
              <w:ind w:left="3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NeuroSciences (International), Inc.</w:t>
            </w:r>
          </w:p>
        </w:tc>
        <w:tc>
          <w:tcPr>
            <w:tcW w:w="20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NeuroSciences Holdings (UK) Limited</w:t>
            </w:r>
          </w:p>
        </w:tc>
        <w:tc>
          <w:tcPr>
            <w:tcW w:w="2000" w:type="dxa"/>
            <w:vAlign w:val="bottom"/>
          </w:tcPr>
          <w:p>
            <w:pPr>
              <w:ind w:left="3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NeuroSciences Holdings B.V.</w:t>
            </w:r>
          </w:p>
        </w:tc>
        <w:tc>
          <w:tcPr>
            <w:tcW w:w="2000" w:type="dxa"/>
            <w:vAlign w:val="bottom"/>
          </w:tcPr>
          <w:p>
            <w:pPr>
              <w:ind w:left="36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NeuroSciences Implants (France)</w:t>
            </w:r>
          </w:p>
        </w:tc>
        <w:tc>
          <w:tcPr>
            <w:tcW w:w="2000" w:type="dxa"/>
            <w:vAlign w:val="bottom"/>
          </w:tcPr>
          <w:p>
            <w:pPr>
              <w:ind w:left="3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NeuroSciences Limited</w:t>
            </w:r>
          </w:p>
        </w:tc>
        <w:tc>
          <w:tcPr>
            <w:tcW w:w="2000" w:type="dxa"/>
            <w:vAlign w:val="bottom"/>
          </w:tcPr>
          <w:p>
            <w:pPr>
              <w:ind w:left="3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Neurosciences Pty Ltd.</w:t>
            </w:r>
          </w:p>
        </w:tc>
        <w:tc>
          <w:tcPr>
            <w:tcW w:w="20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Integra Neurosciences Pty Ltd.</w:t>
            </w:r>
          </w:p>
        </w:tc>
        <w:tc>
          <w:tcPr>
            <w:tcW w:w="2000" w:type="dxa"/>
            <w:vAlign w:val="bottom"/>
          </w:tcPr>
          <w:p>
            <w:pPr>
              <w:ind w:left="36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bl>
    <w:p>
      <w:pPr>
        <w:sectPr>
          <w:pgSz w:w="11900" w:h="16838" w:orient="portrait"/>
          <w:cols w:equalWidth="0" w:num="1">
            <w:col w:w="11180"/>
          </w:cols>
          <w:pgMar w:left="480" w:top="976"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Integra Sales,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Selector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Integra (Shanghai) Consulting Distribution Co. Ltd.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Integra York PA, Inc. (formerly known as Miltex,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IsoTis International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OrthoBiologics,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T.E. Facility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 Jamner Surgical Instruments,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Jarit GmbH</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LXU Healthcare, Inc. - Medical Specialty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Miltex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 Scientific,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Holding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Internacional,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Products,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Precision Dental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SeaSpine,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Cryosurgery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Medical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Tarsus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Theken Spine,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5240" w:space="720"/>
            <w:col w:w="4019"/>
          </w:cols>
          <w:pgMar w:left="480" w:top="746"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4" w:lineRule="exact"/>
        <w:rPr>
          <w:sz w:val="20"/>
          <w:szCs w:val="20"/>
          <w:color w:val="auto"/>
        </w:rPr>
      </w:pPr>
    </w:p>
    <w:p>
      <w:pPr>
        <w:jc w:val="both"/>
        <w:ind w:left="340" w:right="3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333-46024, 333-82233, 333-58235, 333-06577, 333-73512, 333-109042, 333-127488, 333-155263 and 333-170210) of Integra LifeSciences Holdings Corporation and its Subsidiaries of our report dated February 25, 2013 relating to the consolidated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right="3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2012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John B. Henneman, III, Corporate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660" w:right="44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2012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7"/>
    </w:lvl>
  </w:abstractNum>
  <w:abstractNum w:abstractNumId="11">
    <w:nsid w:val="4516DDE9"/>
    <w:multiLevelType w:val="hybridMultilevel"/>
    <w:lvl w:ilvl="0">
      <w:lvlJc w:val="left"/>
      <w:lvlText w:val="(%1)"/>
      <w:numFmt w:val="decimal"/>
      <w:start w:val="1"/>
    </w:lvl>
    <w:lvl w:ilvl="1">
      <w:lvlJc w:val="left"/>
      <w:lvlText w:val="(%2)"/>
      <w:numFmt w:val="decimal"/>
      <w:start w:val="3"/>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lowerLetter"/>
      <w:start w:val="24"/>
    </w:lvl>
  </w:abstractNum>
  <w:abstractNum w:abstractNumId="17">
    <w:nsid w:val="5072367"/>
    <w:multiLevelType w:val="hybridMultilevel"/>
    <w:lvl w:ilvl="0">
      <w:lvlJc w:val="left"/>
      <w:lvlText w:val="(%1)"/>
      <w:numFmt w:val="lowerLetter"/>
      <w:start w:val="2"/>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decimal"/>
      <w:start w:val="18"/>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3"/>
    </w:lvl>
  </w:abstractNum>
  <w:abstractNum w:abstractNumId="25">
    <w:nsid w:val="2D517796"/>
    <w:multiLevelType w:val="hybridMultilevel"/>
    <w:lvl w:ilvl="0">
      <w:lvlJc w:val="left"/>
      <w:lvlText w:val="(%1)"/>
      <w:numFmt w:val="lowerRoman"/>
      <w:start w:val="3"/>
    </w:lvl>
  </w:abstractNum>
  <w:abstractNum w:abstractNumId="26">
    <w:nsid w:val="580BD78F"/>
    <w:multiLevelType w:val="hybridMultilevel"/>
    <w:lvl w:ilvl="0">
      <w:lvlJc w:val="left"/>
      <w:lvlText w:val="%1."/>
      <w:numFmt w:val="lowerRoman"/>
      <w:start w:val="1"/>
    </w:lvl>
  </w:abstractNum>
  <w:abstractNum w:abstractNumId="27">
    <w:nsid w:val="153EA438"/>
    <w:multiLevelType w:val="hybridMultilevel"/>
    <w:lvl w:ilvl="0">
      <w:lvlJc w:val="left"/>
      <w:lvlText w:val="(%1)"/>
      <w:numFmt w:val="lowerLetter"/>
      <w:start w:val="24"/>
    </w:lvl>
  </w:abstractNum>
  <w:abstractNum w:abstractNumId="28">
    <w:nsid w:val="3855585C"/>
    <w:multiLevelType w:val="hybridMultilevel"/>
    <w:lvl w:ilvl="0">
      <w:lvlJc w:val="left"/>
      <w:lvlText w:val="(%1)"/>
      <w:numFmt w:val="lowerLetter"/>
      <w:start w:val="2"/>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Roman"/>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8"/>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Roman"/>
      <w:start w:val="2"/>
    </w:lvl>
  </w:abstractNum>
  <w:abstractNum w:abstractNumId="39">
    <w:nsid w:val="6DE91B18"/>
    <w:multiLevelType w:val="hybridMultilevel"/>
    <w:lvl w:ilvl="0">
      <w:lvlJc w:val="left"/>
      <w:lvlText w:val="(%1)"/>
      <w:numFmt w:val="decimal"/>
      <w:start w:val="12"/>
    </w:lvl>
  </w:abstractNum>
  <w:abstractNum w:abstractNumId="40">
    <w:nsid w:val="38437FDB"/>
    <w:multiLevelType w:val="hybridMultilevel"/>
    <w:lvl w:ilvl="0">
      <w:lvlJc w:val="left"/>
      <w:lvlText w:val="(%1)"/>
      <w:numFmt w:val="lowerRoman"/>
      <w:start w:val="1"/>
    </w:lvl>
  </w:abstractNum>
  <w:abstractNum w:abstractNumId="41">
    <w:nsid w:val="7644A45C"/>
    <w:multiLevelType w:val="hybridMultilevel"/>
    <w:lvl w:ilvl="0">
      <w:lvlJc w:val="left"/>
      <w:lvlText w:val="(%1)"/>
      <w:numFmt w:val="decimal"/>
      <w:start w:val="12"/>
    </w:lvl>
  </w:abstractNum>
  <w:abstractNum w:abstractNumId="42">
    <w:nsid w:val="32FFF902"/>
    <w:multiLevelType w:val="hybridMultilevel"/>
    <w:lvl w:ilvl="0">
      <w:lvlJc w:val="left"/>
      <w:lvlText w:val="(%1)"/>
      <w:numFmt w:val="lowerRoman"/>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1"/>
    </w:lvl>
    <w:lvl w:ilvl="1">
      <w:lvlJc w:val="left"/>
      <w:lvlText w:val="(%2)"/>
      <w:numFmt w:val="lowerRoman"/>
      <w:start w:val="2"/>
    </w:lvl>
  </w:abstractNum>
  <w:abstractNum w:abstractNumId="45">
    <w:nsid w:val="749ABB43"/>
    <w:multiLevelType w:val="hybridMultilevel"/>
    <w:lvl w:ilvl="0">
      <w:lvlJc w:val="left"/>
      <w:lvlText w:val="%1."/>
      <w:numFmt w:val="decimal"/>
      <w:start w:val="3"/>
    </w:lvl>
    <w:lvl w:ilvl="1">
      <w:lvlJc w:val="left"/>
      <w:lvlText w:val="%2"/>
      <w:numFmt w:val="lowerRoman"/>
      <w:start w:val="1"/>
    </w:lvl>
  </w:abstractNum>
  <w:abstractNum w:abstractNumId="46">
    <w:nsid w:val="3DC240FB"/>
    <w:multiLevelType w:val="hybridMultilevel"/>
    <w:lvl w:ilvl="0">
      <w:lvlJc w:val="left"/>
      <w:lvlText w:val="(%1)"/>
      <w:numFmt w:val="lowerRoman"/>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lvl w:ilvl="1">
      <w:lvlJc w:val="left"/>
      <w:lvlText w:val="(%2)"/>
      <w:numFmt w:val="lowerRoman"/>
      <w:start w:val="2"/>
    </w:lvl>
  </w:abstractNum>
  <w:abstractNum w:abstractNumId="49">
    <w:nsid w:val="75C6C33A"/>
    <w:multiLevelType w:val="hybridMultilevel"/>
    <w:lvl w:ilvl="0">
      <w:lvlJc w:val="left"/>
      <w:lvlText w:val="%1."/>
      <w:numFmt w:val="decimal"/>
      <w:start w:val="3"/>
    </w:lvl>
    <w:lvl w:ilvl="1">
      <w:lvlJc w:val="left"/>
      <w:lvlText w:val="%2"/>
      <w:numFmt w:val="lowerRoman"/>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2019-12-06T11:49:53Z</dcterms:created>
  <dcterms:modified xsi:type="dcterms:W3CDTF">2019-12-06T11:49:53Z</dcterms:modified>
</cp:coreProperties>
</file>