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ind w:left="680" w:hanging="443"/>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2022</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ind w:left="680" w:hanging="443"/>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350" w:lineRule="exact"/>
        <w:rPr>
          <w:sz w:val="24"/>
          <w:szCs w:val="24"/>
          <w:color w:val="auto"/>
        </w:rPr>
      </w:pPr>
    </w:p>
    <w:p>
      <w:pPr>
        <w:ind w:left="394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0-26224</w:t>
      </w: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40" w:lineRule="exact"/>
        <w:rPr>
          <w:sz w:val="24"/>
          <w:szCs w:val="24"/>
          <w:color w:val="auto"/>
        </w:rPr>
      </w:pPr>
    </w:p>
    <w:tbl>
      <w:tblPr>
        <w:tblLayout w:type="fixed"/>
        <w:tblInd w:w="1020" w:type="dxa"/>
        <w:tblCellMar>
          <w:top w:w="0" w:type="dxa"/>
          <w:left w:w="0" w:type="dxa"/>
          <w:bottom w:w="0" w:type="dxa"/>
          <w:right w:w="0" w:type="dxa"/>
        </w:tblCellMar>
      </w:tblPr>
      <w:tr>
        <w:trPr>
          <w:trHeight w:val="227"/>
        </w:trPr>
        <w:tc>
          <w:tcPr>
            <w:tcW w:w="4980" w:type="dxa"/>
            <w:vAlign w:val="bottom"/>
          </w:tcPr>
          <w:p>
            <w:pPr>
              <w:jc w:val="center"/>
              <w:ind w:right="14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51-0317849</w:t>
            </w:r>
          </w:p>
        </w:tc>
        <w:tc>
          <w:tcPr>
            <w:tcW w:w="0" w:type="dxa"/>
            <w:vAlign w:val="bottom"/>
          </w:tcPr>
          <w:p>
            <w:pPr>
              <w:spacing w:after="0"/>
              <w:rPr>
                <w:sz w:val="1"/>
                <w:szCs w:val="1"/>
                <w:color w:val="auto"/>
              </w:rPr>
            </w:pPr>
          </w:p>
        </w:tc>
      </w:tr>
      <w:tr>
        <w:trPr>
          <w:trHeight w:val="149"/>
        </w:trPr>
        <w:tc>
          <w:tcPr>
            <w:tcW w:w="4980" w:type="dxa"/>
            <w:vAlign w:val="bottom"/>
          </w:tcPr>
          <w:p>
            <w:pPr>
              <w:jc w:val="center"/>
              <w:ind w:right="15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5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980" w:type="dxa"/>
            <w:vAlign w:val="bottom"/>
          </w:tcPr>
          <w:p>
            <w:pPr>
              <w:jc w:val="center"/>
              <w:ind w:right="14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501"/>
        </w:trPr>
        <w:tc>
          <w:tcPr>
            <w:tcW w:w="4980" w:type="dxa"/>
            <w:vAlign w:val="bottom"/>
          </w:tcPr>
          <w:p>
            <w:pPr>
              <w:jc w:val="center"/>
              <w:ind w:right="1499"/>
              <w:spacing w:after="0"/>
              <w:rPr>
                <w:sz w:val="20"/>
                <w:szCs w:val="20"/>
                <w:color w:val="auto"/>
              </w:rPr>
            </w:pPr>
            <w:r>
              <w:rPr>
                <w:rFonts w:ascii="Times New Roman" w:cs="Times New Roman" w:eastAsia="Times New Roman" w:hAnsi="Times New Roman"/>
                <w:sz w:val="18"/>
                <w:szCs w:val="18"/>
                <w:b w:val="1"/>
                <w:bCs w:val="1"/>
                <w:color w:val="auto"/>
                <w:w w:val="98"/>
              </w:rPr>
              <w:t>1100 Campus Road</w:t>
            </w:r>
          </w:p>
        </w:tc>
        <w:tc>
          <w:tcPr>
            <w:tcW w:w="3160" w:type="dxa"/>
            <w:vAlign w:val="bottom"/>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08540</w:t>
            </w:r>
          </w:p>
        </w:tc>
        <w:tc>
          <w:tcPr>
            <w:tcW w:w="0" w:type="dxa"/>
            <w:vAlign w:val="bottom"/>
          </w:tcPr>
          <w:p>
            <w:pPr>
              <w:spacing w:after="0"/>
              <w:rPr>
                <w:sz w:val="1"/>
                <w:szCs w:val="1"/>
                <w:color w:val="auto"/>
              </w:rPr>
            </w:pPr>
          </w:p>
        </w:tc>
      </w:tr>
      <w:tr>
        <w:trPr>
          <w:trHeight w:val="227"/>
        </w:trPr>
        <w:tc>
          <w:tcPr>
            <w:tcW w:w="4980" w:type="dxa"/>
            <w:vAlign w:val="bottom"/>
          </w:tcPr>
          <w:p>
            <w:pPr>
              <w:jc w:val="center"/>
              <w:ind w:right="1519"/>
              <w:spacing w:after="0"/>
              <w:rPr>
                <w:sz w:val="20"/>
                <w:szCs w:val="20"/>
                <w:color w:val="auto"/>
              </w:rPr>
            </w:pPr>
            <w:r>
              <w:rPr>
                <w:rFonts w:ascii="Times New Roman" w:cs="Times New Roman" w:eastAsia="Times New Roman" w:hAnsi="Times New Roman"/>
                <w:sz w:val="18"/>
                <w:szCs w:val="18"/>
                <w:b w:val="1"/>
                <w:bCs w:val="1"/>
                <w:color w:val="auto"/>
              </w:rPr>
              <w:t>Princeton ,  New Jersey</w:t>
            </w:r>
          </w:p>
        </w:tc>
        <w:tc>
          <w:tcPr>
            <w:tcW w:w="3160" w:type="dxa"/>
            <w:vAlign w:val="bottom"/>
            <w:vMerge w:val="restart"/>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82"/>
        </w:trPr>
        <w:tc>
          <w:tcPr>
            <w:tcW w:w="4980" w:type="dxa"/>
            <w:vAlign w:val="bottom"/>
            <w:vMerge w:val="restart"/>
          </w:tcPr>
          <w:p>
            <w:pPr>
              <w:jc w:val="center"/>
              <w:ind w:right="15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980" w:type="dxa"/>
            <w:vAlign w:val="bottom"/>
            <w:vMerge w:val="continue"/>
          </w:tcPr>
          <w:p>
            <w:pPr>
              <w:spacing w:after="0"/>
              <w:rPr>
                <w:sz w:val="9"/>
                <w:szCs w:val="9"/>
                <w:color w:val="auto"/>
              </w:rPr>
            </w:pPr>
          </w:p>
        </w:tc>
        <w:tc>
          <w:tcPr>
            <w:tcW w:w="3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(609) 275-0500</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40"/>
          </w:cols>
          <w:pgMar w:left="320" w:top="1033" w:right="339" w:bottom="1440" w:gutter="0" w:footer="0" w:header="0"/>
        </w:sectPr>
      </w:pPr>
    </w:p>
    <w:p>
      <w:pPr>
        <w:spacing w:after="0" w:line="167"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4" w:lineRule="exact"/>
        <w:rPr>
          <w:sz w:val="24"/>
          <w:szCs w:val="24"/>
          <w:color w:val="auto"/>
        </w:rPr>
      </w:pPr>
    </w:p>
    <w:p>
      <w:pPr>
        <w:sectPr>
          <w:pgSz w:w="11900" w:h="16838" w:orient="portrait"/>
          <w:cols w:equalWidth="0" w:num="3">
            <w:col w:w="3220" w:space="720"/>
            <w:col w:w="1720" w:space="720"/>
            <w:col w:w="4860"/>
          </w:cols>
          <w:pgMar w:left="320" w:top="1033" w:right="3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6"/>
          <w:szCs w:val="16"/>
          <w:color w:val="auto"/>
        </w:rPr>
        <w:t>Common Stock, Par 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IART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Nasdaq Global Select Market</w:t>
      </w:r>
    </w:p>
    <w:p>
      <w:pPr>
        <w:spacing w:after="0" w:line="200" w:lineRule="exact"/>
        <w:rPr>
          <w:sz w:val="24"/>
          <w:szCs w:val="24"/>
          <w:color w:val="auto"/>
        </w:rPr>
      </w:pPr>
    </w:p>
    <w:p>
      <w:pPr>
        <w:sectPr>
          <w:pgSz w:w="11900" w:h="16838" w:orient="portrait"/>
          <w:cols w:equalWidth="0" w:num="3">
            <w:col w:w="3800" w:space="720"/>
            <w:col w:w="2320" w:space="720"/>
            <w:col w:w="3680"/>
          </w:cols>
          <w:pgMar w:left="320" w:top="1033" w:right="339" w:bottom="1440" w:gutter="0" w:footer="0" w:header="0"/>
          <w:type w:val="continuous"/>
        </w:sectPr>
      </w:pPr>
    </w:p>
    <w:p>
      <w:pPr>
        <w:spacing w:after="0" w:line="116"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20"/>
        <w:spacing w:after="0" w:line="184" w:lineRule="exact"/>
        <w:tabs>
          <w:tab w:leader="none" w:pos="74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50" w:lineRule="exact"/>
        <w:rPr>
          <w:sz w:val="24"/>
          <w:szCs w:val="24"/>
          <w:color w:val="auto"/>
        </w:rPr>
      </w:pPr>
    </w:p>
    <w:p>
      <w:pPr>
        <w:ind w:right="40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4" w:lineRule="exact"/>
        <w:rPr>
          <w:sz w:val="24"/>
          <w:szCs w:val="24"/>
          <w:color w:val="auto"/>
        </w:rPr>
      </w:pPr>
    </w:p>
    <w:p>
      <w:pPr>
        <w:jc w:val="both"/>
        <w:ind w:right="26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923290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54"/>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4"/>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5"/>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98" w:lineRule="exact"/>
        <w:rPr>
          <w:sz w:val="20"/>
          <w:szCs w:val="20"/>
          <w:color w:val="auto"/>
        </w:rPr>
      </w:pPr>
    </w:p>
    <w:p>
      <w:pPr>
        <w:ind w:right="1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0"/>
          <w:szCs w:val="20"/>
          <w:color w:val="auto"/>
        </w:rPr>
      </w:pPr>
    </w:p>
    <w:p>
      <w:pPr>
        <w:ind w:right="2840"/>
        <w:spacing w:after="0" w:line="26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$0.01 par value, outstanding as of April 25, 2022 was 83,135,133.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004" w:right="7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r>
      <w:tr>
        <w:trPr>
          <w:trHeight w:val="159"/>
        </w:trPr>
        <w:tc>
          <w:tcPr>
            <w:tcW w:w="20" w:type="dxa"/>
            <w:vAlign w:val="bottom"/>
          </w:tcPr>
          <w:p>
            <w:pPr>
              <w:spacing w:after="0"/>
              <w:rPr>
                <w:sz w:val="13"/>
                <w:szCs w:val="13"/>
                <w:color w:val="auto"/>
              </w:rPr>
            </w:pPr>
          </w:p>
        </w:tc>
        <w:tc>
          <w:tcPr>
            <w:tcW w:w="2600" w:type="dxa"/>
            <w:vAlign w:val="bottom"/>
            <w:tcBorders>
              <w:bottom w:val="single" w:sz="8" w:color="0000FF"/>
            </w:tcBorders>
            <w:gridSpan w:val="9"/>
          </w:tcPr>
          <w:p>
            <w:pPr>
              <w:spacing w:after="0" w:line="159" w:lineRule="exact"/>
              <w:rPr>
                <w:sz w:val="20"/>
                <w:szCs w:val="20"/>
                <w:color w:val="auto"/>
              </w:rPr>
            </w:pPr>
            <w:r>
              <w:rPr>
                <w:rFonts w:ascii="Times New Roman" w:cs="Times New Roman" w:eastAsia="Times New Roman" w:hAnsi="Times New Roman"/>
                <w:sz w:val="16"/>
                <w:szCs w:val="16"/>
                <w:color w:val="0000FF"/>
                <w:w w:val="99"/>
              </w:rPr>
              <w:t>PART I. FINANCIAL INFORMATION</w:t>
            </w:r>
          </w:p>
        </w:tc>
        <w:tc>
          <w:tcPr>
            <w:tcW w:w="7360" w:type="dxa"/>
            <w:vAlign w:val="bottom"/>
            <w:gridSpan w:val="8"/>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0"/>
        </w:trPr>
        <w:tc>
          <w:tcPr>
            <w:tcW w:w="20" w:type="dxa"/>
            <w:vAlign w:val="bottom"/>
          </w:tcPr>
          <w:p>
            <w:pPr>
              <w:spacing w:after="0"/>
              <w:rPr>
                <w:sz w:val="21"/>
                <w:szCs w:val="21"/>
                <w:color w:val="auto"/>
              </w:rPr>
            </w:pPr>
          </w:p>
        </w:tc>
        <w:tc>
          <w:tcPr>
            <w:tcW w:w="18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Item 1. Financial Statements</w:t>
            </w:r>
          </w:p>
        </w:tc>
        <w:tc>
          <w:tcPr>
            <w:tcW w:w="8100" w:type="dxa"/>
            <w:vAlign w:val="bottom"/>
            <w:gridSpan w:val="11"/>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4</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9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Condensed Consolidated Statements of Operations and Comprehensive Income for the three months ended March 31, 2022 and 2021 (Unaudited)</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4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Condensed Consolidated Balance Sheets as of March 31, 2022 and December 31, 2021 (Unaudited)</w:t>
            </w:r>
          </w:p>
        </w:tc>
        <w:tc>
          <w:tcPr>
            <w:tcW w:w="50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5</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 for the three months ended March 31, 2022 and 2021 (Unaudited)</w:t>
            </w:r>
          </w:p>
        </w:tc>
        <w:tc>
          <w:tcPr>
            <w:tcW w:w="2300" w:type="dxa"/>
            <w:vAlign w:val="bottom"/>
            <w:gridSpan w:val="3"/>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6</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0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Condensed Consolidated Statements of Changes in Shareholders' Equity for the three months ended March 31, 2022 and 2021 (Unaudited)</w:t>
            </w:r>
          </w:p>
        </w:tc>
        <w:tc>
          <w:tcPr>
            <w:tcW w:w="940" w:type="dxa"/>
            <w:vAlign w:val="bottom"/>
            <w:gridSpan w:val="2"/>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7</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3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Notes to Unaudited Condensed Consolidated Financial Statements</w:t>
            </w:r>
          </w:p>
        </w:tc>
        <w:tc>
          <w:tcPr>
            <w:tcW w:w="5640" w:type="dxa"/>
            <w:vAlign w:val="bottom"/>
            <w:gridSpan w:val="7"/>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8</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3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3640" w:type="dxa"/>
            <w:vAlign w:val="bottom"/>
            <w:gridSpan w:val="5"/>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31</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9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41</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1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Item 4. Controls and Procedures</w:t>
            </w:r>
          </w:p>
        </w:tc>
        <w:tc>
          <w:tcPr>
            <w:tcW w:w="2320" w:type="dxa"/>
            <w:vAlign w:val="bottom"/>
            <w:tcBorders>
              <w:top w:val="single" w:sz="8" w:color="0000FF"/>
            </w:tcBorders>
            <w:gridSpan w:val="4"/>
          </w:tcPr>
          <w:p>
            <w:pPr>
              <w:spacing w:after="0"/>
              <w:rPr>
                <w:sz w:val="21"/>
                <w:szCs w:val="21"/>
                <w:color w:val="auto"/>
              </w:rPr>
            </w:pPr>
          </w:p>
        </w:tc>
        <w:tc>
          <w:tcPr>
            <w:tcW w:w="5540" w:type="dxa"/>
            <w:vAlign w:val="bottom"/>
            <w:gridSpan w:val="6"/>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42</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9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PART II. OTHER INFORMATION</w:t>
            </w: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Item 1. Legal Proceedings</w:t>
            </w:r>
          </w:p>
        </w:tc>
        <w:tc>
          <w:tcPr>
            <w:tcW w:w="7640" w:type="dxa"/>
            <w:vAlign w:val="bottom"/>
            <w:gridSpan w:val="9"/>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4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260" w:type="dxa"/>
            <w:vAlign w:val="bottom"/>
            <w:tcBorders>
              <w:top w:val="single" w:sz="8" w:color="0000FF"/>
            </w:tcBorders>
            <w:gridSpan w:val="2"/>
          </w:tcPr>
          <w:p>
            <w:pPr>
              <w:spacing w:after="0"/>
              <w:rPr>
                <w:sz w:val="21"/>
                <w:szCs w:val="21"/>
                <w:color w:val="auto"/>
              </w:rPr>
            </w:pPr>
          </w:p>
        </w:tc>
        <w:tc>
          <w:tcPr>
            <w:tcW w:w="8260" w:type="dxa"/>
            <w:vAlign w:val="bottom"/>
            <w:gridSpan w:val="12"/>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42</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Item 2. Unregistered Sales of Equity Securities and Use of Proceeds</w:t>
            </w:r>
          </w:p>
        </w:tc>
        <w:tc>
          <w:tcPr>
            <w:tcW w:w="5540" w:type="dxa"/>
            <w:vAlign w:val="bottom"/>
            <w:gridSpan w:val="6"/>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43</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1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Item 4. Mine Safety Disclosures</w:t>
            </w:r>
          </w:p>
        </w:tc>
        <w:tc>
          <w:tcPr>
            <w:tcW w:w="7860" w:type="dxa"/>
            <w:vAlign w:val="bottom"/>
            <w:gridSpan w:val="10"/>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43</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9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Item 5. Other Information</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43</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6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Item 6. Exhibits</w:t>
            </w:r>
          </w:p>
        </w:tc>
        <w:tc>
          <w:tcPr>
            <w:tcW w:w="8280" w:type="dxa"/>
            <w:vAlign w:val="bottom"/>
            <w:gridSpan w:val="13"/>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44</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0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8920" w:type="dxa"/>
            <w:vAlign w:val="bottom"/>
            <w:gridSpan w:val="15"/>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45</w:t>
            </w:r>
          </w:p>
        </w:tc>
        <w:tc>
          <w:tcPr>
            <w:tcW w:w="20" w:type="dxa"/>
            <w:vAlign w:val="bottom"/>
          </w:tcPr>
          <w:p>
            <w:pPr>
              <w:spacing w:after="0"/>
              <w:rPr>
                <w:sz w:val="21"/>
                <w:szCs w:val="21"/>
                <w:color w:val="auto"/>
              </w:rPr>
            </w:pPr>
          </w:p>
        </w:tc>
      </w:tr>
      <w:tr>
        <w:trPr>
          <w:trHeight w:val="1243"/>
        </w:trPr>
        <w:tc>
          <w:tcPr>
            <w:tcW w:w="20" w:type="dxa"/>
            <w:vAlign w:val="bottom"/>
            <w:tcBorders>
              <w:bottom w:val="single" w:sz="8" w:color="9A9A9A"/>
            </w:tcBorders>
          </w:tcPr>
          <w:p>
            <w:pPr>
              <w:spacing w:after="0"/>
              <w:rPr>
                <w:sz w:val="24"/>
                <w:szCs w:val="24"/>
                <w:color w:val="auto"/>
              </w:rPr>
            </w:pPr>
          </w:p>
        </w:tc>
        <w:tc>
          <w:tcPr>
            <w:tcW w:w="10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376,638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360,071</w:t>
            </w:r>
          </w:p>
        </w:tc>
      </w:tr>
      <w:tr>
        <w:trPr>
          <w:trHeight w:val="216"/>
        </w:trPr>
        <w:tc>
          <w:tcPr>
            <w:tcW w:w="8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142,569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145,823</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22,374</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156,633</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4,527</w:t>
            </w:r>
          </w:p>
        </w:tc>
      </w:tr>
      <w:tr>
        <w:trPr>
          <w:trHeight w:val="207"/>
        </w:trPr>
        <w:tc>
          <w:tcPr>
            <w:tcW w:w="82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330,474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329,357</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46,164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30,714</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(12,929)</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from the sale of business</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42,876</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w:t>
            </w:r>
          </w:p>
        </w:tc>
      </w:tr>
      <w:tr>
        <w:trPr>
          <w:trHeight w:val="20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67,278</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21,884</w:t>
            </w: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32,901</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45,394</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8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4"/>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r>
      <w:tr>
        <w:trPr>
          <w:trHeight w:val="213"/>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r>
      <w:tr>
        <w:trPr>
          <w:trHeight w:val="273"/>
        </w:trPr>
        <w:tc>
          <w:tcPr>
            <w:tcW w:w="8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14"/>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 (See Note 13):</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83,632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84,500</w:t>
            </w:r>
          </w:p>
        </w:tc>
      </w:tr>
      <w:tr>
        <w:trPr>
          <w:trHeight w:val="213"/>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84,276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85,258</w:t>
            </w: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(See Note 14)</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57,031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75,826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513,448</w:t>
            </w:r>
          </w:p>
        </w:tc>
        <w:tc>
          <w:tcPr>
            <w:tcW w:w="0" w:type="dxa"/>
            <w:vAlign w:val="bottom"/>
          </w:tcPr>
          <w:p>
            <w:pPr>
              <w:spacing w:after="0"/>
              <w:rPr>
                <w:sz w:val="1"/>
                <w:szCs w:val="1"/>
                <w:color w:val="auto"/>
              </w:rPr>
            </w:pPr>
          </w:p>
        </w:tc>
      </w:tr>
      <w:tr>
        <w:trPr>
          <w:trHeight w:val="213"/>
        </w:trPr>
        <w:tc>
          <w:tcPr>
            <w:tcW w:w="7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Trade accounts receivable, net of allowances of $3,895 and $4,735</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231,831</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328,005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317,386</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96,946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91,051</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1,066,053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1,153,716</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311,703</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 of use asset - operating leases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84,543</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1,121,971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1,145,573</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1,008,928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1,013,458</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56,950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16,440</w:t>
            </w:r>
          </w:p>
        </w:tc>
        <w:tc>
          <w:tcPr>
            <w:tcW w:w="0" w:type="dxa"/>
            <w:vAlign w:val="bottom"/>
          </w:tcPr>
          <w:p>
            <w:pPr>
              <w:spacing w:after="0"/>
              <w:rPr>
                <w:sz w:val="1"/>
                <w:szCs w:val="1"/>
                <w:color w:val="auto"/>
              </w:rPr>
            </w:pPr>
          </w:p>
        </w:tc>
      </w:tr>
      <w:tr>
        <w:trPr>
          <w:trHeight w:val="212"/>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3,671,997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3,782,383</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portion of borrowings under senior credit facility</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0" w:type="dxa"/>
            <w:vAlign w:val="bottom"/>
          </w:tcPr>
          <w:p>
            <w:pPr>
              <w:spacing w:after="0"/>
              <w:rPr>
                <w:sz w:val="1"/>
                <w:szCs w:val="1"/>
                <w:color w:val="auto"/>
              </w:rPr>
            </w:pPr>
          </w:p>
        </w:tc>
      </w:tr>
      <w:tr>
        <w:trPr>
          <w:trHeight w:val="213"/>
        </w:trPr>
        <w:tc>
          <w:tcPr>
            <w:tcW w:w="7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portion of lease liability - operating leases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14,775</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 trade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61,837</w:t>
            </w:r>
          </w:p>
        </w:tc>
        <w:tc>
          <w:tcPr>
            <w:tcW w:w="0" w:type="dxa"/>
            <w:vAlign w:val="bottom"/>
          </w:tcPr>
          <w:p>
            <w:pPr>
              <w:spacing w:after="0"/>
              <w:rPr>
                <w:sz w:val="1"/>
                <w:szCs w:val="1"/>
                <w:color w:val="auto"/>
              </w:rPr>
            </w:pPr>
          </w:p>
        </w:tc>
      </w:tr>
      <w:tr>
        <w:trPr>
          <w:trHeight w:val="213"/>
        </w:trPr>
        <w:tc>
          <w:tcPr>
            <w:tcW w:w="7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Contract liabilities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5,295</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compensation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92,656</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105,342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120,458</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340,021</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borrowings under senior credit facility</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824,772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824,257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borrowings under securitization facility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112,500</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convertible securities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565,155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564,426</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90,329</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45,788</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120,258</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2,056,800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2,097,579</w:t>
            </w:r>
          </w:p>
        </w:tc>
        <w:tc>
          <w:tcPr>
            <w:tcW w:w="0" w:type="dxa"/>
            <w:vAlign w:val="bottom"/>
          </w:tcPr>
          <w:p>
            <w:pPr>
              <w:spacing w:after="0"/>
              <w:rPr>
                <w:sz w:val="1"/>
                <w:szCs w:val="1"/>
                <w:color w:val="auto"/>
              </w:rPr>
            </w:pPr>
          </w:p>
        </w:tc>
      </w:tr>
      <w:tr>
        <w:trPr>
          <w:trHeight w:val="19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Preferred stock; no par value; 15,000 authorized shares; none outstanding</w:t>
            </w: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84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Common stock; $0.01 par value; 240,000 authorized shares; 89,956 and 89,600 issued at March 31, 2022 and</w:t>
            </w:r>
          </w:p>
        </w:tc>
        <w:tc>
          <w:tcPr>
            <w:tcW w:w="2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2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1,266,739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1,264,943</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Treasury stock, at cost; 6,823 shares and 4,899 shares at March 31, 2022 and December 31, 2021, respectively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(362,886)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(234,448)</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(45,155)</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731,469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698,568</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1,615,197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1,684,804</w:t>
            </w:r>
          </w:p>
        </w:tc>
        <w:tc>
          <w:tcPr>
            <w:tcW w:w="0" w:type="dxa"/>
            <w:vAlign w:val="bottom"/>
          </w:tcPr>
          <w:p>
            <w:pPr>
              <w:spacing w:after="0"/>
              <w:rPr>
                <w:sz w:val="1"/>
                <w:szCs w:val="1"/>
                <w:color w:val="auto"/>
              </w:rPr>
            </w:pPr>
          </w:p>
        </w:tc>
      </w:tr>
      <w:tr>
        <w:trPr>
          <w:trHeight w:val="23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3,671,997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3,782,383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r>
      <w:tr>
        <w:trPr>
          <w:trHeight w:val="20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32,901</w:t>
            </w:r>
          </w:p>
        </w:tc>
        <w:tc>
          <w:tcPr>
            <w:tcW w:w="120" w:type="dxa"/>
            <w:vAlign w:val="bottom"/>
          </w:tcPr>
          <w:p>
            <w:pPr>
              <w:spacing w:after="0"/>
              <w:rPr>
                <w:sz w:val="18"/>
                <w:szCs w:val="18"/>
                <w:color w:val="auto"/>
              </w:rPr>
            </w:pP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45,394</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29,214</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impairment charges</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 provision (benefit)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6,334</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 and expenses associated with debt refinancing</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lease expense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from the sale of business</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(42,876)</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 value of contingent consideration and others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7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16,756</w:t>
            </w:r>
          </w:p>
        </w:tc>
      </w:tr>
      <w:tr>
        <w:trPr>
          <w:trHeight w:val="21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Inventories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w:t>
            </w:r>
          </w:p>
        </w:tc>
      </w:tr>
      <w:tr>
        <w:trPr>
          <w:trHeight w:val="213"/>
        </w:trPr>
        <w:tc>
          <w:tcPr>
            <w:tcW w:w="7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w:t>
            </w:r>
          </w:p>
        </w:tc>
      </w:tr>
      <w:tr>
        <w:trPr>
          <w:trHeight w:val="21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non-current assets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10,419</w:t>
            </w:r>
          </w:p>
        </w:tc>
      </w:tr>
      <w:tr>
        <w:trPr>
          <w:trHeight w:val="213"/>
        </w:trPr>
        <w:tc>
          <w:tcPr>
            <w:tcW w:w="7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14,449</w:t>
            </w:r>
          </w:p>
        </w:tc>
      </w:tr>
      <w:tr>
        <w:trPr>
          <w:trHeight w:val="21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Contract liabilities</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3"/>
        </w:trPr>
        <w:tc>
          <w:tcPr>
            <w:tcW w:w="78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(9,662)</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44,344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69,081</w:t>
            </w: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(9,325)</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(6,675)</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Extremity Orthopedics business</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191,736</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in-process research and development milestone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business acquisitions, net of cash acquired</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(302,627)</w:t>
            </w:r>
          </w:p>
        </w:tc>
      </w:tr>
      <w:tr>
        <w:trPr>
          <w:trHeight w:val="212"/>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9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(14,067)</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(117,566)</w:t>
            </w: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borrowings of long-term indebtedness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debt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(125,000)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exercised stock options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taxes paid in net equity settlement</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(9,204)</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w:t>
            </w:r>
          </w:p>
        </w:tc>
      </w:tr>
      <w:tr>
        <w:trPr>
          <w:trHeight w:val="20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(133,465)</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(3,015)</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(9,690)</w:t>
            </w:r>
          </w:p>
        </w:tc>
      </w:tr>
      <w:tr>
        <w:trPr>
          <w:trHeight w:val="20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(106,356)</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(61,190)</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513,448</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470,166</w:t>
            </w: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98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407,092</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408,976</w:t>
            </w:r>
          </w:p>
        </w:tc>
      </w:tr>
      <w:tr>
        <w:trPr>
          <w:trHeight w:val="23"/>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SHAREHOLDERS'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33655</wp:posOffset>
            </wp:positionV>
            <wp:extent cx="51689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6890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January 1, 2022</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p>
      <w:pPr>
        <w:spacing w:after="0" w:line="42" w:lineRule="exact"/>
        <w:rPr>
          <w:sz w:val="20"/>
          <w:szCs w:val="20"/>
          <w:color w:val="auto"/>
        </w:rPr>
      </w:pPr>
    </w:p>
    <w:p>
      <w:pPr>
        <w:ind w:left="20" w:right="100"/>
        <w:spacing w:after="0" w:line="251" w:lineRule="auto"/>
        <w:rPr>
          <w:sz w:val="20"/>
          <w:szCs w:val="20"/>
          <w:color w:val="auto"/>
        </w:rPr>
      </w:pPr>
      <w:r>
        <w:rPr>
          <w:rFonts w:ascii="Times New Roman" w:cs="Times New Roman" w:eastAsia="Times New Roman" w:hAnsi="Times New Roman"/>
          <w:sz w:val="14"/>
          <w:szCs w:val="14"/>
          <w:color w:val="auto"/>
        </w:rPr>
        <w:t>Issuance of common stock through employee stock purchase plan</w:t>
      </w:r>
    </w:p>
    <w:p>
      <w:pPr>
        <w:spacing w:after="0" w:line="1" w:lineRule="exact"/>
        <w:rPr>
          <w:sz w:val="20"/>
          <w:szCs w:val="20"/>
          <w:color w:val="auto"/>
        </w:rPr>
      </w:pPr>
    </w:p>
    <w:p>
      <w:pPr>
        <w:ind w:left="20"/>
        <w:spacing w:after="0" w:line="251" w:lineRule="auto"/>
        <w:rPr>
          <w:sz w:val="20"/>
          <w:szCs w:val="20"/>
          <w:color w:val="auto"/>
        </w:rPr>
      </w:pPr>
      <w:r>
        <w:rPr>
          <w:rFonts w:ascii="Times New Roman" w:cs="Times New Roman" w:eastAsia="Times New Roman" w:hAnsi="Times New Roman"/>
          <w:sz w:val="14"/>
          <w:szCs w:val="14"/>
          <w:color w:val="auto"/>
        </w:rPr>
        <w:t>Issuance of common stock for vesting of share based awards, net of shares withheld for taxes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8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8"/>
                <w:szCs w:val="18"/>
                <w:color w:val="auto"/>
              </w:rPr>
            </w:pP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83"/>
        </w:trPr>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3"/>
            <w:vMerge w:val="restart"/>
          </w:tcPr>
          <w:p>
            <w:pPr>
              <w:jc w:val="right"/>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7"/>
                <w:szCs w:val="7"/>
                <w:color w:val="auto"/>
              </w:rPr>
            </w:pPr>
          </w:p>
        </w:tc>
        <w:tc>
          <w:tcPr>
            <w:tcW w:w="1260" w:type="dxa"/>
            <w:vAlign w:val="bottom"/>
            <w:gridSpan w:val="2"/>
          </w:tcPr>
          <w:p>
            <w:pPr>
              <w:jc w:val="center"/>
              <w:ind w:right="220"/>
              <w:spacing w:after="0" w:line="84"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880" w:type="dxa"/>
            <w:vAlign w:val="bottom"/>
            <w:gridSpan w:val="2"/>
            <w:vMerge w:val="restart"/>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0"/>
                <w:szCs w:val="10"/>
                <w:color w:val="auto"/>
              </w:rPr>
            </w:pPr>
          </w:p>
        </w:tc>
        <w:tc>
          <w:tcPr>
            <w:tcW w:w="7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8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89,600</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80" w:type="dxa"/>
            <w:vAlign w:val="bottom"/>
          </w:tcPr>
          <w:p>
            <w:pPr>
              <w:spacing w:after="0"/>
              <w:rPr>
                <w:sz w:val="16"/>
                <w:szCs w:val="16"/>
                <w:color w:val="auto"/>
              </w:rPr>
            </w:pPr>
          </w:p>
        </w:tc>
        <w:tc>
          <w:tcPr>
            <w:tcW w:w="7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(4,899)</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(234,448)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1,264,943</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(45,155)</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   698,568</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1,684,804</w:t>
            </w:r>
          </w:p>
        </w:tc>
        <w:tc>
          <w:tcPr>
            <w:tcW w:w="0" w:type="dxa"/>
            <w:vAlign w:val="bottom"/>
          </w:tcPr>
          <w:p>
            <w:pPr>
              <w:spacing w:after="0"/>
              <w:rPr>
                <w:sz w:val="1"/>
                <w:szCs w:val="1"/>
                <w:color w:val="auto"/>
              </w:rPr>
            </w:pPr>
          </w:p>
        </w:tc>
      </w:tr>
      <w:tr>
        <w:trPr>
          <w:trHeight w:val="193"/>
        </w:trPr>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32,901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32,901</w:t>
            </w:r>
          </w:p>
        </w:tc>
        <w:tc>
          <w:tcPr>
            <w:tcW w:w="0" w:type="dxa"/>
            <w:vAlign w:val="bottom"/>
          </w:tcPr>
          <w:p>
            <w:pPr>
              <w:spacing w:after="0"/>
              <w:rPr>
                <w:sz w:val="1"/>
                <w:szCs w:val="1"/>
                <w:color w:val="auto"/>
              </w:rPr>
            </w:pPr>
          </w:p>
        </w:tc>
      </w:tr>
      <w:tr>
        <w:trPr>
          <w:trHeight w:val="203"/>
        </w:trPr>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24,130</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24,130</w:t>
            </w:r>
          </w:p>
        </w:tc>
        <w:tc>
          <w:tcPr>
            <w:tcW w:w="0" w:type="dxa"/>
            <w:vAlign w:val="bottom"/>
          </w:tcPr>
          <w:p>
            <w:pPr>
              <w:spacing w:after="0"/>
              <w:rPr>
                <w:sz w:val="1"/>
                <w:szCs w:val="1"/>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0" w:type="dxa"/>
            <w:vAlign w:val="bottom"/>
          </w:tcPr>
          <w:p>
            <w:pPr>
              <w:spacing w:after="0"/>
              <w:rPr>
                <w:sz w:val="1"/>
                <w:szCs w:val="1"/>
                <w:color w:val="auto"/>
              </w:rPr>
            </w:pPr>
          </w:p>
        </w:tc>
      </w:tr>
      <w:tr>
        <w:trPr>
          <w:trHeight w:val="338"/>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-764540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-499110</wp:posOffset>
            </wp:positionV>
            <wp:extent cx="71323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-156210</wp:posOffset>
            </wp:positionV>
            <wp:extent cx="7132320"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3080" w:space="20"/>
            <w:col w:w="81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6,324</w:t>
            </w:r>
          </w:p>
        </w:tc>
        <w:tc>
          <w:tcPr>
            <w:tcW w:w="0" w:type="dxa"/>
            <w:vAlign w:val="bottom"/>
          </w:tcPr>
          <w:p>
            <w:pPr>
              <w:spacing w:after="0"/>
              <w:rPr>
                <w:sz w:val="1"/>
                <w:szCs w:val="1"/>
                <w:color w:val="auto"/>
              </w:rPr>
            </w:pPr>
          </w:p>
        </w:tc>
      </w:tr>
      <w:tr>
        <w:trPr>
          <w:trHeight w:val="23"/>
        </w:trPr>
        <w:tc>
          <w:tcPr>
            <w:tcW w:w="3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Accelerated shares repurchased</w:t>
            </w: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(1,938)</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(129,152)</w:t>
            </w:r>
          </w:p>
        </w:tc>
        <w:tc>
          <w:tcPr>
            <w:tcW w:w="22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4,152</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189"/>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89,956</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(6,823)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(362,886)</w:t>
            </w:r>
          </w:p>
        </w:tc>
        <w:tc>
          <w:tcPr>
            <w:tcW w:w="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1,266,739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(21,025)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731,469</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1,615,197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2"/>
        </w:trPr>
        <w:tc>
          <w:tcPr>
            <w:tcW w:w="3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00" w:type="dxa"/>
            <w:vAlign w:val="bottom"/>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7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100" w:type="dxa"/>
            <w:vAlign w:val="bottom"/>
          </w:tcPr>
          <w:p>
            <w:pPr>
              <w:spacing w:after="0"/>
              <w:rPr>
                <w:sz w:val="22"/>
                <w:szCs w:val="22"/>
                <w:color w:val="auto"/>
              </w:rPr>
            </w:pPr>
          </w:p>
        </w:tc>
        <w:tc>
          <w:tcPr>
            <w:tcW w:w="18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78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22"/>
                <w:szCs w:val="22"/>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2"/>
                <w:szCs w:val="22"/>
                <w:color w:val="auto"/>
              </w:rPr>
            </w:pP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70"/>
        </w:trPr>
        <w:tc>
          <w:tcPr>
            <w:tcW w:w="3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3"/>
            <w:vMerge w:val="restart"/>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120" w:type="dxa"/>
            <w:vAlign w:val="bottom"/>
          </w:tcPr>
          <w:p>
            <w:pPr>
              <w:spacing w:after="0"/>
              <w:rPr>
                <w:sz w:val="6"/>
                <w:szCs w:val="6"/>
                <w:color w:val="auto"/>
              </w:rPr>
            </w:pPr>
          </w:p>
        </w:tc>
        <w:tc>
          <w:tcPr>
            <w:tcW w:w="1260" w:type="dxa"/>
            <w:vAlign w:val="bottom"/>
            <w:gridSpan w:val="2"/>
          </w:tcPr>
          <w:p>
            <w:pPr>
              <w:jc w:val="center"/>
              <w:ind w:right="220"/>
              <w:spacing w:after="0" w:line="70"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100" w:type="dxa"/>
            <w:vAlign w:val="bottom"/>
          </w:tcPr>
          <w:p>
            <w:pPr>
              <w:spacing w:after="0"/>
              <w:rPr>
                <w:sz w:val="6"/>
                <w:szCs w:val="6"/>
                <w:color w:val="auto"/>
              </w:rPr>
            </w:pPr>
          </w:p>
        </w:tc>
        <w:tc>
          <w:tcPr>
            <w:tcW w:w="780" w:type="dxa"/>
            <w:vAlign w:val="bottom"/>
            <w:gridSpan w:val="2"/>
            <w:vMerge w:val="restart"/>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310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100" w:type="dxa"/>
            <w:vAlign w:val="bottom"/>
          </w:tcPr>
          <w:p>
            <w:pPr>
              <w:spacing w:after="0"/>
              <w:rPr>
                <w:sz w:val="9"/>
                <w:szCs w:val="9"/>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9"/>
                <w:szCs w:val="9"/>
                <w:color w:val="auto"/>
              </w:rPr>
            </w:pPr>
          </w:p>
        </w:tc>
        <w:tc>
          <w:tcPr>
            <w:tcW w:w="7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3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January 1,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89,251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(4,914)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(235,141)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1,290,908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(74,059)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532,266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1,514,867</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45,394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45,394</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30,432</w:t>
            </w:r>
          </w:p>
        </w:tc>
        <w:tc>
          <w:tcPr>
            <w:tcW w:w="0" w:type="dxa"/>
            <w:vAlign w:val="bottom"/>
          </w:tcPr>
          <w:p>
            <w:pPr>
              <w:spacing w:after="0"/>
              <w:rPr>
                <w:sz w:val="1"/>
                <w:szCs w:val="1"/>
                <w:color w:val="auto"/>
              </w:rPr>
            </w:pPr>
          </w:p>
        </w:tc>
      </w:tr>
      <w:tr>
        <w:trPr>
          <w:trHeight w:val="135"/>
        </w:trPr>
        <w:tc>
          <w:tcPr>
            <w:tcW w:w="31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through employee stock</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0" w:type="dxa"/>
            <w:vAlign w:val="bottom"/>
          </w:tcPr>
          <w:p>
            <w:pPr>
              <w:spacing w:after="0"/>
              <w:rPr>
                <w:sz w:val="1"/>
                <w:szCs w:val="1"/>
                <w:color w:val="auto"/>
              </w:rPr>
            </w:pPr>
          </w:p>
        </w:tc>
      </w:tr>
      <w:tr>
        <w:trPr>
          <w:trHeight w:val="112"/>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purchase plan</w:t>
            </w: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1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for vesting of share based</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w:t>
            </w:r>
          </w:p>
        </w:tc>
        <w:tc>
          <w:tcPr>
            <w:tcW w:w="0" w:type="dxa"/>
            <w:vAlign w:val="bottom"/>
          </w:tcPr>
          <w:p>
            <w:pPr>
              <w:spacing w:after="0"/>
              <w:rPr>
                <w:sz w:val="1"/>
                <w:szCs w:val="1"/>
                <w:color w:val="auto"/>
              </w:rPr>
            </w:pPr>
          </w:p>
        </w:tc>
      </w:tr>
      <w:tr>
        <w:trPr>
          <w:trHeight w:val="112"/>
        </w:trPr>
        <w:tc>
          <w:tcPr>
            <w:tcW w:w="3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 net of shares withheld for taxes</w:t>
            </w:r>
          </w:p>
        </w:tc>
        <w:tc>
          <w:tcPr>
            <w:tcW w:w="7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100" w:type="dxa"/>
            <w:vAlign w:val="bottom"/>
            <w:vMerge w:val="continue"/>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6,098</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Adoption of Update No. 2020-06</w:t>
            </w: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(63,274)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(66,046)</w:t>
            </w:r>
          </w:p>
        </w:tc>
        <w:tc>
          <w:tcPr>
            <w:tcW w:w="0" w:type="dxa"/>
            <w:vAlign w:val="bottom"/>
          </w:tcPr>
          <w:p>
            <w:pPr>
              <w:spacing w:after="0"/>
              <w:rPr>
                <w:sz w:val="1"/>
                <w:szCs w:val="1"/>
                <w:color w:val="auto"/>
              </w:rPr>
            </w:pPr>
          </w:p>
        </w:tc>
      </w:tr>
      <w:tr>
        <w:trPr>
          <w:trHeight w:val="19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2021</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89,406</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(4,899)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(234,461)</w:t>
            </w:r>
          </w:p>
        </w:tc>
        <w:tc>
          <w:tcPr>
            <w:tcW w:w="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1,231,637</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(43,627)</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574,888</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1,529,331</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“we,” “our,” “us,” “Company” and “Integra” refer to Integra LifeSciences Holdings Corporation, a Delaware corporation, and its subsidiaries unless the context suggests otherwise.</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opinion of management, the March 31, 2022 unaudited condensed consolidated financial statements contain all adjustments (consisting only of normal recurring adjustments) necessary for a fair statement of the financial position, statement of changes in shareholders' equity,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2021 included in the Company’s Annual Report on Form 10-K. The December 31, 2021 consolidated balance sheet was derived from audited financial statements, but does not include all disclosures required by accounting principles generally accepted in the United States. Operating results for the three-month period ended March 31, 2022 are not necessarily indicative of the results to be expected for the entire year.</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is in conformity with generally accepted accounting principles in the United States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risks and uncertainties as a result of the COVID-19 pandemic, including reductions in capital and overall spending by our customers, increased freight costs, decreased availability of certain raw materials used in certain of our products and labor constraints. The COVID-19 pandemic has had, and may continue to have, an adverse effect on the Company’s business, results of operations, financial condition, and cash flows, and its future impacts remain highly uncertain and unpredictable. Although there was not a material impact to the Company’s consolidated financial statements as of and for the three months ended March 31, 2022, changes in the Company’s assessment about the length and severity of the pandemic, as well as other factors, could result in actual results differing from estimates. The severity of the impact of the COVID-19 pandemic on the Company's business will depend on a number of factors, including, but not limited to, duration of the pandemic, including resurgences, new variants or strains, impact of government regulations, the speed and effectiveness of vaccine distribution, vaccine adoption rates and the duration of direct and indirect economic effects of the pandemic and containment measures. Even after the COVID-19 pandemic and government responses thereto have subsided, residual economic and other effects may have an impact on the demand for post-pandemic surgery levels that are difficult to predict.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Termination Benefits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incurred restructuring costs related to employee terminations associated with a future plant closure in the consolidated statement of operations for the three months ended March 31, 2022. Restructuring liability is included in accrued expenses and other current liabilities in the consolidated balance sheet for the three months ended March 31, 2022 and December 31, 2021, respectively. Restructuring liability activity for the three months ended March 31, 2022 were as follows:</w:t>
      </w:r>
    </w:p>
    <w:p>
      <w:pPr>
        <w:spacing w:after="0" w:line="214" w:lineRule="exact"/>
        <w:rPr>
          <w:sz w:val="20"/>
          <w:szCs w:val="20"/>
          <w:color w:val="auto"/>
        </w:rPr>
      </w:pPr>
    </w:p>
    <w:tbl>
      <w:tblPr>
        <w:tblLayout w:type="fixed"/>
        <w:tblInd w:w="840" w:type="dxa"/>
        <w:tblCellMar>
          <w:top w:w="0" w:type="dxa"/>
          <w:left w:w="0" w:type="dxa"/>
          <w:bottom w:w="0" w:type="dxa"/>
          <w:right w:w="0" w:type="dxa"/>
        </w:tblCellMar>
      </w:tblPr>
      <w:tr>
        <w:trPr>
          <w:trHeight w:val="19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Pr>
          <w:p>
            <w:pPr>
              <w:spacing w:after="0"/>
              <w:rPr>
                <w:sz w:val="16"/>
                <w:szCs w:val="16"/>
                <w:color w:val="auto"/>
              </w:rPr>
            </w:pPr>
          </w:p>
        </w:tc>
        <w:tc>
          <w:tcPr>
            <w:tcW w:w="132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8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10,226</w:t>
            </w: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Charges:</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Goods Sold</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r>
      <w:tr>
        <w:trPr>
          <w:trHeight w:val="213"/>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9"/>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13"/>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37"/>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2022</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11,119</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Simplifying the Accounting for Income Taxes,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This guidance also simplifies aspects of the accounting for franchise taxes and enacted changes in tax laws or rates and clarifies the accounting for transactions that result in a step-up in the tax basis of goodwill. The standard is effective for annual periods beginning after December 15, 2020 and interim periods within, with early adoption permitted. The Company adopted ASU 2019-12 as of January 1, 2021. Adoption of the standard requires certain changes to be made prospectively, with some changes to be made retrospectively. The adoption of this guidance did not have a significant impact on the Company's consolidated financial statements and related disclosures.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which provides optional guidance for a limited period of time to ease the potential burden in accounting for (or recognizing the effects of) reference rate reform on financial reporting. This amendment applies to all entities, subject to meeting certain criteria, that have contracts, hedging relationships, and other transactions that reference London Inter-Bank Offered Rate ("LIBOR") or another reference rate expected to be discontinued because of reference rate reform. This ASU is effective immediately and may be applied prospectively to contract modifications made and hedging relationships entered into or evaluated on or before December 31, 2022. In January 2021, the FASB also issued ASU 2021-01, </w:t>
      </w:r>
      <w:r>
        <w:rPr>
          <w:rFonts w:ascii="Times New Roman" w:cs="Times New Roman" w:eastAsia="Times New Roman" w:hAnsi="Times New Roman"/>
          <w:sz w:val="18"/>
          <w:szCs w:val="18"/>
          <w:i w:val="1"/>
          <w:iCs w:val="1"/>
          <w:color w:val="auto"/>
        </w:rPr>
        <w:t>Reference Rate Reform- Scope</w:t>
      </w:r>
      <w:r>
        <w:rPr>
          <w:rFonts w:ascii="Times New Roman" w:cs="Times New Roman" w:eastAsia="Times New Roman" w:hAnsi="Times New Roman"/>
          <w:sz w:val="18"/>
          <w:szCs w:val="18"/>
          <w:color w:val="auto"/>
        </w:rPr>
        <w:t xml:space="preserve"> which clarified certain optional expedients and exceptions to entities that are affected because of the reference rate reform. The amendments in this ASU affect the guidance in ASU 2020-04 and are effective in the same timeframe as ASU 2020-04. The Company currently has contracts that are indexed to LIBOR and are continuing to monitor this activity and evaluate the associated risk. The Company is continuing to evaluate the scope of impacted contracts and the potential impact. The Company is also monitoring the developments regarding alternative rates and may amend certain contracts to accommodate those rates if the contract does not already specify a replacement rate. While the notional value of agreements potentially indexed to LIBOR is material, the Company does not expect a material impact to the consolidated financial statements and related disclosures associated with this transition.</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 Debt with Conversion and Other Options (Subtopic 470-20) and Derivatives and Hedging-Contracts in Entity's Own Equity (Subtopic 815-40):Accounting for Convertible Instruments and Contracts in an Entity's Own Equity</w:t>
      </w:r>
      <w:r>
        <w:rPr>
          <w:rFonts w:ascii="Times New Roman" w:cs="Times New Roman" w:eastAsia="Times New Roman" w:hAnsi="Times New Roman"/>
          <w:sz w:val="18"/>
          <w:szCs w:val="18"/>
          <w:color w:val="auto"/>
        </w:rPr>
        <w:t>. The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simplifies accounting for convertible instruments by removing major separation models required under current GAAP. Consequently, 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The guidance also simplifies the diluted net income per share calculation in certain areas. The ASU will be effective for annual and interim periods beginning after December 15, 2021, and early adoption is permitted for fiscal years beginning after December 15, 2020, and interim periods within those fiscal years using either the modified retrospective or full retrospective method.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detailed in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on February 4, 2020, the Company issued $575.0 million aggregate principal amount of its 0.5% Convertible Senior Notes due 2025 (the "2025 Notes"). The 2025 Notes are subject to the guidance included in ASU 2020-06. The Company adopted this guidance on January 1, 2021 using the modified retrospective approach which resulted in a cumulative-effect adjustment that increased (decreased) the following consolidated balance sheet accounts:</w:t>
      </w:r>
    </w:p>
    <w:p>
      <w:pPr>
        <w:sectPr>
          <w:pgSz w:w="11900" w:h="16838" w:orient="portrait"/>
          <w:cols w:equalWidth="0" w:num="1">
            <w:col w:w="11240"/>
          </w:cols>
          <w:pgMar w:left="320" w:top="117" w:right="339" w:bottom="1440" w:gutter="0" w:footer="0" w:header="0"/>
        </w:sect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gridSpan w:val="2"/>
          </w:tcPr>
          <w:p>
            <w:pPr>
              <w:ind w:left="27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6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Consolidated Balance Sheet Classification</w:t>
            </w:r>
          </w:p>
        </w:tc>
      </w:tr>
      <w:tr>
        <w:trPr>
          <w:trHeight w:val="23"/>
        </w:trPr>
        <w:tc>
          <w:tcPr>
            <w:tcW w:w="6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0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impact of cumulative-effect adjustment</w:t>
            </w:r>
          </w:p>
        </w:tc>
        <w:tc>
          <w:tcPr>
            <w:tcW w:w="100" w:type="dxa"/>
            <w:vAlign w:val="bottom"/>
          </w:tcPr>
          <w:p>
            <w:pPr>
              <w:spacing w:after="0"/>
              <w:rPr>
                <w:sz w:val="17"/>
                <w:szCs w:val="17"/>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r>
      <w:tr>
        <w:trPr>
          <w:trHeight w:val="216"/>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Debt discount reclassification</w:t>
            </w:r>
          </w:p>
        </w:tc>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convertible securities</w:t>
            </w:r>
          </w:p>
        </w:tc>
      </w:tr>
      <w:tr>
        <w:trPr>
          <w:trHeight w:val="216"/>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issuance costs reclassification</w:t>
            </w:r>
          </w:p>
        </w:tc>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convertible securities</w:t>
            </w:r>
          </w:p>
        </w:tc>
      </w:tr>
      <w:tr>
        <w:trPr>
          <w:trHeight w:val="216"/>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Debt discount amortization and equity costs reclassification, net of tax</w:t>
            </w:r>
          </w:p>
        </w:tc>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r>
      <w:tr>
        <w:trPr>
          <w:trHeight w:val="257"/>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impact of cumulative-effect adjustment</w:t>
            </w:r>
          </w:p>
        </w:tc>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-715645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34" w:lineRule="exact"/>
        <w:rPr>
          <w:sz w:val="20"/>
          <w:szCs w:val="20"/>
          <w:color w:val="auto"/>
        </w:rPr>
      </w:pPr>
    </w:p>
    <w:p>
      <w:pPr>
        <w:ind w:left="740" w:hanging="737"/>
        <w:spacing w:after="0"/>
        <w:tabs>
          <w:tab w:leader="none" w:pos="7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(20.6)</w:t>
      </w:r>
    </w:p>
    <w:p>
      <w:pPr>
        <w:spacing w:after="0" w:line="32" w:lineRule="exact"/>
        <w:rPr>
          <w:rFonts w:ascii="Times New Roman" w:cs="Times New Roman" w:eastAsia="Times New Roman" w:hAnsi="Times New Roman"/>
          <w:sz w:val="16"/>
          <w:szCs w:val="16"/>
          <w:color w:val="auto"/>
        </w:rPr>
      </w:pPr>
    </w:p>
    <w:p>
      <w:pPr>
        <w:ind w:left="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89.1</w:t>
      </w:r>
    </w:p>
    <w:p>
      <w:pPr>
        <w:spacing w:after="0" w:line="32" w:lineRule="exact"/>
        <w:rPr>
          <w:rFonts w:ascii="Times New Roman" w:cs="Times New Roman" w:eastAsia="Times New Roman" w:hAnsi="Times New Roman"/>
          <w:sz w:val="16"/>
          <w:szCs w:val="16"/>
          <w:color w:val="auto"/>
        </w:rPr>
      </w:pPr>
    </w:p>
    <w:p>
      <w:pPr>
        <w:ind w:left="8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(2.5)</w:t>
      </w:r>
    </w:p>
    <w:p>
      <w:pPr>
        <w:spacing w:after="0" w:line="43" w:lineRule="exact"/>
        <w:rPr>
          <w:rFonts w:ascii="Times New Roman" w:cs="Times New Roman" w:eastAsia="Times New Roman" w:hAnsi="Times New Roman"/>
          <w:sz w:val="16"/>
          <w:szCs w:val="16"/>
          <w:color w:val="auto"/>
        </w:rPr>
      </w:pPr>
    </w:p>
    <w:p>
      <w:pPr>
        <w:ind w:left="8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(2.8)</w:t>
      </w:r>
    </w:p>
    <w:p>
      <w:pPr>
        <w:spacing w:after="0" w:line="5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(63.3)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454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253" w:lineRule="exact"/>
        <w:rPr>
          <w:sz w:val="20"/>
          <w:szCs w:val="20"/>
          <w:color w:val="auto"/>
        </w:rPr>
      </w:pPr>
    </w:p>
    <w:p>
      <w:pPr>
        <w:sectPr>
          <w:pgSz w:w="11900" w:h="16838" w:orient="portrait"/>
          <w:cols w:equalWidth="0" w:num="2">
            <w:col w:w="9980" w:space="100"/>
            <w:col w:w="1160"/>
          </w:cols>
          <w:pgMar w:left="320" w:top="117" w:right="339" w:bottom="1440" w:gutter="0" w:footer="0" w:header="0"/>
          <w:type w:val="continuous"/>
        </w:sectPr>
      </w:pP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9, 2020, the Company made an irrevocable election under the indenture to require the principal portion of its 2025 Notes to be settled in cash and any excess in shares. Following the irrevocable notice, only the amounts settled in excess of the principal will be considered in diluted earnings per share under the “if-converted” method. Upon adoption of ASU 2020-06, the Company’s 2025 Notes were reflected entirely as a liability since the embedded conversion feature will no longer be separately presented within stockholders’ equity. Additionally, from January 1, 2021, the Company is no longer incurring non-cash interest expense for the amortization of debt discount.</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October 2020, the FASB issued ASU 2020-10,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which updates various codification topics by clarifying or improving disclosure requirements to align with the regulations of the U.S. Securities and Exchange Commission (the "SEC"). The ASU has been effective for the Company for annual and interim periods beginning after January 1, 2021. The Company adopted this standard on the January 1, 2021. The adoption of this guidance did not have a significant impact on the Company's consolidated financial statements and related disclosures.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May 2021, the FASB issued ASU 2021-04, </w:t>
      </w:r>
      <w:r>
        <w:rPr>
          <w:rFonts w:ascii="Times New Roman" w:cs="Times New Roman" w:eastAsia="Times New Roman" w:hAnsi="Times New Roman"/>
          <w:sz w:val="18"/>
          <w:szCs w:val="18"/>
          <w:i w:val="1"/>
          <w:iCs w:val="1"/>
          <w:color w:val="auto"/>
        </w:rPr>
        <w:t>Earnings Per Share (Topic 260), Debt—Modifications and Extinguishments (Subtopic 470-50),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Compensation—Stock Compensation (Topic 718), and Derivatives and Hedging—Contracts in Entity’s Own Equity (Subtopic 815-40): Issuer’s Accounting for Certain Modifications or Exchanges of Freestanding Equity-Classified Written Call Options </w:t>
      </w:r>
      <w:r>
        <w:rPr>
          <w:rFonts w:ascii="Times New Roman" w:cs="Times New Roman" w:eastAsia="Times New Roman" w:hAnsi="Times New Roman"/>
          <w:sz w:val="18"/>
          <w:szCs w:val="18"/>
          <w:color w:val="auto"/>
        </w:rPr>
        <w:t>which provides guidance to clarify and reduce diversity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issuer’s accounting for modifications or exchanges of freestanding equity-classified written call options (for example, warrants) that remain equity classified after modification or exchange. The amendments in this ASU No. 2021-04 are effective for all entities for fiscal years beginning after December 15, 2021, and interim periods within those fiscal years, with early adoption permitted, including interim periods within those fiscal years. The amendment had no impact to the Company as the effect will largely depend on the terms of written call options or financings issued or modified in the future.</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other recently issued accounting pronouncements that are expected to have any significant effect on the Company's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 AND DIVESTITURES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Extremity Orthopedics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4, 2021, the Company completed the sale of its Extremity Orthopedics business to Smith &amp; Nephew USD Limited ("Smith &amp; Nephew"). The transaction included the sale of the Company's upper and lower Extremity Orthopedics product portfolio, including ankle and shoulder arthroplasty and hand and wrist product lines. The Company received an aggregate purchase price of $240.0 million from Smith &amp; Nephew and concurrently paid $41.5 million to the Consortium of Focused Orthopedists, LLC ("CFO") effectively terminating the licensing agreement between Integra and the CFO relating to the development of shoulder arthroplasty products.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divestiture does not represent a strategic shift that will have a major effect on the Company's operations and financial statements. Goodwill was allocated to the assets and liabilities divested using the relative fair value method of the Extremity Orthopedics business to the Company's Tissue Technologies reportable business segment. In connection with the sale, the Company recognized a preliminary gain of $42.9 million that was presented in Gain from the sale of business in the consolidated statement of operations for the three months ended March 31, 2021. The gain was finalized at $41.8 million as Gain from the sale of business for the year ended December 31, 2021. The Company finalized the net working capital and paid an additional $1.3 million to Smith &amp; Nephew as of December 31, 2021.</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entered into a transition services agreement with Smith &amp; Nephew which requires the Company to provide certain services on behalf of Smith &amp; Nephew for the duration of the period subsequent to the sale of the business as defined in the transition services agreement. The Company also recognized a payable due to Smith &amp; Nephew of $8.5 million for invoicing and cash collection from customers on behalf of Smith &amp; Nephew, pursuant to the transition services agreement, as of March 31, 2022, which is included in the consolidated balance sheets within accrued expenses and other current liabilities. In April 2022, the Company and Smith &amp; Nephew completed a significant portion of the transition service agreement, including order-to-cash.</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ACell, Inc. Acquisition</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January 20, 2021, the Company acquired ACell, Inc. (the "ACell Acquisition") for a total purchase price of $306.9 million plus contingent consideration of up to $100 million, which may be payable upon the Company achieving certain revenue-based performance milestones in 2022, 2023 and 2025. The final working capital adjustments of $1.3 million was finalized and paid as of June 30, 2021. Prior to the acquisition, ACell was a privately-held company that offered a portfolio of regenerative products for complex wound management, including developing and commercializing products based on MatriStem Urinary Bladder Matrix, a technology platform derived from porcine urinary bladder extracellular matrix.</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Acquired and Liabilities Assumed at Fair Value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ACell Acquisition has been accounted for using the acquisition method of accounting. This method requires that assets acquired and liabilities assumed in a business combination are recognized at their fair values as of the acquisition date.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final fair values of the assets acquired and liabilities assumed at the acquisition date: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tcPr>
          <w:p>
            <w:pPr>
              <w:spacing w:after="0"/>
              <w:rPr>
                <w:sz w:val="16"/>
                <w:szCs w:val="16"/>
                <w:color w:val="auto"/>
              </w:rPr>
            </w:pPr>
          </w:p>
        </w:tc>
        <w:tc>
          <w:tcPr>
            <w:tcW w:w="172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Final Valuation</w:t>
            </w:r>
          </w:p>
        </w:tc>
        <w:tc>
          <w:tcPr>
            <w:tcW w:w="100" w:type="dxa"/>
            <w:vAlign w:val="bottom"/>
          </w:tcPr>
          <w:p>
            <w:pPr>
              <w:spacing w:after="0"/>
              <w:rPr>
                <w:sz w:val="16"/>
                <w:szCs w:val="16"/>
                <w:color w:val="auto"/>
              </w:rPr>
            </w:pPr>
          </w:p>
        </w:tc>
        <w:tc>
          <w:tcPr>
            <w:tcW w:w="17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Weighted Average Life</w:t>
            </w:r>
          </w:p>
        </w:tc>
      </w:tr>
      <w:tr>
        <w:trPr>
          <w:trHeight w:val="23"/>
        </w:trPr>
        <w:tc>
          <w:tcPr>
            <w:tcW w:w="7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9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13"/>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Trade accounts receivable, net</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 net</w:t>
            </w: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18,299</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7"/>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38,992</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245,000</w:t>
            </w:r>
          </w:p>
        </w:tc>
        <w:tc>
          <w:tcPr>
            <w:tcW w:w="100" w:type="dxa"/>
            <w:vAlign w:val="bottom"/>
          </w:tcPr>
          <w:p>
            <w:pPr>
              <w:spacing w:after="0"/>
              <w:rPr>
                <w:sz w:val="18"/>
                <w:szCs w:val="18"/>
                <w:color w:val="auto"/>
              </w:rPr>
            </w:pPr>
          </w:p>
        </w:tc>
        <w:tc>
          <w:tcPr>
            <w:tcW w:w="17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13-14 years</w:t>
            </w: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94,147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asset - operating leases</w:t>
            </w: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9,259</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1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408,780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7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7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Current portion of lease liability - operating leases</w:t>
            </w: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12"/>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8,357</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liability</w:t>
            </w: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61,724</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3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8"/>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101,842</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8"/>
        </w:trPr>
        <w:tc>
          <w:tcPr>
            <w:tcW w:w="73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08"/>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acquired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306,938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
        </w:trPr>
        <w:tc>
          <w:tcPr>
            <w:tcW w:w="7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fair value of the developed technology acquired was determined using the multi-period excess earnings method of the income approach, which estimates value based on the present value of future economic benefits. Some of the more significant assumptions inherent in the development of those asset valuations include the estimated net cash flows for each year for each product including net revenues, cost of sales, R&amp;D costs, selling and marketing costs, the appropriate discount rate to select in order to measure the risk inherent in each future cash flow stream, the assessment of each asset’s life cycle, and competitive trends impacting the asset and each cash flow stream.</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used a discount rate of 8.5%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allocated goodwill related to the ACell acquisition to the Tissue Technologies reportable business segment. Goodwill is the excess of the consideration transferred over the net assets recognized and represents the expected synergies of the combined company and assembled workforce. Goodwill recognized as a result of this acquisition is non-deductible for income tax purposes.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ACell Acquisition, the Company is required to make payments to the former shareholders of ACell up to $100 million based on the achievement by the Company of certain revenue-based performance milestones in 2022, 2023, and 2025. The Company used iterations of the Monte Carlo simulation to calculate the fair value of the contingent consideration that considered the possible outcomes of scenarios related to each specific milestone. The Company estimated the fair value of the contingent consideration to be $23.9 million at the acquisition date. The estimated fair value as of March 31, 2022 was $22.1 million. The Company recorded $17.2 million and $23.9 million in other liabilities at March 31, 2022 and March 31, 2021, respectively, and $4.9 million in as accrued expenses and other current liabilities at March 31, 2022 in the consolidated balance sheet of the Company.</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determined the acquisition date fair value of contingent consideration obligations using a Monte Carlo simulation, as well as significant unobservable inputs, reflecting the Company’s assessment of the assumptions market participants would use to value these liabilities. The fair value measurement is based on significant inputs not observable in the market and thus represents a Level 3 measurement as defined using the fair value concepts in ASC 820. The resultant most likely payouts are discounted using an appropriate effective annual interest rate. At each reporting date, the contingent consideration obligations are revalued to estimated fair value and changes in fair value will be reflected as income or expense in our consolidated statement of operations. Changes in the fair value of the contingent considerations may result from changes in discount periods and rates and changes in the timing and amount of revenue estimates.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Liabilities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 FROM CONTRACTS WITH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Accounting Policies on Revenue Recognition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performance obligations consist mainly of transferring control of goods and services identified in the contracts, purchase orders, or invoices. The Company has no significant multi-element contracts with customers.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ninety days.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 and Liability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summarized the changes in the contract asset and liability balances for the three months ended March 31, 2022:</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52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56"/>
        </w:trPr>
        <w:tc>
          <w:tcPr>
            <w:tcW w:w="20" w:type="dxa"/>
            <w:vAlign w:val="bottom"/>
            <w:shd w:val="clear" w:color="auto" w:fill="CCEEFF"/>
          </w:tcPr>
          <w:p>
            <w:pPr>
              <w:spacing w:after="0"/>
              <w:rPr>
                <w:sz w:val="13"/>
                <w:szCs w:val="13"/>
                <w:color w:val="auto"/>
              </w:rPr>
            </w:pPr>
          </w:p>
        </w:tc>
        <w:tc>
          <w:tcPr>
            <w:tcW w:w="906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Contract Asset</w:t>
            </w:r>
          </w:p>
        </w:tc>
        <w:tc>
          <w:tcPr>
            <w:tcW w:w="52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9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90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Contract asset, January 1, 2022</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11,412</w:t>
            </w:r>
          </w:p>
        </w:tc>
      </w:tr>
      <w:tr>
        <w:trPr>
          <w:trHeight w:val="219"/>
        </w:trPr>
        <w:tc>
          <w:tcPr>
            <w:tcW w:w="20" w:type="dxa"/>
            <w:vAlign w:val="bottom"/>
            <w:shd w:val="clear" w:color="auto" w:fill="CCEEFF"/>
          </w:tcPr>
          <w:p>
            <w:pPr>
              <w:spacing w:after="0"/>
              <w:rPr>
                <w:sz w:val="19"/>
                <w:szCs w:val="19"/>
                <w:color w:val="auto"/>
              </w:rPr>
            </w:pPr>
          </w:p>
        </w:tc>
        <w:tc>
          <w:tcPr>
            <w:tcW w:w="90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Transferred to trade receivable of contract asset included in beginning of the year contract asset</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(11,412)</w:t>
            </w:r>
          </w:p>
        </w:tc>
      </w:tr>
      <w:tr>
        <w:trPr>
          <w:trHeight w:val="213"/>
        </w:trPr>
        <w:tc>
          <w:tcPr>
            <w:tcW w:w="20" w:type="dxa"/>
            <w:vAlign w:val="bottom"/>
            <w:tcBorders>
              <w:bottom w:val="single" w:sz="8" w:color="CCEEFF"/>
            </w:tcBorders>
          </w:tcPr>
          <w:p>
            <w:pPr>
              <w:spacing w:after="0"/>
              <w:rPr>
                <w:sz w:val="18"/>
                <w:szCs w:val="18"/>
                <w:color w:val="auto"/>
              </w:rPr>
            </w:pPr>
          </w:p>
        </w:tc>
        <w:tc>
          <w:tcPr>
            <w:tcW w:w="906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Contract asset, net of transferred to trade receivables on contracts during the period</w:t>
            </w: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12,217</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0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Contract asset, March 31, 2022</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906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Contract Liability</w:t>
            </w:r>
          </w:p>
        </w:tc>
        <w:tc>
          <w:tcPr>
            <w:tcW w:w="5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79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90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Contract liability, January 1, 2022</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11,946</w:t>
            </w:r>
          </w:p>
        </w:tc>
      </w:tr>
      <w:tr>
        <w:trPr>
          <w:trHeight w:val="219"/>
        </w:trPr>
        <w:tc>
          <w:tcPr>
            <w:tcW w:w="20" w:type="dxa"/>
            <w:vAlign w:val="bottom"/>
            <w:shd w:val="clear" w:color="auto" w:fill="CCEEFF"/>
          </w:tcPr>
          <w:p>
            <w:pPr>
              <w:spacing w:after="0"/>
              <w:rPr>
                <w:sz w:val="19"/>
                <w:szCs w:val="19"/>
                <w:color w:val="auto"/>
              </w:rPr>
            </w:pPr>
          </w:p>
        </w:tc>
        <w:tc>
          <w:tcPr>
            <w:tcW w:w="90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Recognition of revenue included in beginning of year contract liability</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r>
      <w:tr>
        <w:trPr>
          <w:trHeight w:val="213"/>
        </w:trPr>
        <w:tc>
          <w:tcPr>
            <w:tcW w:w="20" w:type="dxa"/>
            <w:vAlign w:val="bottom"/>
          </w:tcPr>
          <w:p>
            <w:pPr>
              <w:spacing w:after="0"/>
              <w:rPr>
                <w:sz w:val="18"/>
                <w:szCs w:val="18"/>
                <w:color w:val="auto"/>
              </w:rPr>
            </w:pPr>
          </w:p>
        </w:tc>
        <w:tc>
          <w:tcPr>
            <w:tcW w:w="906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Contract liability, net of revenue recognized on contracts during the period</w:t>
            </w:r>
          </w:p>
        </w:tc>
        <w:tc>
          <w:tcPr>
            <w:tcW w:w="5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w:t>
            </w:r>
          </w:p>
        </w:tc>
      </w:tr>
      <w:tr>
        <w:trPr>
          <w:trHeight w:val="216"/>
        </w:trPr>
        <w:tc>
          <w:tcPr>
            <w:tcW w:w="20" w:type="dxa"/>
            <w:vAlign w:val="bottom"/>
            <w:shd w:val="clear" w:color="auto" w:fill="CCEEFF"/>
          </w:tcPr>
          <w:p>
            <w:pPr>
              <w:spacing w:after="0"/>
              <w:rPr>
                <w:sz w:val="18"/>
                <w:szCs w:val="18"/>
                <w:color w:val="auto"/>
              </w:rPr>
            </w:pPr>
          </w:p>
        </w:tc>
        <w:tc>
          <w:tcPr>
            <w:tcW w:w="90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5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2"/>
        </w:trPr>
        <w:tc>
          <w:tcPr>
            <w:tcW w:w="20" w:type="dxa"/>
            <w:vAlign w:val="bottom"/>
          </w:tcPr>
          <w:p>
            <w:pPr>
              <w:spacing w:after="0"/>
              <w:rPr>
                <w:sz w:val="18"/>
                <w:szCs w:val="18"/>
                <w:color w:val="auto"/>
              </w:rPr>
            </w:pPr>
          </w:p>
        </w:tc>
        <w:tc>
          <w:tcPr>
            <w:tcW w:w="90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Contract liability, March 31, 2022</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12,217</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2022, the short-term portion of the contract liability of $5.3 million and the long-term portion of $6.9 million is included in current liabilities and other liabilities, respectively, in the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2022, the Company is expected to recognize revenue of approximately 44% of unsatisfied (or partially unsatisfied) performance obligations as revenue within twelve months, with the remaining balance to be recognized thereafter.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Fees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Collected from Customers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revenues disaggregated by the major sources of revenues for the three months ended March 31, 2022 and 2021 (dollar amounts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6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7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60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14"/>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Neurosurgery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194,675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189,254</w:t>
            </w:r>
          </w:p>
        </w:tc>
      </w:tr>
      <w:tr>
        <w:trPr>
          <w:trHeight w:val="213"/>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Instruments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52,633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51,987</w:t>
            </w:r>
          </w:p>
        </w:tc>
      </w:tr>
      <w:tr>
        <w:trPr>
          <w:trHeight w:val="212"/>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Codman Specialty Surgical</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247,308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241,241</w:t>
            </w:r>
          </w:p>
        </w:tc>
      </w:tr>
      <w:tr>
        <w:trPr>
          <w:trHeight w:val="216"/>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Wound Reconstruction and Care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94,630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88,698</w:t>
            </w:r>
          </w:p>
        </w:tc>
      </w:tr>
      <w:tr>
        <w:trPr>
          <w:trHeight w:val="213"/>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 Label</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34,700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30,132</w:t>
            </w:r>
          </w:p>
        </w:tc>
      </w:tr>
      <w:tr>
        <w:trPr>
          <w:trHeight w:val="21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Tissue Technologies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129,330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118,830</w:t>
            </w:r>
          </w:p>
        </w:tc>
      </w:tr>
      <w:tr>
        <w:trPr>
          <w:trHeight w:val="212"/>
        </w:trPr>
        <w:tc>
          <w:tcPr>
            <w:tcW w:w="7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376,638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360,071</w:t>
            </w:r>
          </w:p>
        </w:tc>
      </w:tr>
      <w:tr>
        <w:trPr>
          <w:trHeight w:val="21"/>
        </w:trPr>
        <w:tc>
          <w:tcPr>
            <w:tcW w:w="7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15, </w:t>
      </w:r>
      <w:r>
        <w:rPr>
          <w:rFonts w:ascii="Times New Roman" w:cs="Times New Roman" w:eastAsia="Times New Roman" w:hAnsi="Times New Roman"/>
          <w:sz w:val="18"/>
          <w:szCs w:val="18"/>
          <w:i w:val="1"/>
          <w:iCs w:val="1"/>
          <w:color w:val="auto"/>
        </w:rPr>
        <w:t>Segment and Geographical Information</w:t>
      </w:r>
      <w:r>
        <w:rPr>
          <w:rFonts w:ascii="Times New Roman" w:cs="Times New Roman" w:eastAsia="Times New Roman" w:hAnsi="Times New Roman"/>
          <w:sz w:val="18"/>
          <w:szCs w:val="18"/>
          <w:color w:val="auto"/>
        </w:rPr>
        <w:t>, for details of revenues based on the location of the customer.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6"/>
                <w:szCs w:val="16"/>
                <w:color w:val="auto"/>
              </w:rPr>
            </w:pPr>
          </w:p>
        </w:tc>
        <w:tc>
          <w:tcPr>
            <w:tcW w:w="15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162,528</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65,323</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89,535</w:t>
            </w:r>
          </w:p>
        </w:tc>
      </w:tr>
      <w:tr>
        <w:trPr>
          <w:trHeight w:val="20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inventories,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328,005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317,386</w:t>
            </w:r>
          </w:p>
        </w:tc>
      </w:tr>
      <w:tr>
        <w:trPr>
          <w:trHeight w:val="23"/>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OTHER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three-month period ended March 31, 2022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3"/>
                <w:szCs w:val="13"/>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Codman Specialty</w:t>
            </w:r>
          </w:p>
        </w:tc>
        <w:tc>
          <w:tcPr>
            <w:tcW w:w="140" w:type="dxa"/>
            <w:vAlign w:val="bottom"/>
          </w:tcPr>
          <w:p>
            <w:pPr>
              <w:spacing w:after="0"/>
              <w:rPr>
                <w:sz w:val="13"/>
                <w:szCs w:val="13"/>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Tissue Technologies</w:t>
            </w:r>
          </w:p>
        </w:tc>
        <w:tc>
          <w:tcPr>
            <w:tcW w:w="360" w:type="dxa"/>
            <w:vAlign w:val="bottom"/>
          </w:tcPr>
          <w:p>
            <w:pPr>
              <w:spacing w:after="0"/>
              <w:rPr>
                <w:sz w:val="13"/>
                <w:szCs w:val="13"/>
                <w:color w:val="auto"/>
              </w:rPr>
            </w:pPr>
          </w:p>
        </w:tc>
        <w:tc>
          <w:tcPr>
            <w:tcW w:w="1220" w:type="dxa"/>
            <w:vAlign w:val="bottom"/>
            <w:vMerge w:val="restart"/>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Surgical</w:t>
            </w:r>
          </w:p>
        </w:tc>
        <w:tc>
          <w:tcPr>
            <w:tcW w:w="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at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663,428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350,030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1,013,458</w:t>
            </w:r>
          </w:p>
        </w:tc>
        <w:tc>
          <w:tcPr>
            <w:tcW w:w="0" w:type="dxa"/>
            <w:vAlign w:val="bottom"/>
          </w:tcPr>
          <w:p>
            <w:pPr>
              <w:spacing w:after="0"/>
              <w:rPr>
                <w:sz w:val="1"/>
                <w:szCs w:val="1"/>
                <w:color w:val="auto"/>
              </w:rPr>
            </w:pPr>
          </w:p>
        </w:tc>
      </w:tr>
      <w:tr>
        <w:trPr>
          <w:trHeight w:val="213"/>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(4,530)</w:t>
            </w:r>
          </w:p>
        </w:tc>
        <w:tc>
          <w:tcPr>
            <w:tcW w:w="0" w:type="dxa"/>
            <w:vAlign w:val="bottom"/>
          </w:tcPr>
          <w:p>
            <w:pPr>
              <w:spacing w:after="0"/>
              <w:rPr>
                <w:sz w:val="1"/>
                <w:szCs w:val="1"/>
                <w:color w:val="auto"/>
              </w:rPr>
            </w:pPr>
          </w:p>
        </w:tc>
      </w:tr>
      <w:tr>
        <w:trPr>
          <w:trHeight w:val="234"/>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at March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660,463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348,465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1,008,928</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identifiable intangible assets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8"/>
          </w:tcPr>
          <w:p>
            <w:pPr>
              <w:ind w:left="7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4"/>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560" w:type="dxa"/>
            <w:vAlign w:val="bottom"/>
            <w:gridSpan w:val="4"/>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12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8"/>
        </w:trPr>
        <w:tc>
          <w:tcPr>
            <w:tcW w:w="5020" w:type="dxa"/>
            <w:vAlign w:val="bottom"/>
            <w:gridSpan w:val="2"/>
            <w:vMerge w:val="continue"/>
          </w:tcPr>
          <w:p>
            <w:pPr>
              <w:spacing w:after="0"/>
              <w:rPr>
                <w:sz w:val="17"/>
                <w:szCs w:val="17"/>
                <w:color w:val="auto"/>
              </w:rPr>
            </w:pPr>
          </w:p>
        </w:tc>
        <w:tc>
          <w:tcPr>
            <w:tcW w:w="15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2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Completed technology</w:t>
            </w:r>
          </w:p>
        </w:tc>
        <w:tc>
          <w:tcPr>
            <w:tcW w:w="13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 years</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1,130,190</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(322,436)</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807,754</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56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color w:val="auto"/>
              </w:rPr>
              <w:t>12 years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210,904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(145,140)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65,764</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Trademarks/brand names</w:t>
            </w:r>
          </w:p>
        </w:tc>
        <w:tc>
          <w:tcPr>
            <w:tcW w:w="1560" w:type="dxa"/>
            <w:vAlign w:val="bottom"/>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28 years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97,907</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(32,285)</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65,622</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Codman tradename</w:t>
            </w:r>
          </w:p>
        </w:tc>
        <w:tc>
          <w:tcPr>
            <w:tcW w:w="156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color w:val="auto"/>
              </w:rPr>
              <w:t>Indefinite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166,849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166,849</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Supplier relationships</w:t>
            </w:r>
          </w:p>
        </w:tc>
        <w:tc>
          <w:tcPr>
            <w:tcW w:w="1560" w:type="dxa"/>
            <w:vAlign w:val="bottom"/>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30 years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(16,437)</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13,774</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All other</w:t>
            </w:r>
          </w:p>
        </w:tc>
        <w:tc>
          <w:tcPr>
            <w:tcW w:w="1560" w:type="dxa"/>
            <w:vAlign w:val="bottom"/>
            <w:tcBorders>
              <w:bottom w:val="single" w:sz="8" w:color="CCEEFF"/>
            </w:tcBorders>
            <w:gridSpan w:val="4"/>
          </w:tcPr>
          <w:p>
            <w:pPr>
              <w:jc w:val="center"/>
              <w:ind w:right="260"/>
              <w:spacing w:after="0"/>
              <w:rPr>
                <w:sz w:val="20"/>
                <w:szCs w:val="20"/>
                <w:color w:val="auto"/>
              </w:rPr>
            </w:pPr>
            <w:r>
              <w:rPr>
                <w:rFonts w:ascii="Times New Roman" w:cs="Times New Roman" w:eastAsia="Times New Roman" w:hAnsi="Times New Roman"/>
                <w:sz w:val="16"/>
                <w:szCs w:val="16"/>
                <w:color w:val="auto"/>
              </w:rPr>
              <w:t>11 years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6,125</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(3,917)</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0" w:type="dxa"/>
            <w:vAlign w:val="bottom"/>
          </w:tcPr>
          <w:p>
            <w:pPr>
              <w:spacing w:after="0"/>
              <w:rPr>
                <w:sz w:val="1"/>
                <w:szCs w:val="1"/>
                <w:color w:val="auto"/>
              </w:rPr>
            </w:pPr>
          </w:p>
        </w:tc>
      </w:tr>
      <w:tr>
        <w:trPr>
          <w:trHeight w:val="234"/>
        </w:trPr>
        <w:tc>
          <w:tcPr>
            <w:tcW w:w="4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1,642,186</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(520,215)</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1,121,971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4"/>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56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12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5020" w:type="dxa"/>
            <w:vAlign w:val="bottom"/>
            <w:gridSpan w:val="2"/>
            <w:vMerge w:val="continue"/>
          </w:tcPr>
          <w:p>
            <w:pPr>
              <w:spacing w:after="0"/>
              <w:rPr>
                <w:sz w:val="17"/>
                <w:szCs w:val="17"/>
                <w:color w:val="auto"/>
              </w:rPr>
            </w:pPr>
          </w:p>
        </w:tc>
        <w:tc>
          <w:tcPr>
            <w:tcW w:w="15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2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Completed technology</w:t>
            </w: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rPr>
              <w:t>18 years</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1,132,954</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(307,013)</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825,941</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56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color w:val="auto"/>
              </w:rPr>
              <w:t>12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211,344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(142,755)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68,589</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Trademarks/brand names</w:t>
            </w:r>
          </w:p>
        </w:tc>
        <w:tc>
          <w:tcPr>
            <w:tcW w:w="1560" w:type="dxa"/>
            <w:vAlign w:val="bottom"/>
            <w:gridSpan w:val="4"/>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color w:val="auto"/>
              </w:rPr>
              <w:t>28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98,367</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(31,468)</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66,899</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Codman tradename</w:t>
            </w:r>
          </w:p>
        </w:tc>
        <w:tc>
          <w:tcPr>
            <w:tcW w:w="156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color w:val="auto"/>
              </w:rPr>
              <w:t>Indefinite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167,758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167,758</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Supplier relationships</w:t>
            </w:r>
          </w:p>
        </w:tc>
        <w:tc>
          <w:tcPr>
            <w:tcW w:w="1560" w:type="dxa"/>
            <w:vAlign w:val="bottom"/>
            <w:gridSpan w:val="4"/>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color w:val="auto"/>
              </w:rPr>
              <w:t>30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(16,192)</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14,019</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 other</w:t>
            </w:r>
          </w:p>
        </w:tc>
        <w:tc>
          <w:tcPr>
            <w:tcW w:w="156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color w:val="auto"/>
              </w:rPr>
              <w:t>11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(3,891)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w:t>
            </w:r>
          </w:p>
        </w:tc>
        <w:tc>
          <w:tcPr>
            <w:tcW w:w="0" w:type="dxa"/>
            <w:vAlign w:val="bottom"/>
          </w:tcPr>
          <w:p>
            <w:pPr>
              <w:spacing w:after="0"/>
              <w:rPr>
                <w:sz w:val="1"/>
                <w:szCs w:val="1"/>
                <w:color w:val="auto"/>
              </w:rPr>
            </w:pPr>
          </w:p>
        </w:tc>
      </w:tr>
      <w:tr>
        <w:trPr>
          <w:trHeight w:val="234"/>
        </w:trPr>
        <w:tc>
          <w:tcPr>
            <w:tcW w:w="49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1,646,892</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(501,319)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1,145,573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quarter-end exchange rates, amortization expense (including amounts reported in cost of goods sold) is expected to be approximately $58.9 million for the remainder of 2022, $78.2 million in 2023, $77.6 million in 2024, $77.5 million in 2025, $77.4 million in 2026, $75.4 million in 2027 and $509.1 million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the Sixth Amended and Restated Senior Credit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3, 2020, the Company entered into the sixth amendment and restatement (the "February 2020 Amendment") of its Senior Credit Facility (the "Senior Credit Facility") with a syndicate of lending banks with Bank of America, N.A., as Administrative Agent. The February 2020 Amendment extended the maturity date to February 3, 2025. The Company continues to have the aggregate principal amount of up to approximately $2.2 billion available to it through the following facilities: (i) a $877.5 million Term Loan facility, and (ii) a $1.3 billion revolving credit facility, which includes a $60 million sublimit for the issuance of standby letters of credit and a $60 million sublimit for swingline loans.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14, 2020, the Company entered into an amendment (the "July 2020 Amendment") to the February 2020 Amendment of the Senior Credit Facility to increase financial flexibility through June 30, 2021, in light of the unprecedented impact and uncertainty of the COVID-19 pandemic on the global economy. The July 2020 amendment did not increase the Company’s total indebtedness.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July 2020 amendment, the Company’s maximum consolidated total leverage ratio in the financial covenants (as defined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Credit Facility) was modified to the following:</w:t>
      </w:r>
    </w:p>
    <w:p>
      <w:pPr>
        <w:spacing w:after="0" w:line="26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Quarter</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Consolidated Total</w:t>
            </w:r>
          </w:p>
        </w:tc>
        <w:tc>
          <w:tcPr>
            <w:tcW w:w="0" w:type="dxa"/>
            <w:vAlign w:val="bottom"/>
          </w:tcPr>
          <w:p>
            <w:pPr>
              <w:spacing w:after="0"/>
              <w:rPr>
                <w:sz w:val="1"/>
                <w:szCs w:val="1"/>
                <w:color w:val="auto"/>
              </w:rPr>
            </w:pPr>
          </w:p>
        </w:tc>
      </w:tr>
      <w:tr>
        <w:trPr>
          <w:trHeight w:val="195"/>
        </w:trPr>
        <w:tc>
          <w:tcPr>
            <w:tcW w:w="7160" w:type="dxa"/>
            <w:vAlign w:val="bottom"/>
            <w:gridSpan w:val="2"/>
            <w:vMerge w:val="continue"/>
          </w:tcPr>
          <w:p>
            <w:pPr>
              <w:spacing w:after="0"/>
              <w:rPr>
                <w:sz w:val="16"/>
                <w:szCs w:val="16"/>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0" w:type="dxa"/>
            <w:vAlign w:val="bottom"/>
          </w:tcPr>
          <w:p>
            <w:pPr>
              <w:spacing w:after="0"/>
              <w:rPr>
                <w:sz w:val="1"/>
                <w:szCs w:val="1"/>
                <w:color w:val="auto"/>
              </w:rPr>
            </w:pPr>
          </w:p>
        </w:tc>
      </w:tr>
      <w:tr>
        <w:trPr>
          <w:trHeight w:val="214"/>
        </w:trPr>
        <w:tc>
          <w:tcPr>
            <w:tcW w:w="7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Execution of July 2020 Amendment through June 30, 2021</w:t>
            </w:r>
          </w:p>
        </w:tc>
        <w:tc>
          <w:tcPr>
            <w:tcW w:w="14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5.50 to 1.00</w:t>
            </w:r>
          </w:p>
        </w:tc>
        <w:tc>
          <w:tcPr>
            <w:tcW w:w="0" w:type="dxa"/>
            <w:vAlign w:val="bottom"/>
          </w:tcPr>
          <w:p>
            <w:pPr>
              <w:spacing w:after="0"/>
              <w:rPr>
                <w:sz w:val="1"/>
                <w:szCs w:val="1"/>
                <w:color w:val="auto"/>
              </w:rPr>
            </w:pPr>
          </w:p>
        </w:tc>
      </w:tr>
      <w:tr>
        <w:trPr>
          <w:trHeight w:val="21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September 30, 2021 through June 30, 2022</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5.00 to 1.00</w:t>
            </w:r>
          </w:p>
        </w:tc>
        <w:tc>
          <w:tcPr>
            <w:tcW w:w="0" w:type="dxa"/>
            <w:vAlign w:val="bottom"/>
          </w:tcPr>
          <w:p>
            <w:pPr>
              <w:spacing w:after="0"/>
              <w:rPr>
                <w:sz w:val="1"/>
                <w:szCs w:val="1"/>
                <w:color w:val="auto"/>
              </w:rPr>
            </w:pPr>
          </w:p>
        </w:tc>
      </w:tr>
      <w:tr>
        <w:trPr>
          <w:trHeight w:val="219"/>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2022 through June 30, 2023</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4.50 to 1.00</w:t>
            </w:r>
          </w:p>
        </w:tc>
        <w:tc>
          <w:tcPr>
            <w:tcW w:w="0" w:type="dxa"/>
            <w:vAlign w:val="bottom"/>
          </w:tcPr>
          <w:p>
            <w:pPr>
              <w:spacing w:after="0"/>
              <w:rPr>
                <w:sz w:val="1"/>
                <w:szCs w:val="1"/>
                <w:color w:val="auto"/>
              </w:rPr>
            </w:pPr>
          </w:p>
        </w:tc>
      </w:tr>
      <w:tr>
        <w:trPr>
          <w:trHeight w:val="210"/>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September 30, 2023 and the last day of each fiscal quarter thereafter</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4.00 to 1.00</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Senior Credit Facility bear interest, at the Company’s option, at a rate equal to the following:</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hanging="328"/>
        <w:spacing w:after="0" w:line="282" w:lineRule="auto"/>
        <w:tabs>
          <w:tab w:leader="none" w:pos="6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Eurodollar Rate (as defined in the amendment and restatement) in effect from time to time plus the applicable rate (ranging from 1.00% to 2.25%), 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of:</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overnight Federal funds rate, as published by the Federal Reserve Bank of New York, plus 0.50%</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lending rate of Bank of America, N.A. or</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one-month Eurodollar Rate plus 1.00%</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applicable rates are based on the Company’s consolidated total leverage ratio (defined as the ratio of (a) consolidated funded indebtedness as of such date less cash that is not subject to any restriction on the use or investment thereof to (b) consolidated EBITDA (as defined by the July 2020 amendment), for the period of four consecutive fiscal quarters ending on such date).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pay an annual commitment fee (ranging from 0.15% to 0.30%), based on the Company's consolidated total leverage ratio, on the amount available for borrowing under the revolving credit facility.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Senior Credit Facility is collateralized by substantially all of the assets of the Company’s U.S. subsidiaries, excluding intangible assets. The Senior Credit Facility is subject to various financial and negative covenants and at March 31, 2022, the Company was in compliance with all such covenants.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2022 and December 31, 2021, there was $42.5 million and $31.3 million, respectively, outstanding under the revolving portion of the Senior Credit Facility at weighted average interest rates of 1.7% and 1.4%, respectively. At March 31, 2022 and December 31, 2021, there was $832.5 million and $843.8 million, respectively, outstanding under the Term Loan component of the Senior Credit Facility at a weighted average interest rate of 1.7% and 1.4%, respectively. At both March 31, 2022 and December 31, 2021, there was $45.0 million, of the Term Loan component of the Senior Credit Facility classified as current on the consolidated balance sheets.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outstanding borrowings of the Senior Credit Facility's revolving credit and Term Loan components at March 31, 2022 were $43.4 million and $847.4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outstanding as of March 31, 2022 and December 31, 2021 totaled $1.6 million. There were no amounts drawn as of March 31,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repayments of the Term Loan component of the Senior Credit Facility are due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6900" w:type="dxa"/>
            <w:vAlign w:val="bottom"/>
            <w:gridSpan w:val="3"/>
          </w:tcPr>
          <w:p>
            <w:pPr>
              <w:jc w:val="right"/>
              <w:ind w:right="3779"/>
              <w:spacing w:after="0"/>
              <w:rPr>
                <w:sz w:val="20"/>
                <w:szCs w:val="20"/>
                <w:color w:val="auto"/>
              </w:rPr>
            </w:pPr>
            <w:r>
              <w:rPr>
                <w:rFonts w:ascii="Times New Roman" w:cs="Times New Roman" w:eastAsia="Times New Roman" w:hAnsi="Times New Roman"/>
                <w:sz w:val="14"/>
                <w:szCs w:val="14"/>
                <w:b w:val="1"/>
                <w:bCs w:val="1"/>
                <w:color w:val="auto"/>
              </w:rPr>
              <w:t>Quarter Ended March 31, 2022</w:t>
            </w:r>
          </w:p>
        </w:tc>
        <w:tc>
          <w:tcPr>
            <w:tcW w:w="19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Principal Repayment</w:t>
            </w:r>
          </w:p>
        </w:tc>
      </w:tr>
      <w:tr>
        <w:trPr>
          <w:trHeight w:val="23"/>
        </w:trPr>
        <w:tc>
          <w:tcPr>
            <w:tcW w:w="2380" w:type="dxa"/>
            <w:vAlign w:val="bottom"/>
            <w:tcBorders>
              <w:bottom w:val="single" w:sz="8" w:color="auto"/>
            </w:tcBorders>
          </w:tcPr>
          <w:p>
            <w:pPr>
              <w:spacing w:after="0"/>
              <w:rPr>
                <w:sz w:val="2"/>
                <w:szCs w:val="2"/>
                <w:color w:val="auto"/>
              </w:rPr>
            </w:pPr>
          </w:p>
        </w:tc>
        <w:tc>
          <w:tcPr>
            <w:tcW w:w="6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89"/>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6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2022</w:t>
            </w:r>
          </w:p>
        </w:tc>
        <w:tc>
          <w:tcPr>
            <w:tcW w:w="6900" w:type="dxa"/>
            <w:vAlign w:val="bottom"/>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33,750</w:t>
            </w:r>
          </w:p>
        </w:tc>
      </w:tr>
      <w:tr>
        <w:trPr>
          <w:trHeight w:val="213"/>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690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61,875</w:t>
            </w:r>
          </w:p>
        </w:tc>
      </w:tr>
      <w:tr>
        <w:trPr>
          <w:trHeight w:val="21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6900" w:type="dxa"/>
            <w:vAlign w:val="bottom"/>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67,500</w:t>
            </w:r>
          </w:p>
        </w:tc>
      </w:tr>
      <w:tr>
        <w:trPr>
          <w:trHeight w:val="213"/>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690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669,375</w:t>
            </w:r>
          </w:p>
        </w:tc>
      </w:tr>
      <w:tr>
        <w:trPr>
          <w:trHeight w:val="235"/>
        </w:trPr>
        <w:tc>
          <w:tcPr>
            <w:tcW w:w="2380" w:type="dxa"/>
            <w:vAlign w:val="bottom"/>
            <w:tcBorders>
              <w:top w:val="single" w:sz="8" w:color="CCEEFF"/>
              <w:bottom w:val="single" w:sz="8" w:color="CCEEFF"/>
            </w:tcBorders>
            <w:shd w:val="clear" w:color="auto" w:fill="CCEEFF"/>
          </w:tcPr>
          <w:p>
            <w:pPr>
              <w:spacing w:after="0"/>
              <w:rPr>
                <w:sz w:val="19"/>
                <w:szCs w:val="19"/>
                <w:color w:val="auto"/>
              </w:rPr>
            </w:pPr>
          </w:p>
        </w:tc>
        <w:tc>
          <w:tcPr>
            <w:tcW w:w="65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832,500</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interest payments on the term loan component of the Senior Credit Facility based on current interest rates are expected to approximate $10.4 million for remainder of 2022, $13.0 million in 2023, $11.9 million in 2024, and $1.1 million in 2025. Interest is calculated on the term loan portion of the Senior Credit Facility based on LIBOR plus the certain amounts set forth in the Sixth Amended and Restated Credit Agreement. As the revolving credit facility and Securitization Facility can be repaid at any time, no interest has been included in the calculation.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balance of the revolving credit component of the Senior Credit Facility is due on February 3,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4, 2020, the Company issued $575.0 million aggregate principal amount of its 0.5% Convertible Senior Notes due 2025 (the "2025 Notes"). The 2025 Notes will mature on August 15, 2025 and bear interest at a rate of 0.5% per annum payable semi-annually in arrears, unless earlier converted, repurchased or redeemed in accordance with the terms of the 2025 Notes. The portion of debt proceeds that was classified as equity at the time of the offering was $104.5 million. The effective interest rate implicit in the liability component was 4.2%. In connection with this offering, the Company capitalized $13.2 million of financing fees.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2025 Notes are senior, unsecured obligations of the Company, and are convertible into cash and shares of its common stock based on initial conversion rate, subject to adjustment of 13.5739 shares per $1,000 principal amounts of the 2025 Notes (which represents an initial conversion price of $73.67 per share). The 2025 Notes convert only in the following circumstances: (1) if the closing price of the Company's common stock has been at least 130% of the conversion price during the period; (2) if the average trading price per $1,000 principal amount of the 2025 Notes is less than or equal to 98% of the average conversion value of the 2025 Notes during a period as defined in the indenture; (3) at any time on or after February 20, 2023; or (4) if specified corporate transactions occur. As of March 31, 2022, none of these conditions existed with respect to the 2025 Notes and as a result the 2025 Notes are classified as long term.</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9, 2020, the Company entered into the First Supplemental Indenture to the original agreement dated as of February 4, 2020 between the Company and Citibank, N.A., as trustee, governing the Company’s outstanding 2025 Notes. The Company irrevocably elected (1) to eliminate the Company’s option to choose physical settlement on any conversion of the 2025 Notes that occurs on or after the date of the First Supplemental Indenture and (2) with respect to any Combination Settlement for a conversion of the 2025 Notes, the Specified Dollar Amount that will be settled in cash per $1,000 principal amount of the 2025 Notes shall be no lower than $1,000.</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the Notes will have the right to require the Company to repurchase for cash all or a portion of their Notes at 100% of their principal amount, plus any accrued and unpaid interest, upon the occurrence of a fundamental change (as defined in the indenture relating to the Notes). The Company will also be required to increase the conversion rate for holders who convert their Notes in connection with certain fundamental changes occurring prior to the maturity date or following delivery by the Company of a notice of redemption.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At December 31, 2020, the carrying amount of the liability component was $485.9 million, the remaining unamortized discount was $89.1 million, and the principal amount outstanding was $575.0 million. On January 1, 2021, the Company adopted ASU 2020-06 using the modified retrospective method. See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xml:space="preserve"> for further details. At March 31, 2022, the carrying amount of the liability was $575.0 million. The fair value of the 2025 Notes at March 31, 2022 was $613.7 million. Factors that the Company considered when estimating the fair value of the 2025 Notes included recent quoted market prices or dealer quote. The level of the 2025 Notes is considered as Level 1.</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adoption of ASU 2020-06, the Company recognized only cash interest related to the contractual interest coupon of $0.7 million on the 2025 Notes for the three months ended March 31, 2022 and March 31,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Securitization Facility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fourth quarter of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March 31, 2022, the Company was in compliance with the covenants and none of the termination events had occurred.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28, 2021, the Company entered into an amendment (the "May 2021 Amendment") of the Securitization Facility which extended the maturity date from December 21, 2021 to May 28, 2024. The May 2021 Amendment does not increase the Company’s total indebtedness.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2022 and December 31, 2021, the Company had $112.0 million and $112.5 million, respectively, of outstanding borrowings under its Securitization Facility at a weighted average interest rate of 1.2% and 1.1%, respectively. The fair value of the outstanding borrowing of the Securitization Facility at March 31, 2022 was $113.0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Hedging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LIBOR-indexed floating-rate borrowings.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the following interest rate swaps as of March 31, 2022 and December 31, 2021 (dollar amounts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09"/>
        </w:trPr>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86"/>
        </w:trPr>
        <w:tc>
          <w:tcPr>
            <w:tcW w:w="11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4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860" w:type="dxa"/>
            <w:vAlign w:val="bottom"/>
            <w:gridSpan w:val="4"/>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00" w:type="dxa"/>
            <w:vAlign w:val="bottom"/>
          </w:tcPr>
          <w:p>
            <w:pPr>
              <w:spacing w:after="0"/>
              <w:rPr>
                <w:sz w:val="11"/>
                <w:szCs w:val="11"/>
                <w:color w:val="auto"/>
              </w:rPr>
            </w:pP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Designation Date</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9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6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09"/>
        </w:trPr>
        <w:tc>
          <w:tcPr>
            <w:tcW w:w="1460" w:type="dxa"/>
            <w:vAlign w:val="bottom"/>
            <w:gridSpan w:val="3"/>
            <w:vMerge w:val="continue"/>
          </w:tcPr>
          <w:p>
            <w:pPr>
              <w:spacing w:after="0"/>
              <w:rPr>
                <w:sz w:val="9"/>
                <w:szCs w:val="9"/>
                <w:color w:val="auto"/>
              </w:rPr>
            </w:pPr>
          </w:p>
        </w:tc>
        <w:tc>
          <w:tcPr>
            <w:tcW w:w="18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240" w:type="dxa"/>
            <w:vAlign w:val="bottom"/>
            <w:gridSpan w:val="3"/>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120" w:type="dxa"/>
            <w:vAlign w:val="bottom"/>
            <w:tcBorders>
              <w:top w:val="single" w:sz="8" w:color="auto"/>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CCEEFF"/>
            </w:tcBorders>
          </w:tcPr>
          <w:p>
            <w:pPr>
              <w:spacing w:after="0"/>
              <w:rPr>
                <w:sz w:val="16"/>
                <w:szCs w:val="16"/>
                <w:color w:val="auto"/>
              </w:rPr>
            </w:pPr>
          </w:p>
        </w:tc>
        <w:tc>
          <w:tcPr>
            <w:tcW w:w="78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CCEEFF"/>
            </w:tcBorders>
          </w:tcPr>
          <w:p>
            <w:pPr>
              <w:spacing w:after="0"/>
              <w:rPr>
                <w:sz w:val="16"/>
                <w:szCs w:val="16"/>
                <w:color w:val="auto"/>
              </w:rPr>
            </w:pPr>
          </w:p>
        </w:tc>
        <w:tc>
          <w:tcPr>
            <w:tcW w:w="76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860" w:type="dxa"/>
            <w:vAlign w:val="bottom"/>
            <w:tcBorders>
              <w:top w:val="single" w:sz="8" w:color="auto"/>
              <w:bottom w:val="single" w:sz="8" w:color="auto"/>
            </w:tcBorders>
            <w:gridSpan w:val="3"/>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0" w:type="dxa"/>
            <w:vAlign w:val="bottom"/>
          </w:tcPr>
          <w:p>
            <w:pPr>
              <w:spacing w:after="0"/>
              <w:rPr>
                <w:sz w:val="1"/>
                <w:szCs w:val="1"/>
                <w:color w:val="auto"/>
              </w:rPr>
            </w:pPr>
          </w:p>
        </w:tc>
      </w:tr>
      <w:tr>
        <w:trPr>
          <w:trHeight w:val="125"/>
        </w:trPr>
        <w:tc>
          <w:tcPr>
            <w:tcW w:w="1460" w:type="dxa"/>
            <w:vAlign w:val="bottom"/>
            <w:gridSpan w:val="3"/>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1-month USD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shd w:val="clear" w:color="auto" w:fill="CCEEFF"/>
          </w:tcPr>
          <w:p>
            <w:pPr>
              <w:spacing w:after="0"/>
              <w:rPr>
                <w:sz w:val="10"/>
                <w:szCs w:val="10"/>
                <w:color w:val="auto"/>
              </w:rPr>
            </w:pP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December 13, 2017</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January 1, 2018</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2022</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2.201 %</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(1,619)</w:t>
            </w:r>
          </w:p>
        </w:tc>
        <w:tc>
          <w:tcPr>
            <w:tcW w:w="2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0" w:type="dxa"/>
            <w:vAlign w:val="bottom"/>
          </w:tcPr>
          <w:p>
            <w:pPr>
              <w:spacing w:after="0"/>
              <w:rPr>
                <w:sz w:val="1"/>
                <w:szCs w:val="1"/>
                <w:color w:val="auto"/>
              </w:rPr>
            </w:pPr>
          </w:p>
        </w:tc>
      </w:tr>
      <w:tr>
        <w:trPr>
          <w:trHeight w:val="107"/>
        </w:trPr>
        <w:tc>
          <w:tcPr>
            <w:tcW w:w="146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LIBOR Loan</w:t>
            </w:r>
          </w:p>
        </w:tc>
        <w:tc>
          <w:tcPr>
            <w:tcW w:w="7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460" w:type="dxa"/>
            <w:vAlign w:val="bottom"/>
            <w:gridSpan w:val="3"/>
            <w:vMerge w:val="continue"/>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4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1-month USD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tcPr>
          <w:p>
            <w:pPr>
              <w:spacing w:after="0"/>
              <w:rPr>
                <w:sz w:val="12"/>
                <w:szCs w:val="12"/>
                <w:color w:val="auto"/>
              </w:rPr>
            </w:pP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December 13, 2017</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July 1, 2019</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June 30, 2024</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2.423 %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(138)</w:t>
            </w:r>
          </w:p>
        </w:tc>
        <w:tc>
          <w:tcPr>
            <w:tcW w:w="2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(5,520)</w:t>
            </w:r>
          </w:p>
        </w:tc>
        <w:tc>
          <w:tcPr>
            <w:tcW w:w="0" w:type="dxa"/>
            <w:vAlign w:val="bottom"/>
          </w:tcPr>
          <w:p>
            <w:pPr>
              <w:spacing w:after="0"/>
              <w:rPr>
                <w:sz w:val="1"/>
                <w:szCs w:val="1"/>
                <w:color w:val="auto"/>
              </w:rPr>
            </w:pPr>
          </w:p>
        </w:tc>
      </w:tr>
      <w:tr>
        <w:trPr>
          <w:trHeight w:val="107"/>
        </w:trPr>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LIBOR Loan</w:t>
            </w:r>
          </w:p>
        </w:tc>
        <w:tc>
          <w:tcPr>
            <w:tcW w:w="7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6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46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1-month USD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December 13, 2017</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January 1, 2018</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2024</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2.313 %</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743</w:t>
            </w:r>
          </w:p>
        </w:tc>
        <w:tc>
          <w:tcPr>
            <w:tcW w:w="2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(7,421)</w:t>
            </w:r>
          </w:p>
        </w:tc>
        <w:tc>
          <w:tcPr>
            <w:tcW w:w="0" w:type="dxa"/>
            <w:vAlign w:val="bottom"/>
          </w:tcPr>
          <w:p>
            <w:pPr>
              <w:spacing w:after="0"/>
              <w:rPr>
                <w:sz w:val="1"/>
                <w:szCs w:val="1"/>
                <w:color w:val="auto"/>
              </w:rPr>
            </w:pPr>
          </w:p>
        </w:tc>
      </w:tr>
      <w:tr>
        <w:trPr>
          <w:trHeight w:val="107"/>
        </w:trPr>
        <w:tc>
          <w:tcPr>
            <w:tcW w:w="146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LIBOR Loan</w:t>
            </w:r>
          </w:p>
        </w:tc>
        <w:tc>
          <w:tcPr>
            <w:tcW w:w="7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460" w:type="dxa"/>
            <w:vAlign w:val="bottom"/>
            <w:gridSpan w:val="3"/>
            <w:vMerge w:val="continue"/>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4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1-month USD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2"/>
                <w:szCs w:val="12"/>
                <w:color w:val="auto"/>
              </w:rPr>
            </w:pP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October 10, 2018</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July 1, 2020</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June 30, 2025</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3.220 %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(1,898)</w:t>
            </w:r>
          </w:p>
        </w:tc>
        <w:tc>
          <w:tcPr>
            <w:tcW w:w="2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(5,512)</w:t>
            </w:r>
          </w:p>
        </w:tc>
        <w:tc>
          <w:tcPr>
            <w:tcW w:w="0" w:type="dxa"/>
            <w:vAlign w:val="bottom"/>
          </w:tcPr>
          <w:p>
            <w:pPr>
              <w:spacing w:after="0"/>
              <w:rPr>
                <w:sz w:val="1"/>
                <w:szCs w:val="1"/>
                <w:color w:val="auto"/>
              </w:rPr>
            </w:pPr>
          </w:p>
        </w:tc>
      </w:tr>
      <w:tr>
        <w:trPr>
          <w:trHeight w:val="107"/>
        </w:trPr>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LIBOR Loan</w:t>
            </w:r>
          </w:p>
        </w:tc>
        <w:tc>
          <w:tcPr>
            <w:tcW w:w="7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6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46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1-month USD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October 10, 2018</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July 1, 2020</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June 30, 2025</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3.199 %</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(1,937)</w:t>
            </w:r>
          </w:p>
        </w:tc>
        <w:tc>
          <w:tcPr>
            <w:tcW w:w="2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(5,464)</w:t>
            </w:r>
          </w:p>
        </w:tc>
        <w:tc>
          <w:tcPr>
            <w:tcW w:w="0" w:type="dxa"/>
            <w:vAlign w:val="bottom"/>
          </w:tcPr>
          <w:p>
            <w:pPr>
              <w:spacing w:after="0"/>
              <w:rPr>
                <w:sz w:val="1"/>
                <w:szCs w:val="1"/>
                <w:color w:val="auto"/>
              </w:rPr>
            </w:pPr>
          </w:p>
        </w:tc>
      </w:tr>
      <w:tr>
        <w:trPr>
          <w:trHeight w:val="107"/>
        </w:trPr>
        <w:tc>
          <w:tcPr>
            <w:tcW w:w="146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LIBOR Loan</w:t>
            </w:r>
          </w:p>
        </w:tc>
        <w:tc>
          <w:tcPr>
            <w:tcW w:w="7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460" w:type="dxa"/>
            <w:vAlign w:val="bottom"/>
            <w:gridSpan w:val="3"/>
            <w:vMerge w:val="continue"/>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4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1-month USD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2"/>
                <w:szCs w:val="12"/>
                <w:color w:val="auto"/>
              </w:rPr>
            </w:pP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October 10, 2018</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July 1, 2020</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June 30, 2025</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3.209 %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(1,843)</w:t>
            </w:r>
          </w:p>
        </w:tc>
        <w:tc>
          <w:tcPr>
            <w:tcW w:w="2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(5,494)</w:t>
            </w:r>
          </w:p>
        </w:tc>
        <w:tc>
          <w:tcPr>
            <w:tcW w:w="0" w:type="dxa"/>
            <w:vAlign w:val="bottom"/>
          </w:tcPr>
          <w:p>
            <w:pPr>
              <w:spacing w:after="0"/>
              <w:rPr>
                <w:sz w:val="1"/>
                <w:szCs w:val="1"/>
                <w:color w:val="auto"/>
              </w:rPr>
            </w:pPr>
          </w:p>
        </w:tc>
      </w:tr>
      <w:tr>
        <w:trPr>
          <w:trHeight w:val="107"/>
        </w:trPr>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LIBOR Loan</w:t>
            </w:r>
          </w:p>
        </w:tc>
        <w:tc>
          <w:tcPr>
            <w:tcW w:w="7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6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46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1-month USD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December 18, 2018</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December 30, 2022</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2027</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2.885 %</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(1,984)</w:t>
            </w:r>
          </w:p>
        </w:tc>
        <w:tc>
          <w:tcPr>
            <w:tcW w:w="2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(6,886)</w:t>
            </w:r>
          </w:p>
        </w:tc>
        <w:tc>
          <w:tcPr>
            <w:tcW w:w="0" w:type="dxa"/>
            <w:vAlign w:val="bottom"/>
          </w:tcPr>
          <w:p>
            <w:pPr>
              <w:spacing w:after="0"/>
              <w:rPr>
                <w:sz w:val="1"/>
                <w:szCs w:val="1"/>
                <w:color w:val="auto"/>
              </w:rPr>
            </w:pPr>
          </w:p>
        </w:tc>
      </w:tr>
      <w:tr>
        <w:trPr>
          <w:trHeight w:val="107"/>
        </w:trPr>
        <w:tc>
          <w:tcPr>
            <w:tcW w:w="146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LIBOR Loan</w:t>
            </w:r>
          </w:p>
        </w:tc>
        <w:tc>
          <w:tcPr>
            <w:tcW w:w="7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460" w:type="dxa"/>
            <w:vAlign w:val="bottom"/>
            <w:gridSpan w:val="3"/>
            <w:vMerge w:val="continue"/>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4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1-month USD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2"/>
                <w:szCs w:val="12"/>
                <w:color w:val="auto"/>
              </w:rPr>
            </w:pP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December 18, 2018</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December 30, 2022</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2027</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2.867 %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(2,140)</w:t>
            </w:r>
          </w:p>
        </w:tc>
        <w:tc>
          <w:tcPr>
            <w:tcW w:w="2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(6,764)</w:t>
            </w:r>
          </w:p>
        </w:tc>
        <w:tc>
          <w:tcPr>
            <w:tcW w:w="0" w:type="dxa"/>
            <w:vAlign w:val="bottom"/>
          </w:tcPr>
          <w:p>
            <w:pPr>
              <w:spacing w:after="0"/>
              <w:rPr>
                <w:sz w:val="1"/>
                <w:szCs w:val="1"/>
                <w:color w:val="auto"/>
              </w:rPr>
            </w:pPr>
          </w:p>
        </w:tc>
      </w:tr>
      <w:tr>
        <w:trPr>
          <w:trHeight w:val="107"/>
        </w:trPr>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LIBOR Loan</w:t>
            </w:r>
          </w:p>
        </w:tc>
        <w:tc>
          <w:tcPr>
            <w:tcW w:w="7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6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46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1-month USD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10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December 15, 2020</w:t>
            </w:r>
          </w:p>
        </w:tc>
        <w:tc>
          <w:tcPr>
            <w:tcW w:w="15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July 31, 2025</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2027</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1.415 %</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11,026</w:t>
            </w:r>
          </w:p>
        </w:tc>
        <w:tc>
          <w:tcPr>
            <w:tcW w:w="2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3,552</w:t>
            </w:r>
          </w:p>
        </w:tc>
        <w:tc>
          <w:tcPr>
            <w:tcW w:w="0" w:type="dxa"/>
            <w:vAlign w:val="bottom"/>
          </w:tcPr>
          <w:p>
            <w:pPr>
              <w:spacing w:after="0"/>
              <w:rPr>
                <w:sz w:val="1"/>
                <w:szCs w:val="1"/>
                <w:color w:val="auto"/>
              </w:rPr>
            </w:pPr>
          </w:p>
        </w:tc>
      </w:tr>
      <w:tr>
        <w:trPr>
          <w:trHeight w:val="107"/>
        </w:trPr>
        <w:tc>
          <w:tcPr>
            <w:tcW w:w="146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LIBOR Loan</w:t>
            </w:r>
          </w:p>
        </w:tc>
        <w:tc>
          <w:tcPr>
            <w:tcW w:w="7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460" w:type="dxa"/>
            <w:vAlign w:val="bottom"/>
            <w:gridSpan w:val="3"/>
            <w:vMerge w:val="continue"/>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4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1-month USD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tcPr>
          <w:p>
            <w:pPr>
              <w:spacing w:after="0"/>
              <w:rPr>
                <w:sz w:val="12"/>
                <w:szCs w:val="12"/>
                <w:color w:val="auto"/>
              </w:rPr>
            </w:pP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December 15, 2020</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July 1, 2025</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2027</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1.404 %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2,722</w:t>
            </w:r>
          </w:p>
        </w:tc>
        <w:tc>
          <w:tcPr>
            <w:tcW w:w="2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0" w:type="dxa"/>
            <w:vAlign w:val="bottom"/>
          </w:tcPr>
          <w:p>
            <w:pPr>
              <w:spacing w:after="0"/>
              <w:rPr>
                <w:sz w:val="1"/>
                <w:szCs w:val="1"/>
                <w:color w:val="auto"/>
              </w:rPr>
            </w:pPr>
          </w:p>
        </w:tc>
      </w:tr>
      <w:tr>
        <w:trPr>
          <w:trHeight w:val="107"/>
        </w:trPr>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LIBOR Loan</w:t>
            </w:r>
          </w:p>
        </w:tc>
        <w:tc>
          <w:tcPr>
            <w:tcW w:w="7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6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2,932</w:t>
            </w:r>
          </w:p>
        </w:tc>
        <w:tc>
          <w:tcPr>
            <w:tcW w:w="2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(43,957)</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accumulated other comprehensive loss (“AOCL”),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AOCL to interest expense at that time.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Hedging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AOCL, net of tax. Those amounts are subsequently reclassified to earnings from AOCL as impacted by the hedged item when the hedged item affects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net in the consolidated statements of operation, along with the offsetting foreign currency gain or loss on the underlying assets or liabilities.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of 2020, the Company entered into foreign currency forward contracts, with a notional amount of $9.7 million, to mitigate the foreign exchange risk related to certain intercompany loans denominated in Canadian Dollar ("CAD") and intercompany receivables denominated in Japanese Yen ("JPY"). The contracts are not designated as hedging instruments. The Company subsequently settled its foreign currency forward contracts associated with the intercompany receivables denominated in JPY during the first quarter of 2021. The Company recognized a $0.2 million loss from the change in fair value of the contracts, which was included in other income, net in the consolidated statement of operations as of March 31, 2022 and March 31, 2021. The fair value of the foreign currency forward contracts denominated in CAD was $0.2 million as of March 31, 2022 and December 31, 2021.</w:t>
      </w:r>
    </w:p>
    <w:p>
      <w:pPr>
        <w:spacing w:after="0" w:line="2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second quarter of 2021, the Company entered into a foreign currency swap, with a notional of $7.3 million to mitigate the risk from fluctuations in foreign currency exchange rates associated with certain intercompany loan denominated in Japanese Yen ("JPY"). In a foreign currency swap transaction, the Company agrees with another party to exchange, at specified intervals, the difference between one currency and another currency at a fixed exchange rate, generally set at inception, calculated by reference to an agreed upon notional amount. The notional amount of each currency is exchanged at the inception and termination of the currency swap by each party. The change in fair value of the foreign currency swap was $1.0 million as of March 31, 2022.</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the Company’s hedging program depends, in part, on forecasts of certain activity denominated in foreign currency. The Company may experience unanticipated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Cross-Currency Rate Swaps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 2017, the Company entered into cross-currency swap agreements to convert a notional amount of $300.0 million equivalent to 291.2 million of Swiss Francs ("CHF") denominated intercompany loans into U.S. dollars. The CHF-denominated intercompany loans were the result of the purchase of intellectual property by a subsidiary in Switzerland as part of an acquisition.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21, 2020, the Company entered into cross-currency swap agreements to convert a notional amount of $471.6 million equivalent to 420.1 million of a CHF-denominated intercompany loan into U.S. dollars. The CHF-denominated intercompany loan was the result of an intra-entity transfer of certain intellectual property rights to a subsidiary in Switzerland completed during the fourth quarter of 2020. The intercompany loan requires quarterly payments of CHF 5.8 million plus accrued interest. As a result, the aggregate notional amount of the related cross-currency swaps will decrease by a corresponding amount.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and receive interest in U.S. dollars. Upon the maturity of these contracts, the Company will pay the principal amount of the loans in Swiss Francs and receive U.S. dollars from the counterparties.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the following cross-currency rate swaps as of March 31, 2022 and December 31, 2021 (dollar amounts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8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80" w:type="dxa"/>
            <w:vAlign w:val="bottom"/>
          </w:tcPr>
          <w:p>
            <w:pPr>
              <w:spacing w:after="0"/>
              <w:rPr>
                <w:sz w:val="11"/>
                <w:szCs w:val="11"/>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680" w:type="dxa"/>
            <w:vAlign w:val="bottom"/>
          </w:tcPr>
          <w:p>
            <w:pPr>
              <w:spacing w:after="0"/>
              <w:rPr>
                <w:sz w:val="11"/>
                <w:szCs w:val="11"/>
                <w:color w:val="auto"/>
              </w:rPr>
            </w:pPr>
          </w:p>
        </w:tc>
        <w:tc>
          <w:tcPr>
            <w:tcW w:w="2680" w:type="dxa"/>
            <w:vAlign w:val="bottom"/>
            <w:gridSpan w:val="4"/>
            <w:vMerge w:val="restart"/>
          </w:tcPr>
          <w:p>
            <w:pPr>
              <w:jc w:val="center"/>
              <w:ind w:right="819"/>
              <w:spacing w:after="0"/>
              <w:rPr>
                <w:sz w:val="20"/>
                <w:szCs w:val="20"/>
                <w:color w:val="auto"/>
              </w:rPr>
            </w:pPr>
            <w:r>
              <w:rPr>
                <w:rFonts w:ascii="Times New Roman" w:cs="Times New Roman" w:eastAsia="Times New Roman" w:hAnsi="Times New Roman"/>
                <w:sz w:val="14"/>
                <w:szCs w:val="14"/>
                <w:b w:val="1"/>
                <w:bCs w:val="1"/>
                <w:color w:val="auto"/>
              </w:rPr>
              <w:t>Aggregate Notional Amount</w:t>
            </w:r>
          </w:p>
        </w:tc>
        <w:tc>
          <w:tcPr>
            <w:tcW w:w="1800" w:type="dxa"/>
            <w:vAlign w:val="bottom"/>
            <w:gridSpan w:val="2"/>
          </w:tcPr>
          <w:p>
            <w:pPr>
              <w:jc w:val="center"/>
              <w:ind w:left="444"/>
              <w:spacing w:after="0" w:line="131"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2680" w:type="dxa"/>
            <w:vAlign w:val="bottom"/>
            <w:gridSpan w:val="4"/>
            <w:vMerge w:val="continue"/>
          </w:tcPr>
          <w:p>
            <w:pPr>
              <w:spacing w:after="0"/>
              <w:rPr>
                <w:sz w:val="9"/>
                <w:szCs w:val="9"/>
                <w:color w:val="auto"/>
              </w:rPr>
            </w:pPr>
          </w:p>
        </w:tc>
        <w:tc>
          <w:tcPr>
            <w:tcW w:w="1800" w:type="dxa"/>
            <w:vAlign w:val="bottom"/>
            <w:gridSpan w:val="2"/>
            <w:vMerge w:val="restart"/>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gridSpan w:val="2"/>
            <w:vMerge w:val="continue"/>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22"/>
                <w:szCs w:val="22"/>
                <w:color w:val="auto"/>
              </w:rPr>
            </w:pP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October 2, 2017</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2, 2022</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6"/>
              </w:rPr>
              <w:t>CHF</w:t>
            </w:r>
          </w:p>
        </w:tc>
        <w:tc>
          <w:tcPr>
            <w:tcW w:w="120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rPr>
              <w:t>145,598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(7,354)</w:t>
            </w:r>
          </w:p>
        </w:tc>
        <w:tc>
          <w:tcPr>
            <w:tcW w:w="660" w:type="dxa"/>
            <w:vAlign w:val="bottom"/>
            <w:shd w:val="clear" w:color="auto" w:fill="CCEEFF"/>
          </w:tcPr>
          <w:p>
            <w:pPr>
              <w:spacing w:after="0"/>
              <w:rPr>
                <w:sz w:val="22"/>
                <w:szCs w:val="2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(8,283)</w:t>
            </w:r>
          </w:p>
        </w:tc>
        <w:tc>
          <w:tcPr>
            <w:tcW w:w="0" w:type="dxa"/>
            <w:vAlign w:val="bottom"/>
          </w:tcPr>
          <w:p>
            <w:pPr>
              <w:spacing w:after="0"/>
              <w:rPr>
                <w:sz w:val="1"/>
                <w:szCs w:val="1"/>
                <w:color w:val="auto"/>
              </w:rPr>
            </w:pPr>
          </w:p>
        </w:tc>
      </w:tr>
      <w:tr>
        <w:trPr>
          <w:trHeight w:val="81"/>
        </w:trPr>
        <w:tc>
          <w:tcPr>
            <w:tcW w:w="1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7"/>
                <w:szCs w:val="7"/>
                <w:color w:val="auto"/>
              </w:rPr>
            </w:pPr>
          </w:p>
        </w:tc>
        <w:tc>
          <w:tcPr>
            <w:tcW w:w="1500" w:type="dxa"/>
            <w:vAlign w:val="bottom"/>
            <w:gridSpan w:val="2"/>
            <w:vMerge w:val="continue"/>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rPr>
              <w:t>150,000</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40" w:type="dxa"/>
            <w:vAlign w:val="bottom"/>
            <w:vMerge w:val="continue"/>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3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440" w:type="dxa"/>
            <w:vAlign w:val="bottom"/>
            <w:gridSpan w:val="2"/>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18"/>
                <w:szCs w:val="18"/>
                <w:color w:val="auto"/>
              </w:rPr>
            </w:pP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December 21, 2020</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22, 2025</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CHF</w:t>
            </w:r>
          </w:p>
        </w:tc>
        <w:tc>
          <w:tcPr>
            <w:tcW w:w="120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rPr>
              <w:t>391,387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397,137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66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08"/>
        </w:trPr>
        <w:tc>
          <w:tcPr>
            <w:tcW w:w="1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rPr>
              <w:t>439,366</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445,821</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40" w:type="dxa"/>
            <w:vAlign w:val="bottom"/>
            <w:gridSpan w:val="2"/>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(9,775)</w:t>
            </w:r>
          </w:p>
        </w:tc>
        <w:tc>
          <w:tcPr>
            <w:tcW w:w="660" w:type="dxa"/>
            <w:vAlign w:val="bottom"/>
            <w:tcBorders>
              <w:top w:val="single" w:sz="8" w:color="auto"/>
              <w:bottom w:val="single" w:sz="8" w:color="auto"/>
            </w:tcBorders>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(8,242)</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4, 2021 in accordance with the termination date, the Company settled a cross-currency swap designated as a cash flow hedge of an intercompany loan with an aggregate notional amount of $50.0 million. The gain recorded by the Company upon the settlement of the swap was not material for the period.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cross-currency swaps are carried on the consolidated balance sheet at fair value, and changes in the fair values are recorded as unrealized gains or losses in AOCL. For the three months ended March 31, 2022, and 2021, the Company recorded a gain of $6.5 million and $42.9 million, respectively, in other income, net related to change in fair value related to the foreign currency rate translation to offset the losses recognized on the intercompany loans.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and 2021, the Company recorded a gain of $7.9 million and $40.2 million in AOCL, respectively, related to change in fair value of the cross-currency swaps.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and 2021, the Company recorded a gain of $1.8 million and $1.3 million, respectively, in other income, net included in the consolidated statements of operations related to the interest rate differential of the cross-currency swaps.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estimated gain that is expected to be reclassified to other income (expense), net from AOCL as of March 31, 2022 within the next twelve months is $2.4 million. As of March 31, 2022, the Company does not expect any gains or losses will be reclassified into earnings as a result of the discontinuance of these cash flow hedges because the original forecasted transaction will not occur.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On October 1, 2018 and December 16, 2020, the Company entered into cross-currency swap agreements designated as net investment hedges to partially offset the effects of foreign currency on foreign subsidiaries.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held the following cross-currency rate swaps designated as net investment hedges as of March 31, 2022 and December 31, 2021, respectively (dollar amounts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80" w:type="dxa"/>
            <w:vAlign w:val="bottom"/>
          </w:tcPr>
          <w:p>
            <w:pPr>
              <w:spacing w:after="0"/>
              <w:rPr>
                <w:sz w:val="16"/>
                <w:szCs w:val="16"/>
                <w:color w:val="auto"/>
              </w:rPr>
            </w:pPr>
          </w:p>
        </w:tc>
        <w:tc>
          <w:tcPr>
            <w:tcW w:w="14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0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6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Aggregate Notional</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00" w:type="dxa"/>
            <w:vAlign w:val="bottom"/>
            <w:gridSpan w:val="3"/>
          </w:tcPr>
          <w:p>
            <w:pPr>
              <w:ind w:left="1240"/>
              <w:spacing w:after="0" w:line="12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020" w:type="dxa"/>
            <w:vAlign w:val="bottom"/>
            <w:gridSpan w:val="4"/>
            <w:vMerge w:val="restart"/>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380" w:type="dxa"/>
            <w:vAlign w:val="bottom"/>
            <w:gridSpan w:val="4"/>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0" w:type="dxa"/>
            <w:vAlign w:val="bottom"/>
          </w:tcPr>
          <w:p>
            <w:pPr>
              <w:spacing w:after="0"/>
              <w:rPr>
                <w:sz w:val="1"/>
                <w:szCs w:val="1"/>
                <w:color w:val="auto"/>
              </w:rPr>
            </w:pPr>
          </w:p>
        </w:tc>
      </w:tr>
      <w:tr>
        <w:trPr>
          <w:trHeight w:val="85"/>
        </w:trPr>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33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5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EUR</w:t>
            </w:r>
          </w:p>
        </w:tc>
        <w:tc>
          <w:tcPr>
            <w:tcW w:w="8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October 3, 2018</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30, 2023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8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EUR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3,035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w:t>
            </w:r>
          </w:p>
        </w:tc>
        <w:tc>
          <w:tcPr>
            <w:tcW w:w="0" w:type="dxa"/>
            <w:vAlign w:val="bottom"/>
          </w:tcPr>
          <w:p>
            <w:pPr>
              <w:spacing w:after="0"/>
              <w:rPr>
                <w:sz w:val="1"/>
                <w:szCs w:val="1"/>
                <w:color w:val="auto"/>
              </w:rPr>
            </w:pPr>
          </w:p>
        </w:tc>
      </w:tr>
      <w:tr>
        <w:trPr>
          <w:trHeight w:val="108"/>
        </w:trPr>
        <w:tc>
          <w:tcPr>
            <w:tcW w:w="1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80" w:type="dxa"/>
            <w:vAlign w:val="bottom"/>
            <w:shd w:val="clear" w:color="auto" w:fill="CCEEFF"/>
          </w:tcPr>
          <w:p>
            <w:pPr>
              <w:spacing w:after="0"/>
              <w:rPr>
                <w:sz w:val="9"/>
                <w:szCs w:val="9"/>
                <w:color w:val="auto"/>
              </w:rPr>
            </w:pPr>
          </w:p>
        </w:tc>
        <w:tc>
          <w:tcPr>
            <w:tcW w:w="144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2.57%</w:t>
            </w:r>
          </w:p>
        </w:tc>
        <w:tc>
          <w:tcPr>
            <w:tcW w:w="10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5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80" w:type="dxa"/>
            <w:vAlign w:val="bottom"/>
            <w:gridSpan w:val="2"/>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EUR</w:t>
            </w:r>
          </w:p>
        </w:tc>
        <w:tc>
          <w:tcPr>
            <w:tcW w:w="8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October 3, 2018</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30, 2025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8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EUR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2,452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0" w:type="dxa"/>
            <w:vAlign w:val="bottom"/>
          </w:tcPr>
          <w:p>
            <w:pPr>
              <w:spacing w:after="0"/>
              <w:rPr>
                <w:sz w:val="1"/>
                <w:szCs w:val="1"/>
                <w:color w:val="auto"/>
              </w:rPr>
            </w:pPr>
          </w:p>
        </w:tc>
      </w:tr>
      <w:tr>
        <w:trPr>
          <w:trHeight w:val="108"/>
        </w:trPr>
        <w:tc>
          <w:tcPr>
            <w:tcW w:w="1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80" w:type="dxa"/>
            <w:vAlign w:val="bottom"/>
            <w:shd w:val="clear" w:color="auto" w:fill="CCEEFF"/>
          </w:tcPr>
          <w:p>
            <w:pPr>
              <w:spacing w:after="0"/>
              <w:rPr>
                <w:sz w:val="9"/>
                <w:szCs w:val="9"/>
                <w:color w:val="auto"/>
              </w:rPr>
            </w:pPr>
          </w:p>
        </w:tc>
        <w:tc>
          <w:tcPr>
            <w:tcW w:w="144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2.19%</w:t>
            </w:r>
          </w:p>
        </w:tc>
        <w:tc>
          <w:tcPr>
            <w:tcW w:w="10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5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80" w:type="dxa"/>
            <w:vAlign w:val="bottom"/>
            <w:gridSpan w:val="2"/>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8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December 16, 2020</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16, 2027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8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CHF</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80" w:type="dxa"/>
            <w:vAlign w:val="bottom"/>
            <w:shd w:val="clear" w:color="auto" w:fill="CCEEFF"/>
          </w:tcPr>
          <w:p>
            <w:pPr>
              <w:spacing w:after="0"/>
              <w:rPr>
                <w:sz w:val="9"/>
                <w:szCs w:val="9"/>
                <w:color w:val="auto"/>
              </w:rPr>
            </w:pPr>
          </w:p>
        </w:tc>
        <w:tc>
          <w:tcPr>
            <w:tcW w:w="144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1.10%</w:t>
            </w:r>
          </w:p>
        </w:tc>
        <w:tc>
          <w:tcPr>
            <w:tcW w:w="10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520" w:type="dxa"/>
            <w:vAlign w:val="bottom"/>
            <w:vMerge w:val="restart"/>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(1,716)</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0" w:type="dxa"/>
            <w:vAlign w:val="bottom"/>
          </w:tcPr>
          <w:p>
            <w:pPr>
              <w:spacing w:after="0"/>
              <w:rPr>
                <w:sz w:val="1"/>
                <w:szCs w:val="1"/>
                <w:color w:val="auto"/>
              </w:rPr>
            </w:pPr>
          </w:p>
        </w:tc>
      </w:tr>
      <w:tr>
        <w:trPr>
          <w:trHeight w:val="114"/>
        </w:trPr>
        <w:tc>
          <w:tcPr>
            <w:tcW w:w="17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5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80" w:type="dxa"/>
            <w:vAlign w:val="bottom"/>
            <w:gridSpan w:val="2"/>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3,771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30, 2021, in accordance with the termination date, the Company settled cross-currency swaps designated as net investment hedge with an aggregate notional amount of $52 million equivalent to 44.9 million Euros based on the termination date. As a result of the settlement, the Company recorded a gain of $0.1 million in AOCL.</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cross-currency swaps were carried on the consolidated balance sheet at fair value and changes in the fair values were recorded as unrealized gains or losses in AOCL. For the three months ended March 31, 2022 and 2021, the Company recorded gains of $1.3 million and $40.2 million, respectively, in AOCL related to the change in fair value of the cross-currency swaps.</w:t>
      </w:r>
    </w:p>
    <w:p>
      <w:pPr>
        <w:spacing w:after="0" w:line="6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and 2021, the Company recorded gains of $1.3 million and $1.7 million, respectively, in interest income included in the consolidated statements of operations related to the interest rate differential of the cross-currency swaps.</w:t>
      </w:r>
    </w:p>
    <w:p>
      <w:pPr>
        <w:spacing w:after="0" w:line="54" w:lineRule="exact"/>
        <w:rPr>
          <w:sz w:val="20"/>
          <w:szCs w:val="20"/>
          <w:color w:val="auto"/>
        </w:rPr>
      </w:pPr>
    </w:p>
    <w:p>
      <w:pPr>
        <w:ind w:right="240"/>
        <w:spacing w:after="0" w:line="375" w:lineRule="auto"/>
        <w:rPr>
          <w:sz w:val="20"/>
          <w:szCs w:val="20"/>
          <w:color w:val="auto"/>
        </w:rPr>
      </w:pPr>
      <w:r>
        <w:rPr>
          <w:rFonts w:ascii="Times New Roman" w:cs="Times New Roman" w:eastAsia="Times New Roman" w:hAnsi="Times New Roman"/>
          <w:sz w:val="18"/>
          <w:szCs w:val="18"/>
          <w:color w:val="auto"/>
        </w:rPr>
        <w:t xml:space="preserve">The estimated gain that is expected to be reclassified to interest income from AOCL as of March 31, 2022 within the next twelve months is $5.3 million. </w:t>
      </w:r>
      <w:r>
        <w:rPr>
          <w:rFonts w:ascii="Times New Roman" w:cs="Times New Roman" w:eastAsia="Times New Roman" w:hAnsi="Times New Roman"/>
          <w:sz w:val="18"/>
          <w:szCs w:val="18"/>
          <w:b w:val="1"/>
          <w:bCs w:val="1"/>
          <w:i w:val="1"/>
          <w:iCs w:val="1"/>
          <w:color w:val="auto"/>
        </w:rPr>
        <w:t>Counterparty Credit Risk</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for derivatives designated as hedging instruments in the condensed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December 31, 2021:</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Location on Balance Sheet </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8006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hedges —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09803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u w:val="single" w:color="auto"/>
          <w:color w:val="auto"/>
        </w:rPr>
        <w:t>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jc w:val="center"/>
        <w:ind w:right="4880"/>
        <w:spacing w:after="0"/>
        <w:rPr>
          <w:sz w:val="20"/>
          <w:szCs w:val="20"/>
          <w:color w:val="auto"/>
        </w:rPr>
      </w:pPr>
      <w:r>
        <w:rPr>
          <w:rFonts w:ascii="Times New Roman" w:cs="Times New Roman" w:eastAsia="Times New Roman" w:hAnsi="Times New Roman"/>
          <w:sz w:val="16"/>
          <w:szCs w:val="16"/>
          <w:color w:val="auto"/>
        </w:rPr>
        <w:t>Cross-currency swap</w:t>
      </w:r>
    </w:p>
    <w:p>
      <w:pPr>
        <w:spacing w:after="0" w:line="32"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16"/>
          <w:szCs w:val="16"/>
          <w:u w:val="single" w:color="auto"/>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jc w:val="center"/>
        <w:ind w:right="4880"/>
        <w:spacing w:after="0"/>
        <w:rPr>
          <w:sz w:val="20"/>
          <w:szCs w:val="20"/>
          <w:color w:val="auto"/>
        </w:rPr>
      </w:pPr>
      <w:r>
        <w:rPr>
          <w:rFonts w:ascii="Times New Roman" w:cs="Times New Roman" w:eastAsia="Times New Roman" w:hAnsi="Times New Roman"/>
          <w:sz w:val="16"/>
          <w:szCs w:val="16"/>
          <w:color w:val="auto"/>
        </w:rPr>
        <w:t>Cross-currency swap</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u w:val="single" w:color="auto"/>
          <w:color w:val="auto"/>
        </w:rPr>
        <w:t>Cash Flow Hedges</w:t>
      </w:r>
    </w:p>
    <w:p>
      <w:pPr>
        <w:spacing w:after="0" w:line="25" w:lineRule="exact"/>
        <w:rPr>
          <w:sz w:val="20"/>
          <w:szCs w:val="20"/>
          <w:color w:val="auto"/>
        </w:rPr>
      </w:pPr>
    </w:p>
    <w:p>
      <w:pPr>
        <w:jc w:val="center"/>
        <w:ind w:right="4980"/>
        <w:spacing w:after="0"/>
        <w:rPr>
          <w:sz w:val="20"/>
          <w:szCs w:val="20"/>
          <w:color w:val="auto"/>
        </w:rPr>
      </w:pPr>
      <w:r>
        <w:rPr>
          <w:rFonts w:ascii="Times New Roman" w:cs="Times New Roman" w:eastAsia="Times New Roman" w:hAnsi="Times New Roman"/>
          <w:sz w:val="16"/>
          <w:szCs w:val="16"/>
          <w:color w:val="auto"/>
        </w:rPr>
        <w:t>Interest rate swap</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09803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jc w:val="center"/>
        <w:ind w:right="4880"/>
        <w:spacing w:after="0"/>
        <w:rPr>
          <w:sz w:val="20"/>
          <w:szCs w:val="20"/>
          <w:color w:val="auto"/>
        </w:rPr>
      </w:pPr>
      <w:r>
        <w:rPr>
          <w:rFonts w:ascii="Times New Roman" w:cs="Times New Roman" w:eastAsia="Times New Roman" w:hAnsi="Times New Roman"/>
          <w:sz w:val="16"/>
          <w:szCs w:val="16"/>
          <w:color w:val="auto"/>
        </w:rPr>
        <w:t>Cross-currency swap</w:t>
      </w:r>
    </w:p>
    <w:p>
      <w:pPr>
        <w:spacing w:after="0" w:line="14"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16"/>
          <w:szCs w:val="16"/>
          <w:u w:val="single" w:color="auto"/>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jc w:val="center"/>
        <w:ind w:right="4880"/>
        <w:spacing w:after="0"/>
        <w:rPr>
          <w:sz w:val="20"/>
          <w:szCs w:val="20"/>
          <w:color w:val="auto"/>
        </w:rPr>
      </w:pPr>
      <w:r>
        <w:rPr>
          <w:rFonts w:ascii="Times New Roman" w:cs="Times New Roman" w:eastAsia="Times New Roman" w:hAnsi="Times New Roman"/>
          <w:sz w:val="16"/>
          <w:szCs w:val="16"/>
          <w:color w:val="auto"/>
        </w:rPr>
        <w:t>Cross-currency swap</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derivatives designated as hedges —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09803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hedges —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09803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u w:val="single" w:color="auto"/>
          <w:color w:val="auto"/>
        </w:rPr>
        <w:t>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Interest rate swap</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9803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6"/>
          <w:szCs w:val="16"/>
          <w:color w:val="auto"/>
        </w:rPr>
        <w:t>Cross-currency swap</w:t>
      </w:r>
    </w:p>
    <w:p>
      <w:pPr>
        <w:spacing w:after="0" w:line="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u w:val="single" w:color="auto"/>
          <w:color w:val="auto"/>
        </w:rPr>
        <w:t>Net Investment Hedges</w:t>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Cross-currency swap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liabilities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u w:val="single" w:color="auto"/>
          <w:color w:val="auto"/>
        </w:rPr>
        <w:t>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5" w:lineRule="exact"/>
        <w:rPr>
          <w:sz w:val="20"/>
          <w:szCs w:val="20"/>
          <w:color w:val="auto"/>
        </w:rPr>
      </w:pPr>
    </w:p>
    <w:p>
      <w:pPr>
        <w:jc w:val="center"/>
        <w:ind w:right="4980"/>
        <w:spacing w:after="0"/>
        <w:rPr>
          <w:sz w:val="20"/>
          <w:szCs w:val="20"/>
          <w:color w:val="auto"/>
        </w:rPr>
      </w:pPr>
      <w:r>
        <w:rPr>
          <w:rFonts w:ascii="Times New Roman" w:cs="Times New Roman" w:eastAsia="Times New Roman" w:hAnsi="Times New Roman"/>
          <w:sz w:val="16"/>
          <w:szCs w:val="16"/>
          <w:color w:val="auto"/>
        </w:rPr>
        <w:t>Interest rate swap</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9803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jc w:val="center"/>
        <w:ind w:right="4880"/>
        <w:spacing w:after="0"/>
        <w:rPr>
          <w:sz w:val="20"/>
          <w:szCs w:val="20"/>
          <w:color w:val="auto"/>
        </w:rPr>
      </w:pPr>
      <w:r>
        <w:rPr>
          <w:rFonts w:ascii="Times New Roman" w:cs="Times New Roman" w:eastAsia="Times New Roman" w:hAnsi="Times New Roman"/>
          <w:sz w:val="16"/>
          <w:szCs w:val="16"/>
          <w:color w:val="auto"/>
        </w:rPr>
        <w:t>Cross-currency swap</w:t>
      </w:r>
    </w:p>
    <w:p>
      <w:pPr>
        <w:spacing w:after="0" w:line="14"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16"/>
          <w:szCs w:val="16"/>
          <w:u w:val="single" w:color="auto"/>
          <w:color w:val="auto"/>
        </w:rPr>
        <w:t>Net Investment Hedges</w:t>
      </w:r>
    </w:p>
    <w:p>
      <w:pPr>
        <w:spacing w:after="0" w:line="32" w:lineRule="exact"/>
        <w:rPr>
          <w:sz w:val="20"/>
          <w:szCs w:val="20"/>
          <w:color w:val="auto"/>
        </w:rPr>
      </w:pPr>
    </w:p>
    <w:p>
      <w:pPr>
        <w:jc w:val="center"/>
        <w:ind w:right="4880"/>
        <w:spacing w:after="0"/>
        <w:rPr>
          <w:sz w:val="20"/>
          <w:szCs w:val="20"/>
          <w:color w:val="auto"/>
        </w:rPr>
      </w:pPr>
      <w:r>
        <w:rPr>
          <w:rFonts w:ascii="Times New Roman" w:cs="Times New Roman" w:eastAsia="Times New Roman" w:hAnsi="Times New Roman"/>
          <w:sz w:val="16"/>
          <w:szCs w:val="16"/>
          <w:color w:val="auto"/>
        </w:rPr>
        <w:t>Cross-currency swap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derivatives designated as hedges — Liabilities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 Value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22371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5" w:lineRule="exact"/>
        <w:rPr>
          <w:sz w:val="20"/>
          <w:szCs w:val="20"/>
          <w:color w:val="auto"/>
        </w:rPr>
      </w:pPr>
    </w:p>
    <w:p>
      <w:pPr>
        <w:ind w:left="380"/>
        <w:spacing w:after="0"/>
        <w:tabs>
          <w:tab w:leader="none" w:pos="2060" w:val="left"/>
        </w:tabs>
        <w:rPr>
          <w:sz w:val="20"/>
          <w:szCs w:val="20"/>
          <w:color w:val="auto"/>
        </w:rPr>
      </w:pPr>
      <w:r>
        <w:rPr>
          <w:rFonts w:ascii="Times New Roman" w:cs="Times New Roman" w:eastAsia="Times New Roman" w:hAnsi="Times New Roman"/>
          <w:sz w:val="14"/>
          <w:szCs w:val="14"/>
          <w:b w:val="1"/>
          <w:bCs w:val="1"/>
          <w:color w:val="auto"/>
        </w:rPr>
        <w:t>March 31, 2022</w:t>
      </w:r>
      <w:r>
        <w:rPr>
          <w:sz w:val="20"/>
          <w:szCs w:val="20"/>
          <w:color w:val="auto"/>
        </w:rPr>
        <w:tab/>
      </w:r>
      <w:r>
        <w:rPr>
          <w:rFonts w:ascii="Times New Roman" w:cs="Times New Roman" w:eastAsia="Times New Roman" w:hAnsi="Times New Roman"/>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22371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tabs>
          <w:tab w:leader="none" w:pos="1260" w:val="left"/>
          <w:tab w:leader="none" w:pos="1800" w:val="left"/>
          <w:tab w:leader="none" w:pos="30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4,943</w:t>
        <w:tab/>
        <w:t>$</w:t>
      </w:r>
      <w:r>
        <w:rPr>
          <w:sz w:val="20"/>
          <w:szCs w:val="20"/>
          <w:color w:val="auto"/>
        </w:rPr>
        <w:tab/>
      </w:r>
      <w:r>
        <w:rPr>
          <w:rFonts w:ascii="Times New Roman" w:cs="Times New Roman" w:eastAsia="Times New Roman" w:hAnsi="Times New Roman"/>
          <w:sz w:val="16"/>
          <w:szCs w:val="16"/>
          <w:color w:val="auto"/>
        </w:rPr>
        <w:t>4,900</w:t>
      </w:r>
    </w:p>
    <w:p>
      <w:pPr>
        <w:spacing w:after="0" w:line="248" w:lineRule="exact"/>
        <w:rPr>
          <w:sz w:val="20"/>
          <w:szCs w:val="20"/>
          <w:color w:val="auto"/>
        </w:rPr>
      </w:pPr>
    </w:p>
    <w:p>
      <w:pPr>
        <w:ind w:left="1280"/>
        <w:spacing w:after="0"/>
        <w:tabs>
          <w:tab w:leader="none" w:pos="3080" w:val="left"/>
        </w:tabs>
        <w:rPr>
          <w:sz w:val="20"/>
          <w:szCs w:val="20"/>
          <w:color w:val="auto"/>
        </w:rPr>
      </w:pPr>
      <w:r>
        <w:rPr>
          <w:rFonts w:ascii="Times New Roman" w:cs="Times New Roman" w:eastAsia="Times New Roman" w:hAnsi="Times New Roman"/>
          <w:sz w:val="16"/>
          <w:szCs w:val="16"/>
          <w:color w:val="auto"/>
        </w:rPr>
        <w:t>5,299</w:t>
      </w:r>
      <w:r>
        <w:rPr>
          <w:sz w:val="20"/>
          <w:szCs w:val="20"/>
          <w:color w:val="auto"/>
        </w:rPr>
        <w:tab/>
      </w:r>
      <w:r>
        <w:rPr>
          <w:rFonts w:ascii="Times New Roman" w:cs="Times New Roman" w:eastAsia="Times New Roman" w:hAnsi="Times New Roman"/>
          <w:sz w:val="16"/>
          <w:szCs w:val="16"/>
          <w:color w:val="auto"/>
        </w:rPr>
        <w:t>5,120</w:t>
      </w:r>
    </w:p>
    <w:p>
      <w:pPr>
        <w:spacing w:after="0" w:line="200" w:lineRule="exact"/>
        <w:rPr>
          <w:sz w:val="20"/>
          <w:szCs w:val="20"/>
          <w:color w:val="auto"/>
        </w:rPr>
      </w:pPr>
    </w:p>
    <w:p>
      <w:pPr>
        <w:spacing w:after="0" w:line="264" w:lineRule="exact"/>
        <w:rPr>
          <w:sz w:val="20"/>
          <w:szCs w:val="20"/>
          <w:color w:val="auto"/>
        </w:rPr>
      </w:pPr>
    </w:p>
    <w:p>
      <w:pPr>
        <w:ind w:left="1200"/>
        <w:spacing w:after="0"/>
        <w:tabs>
          <w:tab w:leader="none" w:pos="3080" w:val="left"/>
        </w:tabs>
        <w:rPr>
          <w:sz w:val="20"/>
          <w:szCs w:val="20"/>
          <w:color w:val="auto"/>
        </w:rPr>
      </w:pPr>
      <w:r>
        <w:rPr>
          <w:rFonts w:ascii="Times New Roman" w:cs="Times New Roman" w:eastAsia="Times New Roman" w:hAnsi="Times New Roman"/>
          <w:sz w:val="16"/>
          <w:szCs w:val="16"/>
          <w:color w:val="auto"/>
        </w:rPr>
        <w:t>16,393</w:t>
      </w:r>
      <w:r>
        <w:rPr>
          <w:sz w:val="20"/>
          <w:szCs w:val="20"/>
          <w:color w:val="auto"/>
        </w:rPr>
        <w:tab/>
      </w:r>
      <w:r>
        <w:rPr>
          <w:rFonts w:ascii="Times New Roman" w:cs="Times New Roman" w:eastAsia="Times New Roman" w:hAnsi="Times New Roman"/>
          <w:sz w:val="16"/>
          <w:szCs w:val="16"/>
          <w:color w:val="auto"/>
        </w:rPr>
        <w:t>4,373</w:t>
      </w:r>
    </w:p>
    <w:p>
      <w:pPr>
        <w:spacing w:after="0" w:line="32" w:lineRule="exact"/>
        <w:rPr>
          <w:sz w:val="20"/>
          <w:szCs w:val="20"/>
          <w:color w:val="auto"/>
        </w:rPr>
      </w:pPr>
    </w:p>
    <w:p>
      <w:pPr>
        <w:ind w:left="1480"/>
        <w:spacing w:after="0"/>
        <w:tabs>
          <w:tab w:leader="none" w:pos="32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48" w:lineRule="exact"/>
        <w:rPr>
          <w:sz w:val="20"/>
          <w:szCs w:val="20"/>
          <w:color w:val="auto"/>
        </w:rPr>
      </w:pPr>
    </w:p>
    <w:p>
      <w:pPr>
        <w:ind w:left="1280"/>
        <w:spacing w:after="0"/>
        <w:tabs>
          <w:tab w:leader="none" w:pos="3080" w:val="left"/>
        </w:tabs>
        <w:rPr>
          <w:sz w:val="20"/>
          <w:szCs w:val="20"/>
          <w:color w:val="auto"/>
        </w:rPr>
      </w:pPr>
      <w:r>
        <w:rPr>
          <w:rFonts w:ascii="Times New Roman" w:cs="Times New Roman" w:eastAsia="Times New Roman" w:hAnsi="Times New Roman"/>
          <w:sz w:val="16"/>
          <w:szCs w:val="16"/>
          <w:color w:val="auto"/>
        </w:rPr>
        <w:t>2,953</w:t>
      </w:r>
      <w:r>
        <w:rPr>
          <w:sz w:val="20"/>
          <w:szCs w:val="20"/>
          <w:color w:val="auto"/>
        </w:rPr>
        <w:tab/>
      </w:r>
      <w:r>
        <w:rPr>
          <w:rFonts w:ascii="Times New Roman" w:cs="Times New Roman" w:eastAsia="Times New Roman" w:hAnsi="Times New Roman"/>
          <w:sz w:val="16"/>
          <w:szCs w:val="16"/>
          <w:color w:val="auto"/>
        </w:rPr>
        <w:t>2,104</w:t>
      </w:r>
    </w:p>
    <w:p>
      <w:pPr>
        <w:spacing w:after="0" w:line="46" w:lineRule="exact"/>
        <w:rPr>
          <w:sz w:val="20"/>
          <w:szCs w:val="20"/>
          <w:color w:val="auto"/>
        </w:rPr>
      </w:pPr>
    </w:p>
    <w:p>
      <w:pPr>
        <w:ind w:left="20"/>
        <w:spacing w:after="0"/>
        <w:tabs>
          <w:tab w:leader="none" w:pos="1180" w:val="left"/>
          <w:tab w:leader="none" w:pos="1800" w:val="left"/>
          <w:tab w:leader="none" w:pos="30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29,588</w:t>
        <w:tab/>
        <w:t>$</w:t>
      </w:r>
      <w:r>
        <w:rPr>
          <w:sz w:val="20"/>
          <w:szCs w:val="20"/>
          <w:color w:val="auto"/>
        </w:rPr>
        <w:tab/>
      </w:r>
      <w:r>
        <w:rPr>
          <w:rFonts w:ascii="Times New Roman" w:cs="Times New Roman" w:eastAsia="Times New Roman" w:hAnsi="Times New Roman"/>
          <w:sz w:val="16"/>
          <w:szCs w:val="16"/>
          <w:color w:val="auto"/>
        </w:rPr>
        <w:t>16,497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46355</wp:posOffset>
            </wp:positionV>
            <wp:extent cx="22371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7,045</w:t>
            </w:r>
          </w:p>
        </w:tc>
        <w:tc>
          <w:tcPr>
            <w:tcW w:w="7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18,187</w:t>
            </w:r>
          </w:p>
        </w:tc>
      </w:tr>
      <w:tr>
        <w:trPr>
          <w:trHeight w:val="216"/>
        </w:trPr>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7,354</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8,283</w:t>
            </w:r>
          </w:p>
        </w:tc>
      </w:tr>
      <w:tr>
        <w:trPr>
          <w:trHeight w:val="432"/>
        </w:trPr>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648"/>
        </w:trPr>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6,416</w:t>
            </w:r>
          </w:p>
        </w:tc>
        <w:tc>
          <w:tcPr>
            <w:tcW w:w="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30,143</w:t>
            </w:r>
          </w:p>
        </w:tc>
      </w:tr>
      <w:tr>
        <w:trPr>
          <w:trHeight w:val="216"/>
        </w:trPr>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7,364</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4,859</w:t>
            </w:r>
          </w:p>
        </w:tc>
      </w:tr>
      <w:tr>
        <w:trPr>
          <w:trHeight w:val="435"/>
        </w:trPr>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4,481</w:t>
            </w:r>
          </w:p>
        </w:tc>
        <w:tc>
          <w:tcPr>
            <w:tcW w:w="7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3,366</w:t>
            </w:r>
          </w:p>
        </w:tc>
      </w:tr>
      <w:tr>
        <w:trPr>
          <w:trHeight w:val="210"/>
        </w:trPr>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32,660</w:t>
            </w:r>
          </w:p>
        </w:tc>
        <w:tc>
          <w:tcPr>
            <w:tcW w:w="7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64,838</w:t>
            </w:r>
          </w:p>
        </w:tc>
      </w:tr>
      <w:tr>
        <w:trPr>
          <w:trHeight w:val="23"/>
        </w:trPr>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23" w:lineRule="exact"/>
        <w:rPr>
          <w:sz w:val="20"/>
          <w:szCs w:val="20"/>
          <w:color w:val="auto"/>
        </w:rPr>
      </w:pPr>
    </w:p>
    <w:p>
      <w:pPr>
        <w:sectPr>
          <w:pgSz w:w="11900" w:h="16838" w:orient="portrait"/>
          <w:cols w:equalWidth="0" w:num="2">
            <w:col w:w="6940" w:space="720"/>
            <w:col w:w="3580"/>
          </w:cols>
          <w:pgMar w:left="320" w:top="117" w:right="339" w:bottom="1440" w:gutter="0" w:footer="0" w:header="0"/>
          <w:type w:val="continuous"/>
        </w:sectPr>
      </w:pPr>
    </w:p>
    <w:p>
      <w:pPr>
        <w:ind w:left="160" w:hanging="152"/>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 classifies derivative assets and liabilities as current based on the cash flows expected to be incurred within the following 12 months.</w:t>
      </w:r>
    </w:p>
    <w:p>
      <w:pPr>
        <w:ind w:left="180" w:hanging="172"/>
        <w:spacing w:after="0" w:line="191" w:lineRule="auto"/>
        <w:tabs>
          <w:tab w:leader="none" w:pos="18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At March 31, 2022 and December 31, 2021, the total notional amounts related to the Company’s interest rate swaps were both $1.8 billion, respectively.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presents the effect of derivative instruments designated as cash flow hedges and net investment hedges on the accompanying condensed consolidated statement of operations during the three months ended March 31, 2022 and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in AOCL</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in</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160" w:type="dxa"/>
            <w:vAlign w:val="bottom"/>
          </w:tcPr>
          <w:p>
            <w:pPr>
              <w:spacing w:after="0"/>
              <w:rPr>
                <w:sz w:val="5"/>
                <w:szCs w:val="5"/>
                <w:color w:val="auto"/>
              </w:rPr>
            </w:pPr>
          </w:p>
        </w:tc>
        <w:tc>
          <w:tcPr>
            <w:tcW w:w="140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14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Balance in AOCL</w:t>
            </w:r>
          </w:p>
        </w:tc>
        <w:tc>
          <w:tcPr>
            <w:tcW w:w="100" w:type="dxa"/>
            <w:vAlign w:val="bottom"/>
          </w:tcPr>
          <w:p>
            <w:pPr>
              <w:spacing w:after="0"/>
              <w:rPr>
                <w:sz w:val="5"/>
                <w:szCs w:val="5"/>
                <w:color w:val="auto"/>
              </w:rPr>
            </w:pPr>
          </w:p>
        </w:tc>
        <w:tc>
          <w:tcPr>
            <w:tcW w:w="2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3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Statements of</w:t>
            </w:r>
          </w:p>
        </w:tc>
        <w:tc>
          <w:tcPr>
            <w:tcW w:w="0" w:type="dxa"/>
            <w:vAlign w:val="bottom"/>
          </w:tcPr>
          <w:p>
            <w:pPr>
              <w:spacing w:after="0"/>
              <w:rPr>
                <w:sz w:val="1"/>
                <w:szCs w:val="1"/>
                <w:color w:val="auto"/>
              </w:rPr>
            </w:pPr>
          </w:p>
        </w:tc>
      </w:tr>
      <w:tr>
        <w:trPr>
          <w:trHeight w:val="56"/>
        </w:trPr>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gridSpan w:val="2"/>
            <w:vMerge w:val="restart"/>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60" w:type="dxa"/>
            <w:vAlign w:val="bottom"/>
          </w:tcPr>
          <w:p>
            <w:pPr>
              <w:spacing w:after="0"/>
              <w:rPr>
                <w:sz w:val="4"/>
                <w:szCs w:val="4"/>
                <w:color w:val="auto"/>
              </w:rPr>
            </w:pPr>
          </w:p>
        </w:tc>
        <w:tc>
          <w:tcPr>
            <w:tcW w:w="140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AOCL into</w:t>
            </w:r>
          </w:p>
        </w:tc>
        <w:tc>
          <w:tcPr>
            <w:tcW w:w="1140" w:type="dxa"/>
            <w:vAlign w:val="bottom"/>
            <w:gridSpan w:val="2"/>
            <w:vMerge w:val="restart"/>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End of Quarter</w:t>
            </w:r>
          </w:p>
        </w:tc>
        <w:tc>
          <w:tcPr>
            <w:tcW w:w="100" w:type="dxa"/>
            <w:vAlign w:val="bottom"/>
          </w:tcPr>
          <w:p>
            <w:pPr>
              <w:spacing w:after="0"/>
              <w:rPr>
                <w:sz w:val="4"/>
                <w:szCs w:val="4"/>
                <w:color w:val="auto"/>
              </w:rPr>
            </w:pPr>
          </w:p>
        </w:tc>
        <w:tc>
          <w:tcPr>
            <w:tcW w:w="2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09"/>
        </w:trPr>
        <w:tc>
          <w:tcPr>
            <w:tcW w:w="3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AOCL</w:t>
            </w:r>
          </w:p>
        </w:tc>
        <w:tc>
          <w:tcPr>
            <w:tcW w:w="160" w:type="dxa"/>
            <w:vAlign w:val="bottom"/>
          </w:tcPr>
          <w:p>
            <w:pPr>
              <w:spacing w:after="0"/>
              <w:rPr>
                <w:sz w:val="9"/>
                <w:szCs w:val="9"/>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08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2022</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8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color w:val="auto"/>
              </w:rPr>
              <w:t>Cash Flow Hedges</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rate swap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29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8,331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(17,703)</w:t>
            </w:r>
          </w:p>
        </w:tc>
        <w:tc>
          <w:tcPr>
            <w:tcW w:w="10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0" w:type="dxa"/>
            <w:vAlign w:val="bottom"/>
          </w:tcPr>
          <w:p>
            <w:pPr>
              <w:spacing w:after="0"/>
              <w:rPr>
                <w:sz w:val="1"/>
                <w:szCs w:val="1"/>
                <w:color w:val="auto"/>
              </w:rPr>
            </w:pPr>
          </w:p>
        </w:tc>
      </w:tr>
      <w:tr>
        <w:trPr>
          <w:trHeight w:val="199"/>
        </w:trPr>
        <w:tc>
          <w:tcPr>
            <w:tcW w:w="140" w:type="dxa"/>
            <w:vAlign w:val="bottom"/>
            <w:shd w:val="clear" w:color="auto" w:fill="CCEEFF"/>
          </w:tcPr>
          <w:p>
            <w:pPr>
              <w:spacing w:after="0"/>
              <w:rPr>
                <w:sz w:val="17"/>
                <w:szCs w:val="17"/>
                <w:color w:val="auto"/>
              </w:rPr>
            </w:pPr>
          </w:p>
        </w:tc>
        <w:tc>
          <w:tcPr>
            <w:tcW w:w="2940" w:type="dxa"/>
            <w:vAlign w:val="bottom"/>
            <w:gridSpan w:val="3"/>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Net Investment Hedges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0" w:type="dxa"/>
            <w:vAlign w:val="bottom"/>
            <w:tcBorders>
              <w:top w:val="single" w:sz="8" w:color="CCEEFF"/>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gridSpan w:val="2"/>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13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auto"/>
            </w:tcBorders>
          </w:tcPr>
          <w:p>
            <w:pPr>
              <w:spacing w:after="0"/>
              <w:rPr>
                <w:sz w:val="18"/>
                <w:szCs w:val="18"/>
                <w:color w:val="auto"/>
              </w:rPr>
            </w:pPr>
          </w:p>
        </w:tc>
        <w:tc>
          <w:tcPr>
            <w:tcW w:w="12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1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1320" w:type="dxa"/>
            <w:vAlign w:val="bottom"/>
            <w:tcBorders>
              <w:top w:val="single" w:sz="8" w:color="CCEEFF"/>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1,320</w:t>
            </w:r>
          </w:p>
        </w:tc>
        <w:tc>
          <w:tcPr>
            <w:tcW w:w="8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CCEEFF"/>
              <w:bottom w:val="single" w:sz="8" w:color="auto"/>
            </w:tcBorders>
          </w:tcPr>
          <w:p>
            <w:pPr>
              <w:spacing w:after="0"/>
              <w:rPr>
                <w:sz w:val="18"/>
                <w:szCs w:val="18"/>
                <w:color w:val="auto"/>
              </w:rPr>
            </w:pPr>
          </w:p>
        </w:tc>
        <w:tc>
          <w:tcPr>
            <w:tcW w:w="8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(2,332)</w:t>
            </w:r>
          </w:p>
        </w:tc>
        <w:tc>
          <w:tcPr>
            <w:tcW w:w="100" w:type="dxa"/>
            <w:vAlign w:val="bottom"/>
            <w:tcBorders>
              <w:top w:val="single" w:sz="8" w:color="CCEEFF"/>
              <w:bottom w:val="single" w:sz="8" w:color="CCEEFF"/>
            </w:tcBorders>
          </w:tcPr>
          <w:p>
            <w:pPr>
              <w:spacing w:after="0"/>
              <w:rPr>
                <w:sz w:val="18"/>
                <w:szCs w:val="18"/>
                <w:color w:val="auto"/>
              </w:rPr>
            </w:pPr>
          </w:p>
        </w:tc>
        <w:tc>
          <w:tcPr>
            <w:tcW w:w="232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34"/>
        </w:trPr>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(55,965)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4,438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(17,103)</w:t>
            </w:r>
          </w:p>
        </w:tc>
        <w:tc>
          <w:tcPr>
            <w:tcW w:w="100" w:type="dxa"/>
            <w:vAlign w:val="bottom"/>
            <w:tcBorders>
              <w:bottom w:val="single" w:sz="8" w:color="CCEEFF"/>
            </w:tcBorders>
            <w:shd w:val="clear" w:color="auto" w:fill="CCEEFF"/>
          </w:tcPr>
          <w:p>
            <w:pPr>
              <w:spacing w:after="0"/>
              <w:rPr>
                <w:sz w:val="19"/>
                <w:szCs w:val="19"/>
                <w:color w:val="auto"/>
              </w:rPr>
            </w:pPr>
          </w:p>
        </w:tc>
        <w:tc>
          <w:tcPr>
            <w:tcW w:w="2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2021</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0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Cash Flow Hedges</w:t>
            </w:r>
          </w:p>
        </w:tc>
        <w:tc>
          <w:tcPr>
            <w:tcW w:w="170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29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Interest rate swap</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(93,769)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34,518</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(5,705)</w:t>
            </w:r>
          </w:p>
        </w:tc>
        <w:tc>
          <w:tcPr>
            <w:tcW w:w="8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(53,546)</w:t>
            </w:r>
          </w:p>
        </w:tc>
        <w:tc>
          <w:tcPr>
            <w:tcW w:w="10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29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44,150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(5,029)</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0" w:type="dxa"/>
            <w:vAlign w:val="bottom"/>
          </w:tcPr>
          <w:p>
            <w:pPr>
              <w:spacing w:after="0"/>
              <w:rPr>
                <w:sz w:val="1"/>
                <w:szCs w:val="1"/>
                <w:color w:val="auto"/>
              </w:rPr>
            </w:pPr>
          </w:p>
        </w:tc>
      </w:tr>
      <w:tr>
        <w:trPr>
          <w:trHeight w:val="175"/>
        </w:trPr>
        <w:tc>
          <w:tcPr>
            <w:tcW w:w="308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color w:val="auto"/>
              </w:rPr>
              <w:t>Net Investment Hedges</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1,711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(107,133)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88,285</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40,156</w:t>
            </w:r>
          </w:p>
        </w:tc>
        <w:tc>
          <w:tcPr>
            <w:tcW w:w="80" w:type="dxa"/>
            <w:vAlign w:val="bottom"/>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(59,004)</w:t>
            </w: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the Company had stock options, restricted stock awards, performance stock awards, contract stock awards and restricted stock unit awards outstanding under the Integra LifeSciences Holdings Corporation Fifth Amended and Restated 2003 Equity Incentive Plan (the “2003 Plan”). The 2000 and 2001 Equity Incentive Plans were terminated as of February 19, 2021, and no further awards may be issued under the plans.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 options issued under the 2003 Plan become exercisable over specified periods, generally within four years from the date of grant for officers and employees, within one year from date of grant for directors which generally expire eight years from the grant date for employees, and from six to ten years for directors and certain executive officers, except in certain instances that result in accelerated vesting due to death, disability, retirement age or change in-control provisions within their grant agreements. The Company values stock option grants using the binomial distribution model. Restricted stock issued under the Plans vests over specified periods, generally three years after the date of grant. The vesting of performance stock issued under the Plans is subject to service and performance conditions.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there were approximately $5.8 million of total unrecognized compensation costs related to unvested stock options. These costs are expected to be recognized over a weighted-average period of approximately three years. There were 145,565 stock options granted during the three months ended March 31, 2022. For the three months ended March 31, 2022, the weighted average grant date fair value for stock options was $23.15 per option.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 of Restricted Stock and Performance Stock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Performance stock and restricted stock awards generally have requisite service periods of three years, except in certain instances that result in accelerated vesting due to death, disability, retirement age provision or change in-control provisions in their grant agreements. Performance stock units are subject to graded vesting conditions based on revenue goals of the Company. The Company expenses the fair value of restricted stock awards on a straight-line basis over the requisite service period. As of March 31, 2022, there was approximately $44.6 million of total unrecognized compensation costs related to these unvested awards. The Company expects to recognize these costs over a weighted-average period of approximately two years. The Company granted 320,385 restricted stock awards and 130,753 performance stock awards during the three months ended March 31, 2022. For the three months ended March 31, 2022, the weighted average grant date fair value for restricted stock awards and performance stock units was $65.27 and $65.11 per award, respectively.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RETIREMENT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defined benefit pension plans that cover certain employees in France, Japan, Germany and Switzerland.</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periodic benefit costs for the Company’s defined benefit pension plans for the three months ended March 31, 2022 were $0.3 million. The components of the net periodic benefit costs other than the service cost component of $0.7 million for the three months ended March 31, 2022 are included in other income, net in the consolidated statements of operations.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periodic benefit costs for the Company’s defined benefit pension plans for the three months ended March 31, 2021 were $0.6 million. The components of the net periodic benefit costs other than the service cost component of $0.8 million for the three months ended March 31, 2021 are included in other income, net in the consolidated statements of operations.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fair values of plan assets were $34.9 million and $39.9 million as of March 31, 2022 and December 31, 2021, respectively. The net plan assets of the pension plans are invested in common trusts as of March 31, 2022 and December 31, 2021.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a Deferred Compensation Plan in which certain employees of the Company may defer the payment and taxation of up to 75% of their base salary and up to 100% of bonus amounts and other eligible cash compensation.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quarter of 2020, employees participating in the Company's deferred compensation plan began to defer their compensation. This deferred compensation is invested in funds offered under this plan and is valued based on Level 1 measurements in the fair value hierarchy. Assets of the Company's deferred compensation plan are included in other current assets and recorded at fair value based on their quoted market prices. The fair value of these assets at March 31, 2022 were $4.7 million and $3.8 million as of March 31, 2022 and December 31, 2021. Offsetting liabilities relating to the deferred compensation plan are included in Other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 AND RELATED PARTY LEASES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administrative, manufacturing, research and distribution facilities and vehicles through operating lease agreements. The Company has no finance leases as of March 31, 2022. Many of the Company's leases include both lease (e.g., fixed payments including rent) and non-lease components (e.g., common-area or other maintenance costs). For vehicles, the Company has elected the practical expedient to group lease and non-lease components.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facility leases include one or more options to renew. The exercise of lease renewal options is typically at the Company's sole discretion, therefore, the majority of renewals to extend the lease terms are not included in the Right of Use ("ROU") assets and lease liabilities as they are not reasonably certain of exercise. The Company regularly evaluates renewal options and when they are reasonably certain of exercise, the renewal period is included in the lease term.</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uses a collateralized incremental borrowing rate based on the information available at the lease commencement date in determining the present value of the lease payments.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lease expense for the three months ended March 31, 2022 and March 31, 2021 was $4.9 million and $5.3 million respectively, which includes $0.1 million, in related party operating lease expense.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were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 except lease term and discount rate</w:t>
            </w:r>
          </w:p>
        </w:tc>
        <w:tc>
          <w:tcPr>
            <w:tcW w:w="380" w:type="dxa"/>
            <w:vAlign w:val="bottom"/>
          </w:tcPr>
          <w:p>
            <w:pPr>
              <w:spacing w:after="0"/>
              <w:rPr>
                <w:sz w:val="16"/>
                <w:szCs w:val="16"/>
                <w:color w:val="auto"/>
              </w:rPr>
            </w:pPr>
          </w:p>
        </w:tc>
        <w:tc>
          <w:tcPr>
            <w:tcW w:w="20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20" w:type="dxa"/>
            <w:vAlign w:val="bottom"/>
          </w:tcPr>
          <w:p>
            <w:pPr>
              <w:spacing w:after="0"/>
              <w:rPr>
                <w:sz w:val="16"/>
                <w:szCs w:val="16"/>
                <w:color w:val="auto"/>
              </w:rPr>
            </w:pPr>
          </w:p>
        </w:tc>
        <w:tc>
          <w:tcPr>
            <w:tcW w:w="194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6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 assets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81,644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84,543</w:t>
            </w:r>
          </w:p>
        </w:tc>
      </w:tr>
      <w:tr>
        <w:trPr>
          <w:trHeight w:val="270"/>
        </w:trPr>
        <w:tc>
          <w:tcPr>
            <w:tcW w:w="6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lease liabilities</w:t>
            </w: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14,300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14,775</w:t>
            </w:r>
          </w:p>
        </w:tc>
      </w:tr>
      <w:tr>
        <w:trPr>
          <w:trHeight w:val="21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lease liabilities</w:t>
            </w:r>
          </w:p>
        </w:tc>
        <w:tc>
          <w:tcPr>
            <w:tcW w:w="3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87,806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90,329</w:t>
            </w:r>
          </w:p>
        </w:tc>
      </w:tr>
      <w:tr>
        <w:trPr>
          <w:trHeight w:val="23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102,106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105,104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Leased facilities</w:t>
            </w:r>
          </w:p>
        </w:tc>
        <w:tc>
          <w:tcPr>
            <w:tcW w:w="38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10.8 years</w:t>
            </w: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years</w:t>
            </w:r>
          </w:p>
        </w:tc>
      </w:tr>
      <w:tr>
        <w:trPr>
          <w:trHeight w:val="21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Leased vehicles</w:t>
            </w:r>
          </w:p>
        </w:tc>
        <w:tc>
          <w:tcPr>
            <w:tcW w:w="3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 years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years</w:t>
            </w:r>
          </w:p>
        </w:tc>
      </w:tr>
      <w:tr>
        <w:trPr>
          <w:trHeight w:val="270"/>
        </w:trPr>
        <w:tc>
          <w:tcPr>
            <w:tcW w:w="6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Leased facilities</w:t>
            </w:r>
          </w:p>
        </w:tc>
        <w:tc>
          <w:tcPr>
            <w:tcW w:w="3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1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Leased vehicles</w:t>
            </w:r>
          </w:p>
        </w:tc>
        <w:tc>
          <w:tcPr>
            <w:tcW w:w="3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three months ended March 31, 2022 and 2021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16"/>
                <w:szCs w:val="16"/>
                <w:color w:val="auto"/>
              </w:rPr>
            </w:pPr>
          </w:p>
        </w:tc>
        <w:tc>
          <w:tcPr>
            <w:tcW w:w="142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0" w:type="dxa"/>
            <w:vAlign w:val="bottom"/>
          </w:tcPr>
          <w:p>
            <w:pPr>
              <w:spacing w:after="0"/>
              <w:rPr>
                <w:sz w:val="1"/>
                <w:szCs w:val="1"/>
                <w:color w:val="auto"/>
              </w:rPr>
            </w:pPr>
          </w:p>
        </w:tc>
      </w:tr>
      <w:tr>
        <w:trPr>
          <w:trHeight w:val="54"/>
        </w:trPr>
        <w:tc>
          <w:tcPr>
            <w:tcW w:w="78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3,761</w:t>
            </w:r>
          </w:p>
        </w:tc>
        <w:tc>
          <w:tcPr>
            <w:tcW w:w="0" w:type="dxa"/>
            <w:vAlign w:val="bottom"/>
          </w:tcPr>
          <w:p>
            <w:pPr>
              <w:spacing w:after="0"/>
              <w:rPr>
                <w:sz w:val="1"/>
                <w:szCs w:val="1"/>
                <w:color w:val="auto"/>
              </w:rPr>
            </w:pPr>
          </w:p>
        </w:tc>
      </w:tr>
      <w:tr>
        <w:trPr>
          <w:trHeight w:val="273"/>
        </w:trPr>
        <w:tc>
          <w:tcPr>
            <w:tcW w:w="7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ROU assets obtained in exchange for lease liabilities: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9,662</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operating leases at March 31, 2022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22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Third Parties</w:t>
            </w:r>
          </w:p>
        </w:tc>
        <w:tc>
          <w:tcPr>
            <w:tcW w:w="360" w:type="dxa"/>
            <w:vAlign w:val="bottom"/>
          </w:tcPr>
          <w:p>
            <w:pPr>
              <w:spacing w:after="0"/>
              <w:rPr>
                <w:sz w:val="16"/>
                <w:szCs w:val="16"/>
                <w:color w:val="auto"/>
              </w:rPr>
            </w:pPr>
          </w:p>
        </w:tc>
        <w:tc>
          <w:tcPr>
            <w:tcW w:w="118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2022</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13,234</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15,550</w:t>
            </w:r>
          </w:p>
        </w:tc>
      </w:tr>
      <w:tr>
        <w:trPr>
          <w:trHeight w:val="21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13,476</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11,718</w:t>
            </w:r>
          </w:p>
        </w:tc>
      </w:tr>
      <w:tr>
        <w:trPr>
          <w:trHeight w:val="21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10,121</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9,535</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59,223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59,469</w:t>
            </w:r>
          </w:p>
        </w:tc>
      </w:tr>
      <w:tr>
        <w:trPr>
          <w:trHeight w:val="212"/>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131,155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133,103</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30,997</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102,106</w:t>
            </w:r>
          </w:p>
        </w:tc>
      </w:tr>
      <w:tr>
        <w:trPr>
          <w:trHeight w:val="21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lease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14,300</w:t>
            </w:r>
          </w:p>
        </w:tc>
      </w:tr>
      <w:tr>
        <w:trPr>
          <w:trHeight w:val="210"/>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87,806</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future minimum lease payments under finance leases at March 31,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its manufacturing facility in Plainsboro, New Jersey, from a general partnership that is 50% owned by a corporation whose stockholders are trusts, whose beneficiaries include family members of the Company’s principal stockholder and former director. The term of the current lease agreement is through October 31, 2029 at an annual rate of approximately $0.3 million per year.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TREASURY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there were 6.8 million and 4.9 million shares of treasury stock outstanding with a cost of $362.9 million and $234.4 million, at a weighted average cost per share of $53.18 and $47.86, respectively.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7, 2020, the Board of Directors authorized the Company to repurchase up to $225.0 million of the Company’s common stock. The program allows the Company to repurchase its shares opportunistically from time to time. The repurchase authorization expires in December 2022.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 and such repurchases may be discontinued at any time.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12, 2022, the Company entered into a $125.0 million accelerated share repurchase ("2022 ASR") and received 1.48 million shares of Company common stock at inception of the 2022 ASR, which represented approximately 80% of the expected total shares under the 2022 ASR. On March 24, 2022, the early exercise provision under the 2022 ASR was exercised by 2022 ASR counterparty. Upon settlement of the 2022 ASR on March 24, 2022, the Company received an additional 0.46 million shares determined using the volume-weighted average price of the Company's common stock during the term of the 2022 ASR.</w:t>
      </w:r>
    </w:p>
    <w:p>
      <w:pPr>
        <w:spacing w:after="0" w:line="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April 26 2022, the Board of Directors authorized the Company to repurchase up to $225.0 million of the Company’s common stock. The program allows the Company to repurchase its shares opportunistically from time to time. The repurchase authorization expires in December 2024. This stock repurchase authorization replaces the previous $225 million stock repurchase authorization, of which $100 million remained authorized at the time of its replacement, and which was otherwise set to expire on December 31, 2022. Purchases may be affected through one or more open market transactions, privately negotiated transactions, transactions structured through investment banking institutions, or a combination of the foregoing.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effective tax rate:</w:t>
      </w:r>
    </w:p>
    <w:p>
      <w:pPr>
        <w:spacing w:after="0" w:line="259"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tax rate</w:t>
            </w:r>
          </w:p>
        </w:tc>
        <w:tc>
          <w:tcPr>
            <w:tcW w:w="1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16.3 %</w:t>
            </w:r>
          </w:p>
        </w:tc>
        <w:tc>
          <w:tcPr>
            <w:tcW w:w="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32.5 %</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Company’s effective income tax rates for the three months ended March 31, 2022 and 2021 were 16.3% and 32.5%, respectively. For the three months ended March 31, 2022, the primary drivers of the tax rate are a favorable jurisdictional mix of income, as well as a $0.8M benefit related to excess tax benefits from stock compensation. For the three months ended March 31, 2021, the primary driver of the higher tax rate is the tax impact of the gain on the sale of the Extremity Orthopedics business, which closed during the first quarter of 2021.</w:t>
      </w:r>
    </w:p>
    <w:p>
      <w:pPr>
        <w:spacing w:after="0" w:line="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Changes to income tax laws and regulations, in any of the tax jurisdictions in which the Company operates, could impact the effective tax rate. Various governments, both U.S. and non-U.S., are increasingly focused on tax reform and revenue-raising legislation. The current U.S. administration has proposed tax reform which, if enacted, may increase the Company’s U.S. federal income tax liability. Further, legislation in foreign jurisdictions may be enacted, in response to the base erosion and profit-sharing project begun by the Organization for Economic Cooperation and Development ("OECD"). The OECD recently finalized major reform of the international tax system with respect to a global minimum tax rate. Such changes in U.S. and non-U.S. jurisdictions could have an adverse effect on the Company’s effective tax rate.</w:t>
      </w:r>
    </w:p>
    <w:p>
      <w:pPr>
        <w:spacing w:after="0" w:line="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As of March 31, 2022, the Company has not provided deferred income taxes on unrepatriated earnings from foreign subsidiaries as they are deemed to be indefinitely reinvested unless there is a manner under which to remit the earnings with no material tax cost. Material taxes would primarily be attributable to foreign withholding taxes and local income taxes when such earnings are distributed. The Company will repatriate foreign earnings when there is no need for reinvestment overseas and there is no material cost to bring the earnings back to the United States. Reinvestment considerations would include future acquisitions, transactions, and capital expenditure plans. As such, the Company has determined the tax impact of repatriating these foreign earnings would not be material as of March 31, 2022.</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income per share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300" w:type="dxa"/>
            <w:vAlign w:val="bottom"/>
            <w:tcBorders>
              <w:bottom w:val="single" w:sz="8" w:color="CCEEFF"/>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Basic net income per share:</w:t>
            </w:r>
          </w:p>
        </w:tc>
        <w:tc>
          <w:tcPr>
            <w:tcW w:w="6380" w:type="dxa"/>
            <w:vAlign w:val="bottom"/>
            <w:tcBorders>
              <w:bottom w:val="single" w:sz="8" w:color="CCEEFF"/>
            </w:tcBorders>
            <w:gridSpan w:val="2"/>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45,394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Diluted net income per share:</w:t>
            </w:r>
          </w:p>
        </w:tc>
        <w:tc>
          <w:tcPr>
            <w:tcW w:w="6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45,394</w:t>
            </w:r>
          </w:p>
        </w:tc>
        <w:tc>
          <w:tcPr>
            <w:tcW w:w="0" w:type="dxa"/>
            <w:vAlign w:val="bottom"/>
          </w:tcPr>
          <w:p>
            <w:pPr>
              <w:spacing w:after="0"/>
              <w:rPr>
                <w:sz w:val="1"/>
                <w:szCs w:val="1"/>
                <w:color w:val="auto"/>
              </w:rPr>
            </w:pPr>
          </w:p>
        </w:tc>
      </w:tr>
      <w:tr>
        <w:trPr>
          <w:trHeight w:val="259"/>
        </w:trPr>
        <w:tc>
          <w:tcPr>
            <w:tcW w:w="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30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6"/>
                <w:szCs w:val="16"/>
                <w:color w:val="auto"/>
              </w:rPr>
              <w:t>Stock options and restricted stock</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shares for diluted earnings per share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85,258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Common stock of approximately 0.2 million and 0.5 million shares at March 31, 2022, and 2021, respectively that are issuable through exercise of dilutive securities were not included in the computation of diluted net income per share because their effect would have been anti-dilutive.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Performance Shares and Restricted Units that entitle the holders to approximately 0.5 million shares of common stock are included in the basic and diluted weighted average shares outstanding calculation from their date of issuance because no further consideration is due related to the issuance of the underlying common shares.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adoption of ASU 2020-06, as the principal amount of the 2025 Notes will be paid in cash and only the conversion spread is settled in shares, the Company will be utilizing the if-converted method and only includes the net number of incremental shares that would be issued upon conversion.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for the three months ended March 31, 2022 and 2021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45,394</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(6,802)</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unrealized loss on derivatives, net of tax</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36,915</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Pension liability adjustment, net of tax</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34"/>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net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57,031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75,826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loss by component between December 31, 2021 and March 31, 2022 are presented in the table below, net of tax:</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Gains and Losses</w:t>
            </w:r>
          </w:p>
        </w:tc>
        <w:tc>
          <w:tcPr>
            <w:tcW w:w="12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8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80" w:type="dxa"/>
            <w:vAlign w:val="bottom"/>
          </w:tcPr>
          <w:p>
            <w:pPr>
              <w:spacing w:after="0"/>
              <w:rPr>
                <w:sz w:val="13"/>
                <w:szCs w:val="13"/>
                <w:color w:val="auto"/>
              </w:rPr>
            </w:pPr>
          </w:p>
        </w:tc>
        <w:tc>
          <w:tcPr>
            <w:tcW w:w="90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6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120" w:type="dxa"/>
            <w:vAlign w:val="bottom"/>
          </w:tcPr>
          <w:p>
            <w:pPr>
              <w:spacing w:after="0"/>
              <w:rPr>
                <w:sz w:val="9"/>
                <w:szCs w:val="9"/>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Pension Items</w:t>
            </w:r>
          </w:p>
        </w:tc>
        <w:tc>
          <w:tcPr>
            <w:tcW w:w="11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Currency Items</w:t>
            </w:r>
          </w:p>
        </w:tc>
        <w:tc>
          <w:tcPr>
            <w:tcW w:w="2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(45,155)</w:t>
            </w:r>
          </w:p>
        </w:tc>
        <w:tc>
          <w:tcPr>
            <w:tcW w:w="0" w:type="dxa"/>
            <w:vAlign w:val="bottom"/>
          </w:tcPr>
          <w:p>
            <w:pPr>
              <w:spacing w:after="0"/>
              <w:rPr>
                <w:sz w:val="1"/>
                <w:szCs w:val="1"/>
                <w:color w:val="auto"/>
              </w:rPr>
            </w:pPr>
          </w:p>
        </w:tc>
      </w:tr>
      <w:tr>
        <w:trPr>
          <w:trHeight w:val="213"/>
        </w:trPr>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gain (loss)</w:t>
            </w:r>
          </w:p>
        </w:tc>
        <w:tc>
          <w:tcPr>
            <w:tcW w:w="1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33,234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27,542</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Less: Amounts reclassified from accumulated other comprehensive income, net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Net current-period other comprehensive gain (loss)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29,822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24,130</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(21,025)</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the Company reclassified a gain of $6.4 million and a loss of $3.0 million from accumulated other comprehensive loss to other income, net and interest income,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AND GEOGRAPHIC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internally manages two global reportable segments and reports the results of its businesses to its chief operating decision maker.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two reportable segments and their activities are described below.</w:t>
      </w:r>
    </w:p>
    <w:p>
      <w:pPr>
        <w:spacing w:after="0" w:line="99" w:lineRule="exact"/>
        <w:rPr>
          <w:sz w:val="20"/>
          <w:szCs w:val="20"/>
          <w:color w:val="auto"/>
        </w:rPr>
      </w:pPr>
    </w:p>
    <w:p>
      <w:pPr>
        <w:jc w:val="both"/>
        <w:ind w:left="66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cranial stabilization equipment, and solutions for use in minimally invasive neurosurgery and in the management of intracerebral hemorrhages, and (ii) the Instruments business, which sells more than 40,000 instrument patterns and surgical and lighting products to hospitals, surgery centers, dental, podiatry, and veterinary offices.</w:t>
      </w:r>
    </w:p>
    <w:p>
      <w:pPr>
        <w:spacing w:after="0" w:line="21" w:lineRule="exact"/>
        <w:rPr>
          <w:rFonts w:ascii="Times New Roman" w:cs="Times New Roman" w:eastAsia="Times New Roman" w:hAnsi="Times New Roman"/>
          <w:sz w:val="18"/>
          <w:szCs w:val="18"/>
          <w:color w:val="auto"/>
        </w:rPr>
      </w:pPr>
    </w:p>
    <w:p>
      <w:pPr>
        <w:jc w:val="both"/>
        <w:ind w:left="660" w:hanging="328"/>
        <w:spacing w:after="0" w:line="251" w:lineRule="auto"/>
        <w:tabs>
          <w:tab w:leader="none" w:pos="653" w:val="left"/>
        </w:tabs>
        <w:numPr>
          <w:ilvl w:val="0"/>
          <w:numId w:val="6"/>
        </w:numPr>
        <w:rPr>
          <w:rFonts w:ascii="Calibri" w:cs="Calibri" w:eastAsia="Calibri" w:hAnsi="Calibri"/>
          <w:sz w:val="20"/>
          <w:szCs w:val="20"/>
          <w:color w:val="auto"/>
        </w:rPr>
      </w:pPr>
      <w:r>
        <w:rPr>
          <w:rFonts w:ascii="Times New Roman" w:cs="Times New Roman" w:eastAsia="Times New Roman" w:hAnsi="Times New Roman"/>
          <w:sz w:val="18"/>
          <w:szCs w:val="18"/>
          <w:color w:val="auto"/>
        </w:rPr>
        <w:t>The Tissue Technologies segment includes a large, complementary portfolio of products to address plastic and surgical reconstructive procedures such as complex and traumatic wounds, hernia and abdominal wall repair, breast reconstruction, and nerve repair. The Tissue Technologies segment has four unique technology platforms, including bovine engineered collagen matrix, bovine dermal matrix, amniotic technology and porcine bladder matrix technology, to address regenerative soft tissue reconstruction procedures.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Corporate and other category includes (i) various executive, finance, human resource, information systems and legal functions, (ii) brand management, and (iii) share-based compensation costs.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each reportable segment for the three months ended March 31, 2022 and 2021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0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0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Net Sales</w:t>
            </w: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Codman Specialty Surgical</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247,308</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241,241</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Tissue Technologies</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129,330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118,830</w:t>
            </w:r>
          </w:p>
        </w:tc>
        <w:tc>
          <w:tcPr>
            <w:tcW w:w="0" w:type="dxa"/>
            <w:vAlign w:val="bottom"/>
          </w:tcPr>
          <w:p>
            <w:pPr>
              <w:spacing w:after="0"/>
              <w:rPr>
                <w:sz w:val="1"/>
                <w:szCs w:val="1"/>
                <w:color w:val="auto"/>
              </w:rPr>
            </w:pPr>
          </w:p>
        </w:tc>
      </w:tr>
      <w:tr>
        <w:trPr>
          <w:trHeight w:val="207"/>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376,638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360,071</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Profit</w:t>
            </w: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Codman Specialty Surgical</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110,160</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106,778</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Tissue Technologies</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53,893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50,011</w:t>
            </w:r>
          </w:p>
        </w:tc>
        <w:tc>
          <w:tcPr>
            <w:tcW w:w="0" w:type="dxa"/>
            <w:vAlign w:val="bottom"/>
          </w:tcPr>
          <w:p>
            <w:pPr>
              <w:spacing w:after="0"/>
              <w:rPr>
                <w:sz w:val="1"/>
                <w:szCs w:val="1"/>
                <w:color w:val="auto"/>
              </w:rPr>
            </w:pPr>
          </w:p>
        </w:tc>
      </w:tr>
      <w:tr>
        <w:trPr>
          <w:trHeight w:val="207"/>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Segment profit</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164,053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156,789</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0" w:type="dxa"/>
            <w:vAlign w:val="bottom"/>
          </w:tcPr>
          <w:p>
            <w:pPr>
              <w:spacing w:after="0"/>
              <w:rPr>
                <w:sz w:val="1"/>
                <w:szCs w:val="1"/>
                <w:color w:val="auto"/>
              </w:rPr>
            </w:pPr>
          </w:p>
        </w:tc>
      </w:tr>
      <w:tr>
        <w:trPr>
          <w:trHeight w:val="21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(113,995)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(121,548)</w:t>
            </w:r>
          </w:p>
        </w:tc>
        <w:tc>
          <w:tcPr>
            <w:tcW w:w="0" w:type="dxa"/>
            <w:vAlign w:val="bottom"/>
          </w:tcPr>
          <w:p>
            <w:pPr>
              <w:spacing w:after="0"/>
              <w:rPr>
                <w:sz w:val="1"/>
                <w:szCs w:val="1"/>
                <w:color w:val="auto"/>
              </w:rPr>
            </w:pPr>
          </w:p>
        </w:tc>
      </w:tr>
      <w:tr>
        <w:trPr>
          <w:trHeight w:val="235"/>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46,164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30,714</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allocate any assets to the reportable segments. No asset information is reported to the chief operating decision maker and disclosed in the financial information for each segment. The Company attributes revenues to geographic areas based on the location of the customer. Total revenue by major geographic area consisted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80" w:type="dxa"/>
            <w:vAlign w:val="bottom"/>
            <w:gridSpan w:val="4"/>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2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263,351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247,793</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45,819</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47,295</w:t>
            </w:r>
          </w:p>
        </w:tc>
        <w:tc>
          <w:tcPr>
            <w:tcW w:w="0" w:type="dxa"/>
            <w:vAlign w:val="bottom"/>
          </w:tcPr>
          <w:p>
            <w:pPr>
              <w:spacing w:after="0"/>
              <w:rPr>
                <w:sz w:val="1"/>
                <w:szCs w:val="1"/>
                <w:color w:val="auto"/>
              </w:rPr>
            </w:pPr>
          </w:p>
        </w:tc>
      </w:tr>
      <w:tr>
        <w:trPr>
          <w:trHeight w:val="21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19,164</w:t>
            </w:r>
          </w:p>
        </w:tc>
        <w:tc>
          <w:tcPr>
            <w:tcW w:w="0" w:type="dxa"/>
            <w:vAlign w:val="bottom"/>
          </w:tcPr>
          <w:p>
            <w:pPr>
              <w:spacing w:after="0"/>
              <w:rPr>
                <w:sz w:val="1"/>
                <w:szCs w:val="1"/>
                <w:color w:val="auto"/>
              </w:rPr>
            </w:pPr>
          </w:p>
        </w:tc>
      </w:tr>
      <w:tr>
        <w:trPr>
          <w:trHeight w:val="235"/>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376,638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360,071</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contingent consideration during the three month period ended March 31, 2022 and March 31, 2021 to reflect the change in estimate, additions, payments, transfers and the time value of money during the period.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reconciliation of the opening balances to the closing balances of these Level 3 measurements for the three months ended March 31, 2022 and March 31, 2021 is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0" w:type="dxa"/>
            <w:vAlign w:val="bottom"/>
            <w:gridSpan w:val="16"/>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Contingent Consideration Liability Related to Acquisition of:</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left="125"/>
              <w:spacing w:after="0"/>
              <w:rPr>
                <w:sz w:val="20"/>
                <w:szCs w:val="20"/>
                <w:color w:val="auto"/>
              </w:rPr>
            </w:pPr>
            <w:r>
              <w:rPr>
                <w:rFonts w:ascii="Times New Roman" w:cs="Times New Roman" w:eastAsia="Times New Roman" w:hAnsi="Times New Roman"/>
                <w:sz w:val="14"/>
                <w:szCs w:val="14"/>
                <w:b w:val="1"/>
                <w:bCs w:val="1"/>
                <w:color w:val="auto"/>
              </w:rPr>
              <w:t>Location in</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Derma</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6"/>
            <w:vMerge w:val="restart"/>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ACell Inc.</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Location in Financial</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restart"/>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Arkis</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3"/>
            <w:vMerge w:val="restart"/>
          </w:tcPr>
          <w:p>
            <w:pPr>
              <w:jc w:val="center"/>
              <w:ind w:left="125"/>
              <w:spacing w:after="0" w:line="146"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6"/>
            <w:vMerge w:val="continue"/>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Sciences</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6"/>
            <w:vMerge w:val="restart"/>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(See Note 2)</w:t>
            </w: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Statements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restart"/>
          </w:tcPr>
          <w:p>
            <w:pPr>
              <w:jc w:val="center"/>
              <w:ind w:left="145"/>
              <w:spacing w:after="0"/>
              <w:rPr>
                <w:sz w:val="20"/>
                <w:szCs w:val="20"/>
                <w:color w:val="auto"/>
              </w:rPr>
            </w:pPr>
            <w:r>
              <w:rPr>
                <w:rFonts w:ascii="Times New Roman" w:cs="Times New Roman" w:eastAsia="Times New Roman" w:hAnsi="Times New Roman"/>
                <w:sz w:val="14"/>
                <w:szCs w:val="14"/>
                <w:b w:val="1"/>
                <w:bCs w:val="1"/>
                <w:color w:val="auto"/>
              </w:rPr>
              <w:t>Statements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6"/>
            <w:vMerge w:val="continue"/>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9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40" w:type="dxa"/>
            <w:vAlign w:val="bottom"/>
          </w:tcPr>
          <w:p>
            <w:pPr>
              <w:spacing w:after="0"/>
              <w:rPr>
                <w:sz w:val="16"/>
                <w:szCs w:val="16"/>
                <w:color w:val="auto"/>
              </w:rPr>
            </w:pPr>
          </w:p>
        </w:tc>
        <w:tc>
          <w:tcPr>
            <w:tcW w:w="820" w:type="dxa"/>
            <w:vAlign w:val="bottom"/>
            <w:gridSpan w:val="3"/>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w w:val="99"/>
              </w:rPr>
              <w:t>Long-term</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9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2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January 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3,691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11,408</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230</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21,800</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Transfers</w:t>
            </w: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4,885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(4,885)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Change in fair value of contingent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shd w:val="clear" w:color="auto" w:fill="CCEEFF"/>
          </w:tcPr>
          <w:p>
            <w:pPr>
              <w:spacing w:after="0"/>
              <w:rPr>
                <w:sz w:val="14"/>
                <w:szCs w:val="14"/>
                <w:color w:val="auto"/>
              </w:rPr>
            </w:pPr>
          </w:p>
        </w:tc>
        <w:tc>
          <w:tcPr>
            <w:tcW w:w="980" w:type="dxa"/>
            <w:vAlign w:val="bottom"/>
            <w:gridSpan w:val="3"/>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Research and</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Selling, general and</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consideration liabilities</w:t>
            </w: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gridSpan w:val="4"/>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administrative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as of March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10,284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6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230</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4,885</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17,215</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gridSpan w:val="19"/>
          </w:tcPr>
          <w:p>
            <w:pPr>
              <w:ind w:left="80"/>
              <w:spacing w:after="0"/>
              <w:rPr>
                <w:sz w:val="20"/>
                <w:szCs w:val="20"/>
                <w:color w:val="auto"/>
              </w:rPr>
            </w:pPr>
            <w:r>
              <w:rPr>
                <w:rFonts w:ascii="Times New Roman" w:cs="Times New Roman" w:eastAsia="Times New Roman" w:hAnsi="Times New Roman"/>
                <w:sz w:val="14"/>
                <w:szCs w:val="14"/>
                <w:b w:val="1"/>
                <w:bCs w:val="1"/>
                <w:color w:val="auto"/>
              </w:rPr>
              <w:t>Contingent Consideration Liability Related to Acquisition of:</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Arkis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Derma Sciences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ACell Inc.</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Location in Financial</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(See Note 2)</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Statements</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4"/>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3"/>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4"/>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2021</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11,746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Additions from acquisition of ACell</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60" w:type="dxa"/>
            <w:vAlign w:val="bottom"/>
            <w:gridSpan w:val="5"/>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contingent consideration liabilities</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color w:val="auto"/>
              </w:rPr>
              <w:t>Research and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gridSpan w:val="5"/>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265</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1"/>
                <w:szCs w:val="11"/>
                <w:color w:val="auto"/>
              </w:rPr>
            </w:pPr>
          </w:p>
        </w:tc>
        <w:tc>
          <w:tcPr>
            <w:tcW w:w="16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development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gridSpan w:val="3"/>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58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20" w:type="dxa"/>
            <w:vAlign w:val="bottom"/>
            <w:gridSpan w:val="2"/>
            <w:vMerge w:val="continue"/>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as of March 31, 2021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3,432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12,011</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Arkis BioSciences Inc.</w:t>
      </w:r>
    </w:p>
    <w:p>
      <w:pPr>
        <w:spacing w:after="0" w:line="11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July 29, 2019, the Company acquired Arkis BioSciences Inc. ("Arkis") for an acquisition purchase price of $30.6 million (the "Arkis Acquisition") plus contingent consideration of up to $25.5 million, that may be payable based on the successful completion of certain development and commercial milestones. Arkis was a privately-held company that marketed the CerebroFlo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external ventricular drainage catheter with Endexo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a permanent additive designed to reduce the potential for catheter obstruction due to thrombus formation.</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acquisition, the Company is required to pay the former shareholders of Arkis up to $25.5 million based on the timing of certain development milestones of $10.0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 The estimated fair value as of March 31, 2022 and March 31, 2021 was $14.0 million and $15.4 million, respectively. The Company recorded $10.3 million and $12.0 million in other liabilities at March 31, 2022 and March 31, 2021, respectively, and $3.8 million and $3.4 million in accrued expenses and other current liabilities at March 31, 2022 and March 31, 2021, respectively, in the consolidated balance sheet of the Company.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Derma Sciences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assumed contingent consideration incurred by Derma Sciences, Inc. ("Derma Sciences") related to its acquisitions of BioD and the intellectual property related to Medihoney products. The Company accounted for the contingent liabilities by recording their fair value on the date of the acquisition based on a probability weighted income approach. The Company has already paid $33.3 million related to the aforementioned contingent liabilities. One contingent milestone remains which relates to net sales of Medihoney™ products exceeding certain amounts defined in the agreement between the Company and Derma Sciences. The potential maximum undiscounted payment amounts to $3.0 million. The estimated fair value as of March 31, 2022 and March 31, 2021 was $0.2 million.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the Company's financial condition and results of operations should be read in conjunction with our condensed consolidated financial statements and the related notes thereto appearing elsewhere in this report and our consolidated financial statements for the year ended December 31, 2021 included in our Annual Report on Form 10-K.</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made statements in this report which constitute forward-looking statements within the meaning of Section 27A of the Securities Act of 1933, as amended and Section 21E of the Securities Exchange Act of 1934 (the “Exchange Act”). These forward-looking statements are subject to a number of risks, uncertainties and assumptions about the Company and other matters. These forward-looking statements include, but are not limited to, statements related to the Company's expectations regarding the potential impacts of the COVID-19 pandemic on our business, financial condition, and results of operations. These statements should, therefore, be considered in light of various important factors, including, but not limited to, the following: risk of the COVID-19 pandemic could lead to further material delays and cancellations of, or reduced demand for, procedures; delayed capital spending by the Company's customers; disruption and/or higher costs to the Company’s supply chain; staffing shortages in hospitals; labor impacts in our facilities; delays in gathering clinical evidence; diversion of management and other resources to respond to the COVID-19 outbreak; the impact of global and regional economic and credit market conditions on healthcare spending; the risk that the COVID-19 virus disrupts local economies and causes economies in our key markets to enter prolonged recessions. The Company's actual results could differ materially from those anticipated in these forward-looking statements as a result of many factors, including but not limited to those set forth under the heading “Risk Factors” in our Annual Report on Form 10-K for the year ended December 31, 2021, under the heading "Risk Factors" in this report, and in other filings with the SEC. We undertake no obligation to publicly update or revise any forward-looking statements, whether as a result of new information, future events or otherwise, except to the extent required by applicable law.</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can identify these forward-looking statements by forward-looking words such as “believe,” “may,” “might,” “could,” “will,” “estimate,” “continue,” “anticipate,” “intend,” “seek,” “plan,” “expect,” “should,” “would” and similar expressions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Integra, headquartered in Princeton, New Jersey, is a world leader in medical technology. The Company was founded in 1989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as well as nerves and tendons. The Company has expanded its base regenerative technology business to include surgical instruments, neurosurgical products and advanced wound care through global acquisitions and product development to meet the evolving needs of its customers and enhance patient care.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Integra manufacture and sell medical technologies and products in two reportable business segments: Codman Specialty Surgical ("CSS") and Tissue Technologies ("TT"). The CSS segment, which represents two-thirds of our total revenue, consists of market-leading technologies and instrumentation used for a wide range of specialties, such as neurosurgery, neurocritical care and otolaryngology. We are the world leader in neurosurgery and one of the top three providers in instruments used in precision, specialty, and general surgical procedures. Our TT segment generates about one-third of our overall revenue and focuses on three main areas: complex wound surgery, surgical reconstruction, and peripheral nerve repair.</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key manufacturing and research facilities located in California, Indiana, Maryland, Massachusetts, New Jersey, Ohio, Puerto Rico, Tennessee, Utah, Canada, China, France, Germany, Ireland and Switzerland. We source most of our handheld surgical instruments and dural sealant products through specialized third-party vendors.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Integra is committed to delivering high quality products that positively impact the lives of millions of patients and their families. We focus on four key pillars of our strategy: 1) enabling an execution-focused culture, 2) optimizing relevant scale, 3) advancing innovation and agility, and 4) leading in customer experience. We believe that by sharpening our focus on these areas through improved planning and communication, optimization of our infrastructure, and strategically aligned acquisitions, we can build scale, increase competitiveness, and achieve our long-term goals.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this end, the executive leadership team has established the following key priorities aligned to the following areas of focus:</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Strategic Acquisitions. </w:t>
      </w:r>
      <w:r>
        <w:rPr>
          <w:rFonts w:ascii="Times New Roman" w:cs="Times New Roman" w:eastAsia="Times New Roman" w:hAnsi="Times New Roman"/>
          <w:sz w:val="18"/>
          <w:szCs w:val="18"/>
          <w:color w:val="auto"/>
        </w:rPr>
        <w:t>An important part of the Company's strategy is pursuing strategic transactions and licensing agreements that increase relevant scale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the clinical areas in which Integra competes. During 2021, the Company acquired ACell Inc. ("ACell"), an innovative regenerative medicine company specializing in the manufacturing of porcine urinary bladder extracellular matrices. This acquisition not only expanded the Company’s product offering of regenerative technologies, but it is also expected to support the Company’s long-term growth and profitability strategy as this product line has a financial profile similar to Integra’s other regenerative tissue products. All critical components of ACell have been integrated into the Company’s TT segment. See Note 2, </w:t>
      </w:r>
      <w:r>
        <w:rPr>
          <w:rFonts w:ascii="Times New Roman" w:cs="Times New Roman" w:eastAsia="Times New Roman" w:hAnsi="Times New Roman"/>
          <w:sz w:val="18"/>
          <w:szCs w:val="18"/>
          <w:i w:val="1"/>
          <w:iCs w:val="1"/>
          <w:color w:val="auto"/>
        </w:rPr>
        <w:t>Acquisitions and Divestitures</w:t>
      </w:r>
      <w:r>
        <w:rPr>
          <w:rFonts w:ascii="Times New Roman" w:cs="Times New Roman" w:eastAsia="Times New Roman" w:hAnsi="Times New Roman"/>
          <w:sz w:val="18"/>
          <w:szCs w:val="18"/>
          <w:color w:val="auto"/>
        </w:rPr>
        <w:t>, to the Notes to Consolidated Financial Statements (Part I, Item 1 of this Form 10-Q) for additional details. In 2022, we continued to advance the development of pioneering neurosurgical technologies from our 2019 acquisitions, Arkis Biosciences, Inc. and Rebound Therapeutics Corporation</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Portfolio Optimization and New Product Introductions. </w:t>
      </w:r>
      <w:r>
        <w:rPr>
          <w:rFonts w:ascii="Times New Roman" w:cs="Times New Roman" w:eastAsia="Times New Roman" w:hAnsi="Times New Roman"/>
          <w:sz w:val="18"/>
          <w:szCs w:val="18"/>
          <w:color w:val="auto"/>
        </w:rPr>
        <w:t>We are investing in innovative product development to drive a multi-generational pipeline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key product franchises. Our product development efforts span across our key global franchises focused on potential for significant returns on investment. In addition to new product development, we are funding studies to gather clinical evidence to support launches, ensure market access and improve reimbursement for existing products. In addition to acquisitions and organic reinvestment, we continually look to optimize our portfolio towards higher growth and higher margin businesses. As such, we may opportunistically divest businesses or discontinue products where we see limited runway for future value creation in line with our aspirations due in part to changes in the market, business fundamentals or the regulatory environment.</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January 2021, we completed the sale of our Extremity Orthopedics business to Smith &amp; Nephew USD Limited ("Smith &amp; Nephew"), a subsidiary of Smith &amp; Nephew plc, for approximately $240 million in cash. This transaction enables us to increase our investments in our core neurosurgery and tissue technologies businesses and fund pipeline opportunities to expand our addressable markets to strengthen our existing leadership positions in these segments and drive future growth. See Note 2, </w:t>
      </w:r>
      <w:r>
        <w:rPr>
          <w:rFonts w:ascii="Times New Roman" w:cs="Times New Roman" w:eastAsia="Times New Roman" w:hAnsi="Times New Roman"/>
          <w:sz w:val="18"/>
          <w:szCs w:val="18"/>
          <w:i w:val="1"/>
          <w:iCs w:val="1"/>
          <w:color w:val="auto"/>
        </w:rPr>
        <w:t>Acquisitions and Divestitures</w:t>
      </w:r>
      <w:r>
        <w:rPr>
          <w:rFonts w:ascii="Times New Roman" w:cs="Times New Roman" w:eastAsia="Times New Roman" w:hAnsi="Times New Roman"/>
          <w:sz w:val="18"/>
          <w:szCs w:val="18"/>
          <w:color w:val="auto"/>
        </w:rPr>
        <w:t>, to the Notes to Consolidated Financial Statements (Part I, Item 1 of this Form 10-Q) for details.</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Commercial Channel Investments. </w:t>
      </w:r>
      <w:r>
        <w:rPr>
          <w:rFonts w:ascii="Times New Roman" w:cs="Times New Roman" w:eastAsia="Times New Roman" w:hAnsi="Times New Roman"/>
          <w:sz w:val="18"/>
          <w:szCs w:val="18"/>
          <w:color w:val="auto"/>
        </w:rPr>
        <w:t>Investing in our sales channels is a core part of our strategy to create specialization and greater focus on reaching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existing customers and addressing their needs. To support our commercial efforts in Tissue Technologies, we utilize a two-tier specialist model to increase our presence in focused segments by creating a virtual selling organization to help serve the evolving needs of our customers. In addition, we continue to build upon our leadership brands across our product franchises in both CSS and TT to engage customers through enterprise-wide contracts with leading hospitals, integrated delivery networks and global purchasing organizations in the United States. Internationally, we have increased our commercial resources significantly in key emerging markets and are making investments to support our sales organization and maximize our commercial opportunities. Domestically, we have also increased our TT sales force in the United States to support the expanded regenerative tissue product portfolio that included ACell products. These investments in our international and dometic sales channel position us well for expansion and long-term growth.</w:t>
      </w:r>
    </w:p>
    <w:p>
      <w:pPr>
        <w:spacing w:after="0" w:line="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Customer Experience. </w:t>
      </w:r>
      <w:r>
        <w:rPr>
          <w:rFonts w:ascii="Times New Roman" w:cs="Times New Roman" w:eastAsia="Times New Roman" w:hAnsi="Times New Roman"/>
          <w:sz w:val="18"/>
          <w:szCs w:val="18"/>
          <w:color w:val="auto"/>
        </w:rPr>
        <w:t>We aspire to be ranked as a best-in-class provider and are committed to strengthen our relationships with all customers. We 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invest in technologies, systems and processes to enhance the customer experience. Additionally, we launched digital tools and programs, resources and virtual product training to drive continued customer familiarity with our growing portfolio of medical technologies globally.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and Product Development Activities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invest in collecting clinical evidence to support the Company's existing products and new product launches, and to ensure that we obtain market access for broader and more cost-effective solutions. In the third quarter of 2021, we launched our CereLink™ ICP Monitor System in the U.S. and Europe direct markets. CereLink provides enhanced accuracy, usability and advanced data presentation that provides clinicians with uncompromised, advanced continuous ICP monitoring that until now, has not been available when treating patients with traumatic brain injuries. Through the first quarter of 2022, we have continued the global rollout of Cerelink with product launches in Australia and Canada, as well as several other indirect markets in EMEA. We are focused on the development of core clinical applications in our electromechanical technologies portfolio. Also, we continue to update our CUSA Clarity platform by incorporating new ultrasonic handpiece, surgical tips and integrated electrosurgical capabilities. We continue to work with several instrument partners to bring new surgical instrument platforms to the market.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2022 we continued to advance the early-stage technology platforms we acquired in 2019. Through the acquisition of Arkis Biosciences, we added a platform technology, CerebroFlo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external ventricular drainage ("EVD"), catheter with Endexo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a permanent additive designed to reduce the potential for catheter obstruction due to thrombus formation. The CerebroFlo EVD Catheter has demonstrated an average of 99% less thrombus accumulation onto its surface, in vitro, compared to a market leading EVD catheter. In 2019, we also acquired Rebound Therapeutics Corporation which specialized in a single-use medical device, known as Aurora Surgiscope, which is the only tubular retractor system designed for cranial surgery with an integrated access channel, camera and lighting. In the third quarter of 2021, we conducted a limited clinical launch of the Aurora Surgiscope for use in minimally invasive neurosurgery as well as initiated a registry called MIRROR to collect data on early surgical intervention using this same technology platform for the treatment of intracerebral hemorrhages ("ICH").</w:t>
      </w:r>
    </w:p>
    <w:p>
      <w:pPr>
        <w:spacing w:after="0" w:line="7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Within our TT segment, during 2021, we completed one of the largest diabetic foot ulcers ("DFU"), randomized controlled trials of the PriMatrix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Dermal Repair Scaffold for the management of DFU. This multi-center study enrolled more than 225 patients with chronic DFU's over the course of 12-week treatments and 4-week follow-up phases. The results of this study, which was published in the Journal of Wound Care, demonstrated that PriMatrix plus standard of care ("SOC") consisting of sharp debridement, infection elimination, use of dressings and offloading was significantly more likely to achieve complete wound closure compared with SOC alone, with a median number of one application of the product. In the first quarter of 2022, we launched NeuraGen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3D Guide Matrix, a resorbable implant for repair of peripheral nerve discontinuities and designed to optimize the environment for nerve regeneration to allow for more complete functional recovery.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this global crisis, the Company's focus remained on supporting patients, providing customers with life-saving products, and protecting the well-being of our employees. The rapid and evolving spread of the virus and subsequent variants have resulted in an unprecedented challenges to the global healthcare industry. In response to the pandemic, we acted swiftly by implementing protocols to ensure continuity of our manufacturing and distribution sites around the world and to provide for the safety of our employees.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may continue to have widespread and unpredictable impacts and the Company has continued to manage risks in this uncertain environment. We remain confident that the underlying markets in which the Company competes remain attractive. We also remain focused on managing the business for the long-term. The Company's adaptability and resiliency in the face of this unprecedented crisis is made possible in part by prior investments in technology infrastructure and operations, as well as our talented and committed global workforce.</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Capital markets and worldwide economies have also been significantly impacted by the COVID-19 pandemic, and it is possible that the pandemic could cause a local and/or global economic recession. Any such economic recession could have a material adverse effect on the Company's long-term business as hospitals curtail and reduce capital as well as overall spending. The COVID-19 pandemic and local actions, such as “shelter-in-place” orders and restrictions on travel and access to our customers or temporary closures of our facilities or the facilities of our suppliers and their contract manufacturers, disruption and/or higher costs to the Company’s supply chain, staffing shortages in hospitals and labor constraints in our facilities, could further impact our sales margins and our ability to ship our products and supply our customers. Any of these events could negatively impact the number of surgical and medical intervention procedures performed and have a material adverse effect on our business, financial condition, results of operations, or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FDA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manufacture and distribute products derived from human tissue for which FDA has specific regulations governing human cells, tissues and cellular and tissue-based products ("HCT/Ps"). An HCT/P is a product containing or consisting of human cells or tissue intended for transplantation into a human patient. Refer to Item 1. Business and Item 1A. Risk Factors in our 2021 10-K report for further details around these FDA regulations and their potential effect on the Company's portfolio of morselized amniotic material-based products as well as the impact on consolidated revenues.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22, 2015, the FDA issued an Untitled Letter (the "Untitled Letter") alleging that BioD LLC's morselized amniotic membrane tissue-based products do not meet the criteria for regulation as HCT/Ps solely under Section 361 of the Public Health Services Act ("Section 361") and that, as a result, BioD LLc ("BioD") would need a biologics license to lawfully market those morselized products. Since the issuance of the Untitled Letter, BioD and the Company have made known to the FDA their disagreement with the FDA’s assertion that certain products are more than minimally manipulated. The FDA has not changed its position that certain of the BioD acquired products are not eligible for marketing solely under Section 361. In July 2020, the FDA issued the final guidance document related to human tissue titled, “Regulatory Considerations for Human Cells, Tissues, and Cellular and Tissue-Based Products: Minimal Manipulation and Homologous Use” (the “2020 HCT/P Final Guidance”). The 2020 HCT/P Final Guidance document supersedes the November 2017 guidance by the same title.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HCT/P Final Guidance maintains the FDA’s position that products such as the Company’s morselized amniotic membrane tissue-based products do not meet the criteria for regulation solely as HCT/Ps. In addition, in the November 2017 guidance, the FDA articulated a risk-based approach to enforcement and, while some uses for amniotic membrane tissue-based products would have as much as thirty-six months of enforcement discretion, other high risk uses could be subject to immediate enforcement action. The 2020 HCT/P Final Guidance maintained this approach and extended the discretionary enforcement period to May 31, 2021.</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Considering the risk of enforcement action, the Company discontinued the manufacturing of all morselized amniotic membrane tissue-based products prior to May 31, 2021. We no longer distribute these products. As of March 31, 2022, the Company has not received any further notice of enforcement action from the FDA regarding its morselized amniotic membrane tissue-based products.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7, 2019, TEI Biosciences, Inc. ("TEI"), a wholly-owned subsidiary of the Company received a Warning Letter (the “Warning Letter”), dated March 6, 2019, from the FDA. The warning letter related to quality systems issues at TEI's manufacturing facility located in Boston, Massachusetts. The letter resulted from an inspection held at that facility in October and November 2018 and did not identify any new observations that were not already provided in the Form 483 that followed the inspection. The Company submitted its initial response to the FDA Warning Letter on March 28, 2019 and provides regular progress reports to the FDA as to its corrective actions and, since the conclusion of the inspection, has undertaken significant efforts to remediate the observations and continues to do so. On October 28, 2021 the FDA initiated an inspection of the facility and at the conclusion of the inspection issued a FDA Form 483 on November 12, 2021 (the "2021 Form 483"). The Company provided an initial response to the inspection observations and will continue to provide responses to FDA. The Warning Letter and the 2021 FDA Form 483 do not restrict the Company’s ability to manufacture or ship products or require the recall of any products, nor do they restrict our ability to seek FDA 510(k) clearance of products. Additionally, premarket approval applications for Class III devices to which the Quality System regulation violations are reasonably related will not be approved until the violations have been corrected. The TEI Boston facility manufactures extracellular bovine matrix products. We cannot give any assurances that the FDA will be satisfied with our response to the Warning Letter or as to the expected date of the resolution of the matters included in the letter. Until the issues cited in the letter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spacing w:after="0" w:line="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of products manufactured in the TEI Boston facility for the three months ended March 31, 2022 were approximately 5.1% of consolidated revenues.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&amp; DIVESTITURES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January 4, 2021, the Company completed its sale of its Extremity Orthopedics business to Smith &amp; Nephew. The transaction included the sale of the Company's upper and lower Extremity Orthopedics product portfolio, including ankle and shoulder arthroplasty and hand and wrist product lines. The Company received an aggregate purchase price of $240.0 million from Smith &amp; Nephew and concurrently paid $41.5 million to the Consortium of Focused Orthopedists, LLC ("CFO"), effectively terminating the licensing agreement between Integra and CFO relating to the development of shoulder arthroplasty products. The Company recognized a gain of $42.9 million in connection with the sale that is presented in "Gain from the sale of business" in the consolidated statement of operations for the year ended March 31, 2021, and was finalized at $41.8 million during the year ended December 31, 2021, as a result of $1.3 million in net working payments, pursuant to the divestiture agreement. See Note 2, </w:t>
      </w:r>
      <w:r>
        <w:rPr>
          <w:rFonts w:ascii="Times New Roman" w:cs="Times New Roman" w:eastAsia="Times New Roman" w:hAnsi="Times New Roman"/>
          <w:sz w:val="18"/>
          <w:szCs w:val="18"/>
          <w:i w:val="1"/>
          <w:iCs w:val="1"/>
          <w:color w:val="auto"/>
        </w:rPr>
        <w:t>Acquisitions and Divestitures</w:t>
      </w:r>
      <w:r>
        <w:rPr>
          <w:rFonts w:ascii="Times New Roman" w:cs="Times New Roman" w:eastAsia="Times New Roman" w:hAnsi="Times New Roman"/>
          <w:sz w:val="18"/>
          <w:szCs w:val="18"/>
          <w:color w:val="auto"/>
        </w:rPr>
        <w:t>, to the Notes to Consolidated Financial Statements (Part I, Item 1 of this Form 10-Q) for details.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growth strategy includes the acquisition of businesses, assets or products lines to increase the breadth of our offerings and the reach of our product portfolios and drive relevant scale to our customers.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20, 2021, the Company acquired ACell, Inc. for an acquisition purchase price of $306.9 million plus contingent consideration obligations of up to $100 million, that may be payable upon achieving certain revenue-based performance milestones in 2022, 2023 and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ACell was a privately-held company that offered a portfolio of regenerative products for complex wound management, including developing and commercializing products based on MatriStem Urinary Bladder Matrix ("UBM"), a technology platform derived from porcine urinary bladder extracellular matrix. See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Divestitures</w:t>
      </w:r>
      <w:r>
        <w:rPr>
          <w:rFonts w:ascii="Times New Roman" w:cs="Times New Roman" w:eastAsia="Times New Roman" w:hAnsi="Times New Roman"/>
          <w:sz w:val="18"/>
          <w:szCs w:val="18"/>
          <w:color w:val="auto"/>
        </w:rPr>
        <w:t>, to the Notes to Consolidated Financial Statements (Part I, Item 1 of this Form 10-Q) for details.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OPTIMIZATION AND INTEGRATION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our ongoing acquisition strategy and significant growth in recent years, we have undertaken cost-saving initiatives to consolidate manufacturing operations, distribution facilities and transfer activities, implement a common ERP system, eliminate duplicative positions, realign various sales and marketing activities, and expand and upgrade production capacity for our regenerative technology products. These efforts are expected to continue and while we expect a positive impact from ongoing restructuring, integration, and manufacturing transfer and expansion activities, such results remain uncertain.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income for the three months ended March 31, 2022 was $32.9 million, or $0.39 per diluted share, as compared to $45.4 million or $0.53 per diluted share for the three months ended March 31, 2021. The decrease in net income for the three months ended March 31, 2022, was primarily driven by the prior year gain of $42.9 million as a result of the sale of its Extremity Orthopedics business to Smith &amp; Nephew. Excluding this gain, net income increased for the three months period ended March 31, 2022, principally driven by earnings from higher revenues compared to the prior period, partially offset by an increase in operating expenses for key growth priorities in research and development, selling and marketing areas.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Charges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taxes includes the following special charges</w:t>
      </w:r>
      <w:r>
        <w:rPr>
          <w:rFonts w:ascii="Times New Roman" w:cs="Times New Roman" w:eastAsia="Times New Roman" w:hAnsi="Times New Roman"/>
          <w:sz w:val="18"/>
          <w:szCs w:val="18"/>
          <w:b w:val="1"/>
          <w:bCs w:val="1"/>
          <w:color w:val="auto"/>
        </w:rPr>
        <w: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Acquisition, divestiture and integration-related charges</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(27,001)</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Structural optimization charges</w:t>
            </w:r>
          </w:p>
        </w:tc>
        <w:tc>
          <w:tcPr>
            <w:tcW w:w="30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6,320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3,979</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 medical device regulation</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9,513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5,748</w:t>
            </w:r>
          </w:p>
        </w:tc>
        <w:tc>
          <w:tcPr>
            <w:tcW w:w="0" w:type="dxa"/>
            <w:vAlign w:val="bottom"/>
          </w:tcPr>
          <w:p>
            <w:pPr>
              <w:spacing w:after="0"/>
              <w:rPr>
                <w:sz w:val="1"/>
                <w:szCs w:val="1"/>
                <w:color w:val="auto"/>
              </w:rPr>
            </w:pPr>
          </w:p>
        </w:tc>
      </w:tr>
      <w:tr>
        <w:trPr>
          <w:trHeight w:val="207"/>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16,407</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(17,274)</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firstLine="8"/>
        <w:spacing w:after="0" w:line="270" w:lineRule="auto"/>
        <w:tabs>
          <w:tab w:leader="none" w:pos="163"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The Company completed its sale of its Extremity Orthopedics business and recognized a gain of $42.9 million for the three months ended March 31, 2021 which was partially offset by other acquisition, divestiture and integration-related charges. See Note 2, </w:t>
      </w:r>
      <w:r>
        <w:rPr>
          <w:rFonts w:ascii="Times New Roman" w:cs="Times New Roman" w:eastAsia="Times New Roman" w:hAnsi="Times New Roman"/>
          <w:sz w:val="15"/>
          <w:szCs w:val="15"/>
          <w:i w:val="1"/>
          <w:iCs w:val="1"/>
          <w:color w:val="auto"/>
        </w:rPr>
        <w:t>Acquisitions and Divestitures</w:t>
      </w:r>
      <w:r>
        <w:rPr>
          <w:rFonts w:ascii="Times New Roman" w:cs="Times New Roman" w:eastAsia="Times New Roman" w:hAnsi="Times New Roman"/>
          <w:sz w:val="15"/>
          <w:szCs w:val="15"/>
          <w:color w:val="auto"/>
        </w:rPr>
        <w:t xml:space="preserve"> for details.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reported above are reflected in the condensed consolidated statements of operations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10,179</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5,515</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11,494</w:t>
            </w: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Gain from the sale of business</w:t>
            </w:r>
            <w:r>
              <w:rPr>
                <w:rFonts w:ascii="Times New Roman" w:cs="Times New Roman" w:eastAsia="Times New Roman" w:hAnsi="Times New Roman"/>
                <w:sz w:val="21"/>
                <w:szCs w:val="21"/>
                <w:color w:val="auto"/>
                <w:vertAlign w:val="superscript"/>
              </w:rPr>
              <w:t>(1)</w:t>
            </w: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(42,876)</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0" w:type="dxa"/>
            <w:vAlign w:val="bottom"/>
          </w:tcPr>
          <w:p>
            <w:pPr>
              <w:spacing w:after="0"/>
              <w:rPr>
                <w:sz w:val="1"/>
                <w:szCs w:val="1"/>
                <w:color w:val="auto"/>
              </w:rPr>
            </w:pPr>
          </w:p>
        </w:tc>
      </w:tr>
      <w:tr>
        <w:trPr>
          <w:trHeight w:val="207"/>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16,407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(17,274)</w:t>
            </w: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See Note 2, </w:t>
      </w:r>
      <w:r>
        <w:rPr>
          <w:rFonts w:ascii="Times New Roman" w:cs="Times New Roman" w:eastAsia="Times New Roman" w:hAnsi="Times New Roman"/>
          <w:sz w:val="16"/>
          <w:szCs w:val="16"/>
          <w:i w:val="1"/>
          <w:iCs w:val="1"/>
          <w:color w:val="auto"/>
        </w:rPr>
        <w:t>Acquisitions and Divestitures</w:t>
      </w:r>
      <w:r>
        <w:rPr>
          <w:rFonts w:ascii="Times New Roman" w:cs="Times New Roman" w:eastAsia="Times New Roman" w:hAnsi="Times New Roman"/>
          <w:sz w:val="16"/>
          <w:szCs w:val="16"/>
          <w:color w:val="auto"/>
        </w:rPr>
        <w:t xml:space="preserve"> for details.</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define special charges as items for which the amounts and/or timing of such expenses may vary significantly from period to period, depending upon our acquisition, divestiture,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Gross Margin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revenues and gross margin on product revenues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4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9"/>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Net Sales</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Codman Specialty Surgical</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247,308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241,241</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Tissue Technologies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129,330</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118,830</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376,638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360,071</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142,569</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145,823</w:t>
            </w:r>
          </w:p>
        </w:tc>
        <w:tc>
          <w:tcPr>
            <w:tcW w:w="0" w:type="dxa"/>
            <w:vAlign w:val="bottom"/>
          </w:tcPr>
          <w:p>
            <w:pPr>
              <w:spacing w:after="0"/>
              <w:rPr>
                <w:sz w:val="1"/>
                <w:szCs w:val="1"/>
                <w:color w:val="auto"/>
              </w:rPr>
            </w:pPr>
          </w:p>
        </w:tc>
      </w:tr>
      <w:tr>
        <w:trPr>
          <w:trHeight w:val="219"/>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margin on total revenues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234,069</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214,248</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Gross margin as a percentage of total revenues</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62.1 %</w:t>
            </w:r>
          </w:p>
        </w:tc>
        <w:tc>
          <w:tcPr>
            <w:tcW w:w="8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59.5 %</w:t>
            </w:r>
          </w:p>
        </w:tc>
      </w:tr>
    </w:tbl>
    <w:p>
      <w:pPr>
        <w:spacing w:after="0" w:line="281" w:lineRule="exact"/>
        <w:rPr>
          <w:sz w:val="20"/>
          <w:szCs w:val="20"/>
          <w:color w:val="auto"/>
        </w:rPr>
      </w:pPr>
    </w:p>
    <w:p>
      <w:pPr>
        <w:ind w:right="4180"/>
        <w:spacing w:after="0" w:line="377" w:lineRule="auto"/>
        <w:rPr>
          <w:sz w:val="20"/>
          <w:szCs w:val="20"/>
          <w:color w:val="auto"/>
        </w:rPr>
      </w:pPr>
      <w:r>
        <w:rPr>
          <w:rFonts w:ascii="Times New Roman" w:cs="Times New Roman" w:eastAsia="Times New Roman" w:hAnsi="Times New Roman"/>
          <w:sz w:val="18"/>
          <w:szCs w:val="18"/>
          <w:b w:val="1"/>
          <w:bCs w:val="1"/>
          <w:color w:val="auto"/>
        </w:rPr>
        <w:t>Three Months Ended March 31, 2022 as Compared to Three Months Ended March 31, 2021 Revenues</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2022, total revenues increased by $16.6 million to $376.6 million from $360.1 million for the same period in 2021, inclusive of a unfavorable foreign currency impact of $4.6 million on revenues. Domestic revenues increased by $15.6 million, or 6.3%, to $263.4 million and were 69.9% of total revenues for the three months ended March 31, 2022 compared to $247.8 million during the same period in the prior year. International revenues increased by $1.0 million or 0.9% to $113.3 million for the three months ended March 31, 2022 compared to $112.3 million during the same period in the prior year. The increase in revenues was primarily driven by strong recovery of surgical procedures as well as favorable order timing for our private label business.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CSS segment, revenues were $247.3 million which was an increase of $6.1 million, or 2.5% as compared to the prior-year period, inclusive of a $4.2 million unfavorable foreign currency impact on revenue. The increase was as a result of the continued procedure recovery across neurosurgery and capital sales from the recent launch of the CereLink ICP monitoring system. Excluding the impact of foreign exchange, Neurosurgery portfolio grew mid single digits primarily due to sales in neuromonitoring and CSF Management. Sales in our instruments portfolio increased low single digits as compared to the same period in the prior year.</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TT segment, revenues were $129.3 million which was an increase of $10.5 million, or 8.8% from the prior-year period, inclusive of a $0.4 million unfavorable foreign currency impact on revenue. Sales in our Wound Reconstruction business, after adjusting for comparative number of selling days for ACell revenue, increased low single digits, led by Integra Skin and PriMatrix. Sales in our Private Label business increased low double digits driven by continued COVID-19 recovery for our private label partners and timing of orders.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 was $234.1 million for the three months ended March 31, 2022, an increase of $19.8 million from $214.2 million for the same period in 2021. Gross margin as a percentage of revenues was 62.1% for the three months ended March 31, 2022 and 59.5% or the same period in 2021. This increase in gross margin was due to higher revenues, favorable product mix, a decrease in amortization associated with technology-based intangible assets and a reduction of inventory step-up amortization in connection with the acquisition of ACell in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operating expenses as a percent of total revenues:</w:t>
      </w:r>
    </w:p>
    <w:p>
      <w:pPr>
        <w:spacing w:after="0" w:line="259"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r>
      <w:tr>
        <w:trPr>
          <w:trHeight w:val="21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43.5 %</w:t>
            </w:r>
          </w:p>
        </w:tc>
      </w:tr>
      <w:tr>
        <w:trPr>
          <w:trHeight w:val="21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07"/>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49.9 %</w:t>
            </w:r>
          </w:p>
        </w:tc>
        <w:tc>
          <w:tcPr>
            <w:tcW w:w="10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51.0 %</w:t>
            </w:r>
          </w:p>
        </w:tc>
      </w:tr>
      <w:tr>
        <w:trPr>
          <w:trHeight w:val="23"/>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Total operating expenses, which consist of research and development, selling, general and administrative, and amortization expenses, increased by $4.4 million, or 2.4% to $187.9 million in the three months ended March 31, 2022, compared to $183.5 million in the same period in 2021. The increase in operating expenses compared to the prior year primarily reflects increased selling costs associated with higher revenue, as well as higher spending for key growth initiatives in research and development, selling and marketing areas.</w:t>
      </w:r>
    </w:p>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continues to prioritize its operating costs to increase organic investments that will drive long-term growth including the support of new product development and introductions, clinical studies, geographic expansion and targeted U.S. sales channel expansion.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2022 increased by $1.7 million as compared to the same period in the prior year. This increase in spending resulted from additional spending on new product development, clinical studies and spending related to the European Union Medical Device Regulation compliance activities.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costs for the three months ended March 31, 2022 increased by $3.3 million as compared to the same period in the prior year driven primarily due to increased selling costs associated with higher revenue, as well as increases to support key growth initiatives.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(excluding amounts reported in cost of product revenues for technology-based intangible assets) for the three months ended March 31, 2022 was $3.9 million compared to $4.5 million for the same period in prior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non-operating income and expenses: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60" w:type="dxa"/>
            <w:vAlign w:val="bottom"/>
            <w:gridSpan w:val="4"/>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6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0" w:type="dxa"/>
            <w:vAlign w:val="bottom"/>
          </w:tcPr>
          <w:p>
            <w:pPr>
              <w:spacing w:after="0"/>
              <w:rPr>
                <w:sz w:val="1"/>
                <w:szCs w:val="1"/>
                <w:color w:val="auto"/>
              </w:rPr>
            </w:pP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(12,929)</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from the sale of business</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42,876</w:t>
            </w:r>
          </w:p>
        </w:tc>
        <w:tc>
          <w:tcPr>
            <w:tcW w:w="0" w:type="dxa"/>
            <w:vAlign w:val="bottom"/>
          </w:tcPr>
          <w:p>
            <w:pPr>
              <w:spacing w:after="0"/>
              <w:rPr>
                <w:sz w:val="1"/>
                <w:szCs w:val="1"/>
                <w:color w:val="auto"/>
              </w:rPr>
            </w:pPr>
          </w:p>
        </w:tc>
      </w:tr>
      <w:tr>
        <w:trPr>
          <w:trHeight w:val="213"/>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4,869</w:t>
            </w:r>
          </w:p>
        </w:tc>
        <w:tc>
          <w:tcPr>
            <w:tcW w:w="0" w:type="dxa"/>
            <w:vAlign w:val="bottom"/>
          </w:tcPr>
          <w:p>
            <w:pPr>
              <w:spacing w:after="0"/>
              <w:rPr>
                <w:sz w:val="1"/>
                <w:szCs w:val="1"/>
                <w:color w:val="auto"/>
              </w:rPr>
            </w:pPr>
          </w:p>
        </w:tc>
      </w:tr>
      <w:tr>
        <w:trPr>
          <w:trHeight w:val="235"/>
        </w:trPr>
        <w:tc>
          <w:tcPr>
            <w:tcW w:w="7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non-operating income and expense</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36,564</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for the three months ended March 31, 2022 decreased by $0.4 million as compared to the same period last year.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for the three months ended March 31, 2022 decreased by $1.3 million as compared to the same period in the prior year primarily due to the impact of a $100 million interest rate swap that matured in second quarter of 2021 and related pay down on the revolving credit component of the Senior Credit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from the sale of business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January 4, 2021, the Company completed its sale of its Extremity Orthopedics business and recognized a gain of $42.9 million for the three months ended March 31,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for the three months ended March 31, 2022 decreased by $1.4 million compared to the same period in the prior year primarily due to less income associated with the transition services agreement from the divestiture of the Extremity Orthopedics business and by a unfavorable impact of foreign exchange as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40" w:type="dxa"/>
            <w:vAlign w:val="bottom"/>
            <w:gridSpan w:val="4"/>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6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39,315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67,278</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440" w:type="dxa"/>
            <w:vAlign w:val="bottom"/>
          </w:tcPr>
          <w:p>
            <w:pPr>
              <w:spacing w:after="0"/>
              <w:rPr>
                <w:sz w:val="18"/>
                <w:szCs w:val="18"/>
                <w:color w:val="auto"/>
              </w:rPr>
            </w:pPr>
          </w:p>
        </w:tc>
        <w:tc>
          <w:tcPr>
            <w:tcW w:w="14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6,414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21,884</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income tax rates for the three months ended March 31, 2022 and 2021 were 16.3% and 32.5%, respectively.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the primary drivers of the tax rate are a favorable jurisdictional mix of income, as well as a $0.8M benefit related to excess tax benefit from stock compensation. For the three months ended March 31, 2021, the primary driver of the higher tax rate is the tax impact of the gain on the sale of the Extremity Orthopedics business, which closed during the first quarter of 2021.</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changes to income tax laws and regulations, in any of the tax jurisdictions in which the Company operates, could impact the effective tax rate. Various governments, both U.S. and non-U.S., are increasingly focused on tax reform and revenue-raising legislation. The current U.S. administration has proposed tax reform which, if enacted, may increase the Company’s U.S. federal income tax liability. Further, legislation in foreign jurisdictions may be enacted, in response to the base erosion and profit-shifting project begun by the Organization for Economic Cooperation and Development ("OECD"). The OECD recently finalized major reform of the international tax system with respect to a implementing a global minimum tax rate. Such changes in U.S. and non-U.S. jurisdictions could have an adverse effect on the Company’s effective tax rate.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it is often difficult to predict the outcome or the timing of the resolution of a particular matter with the various federal, state, and foreign tax authorities, we believe that our reserves reflect the most probable outcome of known tax contingencies. Settlement of a particular issue would usually require the use of cash. A favorable resolution would be recognized as a reduction to our annual effective tax rate in the year of resolution. The Company's tax reserves are presented in the balance sheet within other liabilities, except for amounts relating to items that we expect to pay in the coming year, which would be classified as current income taxes payable.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PRODUCT REVENUES AND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attributes revenues to geographic areas based on the location of the customer. Total revenue by major geographic area consisted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263,351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247,793</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45,819</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47,295</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19,164</w:t>
            </w:r>
          </w:p>
        </w:tc>
        <w:tc>
          <w:tcPr>
            <w:tcW w:w="0" w:type="dxa"/>
            <w:vAlign w:val="bottom"/>
          </w:tcPr>
          <w:p>
            <w:pPr>
              <w:spacing w:after="0"/>
              <w:rPr>
                <w:sz w:val="1"/>
                <w:szCs w:val="1"/>
                <w:color w:val="auto"/>
              </w:rPr>
            </w:pPr>
          </w:p>
        </w:tc>
      </w:tr>
      <w:tr>
        <w:trPr>
          <w:trHeight w:val="235"/>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376,638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360,071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generates significant revenues outside the U.S., a portion of which are U.S. dollar-denominated transactions conducted with customers that generate revenue in currencies other than the U.S. dollar. As a result, currency fluctuations between the U.S. dollar and the currencies in which those customers do business could have an impact on the demand for the Company's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Domestic revenues increased by $15.6 million for the three months ended March 31, 2022 compared to the same period last year. European sales decreased by $2.1 million for the three months ended March 31, 2022 compared to the same period last year. Sales to customers in Asia Pacific increased by $0.4 million for the three months ended March 31, 2022. The Rest of World for the three months ended March 31, 2022 increased by $2.7 million compared to the same period last year. The international revenues were impacted by $4.6 million of unfavorable foreign exchange impact, with the larger impact in Europe. The increase in global revenues, inclusive of a $4.6 million unfavorable foreign exchange impact on revenue, was primarily driven by the strong recovery of procedures as well as favorable order timing for our private label business. Sales in China, Japan, Europe, Canada and our indirect markets continue to drive international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Company's working capital as of March 31, 2022 and December 31, 2021 was $750.2 million and $813.7 million, respectively. Working capital consists of total current assets less total current liabilities as presented in the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Marketable Securities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cash and cash equivalents totaling approximately $407.1 million and $513.4 million at March 31, 2022 and December 31, 2021 respectively, which are valued based on Level 1 measurements in the fair value hierarchy. At March 31, 2022, our non-U.S. subsidiaries held approximately $260.5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60" w:type="dxa"/>
            <w:vAlign w:val="bottom"/>
            <w:gridSpan w:val="4"/>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6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44,344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69,081</w:t>
            </w:r>
          </w:p>
        </w:tc>
        <w:tc>
          <w:tcPr>
            <w:tcW w:w="0" w:type="dxa"/>
            <w:vAlign w:val="bottom"/>
          </w:tcPr>
          <w:p>
            <w:pPr>
              <w:spacing w:after="0"/>
              <w:rPr>
                <w:sz w:val="1"/>
                <w:szCs w:val="1"/>
                <w:color w:val="auto"/>
              </w:rPr>
            </w:pP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(117,566)</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(133,465)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0" w:type="dxa"/>
            <w:vAlign w:val="bottom"/>
          </w:tcPr>
          <w:p>
            <w:pPr>
              <w:spacing w:after="0"/>
              <w:rPr>
                <w:sz w:val="1"/>
                <w:szCs w:val="1"/>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fluctuations on cash</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(9,690)</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cash flows for the three months ended March 31, 2022 decreased by $24.7 million compared to the same period in 2021. Net income after removing the impact of the gain on sale of business and non-cash adjustments increased for the three months ended March 31, 2022 by approximately $31.0 million as compared to the same period in 2021 primarily due to earnings from higher revenues, partially offset by higher expense related to support for key growth initiatives in research and development, selling and marketing areas. The changes in assets and liabilities, net of business acquisitions, decreased cash flows by $29.8 million as compared to the increase of $26.0 million for the same period in 2021. The change in 2022 is mainly attributable to increases in inventory to support increased sales and decrease in accounts payable, accrued expenses and other current liabilities due to increased payments processed in the quarter. The changes in 2021 were primarily due to reduction in accounts receivable due to strong cash collections and increases in accounts payable, accrued expenses and other current liabilities.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cash flows for the three months ended March 31, 2021 increased by $48.3 million compared to the same period in 2020. For the three months ended March 31, 2021, net income after removing the impact of the gain on sale of business and non-cash adjustments decreased by approximately $10.1 million. The changes in assets and liabilities increased cash flows by $26.0 million primarily due to operating cash flow contributions of accounts receivable for the three months ended March 31, 2021 when compared to the prior year. In addition, the increase was also driven by an increase in accounts payables, accrued expenses and other current liabilities for the three months ended March 31, 2021.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 Company paid $9.3 million for capital expenditures to support operations improvement initiatives at a number of our manufacturing facilities and other information technology investments as well as the final $4.7 million payment related to the final developmental milestone for Rebound Therapeutics Corporation.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2021, we paid a net cash amount of $302.6 million in relation to the acquisition of ACell Inc. and received net proceeds of $191.7 million for the sale of the Extremity Orthopedics business. The Company also paid for $6.7 million capital expenditures to support operations improvement initiatives at a number of our manufacturing facilities and other information technology investments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Uses of cash from financing activities in the three months ended March 31, 2022 related to the repurchase of treasury stock of $125.0 million under the 2022 accelerated share repurchase agreement, repayments of $11.8 million under our Senior Credit Facility and Securitization Facility. In addition, the Company had $9.2 million in cash taxes paid for net equity settlements.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Sources of cash from financing activities for the three months ended March 31, 2022 were $11.3 million borrowing under our Senior Credit Facility and Securitization Facility and $1.2 million proceeds from the exercise of stock options.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Uses of cash from financing activities in the three months ended March 31, 2021 were $2.2 million proceeds from the exercise of stock options which was partially offset by net repayments of $1.6 million on the Securitization Facility offset and $3.6 million cash taxes paid in net equity settlement.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Senior Credit Agreement, Convertible Senior Notes, Securitization and Related Hedging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See Note 6</w:t>
      </w:r>
      <w:r>
        <w:rPr>
          <w:rFonts w:ascii="Times New Roman" w:cs="Times New Roman" w:eastAsia="Times New Roman" w:hAnsi="Times New Roman"/>
          <w:sz w:val="18"/>
          <w:szCs w:val="18"/>
          <w:i w:val="1"/>
          <w:iCs w:val="1"/>
          <w:color w:val="auto"/>
        </w:rPr>
        <w:t>, Debt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color w:val="auto"/>
        </w:rPr>
        <w:t xml:space="preserve"> to the Notes to Consolidated Financial Statements (Part I, Item 1 of this Form 10-Q) for a discussion of our Amended and Restated Senior Credit Agreement, the 2025 Notes and Securitization Facility and Note 7,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color w:val="auto"/>
        </w:rPr>
        <w:t xml:space="preserve"> to the Notes to Consolidated Financial Statements (Part I, Item 1 of this Form 10-Q) for discussion of our hedging activities. We are forecasting that sales and earnings for the next twelve months will be sufficient to remain in compliance with our financial covenants under the terms of the February 2020 Amendment and July 2020 Amendment to the Senior Credit Facility.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Plan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12, 2022, the Company entered into a $125.0 million accelerated share repurchase ("2022 ASR") and received 1.48 million shares of the Company common stock at inception of the 2022 ASR, which represented approximately 80% of the expected total shares under the 2022 ASR. On March 24, 2022, the early exercise provision under the 2022 ASR was exercised by 2022 ASR counterparty. Upon settlement of the 2022 ASR on March 24, 2022, the Company received an additional 0.46 million shares determined using the volume-weighted average price of the Company's common stock during the term of the 2022 ASR.</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2022, the Board of Directors authorized the Company to repurchase up to $225.0 million of the Company’s common stock. The program allows the Company to repurchase its shares opportunistically from time to time. The repurchase authorization expires in December 2024. This stock repurchase authorization replaces the previous $225 million stock repurchase authorization, of which $100 million remained authorized at the time of its replacement, and which was otherwise set to expire on December 31, 2022. Purchases may be affected through one or more open market transactions, privately negotiated transactions, transactions structured through investment banking institutions, or a combination of the foregoing</w:t>
      </w:r>
    </w:p>
    <w:p>
      <w:pPr>
        <w:spacing w:after="0" w:line="73" w:lineRule="exact"/>
        <w:rPr>
          <w:sz w:val="20"/>
          <w:szCs w:val="20"/>
          <w:color w:val="auto"/>
        </w:rPr>
      </w:pPr>
    </w:p>
    <w:p>
      <w:pPr>
        <w:ind w:right="1740"/>
        <w:spacing w:after="0" w:line="376" w:lineRule="auto"/>
        <w:rPr>
          <w:sz w:val="20"/>
          <w:szCs w:val="20"/>
          <w:color w:val="auto"/>
        </w:rPr>
      </w:pPr>
      <w:r>
        <w:rPr>
          <w:rFonts w:ascii="Times New Roman" w:cs="Times New Roman" w:eastAsia="Times New Roman" w:hAnsi="Times New Roman"/>
          <w:sz w:val="18"/>
          <w:szCs w:val="18"/>
          <w:color w:val="auto"/>
        </w:rPr>
        <w:t xml:space="preserve">See Note 11, </w:t>
      </w:r>
      <w:r>
        <w:rPr>
          <w:rFonts w:ascii="Times New Roman" w:cs="Times New Roman" w:eastAsia="Times New Roman" w:hAnsi="Times New Roman"/>
          <w:sz w:val="18"/>
          <w:szCs w:val="18"/>
          <w:i w:val="1"/>
          <w:iCs w:val="1"/>
          <w:color w:val="auto"/>
        </w:rPr>
        <w:t>Treasury Stock</w:t>
      </w:r>
      <w:r>
        <w:rPr>
          <w:rFonts w:ascii="Times New Roman" w:cs="Times New Roman" w:eastAsia="Times New Roman" w:hAnsi="Times New Roman"/>
          <w:sz w:val="18"/>
          <w:szCs w:val="18"/>
          <w:color w:val="auto"/>
        </w:rPr>
        <w:t xml:space="preserve"> of the Notes to Consolidated Financial Statements (Part I, Item 1 of this Form 10-Q) for further details. </w:t>
      </w:r>
      <w:r>
        <w:rPr>
          <w:rFonts w:ascii="Times New Roman" w:cs="Times New Roman" w:eastAsia="Times New Roman" w:hAnsi="Times New Roman"/>
          <w:sz w:val="18"/>
          <w:szCs w:val="18"/>
          <w:b w:val="1"/>
          <w:bCs w:val="1"/>
          <w:color w:val="auto"/>
        </w:rPr>
        <w:t>Dividend Policy</w:t>
      </w:r>
    </w:p>
    <w:p>
      <w:pPr>
        <w:spacing w:after="0" w:line="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the Board and will depend upon our financial condition, results of operations, cash flows and other factors deemed relevant by the Board.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cash and available borrowings under the Senior Credit Facility are sufficient to finance our operations and capital expenditures for the foreseeable future.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financing arrangements during the three months ended March 31, 2022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continue to have cash requirements to support seasonal working capital needs and capital expenditures, to pay interest, to service debt, and to fund acquisitions. As part of our ongoing operations, we enter into contractual arrangements that obligate us to make future cash payments.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primary obligations include principal and interest payments on revolving portion and Term Loan component of the Senior Credit Facility, Securitization Facility and Convertible Securities. See Note 6</w:t>
      </w:r>
      <w:r>
        <w:rPr>
          <w:rFonts w:ascii="Times New Roman" w:cs="Times New Roman" w:eastAsia="Times New Roman" w:hAnsi="Times New Roman"/>
          <w:sz w:val="18"/>
          <w:szCs w:val="18"/>
          <w:i w:val="1"/>
          <w:iCs w:val="1"/>
          <w:color w:val="auto"/>
        </w:rPr>
        <w:t>, Debt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color w:val="auto"/>
        </w:rPr>
        <w:t xml:space="preserve"> to the Notes to Consolidated Financial Statements (Part I, Item 1 of this Form 10-Q) for details. The Company also leases some of our manufacturing facilities and office buildings which have future minimum lease payments associated. See Note 10, </w:t>
      </w:r>
      <w:r>
        <w:rPr>
          <w:rFonts w:ascii="Times New Roman" w:cs="Times New Roman" w:eastAsia="Times New Roman" w:hAnsi="Times New Roman"/>
          <w:sz w:val="18"/>
          <w:szCs w:val="18"/>
          <w:i w:val="1"/>
          <w:iCs w:val="1"/>
          <w:color w:val="auto"/>
        </w:rPr>
        <w:t>Leases and Related Party Leases</w:t>
      </w:r>
      <w:r>
        <w:rPr>
          <w:rFonts w:ascii="Times New Roman" w:cs="Times New Roman" w:eastAsia="Times New Roman" w:hAnsi="Times New Roman"/>
          <w:sz w:val="18"/>
          <w:szCs w:val="18"/>
          <w:color w:val="auto"/>
        </w:rPr>
        <w:t xml:space="preserve"> to the Notes to Consolidated Financial Statements (Part I, Item 1 of this Form 10-Q) for a schedule of our future minimum lease payments. Amounts related to the Company's other obligations, including employment agreements and purchase obligations were not material.</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contingent consideration obligation related to prior and current year acquisitions and future pension contribution obligations. See Note 9, </w:t>
      </w:r>
      <w:r>
        <w:rPr>
          <w:rFonts w:ascii="Times New Roman" w:cs="Times New Roman" w:eastAsia="Times New Roman" w:hAnsi="Times New Roman"/>
          <w:sz w:val="18"/>
          <w:szCs w:val="18"/>
          <w:i w:val="1"/>
          <w:iCs w:val="1"/>
          <w:color w:val="auto"/>
        </w:rPr>
        <w:t xml:space="preserve">Defined Benefit Plans </w:t>
      </w:r>
      <w:r>
        <w:rPr>
          <w:rFonts w:ascii="Times New Roman" w:cs="Times New Roman" w:eastAsia="Times New Roman" w:hAnsi="Times New Roman"/>
          <w:sz w:val="18"/>
          <w:szCs w:val="18"/>
          <w:color w:val="auto"/>
        </w:rPr>
        <w:t>and Note 16,</w:t>
      </w:r>
      <w:r>
        <w:rPr>
          <w:rFonts w:ascii="Times New Roman" w:cs="Times New Roman" w:eastAsia="Times New Roman" w:hAnsi="Times New Roman"/>
          <w:sz w:val="18"/>
          <w:szCs w:val="18"/>
          <w:i w:val="1"/>
          <w:iCs w:val="1"/>
          <w:color w:val="auto"/>
        </w:rPr>
        <w:t xml:space="preserve"> Commitments and Contingencies </w:t>
      </w:r>
      <w:r>
        <w:rPr>
          <w:rFonts w:ascii="Times New Roman" w:cs="Times New Roman" w:eastAsia="Times New Roman" w:hAnsi="Times New Roman"/>
          <w:sz w:val="18"/>
          <w:szCs w:val="18"/>
          <w:color w:val="auto"/>
        </w:rPr>
        <w:t>to the Notes to Consolidated Financial Statements (Part I, Item 1 of this Form 10-Q)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details. The associated obligations are not fixed. The Company also has a liability for uncertain tax benefits including interest and penalties. See Note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the Notes to Consolidated Financial Statements (Part I, Item 1 of this Form 10-Q) for details. The Company cannot make a reliable estimate of the period in which the uncertain tax benefits may be realized.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Termination Benefits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incurred restructuring costs related to employee terminations associated with a future plant closure in the consolidated statement of operations for the three months ended March 31, 2022, Restructuring costs were included in accrued expenses and other current liabilities in the consolidated balance sheet for the three months ended March 31, 2022 and year ended December 31, 2021. See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xml:space="preserve"> of the Notes to Consolidated Financial Statements (Part I, Item 1 of this Form 10-Q) for additional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critical accounting estimates included in the Company's Annual Report on Form 10-K for the fiscal year ended December 31, 2021 have not materially changed.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new accounting pronouncements is included in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xml:space="preserve"> to the current period’s condensed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and Other Rate Risks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7,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of the Notes to Consolidated Financial Statements (Part I, Item 1 of this Form 10-Q) for further information.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discussed herein have not been materially affected by inflation.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are exposed to the risk of interest rate fluctuations on the interest income earned on our cash and cash equivalents.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hypothetical 100 basis points movement in interest rates applicable to our cash and cash equivalents outstanding at March 31, 2022 would increase interest income by approximately $4.1 million on an annual basis. No significant decrease in interest income would be expected based on our current earnings on our cash balances. We are subject to foreign currency exchange risk with respect to cash balances maintained in foreign currencies.</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interest rate risk relates primarily to U.S. dollar LIBOR-indexed borrowings. We use interest rate swap derivative instruments to manage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earnings and cash flow exposure to changes in interest rates. These interest rate swaps fix the interest rate on a portion of our expected LIBOR-indexed floating-rate borrowings. These interest rate swaps were designated as cash flow hedges as of March 31, 2022. The total notional amounts related to the Company’s interest rate swaps were $1.8 billion with $875.0 million effective as of March 31, 2022. Based on our outstanding borrowings at March 31, 2022, a 100 basis points change in interest rates would have impacted interest expense on the unhedged portion of the debt by $1.1 million on an annualized basis. See Note 7,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the details of interest rate swaps.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provide reasonable assurance that information required to be disclosed in our Exchange Act report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Exchange Act Rule 13a-15(b), the Company has carried out an evaluation, under the supervision and with the participation of our management, including our principal executive officer and principal financial officer, of the effectiveness of the design and operation of our disclosure controls and procedures as of March 31, 2022. Based upon this evaluation, our principal executive officer and principal financial officer concluded that our disclosure controls and procedures were effective as of March 31, 2022 to provide such reasonable assurance.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4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that occurred during the quarter ended March 31, 2022 that have materially affected, or are reasonably likely to materially affect, our internal control over financial reporting.</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response to business integration activities, the Company has and will continue to further align and streamline the design and operation of the financial control environment to be responsive to the changing business model.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pertaining to legal proceedings can be found in Note 16, </w:t>
      </w:r>
      <w:r>
        <w:rPr>
          <w:rFonts w:ascii="Times New Roman" w:cs="Times New Roman" w:eastAsia="Times New Roman" w:hAnsi="Times New Roman"/>
          <w:sz w:val="18"/>
          <w:szCs w:val="18"/>
          <w:i w:val="1"/>
          <w:iCs w:val="1"/>
          <w:color w:val="auto"/>
        </w:rPr>
        <w:t>Commitment and Contingencies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212529"/>
        </w:rPr>
        <w:t xml:space="preserve">There have been no material changes in the Company's risk factors included in our Annual Report on Form 10-K for the fiscal year ended </w:t>
      </w:r>
      <w:r>
        <w:rPr>
          <w:rFonts w:ascii="Times New Roman" w:cs="Times New Roman" w:eastAsia="Times New Roman" w:hAnsi="Times New Roman"/>
          <w:sz w:val="18"/>
          <w:szCs w:val="18"/>
          <w:color w:val="000000"/>
        </w:rPr>
        <w:t>December 31,</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2021 </w:t>
      </w:r>
      <w:r>
        <w:rPr>
          <w:rFonts w:ascii="Times New Roman" w:cs="Times New Roman" w:eastAsia="Times New Roman" w:hAnsi="Times New Roman"/>
          <w:sz w:val="18"/>
          <w:szCs w:val="18"/>
          <w:color w:val="212529"/>
        </w:rPr>
        <w:t>and subsequent periodic reports filed with the Securities and Exchange Commission pursuant to the Securities Exchange Act of 1934, as amended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(the "Exchange Act").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about purchases by the Company during the quarter ended March 31, 2022 of equity securities that are registered by the Company pursuant to Section 12 of the Exchange Act. Subject to applicable law, share repurchases may be made from time to time in open market transactions, privately negotiated transactions including accelerated share repurchase agreements, or pursuant to instruments and plans complying with Rule 10b5-1 under the Exchange Act, among other types of transactions and arrangements.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0" w:type="dxa"/>
            <w:vAlign w:val="bottom"/>
          </w:tcPr>
          <w:p>
            <w:pPr>
              <w:spacing w:after="0"/>
              <w:rPr>
                <w:sz w:val="13"/>
                <w:szCs w:val="13"/>
                <w:color w:val="auto"/>
              </w:rPr>
            </w:pPr>
          </w:p>
        </w:tc>
        <w:tc>
          <w:tcPr>
            <w:tcW w:w="13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332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Total number of shares purchased by month as part</w:t>
            </w:r>
          </w:p>
        </w:tc>
        <w:tc>
          <w:tcPr>
            <w:tcW w:w="80" w:type="dxa"/>
            <w:vAlign w:val="bottom"/>
          </w:tcPr>
          <w:p>
            <w:pPr>
              <w:spacing w:after="0"/>
              <w:rPr>
                <w:sz w:val="13"/>
                <w:szCs w:val="13"/>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 shares that</w:t>
            </w:r>
          </w:p>
        </w:tc>
        <w:tc>
          <w:tcPr>
            <w:tcW w:w="0" w:type="dxa"/>
            <w:vAlign w:val="bottom"/>
          </w:tcPr>
          <w:p>
            <w:pPr>
              <w:spacing w:after="0"/>
              <w:rPr>
                <w:sz w:val="1"/>
                <w:szCs w:val="1"/>
                <w:color w:val="auto"/>
              </w:rPr>
            </w:pPr>
          </w:p>
        </w:tc>
      </w:tr>
      <w:tr>
        <w:trPr>
          <w:trHeight w:val="81"/>
        </w:trPr>
        <w:tc>
          <w:tcPr>
            <w:tcW w:w="1760" w:type="dxa"/>
            <w:vAlign w:val="bottom"/>
            <w:gridSpan w:val="2"/>
            <w:vMerge w:val="restart"/>
          </w:tcPr>
          <w:p>
            <w:pPr>
              <w:ind w:left="640"/>
              <w:spacing w:after="0" w:line="146" w:lineRule="exact"/>
              <w:rPr>
                <w:sz w:val="20"/>
                <w:szCs w:val="20"/>
                <w:color w:val="auto"/>
              </w:rPr>
            </w:pPr>
            <w:r>
              <w:rPr>
                <w:rFonts w:ascii="Times New Roman" w:cs="Times New Roman" w:eastAsia="Times New Roman" w:hAnsi="Times New Roman"/>
                <w:sz w:val="14"/>
                <w:szCs w:val="14"/>
                <w:b w:val="1"/>
                <w:bCs w:val="1"/>
                <w:color w:val="auto"/>
              </w:rPr>
              <w:t>Period</w:t>
            </w:r>
          </w:p>
        </w:tc>
        <w:tc>
          <w:tcPr>
            <w:tcW w:w="18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33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76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may yet be purchased under the plans or</w:t>
            </w:r>
          </w:p>
        </w:tc>
        <w:tc>
          <w:tcPr>
            <w:tcW w:w="0" w:type="dxa"/>
            <w:vAlign w:val="bottom"/>
          </w:tcPr>
          <w:p>
            <w:pPr>
              <w:spacing w:after="0"/>
              <w:rPr>
                <w:sz w:val="1"/>
                <w:szCs w:val="1"/>
                <w:color w:val="auto"/>
              </w:rPr>
            </w:pPr>
          </w:p>
        </w:tc>
      </w:tr>
      <w:tr>
        <w:trPr>
          <w:trHeight w:val="65"/>
        </w:trPr>
        <w:tc>
          <w:tcPr>
            <w:tcW w:w="1760" w:type="dxa"/>
            <w:vAlign w:val="bottom"/>
            <w:gridSpan w:val="2"/>
            <w:vMerge w:val="continue"/>
          </w:tcPr>
          <w:p>
            <w:pPr>
              <w:spacing w:after="0"/>
              <w:rPr>
                <w:sz w:val="5"/>
                <w:szCs w:val="5"/>
                <w:color w:val="auto"/>
              </w:rPr>
            </w:pPr>
          </w:p>
        </w:tc>
        <w:tc>
          <w:tcPr>
            <w:tcW w:w="186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purchased by month</w:t>
            </w: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32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of publicly announced repurchase programs</w:t>
            </w:r>
          </w:p>
        </w:tc>
        <w:tc>
          <w:tcPr>
            <w:tcW w:w="8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65"/>
        </w:trPr>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66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01/01/22 - 01/31/22</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1,477,760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64.50</w:t>
            </w:r>
          </w:p>
        </w:tc>
        <w:tc>
          <w:tcPr>
            <w:tcW w:w="100" w:type="dxa"/>
            <w:vAlign w:val="bottom"/>
            <w:shd w:val="clear" w:color="auto" w:fill="CCEEFF"/>
          </w:tcPr>
          <w:p>
            <w:pPr>
              <w:spacing w:after="0"/>
              <w:rPr>
                <w:sz w:val="18"/>
                <w:szCs w:val="18"/>
                <w:color w:val="auto"/>
              </w:rPr>
            </w:pPr>
          </w:p>
        </w:tc>
        <w:tc>
          <w:tcPr>
            <w:tcW w:w="3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1,477,760</w:t>
            </w: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0" w:type="dxa"/>
            <w:vAlign w:val="bottom"/>
          </w:tcPr>
          <w:p>
            <w:pPr>
              <w:spacing w:after="0"/>
              <w:rPr>
                <w:sz w:val="1"/>
                <w:szCs w:val="1"/>
                <w:color w:val="auto"/>
              </w:rPr>
            </w:pPr>
          </w:p>
        </w:tc>
      </w:tr>
      <w:tr>
        <w:trPr>
          <w:trHeight w:val="213"/>
        </w:trPr>
        <w:tc>
          <w:tcPr>
            <w:tcW w:w="166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02/01/22 - 02/28/22</w:t>
            </w:r>
          </w:p>
        </w:tc>
        <w:tc>
          <w:tcPr>
            <w:tcW w:w="100" w:type="dxa"/>
            <w:vAlign w:val="bottom"/>
          </w:tcPr>
          <w:p>
            <w:pPr>
              <w:spacing w:after="0"/>
              <w:rPr>
                <w:sz w:val="18"/>
                <w:szCs w:val="18"/>
                <w:color w:val="auto"/>
              </w:rPr>
            </w:pPr>
          </w:p>
        </w:tc>
        <w:tc>
          <w:tcPr>
            <w:tcW w:w="1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03/01/22 - 03/31/22</w:t>
            </w:r>
          </w:p>
        </w:tc>
        <w:tc>
          <w:tcPr>
            <w:tcW w:w="100" w:type="dxa"/>
            <w:vAlign w:val="bottom"/>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460,250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64.50</w:t>
            </w:r>
          </w:p>
        </w:tc>
        <w:tc>
          <w:tcPr>
            <w:tcW w:w="100" w:type="dxa"/>
            <w:vAlign w:val="bottom"/>
            <w:shd w:val="clear" w:color="auto" w:fill="CCEEFF"/>
          </w:tcPr>
          <w:p>
            <w:pPr>
              <w:spacing w:after="0"/>
              <w:rPr>
                <w:sz w:val="18"/>
                <w:szCs w:val="18"/>
                <w:color w:val="auto"/>
              </w:rPr>
            </w:pPr>
          </w:p>
        </w:tc>
        <w:tc>
          <w:tcPr>
            <w:tcW w:w="3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460,250</w:t>
            </w:r>
          </w:p>
        </w:tc>
        <w:tc>
          <w:tcPr>
            <w:tcW w:w="80" w:type="dxa"/>
            <w:vAlign w:val="bottom"/>
            <w:shd w:val="clear" w:color="auto" w:fill="CCEEFF"/>
          </w:tcPr>
          <w:p>
            <w:pPr>
              <w:spacing w:after="0"/>
              <w:rPr>
                <w:sz w:val="18"/>
                <w:szCs w:val="18"/>
                <w:color w:val="auto"/>
              </w:rPr>
            </w:pPr>
          </w:p>
        </w:tc>
        <w:tc>
          <w:tcPr>
            <w:tcW w:w="2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0" w:type="dxa"/>
            <w:vAlign w:val="bottom"/>
          </w:tcPr>
          <w:p>
            <w:pPr>
              <w:spacing w:after="0"/>
              <w:rPr>
                <w:sz w:val="1"/>
                <w:szCs w:val="1"/>
                <w:color w:val="auto"/>
              </w:rPr>
            </w:pPr>
          </w:p>
        </w:tc>
      </w:tr>
      <w:tr>
        <w:trPr>
          <w:trHeight w:val="212"/>
        </w:trPr>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1,938,010</w:t>
            </w:r>
          </w:p>
        </w:tc>
        <w:tc>
          <w:tcPr>
            <w:tcW w:w="32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64.50</w:t>
            </w:r>
          </w:p>
        </w:tc>
        <w:tc>
          <w:tcPr>
            <w:tcW w:w="100" w:type="dxa"/>
            <w:vAlign w:val="bottom"/>
          </w:tcPr>
          <w:p>
            <w:pPr>
              <w:spacing w:after="0"/>
              <w:rPr>
                <w:sz w:val="18"/>
                <w:szCs w:val="18"/>
                <w:color w:val="auto"/>
              </w:rPr>
            </w:pPr>
          </w:p>
        </w:tc>
        <w:tc>
          <w:tcPr>
            <w:tcW w:w="3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1,938,010</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7, 2020, the Board of Directors authorized the Company to repurchase up to $225.0 million of the Company’s common stock (the “repurchase program”). As part of the repurchase program, we entered into an accelerated share repurchase agreement with a bank in January 2022 to repurchase an aggregate of $125 million of our common stock (the “2022 ASR”). In January 2022, we received 1.48 million shares of Company common stock at inception of the 2022 ASR, which represented approximately 80% of the expected total shares under the 2022 ASR. In March 2022, the 2022 ASR transaction was completed, and an additional 0.46 million shares were delivered pursuant to the accelerated share repurchase agreement. The 1.9 million shares delivered in connection with the 2022 ASR were the only shares of Integra common stock we repurchased during the first quarter of 2022.</w:t>
      </w:r>
    </w:p>
    <w:p>
      <w:pPr>
        <w:spacing w:after="0" w:line="77"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color w:val="auto"/>
        </w:rPr>
        <w:t xml:space="preserve">See Note 11, </w:t>
      </w:r>
      <w:r>
        <w:rPr>
          <w:rFonts w:ascii="Times New Roman" w:cs="Times New Roman" w:eastAsia="Times New Roman" w:hAnsi="Times New Roman"/>
          <w:sz w:val="18"/>
          <w:szCs w:val="18"/>
          <w:i w:val="1"/>
          <w:iCs w:val="1"/>
          <w:color w:val="auto"/>
        </w:rPr>
        <w:t>Treasury Stock</w:t>
      </w:r>
      <w:r>
        <w:rPr>
          <w:rFonts w:ascii="Times New Roman" w:cs="Times New Roman" w:eastAsia="Times New Roman" w:hAnsi="Times New Roman"/>
          <w:sz w:val="18"/>
          <w:szCs w:val="18"/>
          <w:color w:val="auto"/>
        </w:rPr>
        <w:t xml:space="preserve"> of the Notes to Consolidated Financial Statements (Part I, Item 1 of this Form 10-Q) for additional information regarding our share repurchase program and the 2022 ASR.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11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Exhibits</w:t>
            </w:r>
          </w:p>
        </w:tc>
        <w:tc>
          <w:tcPr>
            <w:tcW w:w="7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317"/>
        </w:trPr>
        <w:tc>
          <w:tcPr>
            <w:tcW w:w="60" w:type="dxa"/>
            <w:vAlign w:val="bottom"/>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480" w:type="dxa"/>
            <w:vAlign w:val="bottom"/>
          </w:tcPr>
          <w:p>
            <w:pPr>
              <w:spacing w:after="0"/>
              <w:rPr>
                <w:sz w:val="24"/>
                <w:szCs w:val="24"/>
                <w:color w:val="auto"/>
              </w:rPr>
            </w:pPr>
          </w:p>
        </w:tc>
        <w:tc>
          <w:tcPr>
            <w:tcW w:w="74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Section 302 of the Sarbanes-Oxley Act of 2002</w:t>
            </w:r>
          </w:p>
        </w:tc>
        <w:tc>
          <w:tcPr>
            <w:tcW w:w="2120" w:type="dxa"/>
            <w:vAlign w:val="bottom"/>
          </w:tcPr>
          <w:p>
            <w:pPr>
              <w:spacing w:after="0"/>
              <w:rPr>
                <w:sz w:val="24"/>
                <w:szCs w:val="24"/>
                <w:color w:val="auto"/>
              </w:rPr>
            </w:pPr>
          </w:p>
        </w:tc>
      </w:tr>
      <w:tr>
        <w:trPr>
          <w:trHeight w:val="318"/>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48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 Sarbanes-Oxley Act of 2002</w:t>
            </w:r>
          </w:p>
        </w:tc>
      </w:tr>
      <w:tr>
        <w:trPr>
          <w:trHeight w:val="20"/>
        </w:trPr>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38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318"/>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480" w:type="dxa"/>
            <w:vAlign w:val="bottom"/>
          </w:tcPr>
          <w:p>
            <w:pPr>
              <w:spacing w:after="0"/>
              <w:rPr>
                <w:sz w:val="24"/>
                <w:szCs w:val="24"/>
                <w:color w:val="auto"/>
              </w:rPr>
            </w:pPr>
          </w:p>
        </w:tc>
        <w:tc>
          <w:tcPr>
            <w:tcW w:w="74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Section 906 of the Sarbanes-Oxley Act of 2002</w:t>
            </w:r>
          </w:p>
        </w:tc>
        <w:tc>
          <w:tcPr>
            <w:tcW w:w="2120" w:type="dxa"/>
            <w:vAlign w:val="bottom"/>
          </w:tcPr>
          <w:p>
            <w:pPr>
              <w:spacing w:after="0"/>
              <w:rPr>
                <w:sz w:val="24"/>
                <w:szCs w:val="24"/>
                <w:color w:val="auto"/>
              </w:rPr>
            </w:pPr>
          </w:p>
        </w:tc>
      </w:tr>
      <w:tr>
        <w:trPr>
          <w:trHeight w:val="318"/>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48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906 of the Sarbanes-Oxley Act of 2002</w:t>
            </w:r>
          </w:p>
        </w:tc>
      </w:tr>
      <w:tr>
        <w:trPr>
          <w:trHeight w:val="20"/>
        </w:trPr>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38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*†101.INS</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w:t>
            </w:r>
          </w:p>
        </w:tc>
      </w:tr>
      <w:tr>
        <w:trPr>
          <w:trHeight w:val="234"/>
        </w:trPr>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46"/>
        </w:trPr>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9"/>
              </w:rPr>
              <w:t>*†101.SCH</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38"/>
        </w:trPr>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8"/>
              </w:rPr>
              <w:t>*†101.CAL</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38"/>
        </w:trPr>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*†101.DEF</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338"/>
        </w:trPr>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8"/>
              </w:rPr>
              <w:t>*†101.LAB</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338"/>
        </w:trPr>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*†101.PRE</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03" w:lineRule="exact"/>
        <w:rPr>
          <w:sz w:val="20"/>
          <w:szCs w:val="20"/>
          <w:color w:val="auto"/>
        </w:rPr>
      </w:pPr>
    </w:p>
    <w:p>
      <w:pPr>
        <w:ind w:left="1580" w:hanging="557"/>
        <w:spacing w:after="0"/>
        <w:tabs>
          <w:tab w:leader="none" w:pos="15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60"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ind w:left="700" w:hanging="634"/>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3" w:lineRule="exact"/>
        <w:rPr>
          <w:sz w:val="20"/>
          <w:szCs w:val="20"/>
          <w:color w:val="auto"/>
        </w:rPr>
      </w:pPr>
    </w:p>
    <w:p>
      <w:pPr>
        <w:ind w:left="700" w:hanging="634"/>
        <w:spacing w:after="0" w:line="219"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of Integra LifeSciences Holdings Corporation Quarterly Report on Form 10-Q for the quarter ended March 31, 2022 filed on April 27, 2022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tc>
      </w:tr>
      <w:tr>
        <w:trPr>
          <w:trHeight w:val="4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April 27, 2022</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De Witte</w:t>
            </w:r>
          </w:p>
        </w:tc>
      </w:tr>
      <w:tr>
        <w:trPr>
          <w:trHeight w:val="218"/>
        </w:trPr>
        <w:tc>
          <w:tcPr>
            <w:tcW w:w="5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Jan De Witte</w:t>
            </w:r>
          </w:p>
        </w:tc>
      </w:tr>
      <w:tr>
        <w:trPr>
          <w:trHeight w:val="229"/>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April 27, 2022</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Carrie L. Anderson</w:t>
            </w:r>
          </w:p>
        </w:tc>
      </w:tr>
      <w:tr>
        <w:trPr>
          <w:trHeight w:val="218"/>
        </w:trPr>
        <w:tc>
          <w:tcPr>
            <w:tcW w:w="5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Carrie L. Anderson</w:t>
            </w:r>
          </w:p>
        </w:tc>
      </w:tr>
      <w:tr>
        <w:trPr>
          <w:trHeight w:val="230"/>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April 27, 2022</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A. Mosebrook</w:t>
            </w:r>
          </w:p>
        </w:tc>
      </w:tr>
      <w:tr>
        <w:trPr>
          <w:trHeight w:val="218"/>
        </w:trPr>
        <w:tc>
          <w:tcPr>
            <w:tcW w:w="5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Jeffrey A. Mosebrook</w:t>
            </w:r>
          </w:p>
        </w:tc>
      </w:tr>
      <w:tr>
        <w:trPr>
          <w:trHeight w:val="230"/>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w:t>
            </w:r>
          </w:p>
        </w:tc>
      </w:tr>
      <w:tr>
        <w:trPr>
          <w:trHeight w:val="234"/>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 De Witte, certify that:</w:t>
      </w:r>
    </w:p>
    <w:p>
      <w:pPr>
        <w:spacing w:after="0" w:line="11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Integra LifeSciences Holdings Corporation;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7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April 27, 2022</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 De Witte</w:t>
            </w:r>
          </w:p>
        </w:tc>
      </w:tr>
      <w:tr>
        <w:trPr>
          <w:trHeight w:val="216"/>
        </w:trPr>
        <w:tc>
          <w:tcPr>
            <w:tcW w:w="6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 De Witte</w:t>
            </w:r>
          </w:p>
        </w:tc>
      </w:tr>
      <w:tr>
        <w:trPr>
          <w:trHeight w:val="236"/>
        </w:trPr>
        <w:tc>
          <w:tcPr>
            <w:tcW w:w="6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Carrie L. Anderson, certify that:</w:t>
      </w:r>
    </w:p>
    <w:p>
      <w:pPr>
        <w:spacing w:after="0" w:line="11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Integra LifeSciences Holdings Corporation;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7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April 27, 2022</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Carrie L. Anderson</w:t>
            </w:r>
          </w:p>
        </w:tc>
      </w:tr>
      <w:tr>
        <w:trPr>
          <w:trHeight w:val="216"/>
        </w:trPr>
        <w:tc>
          <w:tcPr>
            <w:tcW w:w="6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Carrie L. Anderson</w:t>
            </w:r>
          </w:p>
        </w:tc>
      </w:tr>
      <w:tr>
        <w:trPr>
          <w:trHeight w:val="236"/>
        </w:trPr>
        <w:tc>
          <w:tcPr>
            <w:tcW w:w="6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bl>
    <w:p>
      <w:pPr>
        <w:sectPr>
          <w:pgSz w:w="11900" w:h="16838" w:orient="portrait"/>
          <w:cols w:equalWidth="0" w:num="1">
            <w:col w:w="11240"/>
          </w:cols>
          <w:pgMar w:left="320" w:top="887" w:right="339" w:bottom="1440" w:gutter="0" w:footer="0" w:header="0"/>
        </w:sectPr>
      </w:pPr>
    </w:p>
    <w:bookmarkStart w:id="47" w:name="page48"/>
    <w:bookmarkEnd w:id="47"/>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Jan De Witte, President and Chief Executive Officer of Integra LifeSciences Holdings Corporation (the “Company”), hereby certify that, to my knowledge:</w:t>
      </w:r>
    </w:p>
    <w:p>
      <w:pPr>
        <w:spacing w:after="0" w:line="54"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2022 (the “Report”) fully complies with the requirement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April 27, 2022</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 De Witte</w:t>
            </w:r>
          </w:p>
        </w:tc>
      </w:tr>
      <w:tr>
        <w:trPr>
          <w:trHeight w:val="216"/>
        </w:trPr>
        <w:tc>
          <w:tcPr>
            <w:tcW w:w="5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 De Witte</w:t>
            </w:r>
          </w:p>
        </w:tc>
      </w:tr>
      <w:tr>
        <w:trPr>
          <w:trHeight w:val="236"/>
        </w:trPr>
        <w:tc>
          <w:tcPr>
            <w:tcW w:w="5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48" w:name="page49"/>
    <w:bookmarkEnd w:id="48"/>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Carrie L. Anderson, Executive Vice President and Chief Financial Officer of Integra LifeSciences Holdings Corporation (the “Company”), hereby certify that, to my knowledge:</w:t>
      </w:r>
    </w:p>
    <w:p>
      <w:pPr>
        <w:spacing w:after="0" w:line="54"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2022 (the “Report”) fully complies with the requirement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April 27, 2022</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Carrie L. Anderson</w:t>
            </w:r>
          </w:p>
        </w:tc>
      </w:tr>
      <w:tr>
        <w:trPr>
          <w:trHeight w:val="216"/>
        </w:trPr>
        <w:tc>
          <w:tcPr>
            <w:tcW w:w="5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Carrie L. Anderson</w:t>
            </w:r>
          </w:p>
        </w:tc>
      </w:tr>
      <w:tr>
        <w:trPr>
          <w:trHeight w:val="236"/>
        </w:trPr>
        <w:tc>
          <w:tcPr>
            <w:tcW w:w="5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lowerRoman"/>
      <w:start w:val="1"/>
    </w:lvl>
    <w:lvl w:ilvl="1">
      <w:lvlJc w:val="left"/>
      <w:lvlText w:val="%2."/>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lvl w:ilvl="1">
      <w:lvlJc w:val="left"/>
      <w:lvlText w:val="%2"/>
      <w:numFmt w:val="decimal"/>
      <w:start w:val="104"/>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2022-04-27T16:39:28Z</dcterms:created>
  <dcterms:modified xsi:type="dcterms:W3CDTF">2022-04-27T16:39:28Z</dcterms:modified>
</cp:coreProperties>
</file>