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80" w:after="283"/>
        <w:jc w:val="center"/>
        <w:rPr>
          <w:color w:val="000000"/>
        </w:rPr>
      </w:pPr>
      <w:r>
        <w:rPr>
          <w:color w:val="000000"/>
        </w:rPr>
        <w:t> </w:t>
      </w:r>
    </w:p>
    <w:p>
      <w:pPr>
        <w:pStyle w:val="TextBody"/>
        <w:bidi w:val="0"/>
        <w:spacing w:lineRule="auto" w:line="288" w:before="10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18"/>
        </w:rPr>
        <w:t>For the transition period from              to  </w:t>
      </w: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000-26224 </w:t>
      </w:r>
    </w:p>
    <w:p>
      <w:pPr>
        <w:pStyle w:val="TextBody"/>
        <w:bidi w:val="0"/>
        <w:spacing w:lineRule="auto" w:line="288" w:before="0" w:after="0"/>
        <w:jc w:val="center"/>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INTEGRA LIFESCIENCES HOLDINGS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color w:val="000000"/>
        </w:rPr>
      </w:pPr>
      <w:r>
        <w:rPr>
          <w:color w:val="000000"/>
        </w:rPr>
        <w:t> </w:t>
      </w:r>
    </w:p>
    <w:tbl>
      <w:tblPr>
        <w:tblW w:w="6292" w:type="dxa"/>
        <w:jc w:val="left"/>
        <w:tblInd w:w="0" w:type="dxa"/>
        <w:tblLayout w:type="fixed"/>
        <w:tblCellMar>
          <w:top w:w="28" w:type="dxa"/>
          <w:left w:w="28" w:type="dxa"/>
          <w:bottom w:w="28" w:type="dxa"/>
          <w:right w:w="28" w:type="dxa"/>
        </w:tblCellMar>
      </w:tblPr>
      <w:tblGrid>
        <w:gridCol w:w="500"/>
        <w:gridCol w:w="438"/>
        <w:gridCol w:w="438"/>
        <w:gridCol w:w="438"/>
        <w:gridCol w:w="438"/>
        <w:gridCol w:w="438"/>
        <w:gridCol w:w="438"/>
        <w:gridCol w:w="438"/>
        <w:gridCol w:w="449"/>
        <w:gridCol w:w="109"/>
        <w:gridCol w:w="109"/>
        <w:gridCol w:w="109"/>
        <w:gridCol w:w="569"/>
        <w:gridCol w:w="569"/>
        <w:gridCol w:w="812"/>
      </w:tblGrid>
      <w:tr>
        <w:trPr/>
        <w:tc>
          <w:tcPr>
            <w:tcW w:w="5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51-0317849</w:t>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40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1100 Campus Road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08540</w:t>
            </w:r>
          </w:p>
        </w:tc>
      </w:tr>
      <w:tr>
        <w:trPr/>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Princeton</w:t>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(609) 275-0500 </w:t>
      </w:r>
    </w:p>
    <w:p>
      <w:pPr>
        <w:pStyle w:val="TextBody"/>
        <w:bidi w:val="0"/>
        <w:spacing w:lineRule="auto" w:line="288" w:before="120" w:after="120"/>
        <w:jc w:val="center"/>
        <w:rPr>
          <w:rFonts w:ascii="Times New Roman;serif" w:hAnsi="Times New Roman;serif"/>
          <w:b/>
          <w:color w:val="000000"/>
          <w:sz w:val="18"/>
        </w:rPr>
      </w:pPr>
      <w:r>
        <w:rPr>
          <w:rFonts w:ascii="Times New Roman;serif" w:hAnsi="Times New Roman;serif"/>
          <w:b/>
          <w:color w:val="000000"/>
          <w:sz w:val="18"/>
        </w:rPr>
        <w:t xml:space="preserve">Former Name, Former Address and Former Fiscal Year, if Changed Since Last Report: </w:t>
      </w:r>
    </w:p>
    <w:p>
      <w:pPr>
        <w:pStyle w:val="TextBody"/>
        <w:bidi w:val="0"/>
        <w:spacing w:lineRule="auto" w:line="288" w:before="120" w:after="12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927" w:type="dxa"/>
        <w:jc w:val="center"/>
        <w:tblInd w:w="0" w:type="dxa"/>
        <w:tblLayout w:type="fixed"/>
        <w:tblCellMar>
          <w:top w:w="28" w:type="dxa"/>
          <w:left w:w="28" w:type="dxa"/>
          <w:bottom w:w="28" w:type="dxa"/>
          <w:right w:w="28" w:type="dxa"/>
        </w:tblCellMar>
      </w:tblPr>
      <w:tblGrid>
        <w:gridCol w:w="1161"/>
        <w:gridCol w:w="1020"/>
        <w:gridCol w:w="1028"/>
        <w:gridCol w:w="599"/>
        <w:gridCol w:w="599"/>
        <w:gridCol w:w="601"/>
        <w:gridCol w:w="1438"/>
        <w:gridCol w:w="1438"/>
        <w:gridCol w:w="2043"/>
      </w:tblGrid>
      <w:tr>
        <w:trPr/>
        <w:tc>
          <w:tcPr>
            <w:tcW w:w="11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IART</w:t>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512" w:type="dxa"/>
        <w:jc w:val="left"/>
        <w:tblInd w:w="0" w:type="dxa"/>
        <w:tblLayout w:type="fixed"/>
        <w:tblCellMar>
          <w:top w:w="28" w:type="dxa"/>
          <w:left w:w="28" w:type="dxa"/>
          <w:bottom w:w="28" w:type="dxa"/>
          <w:right w:w="28" w:type="dxa"/>
        </w:tblCellMar>
      </w:tblPr>
      <w:tblGrid>
        <w:gridCol w:w="603"/>
        <w:gridCol w:w="530"/>
        <w:gridCol w:w="532"/>
        <w:gridCol w:w="145"/>
        <w:gridCol w:w="145"/>
        <w:gridCol w:w="146"/>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12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120"/>
        <w:jc w:val="both"/>
        <w:rPr/>
      </w:pPr>
      <w:r>
        <w:rPr>
          <w:rFonts w:ascii="Times New Roman;serif" w:hAnsi="Times New Roman;serif"/>
          <w:b w:val="false"/>
          <w:color w:val="000000"/>
          <w:sz w:val="18"/>
        </w:rPr>
        <w:t xml:space="preserve">The number of shares of the registrant’s Common Stock, $0.01 par value, outstanding as of </w:t>
      </w:r>
      <w:r>
        <w:rPr>
          <w:rFonts w:ascii="Times New Roman;serif" w:hAnsi="Times New Roman;serif"/>
          <w:b w:val="false"/>
          <w:color w:val="000000"/>
          <w:sz w:val="20"/>
        </w:rPr>
        <w:t>July 28, 2026</w:t>
      </w:r>
      <w:r>
        <w:rPr>
          <w:color w:val="000000"/>
        </w:rPr>
        <w:t xml:space="preserve"> </w:t>
      </w:r>
      <w:r>
        <w:rPr>
          <w:rFonts w:ascii="Times New Roman;serif" w:hAnsi="Times New Roman;serif"/>
          <w:b w:val="false"/>
          <w:color w:val="000000"/>
          <w:sz w:val="18"/>
        </w:rPr>
        <w:t>was 77,772,506.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10"/>
        <w:gridCol w:w="2995"/>
        <w:gridCol w:w="3002"/>
        <w:gridCol w:w="233"/>
        <w:gridCol w:w="233"/>
        <w:gridCol w:w="332"/>
      </w:tblGrid>
      <w:tr>
        <w:trPr/>
        <w:tc>
          <w:tcPr>
            <w:tcW w:w="3410"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br/>
              <w:t>Number</w:t>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7211b481614d1688f56e0e5a880cc6_10">
              <w:r>
                <w:rPr>
                  <w:rStyle w:val="InternetLink"/>
                  <w:rFonts w:ascii="Times New Roman;serif" w:hAnsi="Times New Roman;serif"/>
                  <w:b w:val="false"/>
                  <w:color w:val="0000FF"/>
                  <w:sz w:val="18"/>
                  <w:u w:val="single"/>
                </w:rPr>
                <w:t>PART I. FINANCIAL INFORMATION</w:t>
              </w:r>
            </w:hyperlink>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7211b481614d1688f56e0e5a880cc6_13">
              <w:r>
                <w:rPr>
                  <w:rStyle w:val="InternetLink"/>
                  <w:rFonts w:ascii="Times New Roman;serif" w:hAnsi="Times New Roman;serif"/>
                  <w:b w:val="false"/>
                  <w:color w:val="0000FF"/>
                  <w:sz w:val="18"/>
                  <w:u w:val="single"/>
                </w:rPr>
                <w:t>Item 1. Financial Statements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211b481614d1688f56e0e5a880cc6_13">
              <w:r>
                <w:rPr>
                  <w:rStyle w:val="InternetLink"/>
                  <w:rFonts w:ascii="Times New Roman;serif" w:hAnsi="Times New Roman;serif"/>
                  <w:b w:val="false"/>
                  <w:color w:val="0000FF"/>
                  <w:sz w:val="18"/>
                  <w:u w:val="single"/>
                </w:rPr>
                <w:t>3</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7211b481614d1688f56e0e5a880cc6_16">
              <w:r>
                <w:rPr>
                  <w:rStyle w:val="InternetLink"/>
                  <w:rFonts w:ascii="Times New Roman;serif" w:hAnsi="Times New Roman;serif"/>
                  <w:b w:val="false"/>
                  <w:color w:val="000080"/>
                  <w:sz w:val="18"/>
                  <w:u w:val="single"/>
                </w:rPr>
                <w:t>Condensed Consolidated Statements of Operations and Comprehensive Loss for the Three</w:t>
              </w:r>
            </w:hyperlink>
            <w:hyperlink w:anchor="ida7211b481614d1688f56e0e5a880cc6_16">
              <w:r>
                <w:rPr>
                  <w:rStyle w:val="InternetLink"/>
                  <w:rFonts w:ascii="Times New Roman;serif" w:hAnsi="Times New Roman;serif"/>
                  <w:b w:val="false"/>
                  <w:color w:val="000080"/>
                  <w:sz w:val="18"/>
                  <w:u w:val="single"/>
                </w:rPr>
                <w:t xml:space="preserve"> and Si</w:t>
              </w:r>
            </w:hyperlink>
            <w:hyperlink w:anchor="ida7211b481614d1688f56e0e5a880cc6_16">
              <w:r>
                <w:rPr>
                  <w:rStyle w:val="InternetLink"/>
                  <w:rFonts w:ascii="Times New Roman;serif" w:hAnsi="Times New Roman;serif"/>
                  <w:b w:val="false"/>
                  <w:color w:val="000080"/>
                  <w:sz w:val="18"/>
                  <w:u w:val="single"/>
                </w:rPr>
                <w:t>x</w:t>
              </w:r>
            </w:hyperlink>
            <w:hyperlink w:anchor="ida7211b481614d1688f56e0e5a880cc6_16">
              <w:r>
                <w:rPr>
                  <w:rStyle w:val="InternetLink"/>
                  <w:rFonts w:ascii="Times New Roman;serif" w:hAnsi="Times New Roman;serif"/>
                  <w:b w:val="false"/>
                  <w:color w:val="000080"/>
                  <w:sz w:val="18"/>
                  <w:u w:val="single"/>
                </w:rPr>
                <w:t xml:space="preserve"> Months Ended </w:t>
              </w:r>
            </w:hyperlink>
            <w:hyperlink w:anchor="ida7211b481614d1688f56e0e5a880cc6_16">
              <w:r>
                <w:rPr>
                  <w:rStyle w:val="InternetLink"/>
                  <w:rFonts w:ascii="Times New Roman;serif" w:hAnsi="Times New Roman;serif"/>
                  <w:b w:val="false"/>
                  <w:color w:val="000080"/>
                  <w:sz w:val="18"/>
                  <w:u w:val="single"/>
                </w:rPr>
                <w:t>June 30</w:t>
              </w:r>
            </w:hyperlink>
            <w:hyperlink w:anchor="ida7211b481614d1688f56e0e5a880cc6_16">
              <w:r>
                <w:rPr>
                  <w:rStyle w:val="InternetLink"/>
                  <w:rFonts w:ascii="Times New Roman;serif" w:hAnsi="Times New Roman;serif"/>
                  <w:b w:val="false"/>
                  <w:color w:val="000080"/>
                  <w:sz w:val="18"/>
                  <w:u w:val="single"/>
                </w:rPr>
                <w:t>, 2026 and 2025 (Unaudited)</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211b481614d1688f56e0e5a880cc6_16">
              <w:r>
                <w:rPr>
                  <w:rStyle w:val="InternetLink"/>
                  <w:rFonts w:ascii="Times New Roman;serif" w:hAnsi="Times New Roman;serif"/>
                  <w:b w:val="false"/>
                  <w:color w:val="0000FF"/>
                  <w:sz w:val="18"/>
                  <w:u w:val="single"/>
                </w:rPr>
                <w:t>3</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7211b481614d1688f56e0e5a880cc6_19">
              <w:r>
                <w:rPr>
                  <w:rStyle w:val="InternetLink"/>
                  <w:rFonts w:ascii="Times New Roman;serif" w:hAnsi="Times New Roman;serif"/>
                  <w:b w:val="false"/>
                  <w:color w:val="000080"/>
                  <w:sz w:val="18"/>
                  <w:u w:val="single"/>
                </w:rPr>
                <w:t xml:space="preserve">Condensed Consolidated Balance Sheets as of </w:t>
              </w:r>
            </w:hyperlink>
            <w:hyperlink w:anchor="ida7211b481614d1688f56e0e5a880cc6_19">
              <w:r>
                <w:rPr>
                  <w:rStyle w:val="InternetLink"/>
                  <w:rFonts w:ascii="Times New Roman;serif" w:hAnsi="Times New Roman;serif"/>
                  <w:b w:val="false"/>
                  <w:color w:val="000080"/>
                  <w:sz w:val="18"/>
                  <w:u w:val="single"/>
                </w:rPr>
                <w:t>June 30</w:t>
              </w:r>
            </w:hyperlink>
            <w:hyperlink w:anchor="ida7211b481614d1688f56e0e5a880cc6_19">
              <w:r>
                <w:rPr>
                  <w:rStyle w:val="InternetLink"/>
                  <w:rFonts w:ascii="Times New Roman;serif" w:hAnsi="Times New Roman;serif"/>
                  <w:b w:val="false"/>
                  <w:color w:val="000080"/>
                  <w:sz w:val="18"/>
                  <w:u w:val="single"/>
                </w:rPr>
                <w:t>, 2026 and December 31, 2025 (Unaudited)</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211b481614d1688f56e0e5a880cc6_19">
              <w:r>
                <w:rPr>
                  <w:rStyle w:val="InternetLink"/>
                  <w:rFonts w:ascii="Times New Roman;serif" w:hAnsi="Times New Roman;serif"/>
                  <w:b w:val="false"/>
                  <w:color w:val="0000FF"/>
                  <w:sz w:val="18"/>
                  <w:u w:val="single"/>
                </w:rPr>
                <w:t>4</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7211b481614d1688f56e0e5a880cc6_25">
              <w:r>
                <w:rPr>
                  <w:rStyle w:val="InternetLink"/>
                  <w:rFonts w:ascii="Times New Roman;serif" w:hAnsi="Times New Roman;serif"/>
                  <w:b w:val="false"/>
                  <w:color w:val="000080"/>
                  <w:sz w:val="18"/>
                  <w:u w:val="single"/>
                </w:rPr>
                <w:t xml:space="preserve">Condensed Consolidated Statements of Cash Flows for the </w:t>
              </w:r>
            </w:hyperlink>
            <w:hyperlink w:anchor="ida7211b481614d1688f56e0e5a880cc6_25">
              <w:r>
                <w:rPr>
                  <w:rStyle w:val="InternetLink"/>
                  <w:rFonts w:ascii="Times New Roman;serif" w:hAnsi="Times New Roman;serif"/>
                  <w:b w:val="false"/>
                  <w:color w:val="000080"/>
                  <w:sz w:val="18"/>
                  <w:u w:val="single"/>
                </w:rPr>
                <w:t>Six</w:t>
              </w:r>
            </w:hyperlink>
            <w:hyperlink w:anchor="ida7211b481614d1688f56e0e5a880cc6_25">
              <w:r>
                <w:rPr>
                  <w:rStyle w:val="InternetLink"/>
                  <w:rFonts w:ascii="Times New Roman;serif" w:hAnsi="Times New Roman;serif"/>
                  <w:b w:val="false"/>
                  <w:color w:val="000080"/>
                  <w:sz w:val="18"/>
                  <w:u w:val="single"/>
                </w:rPr>
                <w:t xml:space="preserve"> Months Ended </w:t>
              </w:r>
            </w:hyperlink>
            <w:hyperlink w:anchor="ida7211b481614d1688f56e0e5a880cc6_25">
              <w:r>
                <w:rPr>
                  <w:rStyle w:val="InternetLink"/>
                  <w:rFonts w:ascii="Times New Roman;serif" w:hAnsi="Times New Roman;serif"/>
                  <w:b w:val="false"/>
                  <w:color w:val="000080"/>
                  <w:sz w:val="18"/>
                  <w:u w:val="single"/>
                </w:rPr>
                <w:t>June 30</w:t>
              </w:r>
            </w:hyperlink>
            <w:hyperlink w:anchor="ida7211b481614d1688f56e0e5a880cc6_25">
              <w:r>
                <w:rPr>
                  <w:rStyle w:val="InternetLink"/>
                  <w:rFonts w:ascii="Times New Roman;serif" w:hAnsi="Times New Roman;serif"/>
                  <w:b w:val="false"/>
                  <w:color w:val="000080"/>
                  <w:sz w:val="18"/>
                  <w:u w:val="single"/>
                </w:rPr>
                <w:t>, 2026 and 2025 (Unaudited)</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211b481614d1688f56e0e5a880cc6_25">
              <w:r>
                <w:rPr>
                  <w:rStyle w:val="InternetLink"/>
                  <w:rFonts w:ascii="Times New Roman;serif" w:hAnsi="Times New Roman;serif"/>
                  <w:b w:val="false"/>
                  <w:color w:val="0000FF"/>
                  <w:sz w:val="18"/>
                  <w:u w:val="single"/>
                </w:rPr>
                <w:t>5</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7211b481614d1688f56e0e5a880cc6_28">
              <w:r>
                <w:rPr>
                  <w:rStyle w:val="InternetLink"/>
                  <w:rFonts w:ascii="Times New Roman;serif" w:hAnsi="Times New Roman;serif"/>
                  <w:b w:val="false"/>
                  <w:color w:val="000080"/>
                  <w:sz w:val="18"/>
                  <w:u w:val="single"/>
                </w:rPr>
                <w:t xml:space="preserve">Condensed Consolidated Statements of Changes in Shareholders' Equity for the </w:t>
              </w:r>
            </w:hyperlink>
            <w:hyperlink w:anchor="ida7211b481614d1688f56e0e5a880cc6_28">
              <w:r>
                <w:rPr>
                  <w:rStyle w:val="InternetLink"/>
                  <w:rFonts w:ascii="Times New Roman;serif" w:hAnsi="Times New Roman;serif"/>
                  <w:b w:val="false"/>
                  <w:color w:val="000080"/>
                  <w:sz w:val="18"/>
                  <w:u w:val="single"/>
                </w:rPr>
                <w:t>Six</w:t>
              </w:r>
            </w:hyperlink>
            <w:hyperlink w:anchor="ida7211b481614d1688f56e0e5a880cc6_28">
              <w:r>
                <w:rPr>
                  <w:rStyle w:val="InternetLink"/>
                  <w:rFonts w:ascii="Times New Roman;serif" w:hAnsi="Times New Roman;serif"/>
                  <w:b w:val="false"/>
                  <w:color w:val="000080"/>
                  <w:sz w:val="18"/>
                  <w:u w:val="single"/>
                </w:rPr>
                <w:t xml:space="preserve"> Months Ended </w:t>
              </w:r>
            </w:hyperlink>
            <w:hyperlink w:anchor="ida7211b481614d1688f56e0e5a880cc6_28">
              <w:r>
                <w:rPr>
                  <w:rStyle w:val="InternetLink"/>
                  <w:rFonts w:ascii="Times New Roman;serif" w:hAnsi="Times New Roman;serif"/>
                  <w:b w:val="false"/>
                  <w:color w:val="000080"/>
                  <w:sz w:val="18"/>
                  <w:u w:val="single"/>
                </w:rPr>
                <w:t>June 30</w:t>
              </w:r>
            </w:hyperlink>
            <w:hyperlink w:anchor="ida7211b481614d1688f56e0e5a880cc6_28">
              <w:r>
                <w:rPr>
                  <w:rStyle w:val="InternetLink"/>
                  <w:rFonts w:ascii="Times New Roman;serif" w:hAnsi="Times New Roman;serif"/>
                  <w:b w:val="false"/>
                  <w:color w:val="000080"/>
                  <w:sz w:val="18"/>
                  <w:u w:val="single"/>
                </w:rPr>
                <w:t>, 2026 and 2025 (Unaudited)</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211b481614d1688f56e0e5a880cc6_28">
              <w:r>
                <w:rPr>
                  <w:rStyle w:val="InternetLink"/>
                  <w:rFonts w:ascii="Times New Roman;serif" w:hAnsi="Times New Roman;serif"/>
                  <w:b w:val="false"/>
                  <w:color w:val="0000FF"/>
                  <w:sz w:val="18"/>
                  <w:u w:val="single"/>
                </w:rPr>
                <w:t>6</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7211b481614d1688f56e0e5a880cc6_31">
              <w:r>
                <w:rPr>
                  <w:rStyle w:val="InternetLink"/>
                  <w:rFonts w:ascii="Times New Roman;serif" w:hAnsi="Times New Roman;serif"/>
                  <w:b w:val="false"/>
                  <w:color w:val="0000FF"/>
                  <w:sz w:val="18"/>
                  <w:u w:val="single"/>
                </w:rPr>
                <w:t>Notes to Unaudited Condensed Consolidated Financial Statements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211b481614d1688f56e0e5a880cc6_31">
              <w:r>
                <w:rPr>
                  <w:rStyle w:val="InternetLink"/>
                  <w:rFonts w:ascii="Times New Roman;serif" w:hAnsi="Times New Roman;serif"/>
                  <w:b w:val="false"/>
                  <w:color w:val="0000FF"/>
                  <w:sz w:val="18"/>
                  <w:u w:val="single"/>
                </w:rPr>
                <w:t>8</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7211b481614d1688f56e0e5a880cc6_91">
              <w:r>
                <w:rPr>
                  <w:rStyle w:val="InternetLink"/>
                  <w:rFonts w:ascii="Times New Roman;serif" w:hAnsi="Times New Roman;serif"/>
                  <w:b w:val="false"/>
                  <w:color w:val="0000FF"/>
                  <w:sz w:val="18"/>
                  <w:u w:val="single"/>
                </w:rPr>
                <w:t>Item 2. Management’s Discussion and Analysis of Financial Condition and Results of Operations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211b481614d1688f56e0e5a880cc6_91">
              <w:r>
                <w:rPr>
                  <w:rStyle w:val="InternetLink"/>
                  <w:rFonts w:ascii="Times New Roman;serif" w:hAnsi="Times New Roman;serif"/>
                  <w:b w:val="false"/>
                  <w:color w:val="0000FF"/>
                  <w:sz w:val="18"/>
                  <w:u w:val="single"/>
                </w:rPr>
                <w:t>34</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7211b481614d1688f56e0e5a880cc6_115">
              <w:r>
                <w:rPr>
                  <w:rStyle w:val="InternetLink"/>
                  <w:rFonts w:ascii="Times New Roman;serif" w:hAnsi="Times New Roman;serif"/>
                  <w:b w:val="false"/>
                  <w:color w:val="0000FF"/>
                  <w:sz w:val="18"/>
                  <w:u w:val="single"/>
                </w:rPr>
                <w:t>Item 3. Quantitative and Qualitative Disclosures About Market Risk</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211b481614d1688f56e0e5a880cc6_115">
              <w:r>
                <w:rPr>
                  <w:rStyle w:val="InternetLink"/>
                  <w:rFonts w:ascii="Times New Roman;serif" w:hAnsi="Times New Roman;serif"/>
                  <w:b w:val="false"/>
                  <w:color w:val="0000FF"/>
                  <w:sz w:val="18"/>
                  <w:u w:val="single"/>
                </w:rPr>
                <w:t>47</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7211b481614d1688f56e0e5a880cc6_118">
              <w:r>
                <w:rPr>
                  <w:rStyle w:val="InternetLink"/>
                  <w:rFonts w:ascii="Times New Roman;serif" w:hAnsi="Times New Roman;serif"/>
                  <w:b w:val="false"/>
                  <w:color w:val="0000FF"/>
                  <w:sz w:val="18"/>
                  <w:u w:val="single"/>
                </w:rPr>
                <w:t>Item 4. Controls and Procedures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211b481614d1688f56e0e5a880cc6_118">
              <w:r>
                <w:rPr>
                  <w:rStyle w:val="InternetLink"/>
                  <w:rFonts w:ascii="Times New Roman;serif" w:hAnsi="Times New Roman;serif"/>
                  <w:b w:val="false"/>
                  <w:color w:val="0000FF"/>
                  <w:sz w:val="18"/>
                  <w:u w:val="single"/>
                </w:rPr>
                <w:t>48</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7211b481614d1688f56e0e5a880cc6_121">
              <w:r>
                <w:rPr>
                  <w:rStyle w:val="InternetLink"/>
                  <w:rFonts w:ascii="Times New Roman;serif" w:hAnsi="Times New Roman;serif"/>
                  <w:b w:val="false"/>
                  <w:color w:val="0000FF"/>
                  <w:sz w:val="18"/>
                  <w:u w:val="single"/>
                </w:rPr>
                <w:t>PART II. OTHER INFORMATION</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7211b481614d1688f56e0e5a880cc6_124">
              <w:r>
                <w:rPr>
                  <w:rStyle w:val="InternetLink"/>
                  <w:rFonts w:ascii="Times New Roman;serif" w:hAnsi="Times New Roman;serif"/>
                  <w:b w:val="false"/>
                  <w:color w:val="0000FF"/>
                  <w:sz w:val="18"/>
                  <w:u w:val="single"/>
                </w:rPr>
                <w:t>Item 1. Legal Proceedings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211b481614d1688f56e0e5a880cc6_124">
              <w:r>
                <w:rPr>
                  <w:rStyle w:val="InternetLink"/>
                  <w:rFonts w:ascii="Times New Roman;serif" w:hAnsi="Times New Roman;serif"/>
                  <w:b w:val="false"/>
                  <w:color w:val="0000FF"/>
                  <w:sz w:val="18"/>
                  <w:u w:val="single"/>
                </w:rPr>
                <w:t>48</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7211b481614d1688f56e0e5a880cc6_127">
              <w:r>
                <w:rPr>
                  <w:rStyle w:val="InternetLink"/>
                  <w:rFonts w:ascii="Times New Roman;serif" w:hAnsi="Times New Roman;serif"/>
                  <w:b w:val="false"/>
                  <w:color w:val="0000FF"/>
                  <w:sz w:val="18"/>
                  <w:u w:val="single"/>
                </w:rPr>
                <w:t>Item 1A. Risk Factors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211b481614d1688f56e0e5a880cc6_127">
              <w:r>
                <w:rPr>
                  <w:rStyle w:val="InternetLink"/>
                  <w:rFonts w:ascii="Times New Roman;serif" w:hAnsi="Times New Roman;serif"/>
                  <w:b w:val="false"/>
                  <w:color w:val="0000FF"/>
                  <w:sz w:val="18"/>
                  <w:u w:val="single"/>
                </w:rPr>
                <w:t>48</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7211b481614d1688f56e0e5a880cc6_130">
              <w:r>
                <w:rPr>
                  <w:rStyle w:val="InternetLink"/>
                  <w:rFonts w:ascii="Times New Roman;serif" w:hAnsi="Times New Roman;serif"/>
                  <w:b w:val="false"/>
                  <w:color w:val="0000FF"/>
                  <w:sz w:val="18"/>
                  <w:u w:val="single"/>
                </w:rPr>
                <w:t>Item 2. Unregistered Sales of Equity Securities and Use of Proceeds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211b481614d1688f56e0e5a880cc6_130">
              <w:r>
                <w:rPr>
                  <w:rStyle w:val="InternetLink"/>
                  <w:rFonts w:ascii="Times New Roman;serif" w:hAnsi="Times New Roman;serif"/>
                  <w:b w:val="false"/>
                  <w:color w:val="0000FF"/>
                  <w:sz w:val="18"/>
                  <w:u w:val="single"/>
                </w:rPr>
                <w:t>49</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7211b481614d1688f56e0e5a880cc6_133">
              <w:r>
                <w:rPr>
                  <w:rStyle w:val="InternetLink"/>
                  <w:rFonts w:ascii="Times New Roman;serif" w:hAnsi="Times New Roman;serif"/>
                  <w:b w:val="false"/>
                  <w:color w:val="0000FF"/>
                  <w:sz w:val="18"/>
                  <w:u w:val="single"/>
                </w:rPr>
                <w:t>Item 3. Defaults Upon Senior Securities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211b481614d1688f56e0e5a880cc6_133">
              <w:r>
                <w:rPr>
                  <w:rStyle w:val="InternetLink"/>
                  <w:rFonts w:ascii="Times New Roman;serif" w:hAnsi="Times New Roman;serif"/>
                  <w:b w:val="false"/>
                  <w:color w:val="0000FF"/>
                  <w:sz w:val="18"/>
                  <w:u w:val="single"/>
                </w:rPr>
                <w:t>49</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7211b481614d1688f56e0e5a880cc6_136">
              <w:r>
                <w:rPr>
                  <w:rStyle w:val="InternetLink"/>
                  <w:rFonts w:ascii="Times New Roman;serif" w:hAnsi="Times New Roman;serif"/>
                  <w:b w:val="false"/>
                  <w:color w:val="0000FF"/>
                  <w:sz w:val="18"/>
                  <w:u w:val="single"/>
                </w:rPr>
                <w:t>Item 4. Mine Safety Disclosures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211b481614d1688f56e0e5a880cc6_136">
              <w:r>
                <w:rPr>
                  <w:rStyle w:val="InternetLink"/>
                  <w:rFonts w:ascii="Times New Roman;serif" w:hAnsi="Times New Roman;serif"/>
                  <w:b w:val="false"/>
                  <w:color w:val="0000FF"/>
                  <w:sz w:val="18"/>
                  <w:u w:val="single"/>
                </w:rPr>
                <w:t>49</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7211b481614d1688f56e0e5a880cc6_139">
              <w:r>
                <w:rPr>
                  <w:rStyle w:val="InternetLink"/>
                  <w:rFonts w:ascii="Times New Roman;serif" w:hAnsi="Times New Roman;serif"/>
                  <w:b w:val="false"/>
                  <w:color w:val="0000FF"/>
                  <w:sz w:val="18"/>
                  <w:u w:val="single"/>
                </w:rPr>
                <w:t>Item 5. Other Information</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211b481614d1688f56e0e5a880cc6_139">
              <w:r>
                <w:rPr>
                  <w:rStyle w:val="InternetLink"/>
                  <w:rFonts w:ascii="Times New Roman;serif" w:hAnsi="Times New Roman;serif"/>
                  <w:b w:val="false"/>
                  <w:color w:val="0000FF"/>
                  <w:sz w:val="18"/>
                  <w:u w:val="single"/>
                </w:rPr>
                <w:t>49</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7211b481614d1688f56e0e5a880cc6_145">
              <w:r>
                <w:rPr>
                  <w:rStyle w:val="InternetLink"/>
                  <w:rFonts w:ascii="Times New Roman;serif" w:hAnsi="Times New Roman;serif"/>
                  <w:b w:val="false"/>
                  <w:color w:val="0000FF"/>
                  <w:sz w:val="18"/>
                  <w:u w:val="single"/>
                </w:rPr>
                <w:t>Item 6. Exhibits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211b481614d1688f56e0e5a880cc6_145">
              <w:r>
                <w:rPr>
                  <w:rStyle w:val="InternetLink"/>
                  <w:rFonts w:ascii="Times New Roman;serif" w:hAnsi="Times New Roman;serif"/>
                  <w:b w:val="false"/>
                  <w:color w:val="0000FF"/>
                  <w:sz w:val="18"/>
                  <w:u w:val="single"/>
                </w:rPr>
                <w:t>49</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7211b481614d1688f56e0e5a880cc6_148">
              <w:r>
                <w:rPr>
                  <w:rStyle w:val="InternetLink"/>
                  <w:rFonts w:ascii="Times New Roman;serif" w:hAnsi="Times New Roman;serif"/>
                  <w:b w:val="false"/>
                  <w:color w:val="0000FF"/>
                  <w:sz w:val="18"/>
                  <w:u w:val="single"/>
                </w:rPr>
                <w:t>SIGNATURES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211b481614d1688f56e0e5a880cc6_148">
              <w:r>
                <w:rPr>
                  <w:rStyle w:val="InternetLink"/>
                  <w:rFonts w:ascii="Times New Roman;serif" w:hAnsi="Times New Roman;serif"/>
                  <w:b w:val="false"/>
                  <w:color w:val="0000FF"/>
                  <w:sz w:val="18"/>
                  <w:u w:val="single"/>
                </w:rPr>
                <w:t>51</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per share amounts)</w:t>
      </w:r>
    </w:p>
    <w:tbl>
      <w:tblPr>
        <w:tblW w:w="10154" w:type="dxa"/>
        <w:jc w:val="left"/>
        <w:tblInd w:w="0" w:type="dxa"/>
        <w:tblLayout w:type="fixed"/>
        <w:tblCellMar>
          <w:top w:w="28" w:type="dxa"/>
          <w:left w:w="28" w:type="dxa"/>
          <w:bottom w:w="28" w:type="dxa"/>
          <w:right w:w="28" w:type="dxa"/>
        </w:tblCellMar>
      </w:tblPr>
      <w:tblGrid>
        <w:gridCol w:w="1741"/>
        <w:gridCol w:w="1533"/>
        <w:gridCol w:w="1540"/>
        <w:gridCol w:w="196"/>
        <w:gridCol w:w="736"/>
        <w:gridCol w:w="109"/>
        <w:gridCol w:w="109"/>
        <w:gridCol w:w="109"/>
        <w:gridCol w:w="109"/>
        <w:gridCol w:w="196"/>
        <w:gridCol w:w="811"/>
        <w:gridCol w:w="109"/>
        <w:gridCol w:w="109"/>
        <w:gridCol w:w="109"/>
        <w:gridCol w:w="109"/>
        <w:gridCol w:w="196"/>
        <w:gridCol w:w="736"/>
        <w:gridCol w:w="109"/>
        <w:gridCol w:w="109"/>
        <w:gridCol w:w="109"/>
        <w:gridCol w:w="109"/>
        <w:gridCol w:w="196"/>
        <w:gridCol w:w="811"/>
        <w:gridCol w:w="154"/>
      </w:tblGrid>
      <w:tr>
        <w:trPr/>
        <w:tc>
          <w:tcPr>
            <w:tcW w:w="174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0" w:name="ie90515d9758742bba983c127f27ea485_2-3-26"/>
            <w:bookmarkEnd w:id="0"/>
            <w:r>
              <w:rPr>
                <w:rFonts w:ascii="Times New Roman;serif" w:hAnsi="Times New Roman;serif"/>
                <w:b w:val="false"/>
                <w:color w:val="000000"/>
                <w:sz w:val="18"/>
              </w:rPr>
              <w:t>415,605 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 charge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(512,674)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(528,171)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(530,952)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(560,988)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(484,073)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(509,366)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Weighted average common shares outstanding (See Note 12):</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Comprehensive loss (See Note 13)</w:t>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(490,874)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(512,702)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per share amounts)</w:t>
      </w:r>
    </w:p>
    <w:tbl>
      <w:tblPr>
        <w:tblW w:w="10205" w:type="dxa"/>
        <w:jc w:val="center"/>
        <w:tblInd w:w="0" w:type="dxa"/>
        <w:tblLayout w:type="fixed"/>
        <w:tblCellMar>
          <w:top w:w="28" w:type="dxa"/>
          <w:left w:w="28" w:type="dxa"/>
          <w:bottom w:w="28" w:type="dxa"/>
          <w:right w:w="28" w:type="dxa"/>
        </w:tblCellMar>
      </w:tblPr>
      <w:tblGrid>
        <w:gridCol w:w="2818"/>
        <w:gridCol w:w="2206"/>
        <w:gridCol w:w="2214"/>
        <w:gridCol w:w="196"/>
        <w:gridCol w:w="871"/>
        <w:gridCol w:w="109"/>
        <w:gridCol w:w="109"/>
        <w:gridCol w:w="109"/>
        <w:gridCol w:w="109"/>
        <w:gridCol w:w="234"/>
        <w:gridCol w:w="1043"/>
        <w:gridCol w:w="187"/>
      </w:tblGrid>
      <w:tr>
        <w:trPr/>
        <w:tc>
          <w:tcPr>
            <w:tcW w:w="2818"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235,048 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Trade accounts receivable, net of allowances of $7,326 and $7,230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278,849 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96,089 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1,159,544 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444,335 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 asset - operating leases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140,568 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1,134,663 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615,157 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69,854 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37,880 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3,563,490 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3,602,001 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borrowings under senior credit facility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borrowings under securitization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lease liability - operating leases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trade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95,726 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74,079 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130,493 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455,981 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 under senior credit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1,729,556 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 under securitization facility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 operating leases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163,059 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204,278 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2,558,538 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no par value; 15,000 authorized shares; none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240,000 authorized shares; 92,130 and 92,286 issued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1,338,386 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 at cost; 14,351 shares and 14,399 shares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(689,210)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423,441 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1,043,463 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3,563,490 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3,602,001 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bl>
      <w:tblPr>
        <w:tblW w:w="8768" w:type="dxa"/>
        <w:jc w:val="center"/>
        <w:tblInd w:w="0" w:type="dxa"/>
        <w:tblLayout w:type="fixed"/>
        <w:tblCellMar>
          <w:top w:w="28" w:type="dxa"/>
          <w:left w:w="28" w:type="dxa"/>
          <w:bottom w:w="28" w:type="dxa"/>
          <w:right w:w="28" w:type="dxa"/>
        </w:tblCellMar>
      </w:tblPr>
      <w:tblGrid>
        <w:gridCol w:w="2259"/>
        <w:gridCol w:w="1985"/>
        <w:gridCol w:w="1995"/>
        <w:gridCol w:w="196"/>
        <w:gridCol w:w="736"/>
        <w:gridCol w:w="109"/>
        <w:gridCol w:w="109"/>
        <w:gridCol w:w="109"/>
        <w:gridCol w:w="109"/>
        <w:gridCol w:w="196"/>
        <w:gridCol w:w="811"/>
        <w:gridCol w:w="154"/>
      </w:tblGrid>
      <w:tr>
        <w:trPr/>
        <w:tc>
          <w:tcPr>
            <w:tcW w:w="2259"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(509,366)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impairment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provision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and expenses associated with debt refinancing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 and others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of long-term indebtedness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treasury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Payments for contingent considerations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exercised stock options and employee stock purchase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taxes paid in net equity settlement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beginning of period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bl>
      <w:tblPr>
        <w:tblW w:w="11685" w:type="dxa"/>
        <w:jc w:val="center"/>
        <w:tblInd w:w="0" w:type="dxa"/>
        <w:tblLayout w:type="fixed"/>
        <w:tblCellMar>
          <w:top w:w="28" w:type="dxa"/>
          <w:left w:w="28" w:type="dxa"/>
          <w:bottom w:w="28" w:type="dxa"/>
          <w:right w:w="28" w:type="dxa"/>
        </w:tblCellMar>
      </w:tblPr>
      <w:tblGrid>
        <w:gridCol w:w="697"/>
        <w:gridCol w:w="244"/>
        <w:gridCol w:w="245"/>
        <w:gridCol w:w="330"/>
        <w:gridCol w:w="331"/>
        <w:gridCol w:w="196"/>
        <w:gridCol w:w="109"/>
        <w:gridCol w:w="109"/>
        <w:gridCol w:w="109"/>
        <w:gridCol w:w="196"/>
        <w:gridCol w:w="436"/>
        <w:gridCol w:w="109"/>
        <w:gridCol w:w="109"/>
        <w:gridCol w:w="109"/>
        <w:gridCol w:w="109"/>
        <w:gridCol w:w="330"/>
        <w:gridCol w:w="331"/>
        <w:gridCol w:w="196"/>
        <w:gridCol w:w="109"/>
        <w:gridCol w:w="109"/>
        <w:gridCol w:w="109"/>
        <w:gridCol w:w="196"/>
        <w:gridCol w:w="751"/>
        <w:gridCol w:w="109"/>
        <w:gridCol w:w="109"/>
        <w:gridCol w:w="109"/>
        <w:gridCol w:w="109"/>
        <w:gridCol w:w="196"/>
        <w:gridCol w:w="886"/>
        <w:gridCol w:w="109"/>
        <w:gridCol w:w="109"/>
        <w:gridCol w:w="109"/>
        <w:gridCol w:w="109"/>
        <w:gridCol w:w="246"/>
        <w:gridCol w:w="832"/>
        <w:gridCol w:w="138"/>
        <w:gridCol w:w="109"/>
        <w:gridCol w:w="109"/>
        <w:gridCol w:w="109"/>
        <w:gridCol w:w="196"/>
        <w:gridCol w:w="751"/>
        <w:gridCol w:w="109"/>
        <w:gridCol w:w="109"/>
        <w:gridCol w:w="109"/>
        <w:gridCol w:w="109"/>
        <w:gridCol w:w="196"/>
        <w:gridCol w:w="886"/>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18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January 1, 2026</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92,286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(14,399)</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(689,210)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1,338,386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(30,077)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423,441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1,043,463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 based awards, net of shares withheld for taxes and forfeitures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2026</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92,174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(14,356)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(687,122)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1,340,722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(30,940)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418,824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1,042,406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 based awards, net of shares withheld for taxes and forfeitures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2026</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92,130</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(14,351)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(686,918)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1,346,265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(40,197)</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423,306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1,043,377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tbl>
      <w:tblPr>
        <w:tblW w:w="11685" w:type="dxa"/>
        <w:jc w:val="center"/>
        <w:tblInd w:w="0" w:type="dxa"/>
        <w:tblLayout w:type="fixed"/>
        <w:tblCellMar>
          <w:top w:w="28" w:type="dxa"/>
          <w:left w:w="28" w:type="dxa"/>
          <w:bottom w:w="28" w:type="dxa"/>
          <w:right w:w="28" w:type="dxa"/>
        </w:tblCellMar>
      </w:tblPr>
      <w:tblGrid>
        <w:gridCol w:w="697"/>
        <w:gridCol w:w="244"/>
        <w:gridCol w:w="245"/>
        <w:gridCol w:w="330"/>
        <w:gridCol w:w="331"/>
        <w:gridCol w:w="196"/>
        <w:gridCol w:w="109"/>
        <w:gridCol w:w="109"/>
        <w:gridCol w:w="109"/>
        <w:gridCol w:w="196"/>
        <w:gridCol w:w="436"/>
        <w:gridCol w:w="109"/>
        <w:gridCol w:w="109"/>
        <w:gridCol w:w="109"/>
        <w:gridCol w:w="109"/>
        <w:gridCol w:w="330"/>
        <w:gridCol w:w="331"/>
        <w:gridCol w:w="196"/>
        <w:gridCol w:w="109"/>
        <w:gridCol w:w="109"/>
        <w:gridCol w:w="109"/>
        <w:gridCol w:w="196"/>
        <w:gridCol w:w="751"/>
        <w:gridCol w:w="109"/>
        <w:gridCol w:w="109"/>
        <w:gridCol w:w="109"/>
        <w:gridCol w:w="109"/>
        <w:gridCol w:w="196"/>
        <w:gridCol w:w="886"/>
        <w:gridCol w:w="109"/>
        <w:gridCol w:w="109"/>
        <w:gridCol w:w="109"/>
        <w:gridCol w:w="109"/>
        <w:gridCol w:w="246"/>
        <w:gridCol w:w="832"/>
        <w:gridCol w:w="138"/>
        <w:gridCol w:w="109"/>
        <w:gridCol w:w="109"/>
        <w:gridCol w:w="109"/>
        <w:gridCol w:w="196"/>
        <w:gridCol w:w="751"/>
        <w:gridCol w:w="109"/>
        <w:gridCol w:w="109"/>
        <w:gridCol w:w="109"/>
        <w:gridCol w:w="109"/>
        <w:gridCol w:w="196"/>
        <w:gridCol w:w="886"/>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18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January 1,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91,609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(14,445)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(691,411)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1,323,431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(27,571)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939,915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1,545,280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 based awards, net of shares withheld for taxes and forfeitures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92,136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(14,424)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(690,379)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1,323,081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(24,106)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914,622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1,524,139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(484,073)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(484,073)</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 based awards, net of shares withheld for taxes and forfeitures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66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92,337</w:t>
            </w:r>
            <w:r>
              <w:rPr>
                <w:color w:val="000000"/>
              </w:rPr>
              <w:t> </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923</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(14,416)</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(690,034)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1,328,130</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(30,907)</w:t>
            </w:r>
          </w:p>
        </w:tc>
        <w:tc>
          <w:tcPr>
            <w:tcW w:w="1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430,549</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1,038,661</w:t>
            </w: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 Basis of Presentation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terms “we,” “our,” “us,” “Company” and “Integra” refer to Integra LifeSciences Holdings Corporation, a Delaware corporation, and its subsidiaries unless the context suggests otherwise.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June 30, 2026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for the periods presented. Certain information and footnote disclosures normally included in financial statements prepared in accordance with generally accepted accounting principles in the United States (“GAAP”)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2025 included in the Company’s Annual Report on Form 10-K. The consolidated balance sheet as of December 31, 2025 was derived from audited financial statements but does not include all disclosures required by GAAP. Operating results for the three and six-month period ended June 30, 2026 are not necessarily indicative of the results to be expected for the entire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consolidated financial statements is in conformity with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unaudited condensed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 </w:t>
      </w:r>
    </w:p>
    <w:p>
      <w:pPr>
        <w:pStyle w:val="TextBody"/>
        <w:bidi w:val="0"/>
        <w:spacing w:lineRule="auto" w:line="288" w:before="120" w:after="120"/>
        <w:jc w:val="left"/>
        <w:rPr/>
      </w:pPr>
      <w:r>
        <w:rPr>
          <w:rFonts w:ascii="Times New Roman;serif" w:hAnsi="Times New Roman;serif"/>
          <w:b/>
          <w:i/>
          <w:color w:val="000000"/>
          <w:sz w:val="20"/>
        </w:rPr>
        <w:t>Recent Accounting Pronouncements</w:t>
      </w:r>
      <w:r>
        <w:rPr>
          <w:color w:val="000000"/>
        </w:rPr>
        <w:t xml:space="preserve"> </w:t>
      </w:r>
    </w:p>
    <w:p>
      <w:pPr>
        <w:pStyle w:val="TextBody"/>
        <w:bidi w:val="0"/>
        <w:spacing w:lineRule="auto" w:line="288" w:before="120" w:after="1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 xml:space="preserve">(“ASU 2024-03”), and in January 2025, the FASB issued ASU 2025-01, </w:t>
      </w:r>
      <w:r>
        <w:rPr>
          <w:rFonts w:ascii="Times New Roman;serif" w:hAnsi="Times New Roman;serif"/>
          <w:b w:val="false"/>
          <w:i/>
          <w:color w:val="000000"/>
          <w:sz w:val="20"/>
        </w:rPr>
        <w:t xml:space="preserve">Income Statement - Reporting Comprehensive Income - Expense Disaggregation Disclosures (Subtopic 220-40): Clarifying the Effective Date </w:t>
      </w:r>
      <w:r>
        <w:rPr>
          <w:rFonts w:ascii="Times New Roman;serif" w:hAnsi="Times New Roman;serif"/>
          <w:b w:val="false"/>
          <w:color w:val="000000"/>
          <w:sz w:val="20"/>
        </w:rPr>
        <w:t>(“ASU 2025-01”). ASU 2024-03 requires additional disclosure of 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The Company is currently evaluating the impact that the adoption of this guidance will have on its disclosures.</w:t>
      </w:r>
    </w:p>
    <w:p>
      <w:pPr>
        <w:pStyle w:val="TextBody"/>
        <w:bidi w:val="0"/>
        <w:spacing w:lineRule="auto" w:line="288" w:before="120" w:after="12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 - Goodwill and Other - Internal-Use Software (Subtopic 350-40): Targeted Improvements to the Accounting for Internal-Use Software </w:t>
      </w:r>
      <w:r>
        <w:rPr>
          <w:rFonts w:ascii="Times New Roman;serif" w:hAnsi="Times New Roman;serif"/>
          <w:b w:val="false"/>
          <w:color w:val="000000"/>
          <w:sz w:val="20"/>
        </w:rPr>
        <w:t>(“ASU 2025-06”), which removes all references to 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This ASU is effective for fiscal years beginning after December 15, 2027, and interim periods within those fiscal years, with early adoption permitted as of the beginning of a fiscal year. The amendment may be applied prospectively, retrospectively, or via a modified prospective transition method. The Company is currently evaluating the impact that the adoption of this guidance will have on its consolidated financial statements.</w:t>
      </w:r>
    </w:p>
    <w:p>
      <w:pPr>
        <w:pStyle w:val="TextBody"/>
        <w:bidi w:val="0"/>
        <w:spacing w:lineRule="auto" w:line="288" w:before="120" w:after="120"/>
        <w:jc w:val="both"/>
        <w:rPr/>
      </w:pPr>
      <w:r>
        <w:rPr>
          <w:rFonts w:ascii="Times New Roman;serif" w:hAnsi="Times New Roman;serif"/>
          <w:b w:val="false"/>
          <w:color w:val="000000"/>
          <w:sz w:val="20"/>
        </w:rPr>
        <w:t xml:space="preserve">In November 2025, the FASB issued ASU 2025-09, </w:t>
      </w:r>
      <w:r>
        <w:rPr>
          <w:rFonts w:ascii="Times New Roman;serif" w:hAnsi="Times New Roman;serif"/>
          <w:b w:val="false"/>
          <w:i/>
          <w:color w:val="000000"/>
          <w:sz w:val="20"/>
        </w:rPr>
        <w:t xml:space="preserve">Derivatives and Hedging (Topic 815): Hedge Accounting Improvements </w:t>
      </w:r>
      <w:r>
        <w:rPr>
          <w:rFonts w:ascii="Times New Roman;serif" w:hAnsi="Times New Roman;serif"/>
          <w:b w:val="false"/>
          <w:color w:val="000000"/>
          <w:sz w:val="20"/>
        </w:rPr>
        <w:t>(“ASU 2025-09”), which amends existing guidance to clarify and enhance the hedge accounting guidance in FASB Topic 815 and better align hedge accounting with the economics of an entity’s risk management strategies to enable entities to achieve and maintain hedge accounting for highly effective economic hedges. This ASU is effective for fiscal years beginning after December 15, 2026, and interim periods within those fiscal years, with early adoption permitted. The amendment may be applied prospectively for all hedging relationships. The Company is currently evaluating the impact that the adoption of this guidance will have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 xml:space="preserve">Government Grants (Topic 832): Accounting for Government Grants by Business Entities </w:t>
      </w:r>
      <w:r>
        <w:rPr>
          <w:rFonts w:ascii="Times New Roman;serif" w:hAnsi="Times New Roman;serif"/>
          <w:b w:val="false"/>
          <w:color w:val="000000"/>
          <w:sz w:val="20"/>
        </w:rPr>
        <w:t>(“ASU 2025-10”), which establishes authoritative guidance on the recognition, measurement, presentation, and disclosure for government grants received by business entities. This amendment defines a government grant, establishes when and how a grant related to an asset or income is recognized and measured, and includes presentation and disclosure requirements. This ASU is effective for fiscal years beginning after December 15, 2028, and interim periods within those fiscal years, with early adoption permitted. The amendment may be applied using a modified prospective, modified retrospective, or fully retrospective transition method. The Company is currently evaluating the impact that the adoption of this guidance will have on its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are no other recently issued accounting pronouncements that are expected to have any significant effect on the Company’s financial position, results of operations, or cash flows.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had cash and cash equivalents, primarily consisting of cash on-hand, as well as time deposits with original maturities of three months or less and money market funds, which are highly liquid and readily convertible to cash, totaling $214.4 million and $235.0 million at June 30, 2026 and December 31, 2025, respectively.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short-term investments, primarily consisting of time deposits with original maturities between three months and one year, totaling $59.7 million and $28.7 million at June 30, 2026 and December 31, 2025, respectively. The short-term investments are valued based on Level 1 measurements in the fair value hierarchy. </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IEEPA tariff refund receivable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February 2026, the U.S. Supreme Court ruled to invalidate the U.S. administration’s tariff program implemented during 2025 under the International Emergency Economic Powers Act (“IEEPA”), concluding that IEEPA did not authorize the broad import duties previously imposed. Subsequent to the U.S. Supreme Court ruling, the U.S. Court of International Trade issued an order directing U.S. Customs and Border Protection (“CBP”) to establish an administrative process to issue refunds of any IEEPA tariffs imposed without appropriate authority. On April 20, 2026, the CBP launched an online portal referred to as the Consolidated Administration and Processing of Entries (“CAPE”) that can be used to submit IEEPA tariff refund requests. All requests will be reviewed by the CBP to determine validity prior to the issuance of refunds.</w:t>
      </w:r>
    </w:p>
    <w:p>
      <w:pPr>
        <w:pStyle w:val="TextBody"/>
        <w:bidi w:val="0"/>
        <w:spacing w:lineRule="auto" w:line="288" w:before="120" w:after="120"/>
        <w:jc w:val="both"/>
        <w:rPr/>
      </w:pPr>
      <w:r>
        <w:rPr>
          <w:rFonts w:ascii="Times New Roman;serif" w:hAnsi="Times New Roman;serif"/>
          <w:b w:val="false"/>
          <w:color w:val="000000"/>
          <w:sz w:val="20"/>
        </w:rPr>
        <w:t xml:space="preserve">Any tariffs paid have been capitalized in inventory and have been recognized in cost of goods sold as those products subject to tariffs have been sold. In the first quarter of 2026, the Company applied the guidance within FASB Topic 405-20, </w:t>
      </w:r>
      <w:r>
        <w:rPr>
          <w:rFonts w:ascii="Times New Roman;serif" w:hAnsi="Times New Roman;serif"/>
          <w:b w:val="false"/>
          <w:i/>
          <w:color w:val="000000"/>
          <w:sz w:val="20"/>
        </w:rPr>
        <w:t>Liabilities - Extinguishments of Liabilities</w:t>
      </w:r>
      <w:r>
        <w:rPr>
          <w:color w:val="000000"/>
        </w:rPr>
        <w:t xml:space="preserve"> </w:t>
      </w:r>
      <w:r>
        <w:rPr>
          <w:rFonts w:ascii="Times New Roman;serif" w:hAnsi="Times New Roman;serif"/>
          <w:b w:val="false"/>
          <w:color w:val="000000"/>
          <w:sz w:val="20"/>
        </w:rPr>
        <w:t>(“ASC 405-20”). As a result, the Company recognized a receivable of $19.0 million, recorded in other current assets, for tariffs previously paid on imported goods that are subject to refund. Of this amount, $3.4 million had been previously expensed in 2025 to cost of goods sold and $15.6 million would have been expensed in the current year. These adjustments relate to the legal right to receive a refund of IEEPA tariffs previously imposed on the Company without appropriate authority. During the six months ended June 30, 2026, the Company received cash refunds of $0.5 million, which reduced the receivable balance.</w:t>
      </w:r>
    </w:p>
    <w:p>
      <w:pPr>
        <w:pStyle w:val="TextBody"/>
        <w:bidi w:val="0"/>
        <w:spacing w:lineRule="auto" w:line="268" w:before="120" w:after="120"/>
        <w:jc w:val="both"/>
        <w:rPr>
          <w:rFonts w:ascii="Times New Roman;serif" w:hAnsi="Times New Roman;serif"/>
          <w:b/>
          <w:i/>
          <w:color w:val="000000"/>
          <w:sz w:val="20"/>
        </w:rPr>
      </w:pPr>
      <w:r>
        <w:rPr>
          <w:rFonts w:ascii="Times New Roman;serif" w:hAnsi="Times New Roman;serif"/>
          <w:b/>
          <w:i/>
          <w:color w:val="000000"/>
          <w:sz w:val="20"/>
        </w:rPr>
        <w:t>Employee termination benefits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adopted a written severance plan that covers most U.S. employees. In situations outside the U.S., the Company has severance policies that meet or exceed the minimum statutory termination benefits requirements by country that must be paid to the affected employees. The Company records employee severance costs associated with restructuring activities in accordance with the authoritative guidance for non-retirement post-employment benefits. Charges associated with these restructuring activities are recorded when the payment of benefits is probable and can be reasonably estimated. In situations where the Company pays out termination benefits in excess of the Company’s severance policies based on management’s discretion, the Company records these termination costs once communication is made to the affected employees.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over the future service period. Otherwise, charges are recognized when management has approved a specific plan and employee communication requirements have been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incurred employee termination costs on restructuring activities in the consolidated statement of operations for the six months ended June 30, 2026 and 2025. The following table summarizes the activity in the restructuring related accrual balances included within accrued expenses and other current liabilities in the consolidated balance sheet for the six months ended June 30, 2026 and 2025.</w:t>
      </w:r>
    </w:p>
    <w:tbl>
      <w:tblPr>
        <w:tblW w:w="5151" w:type="dxa"/>
        <w:jc w:val="left"/>
        <w:tblInd w:w="0" w:type="dxa"/>
        <w:tblLayout w:type="fixed"/>
        <w:tblCellMar>
          <w:top w:w="28" w:type="dxa"/>
          <w:left w:w="28" w:type="dxa"/>
          <w:bottom w:w="28" w:type="dxa"/>
          <w:right w:w="28" w:type="dxa"/>
        </w:tblCellMar>
      </w:tblPr>
      <w:tblGrid>
        <w:gridCol w:w="924"/>
        <w:gridCol w:w="812"/>
        <w:gridCol w:w="814"/>
        <w:gridCol w:w="109"/>
        <w:gridCol w:w="109"/>
        <w:gridCol w:w="109"/>
        <w:gridCol w:w="204"/>
        <w:gridCol w:w="674"/>
        <w:gridCol w:w="113"/>
        <w:gridCol w:w="113"/>
        <w:gridCol w:w="113"/>
        <w:gridCol w:w="113"/>
        <w:gridCol w:w="204"/>
        <w:gridCol w:w="580"/>
        <w:gridCol w:w="160"/>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and 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120" w:after="120"/>
        <w:jc w:val="both"/>
        <w:rPr/>
      </w:pPr>
      <w:r>
        <w:rPr>
          <w:rFonts w:ascii="Times New Roman;serif" w:hAnsi="Times New Roman;serif"/>
          <w:b w:val="false"/>
          <w:color w:val="000000"/>
          <w:sz w:val="20"/>
        </w:rPr>
        <w:t xml:space="preserve">In the first quarter of 2026, the Company updated the allocation of certain cost and expense information from the Corporate and Other category to the Company’s two reportable segments to align with how the Company’s Chief Operating Decision Maker (“CODM”) reviews and manages the business. As a result of this update, the Company retrospectively recast prior period results, by segment, to conform to the current period presentation. This update had no impact on the Company’s consolidated results of operations. See </w:t>
      </w:r>
      <w:r>
        <w:rPr>
          <w:rFonts w:ascii="Times New Roman;serif" w:hAnsi="Times New Roman;serif"/>
          <w:b w:val="false"/>
          <w:i/>
          <w:color w:val="000000"/>
          <w:sz w:val="20"/>
        </w:rPr>
        <w:t>Note 14. Segment and Geographic Information</w:t>
      </w:r>
      <w:r>
        <w:rPr>
          <w:rFonts w:ascii="Times New Roman;serif" w:hAnsi="Times New Roman;serif"/>
          <w:b w:val="false"/>
          <w:color w:val="000000"/>
          <w:sz w:val="20"/>
        </w:rPr>
        <w:t>, for details of the reallocation of certain cost of goods sold and operating expense information to the Company’s reportable segments.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during the first quarter of 2026, the Company renamed its Codman Specialty Surgical reportable segment to Specialty Surgery and its Tissue Technologies reportable segment to Tissue Reconstruction to better align with the reportable segments’ business activities, structures, and strategies. The reportable segment name change did not result in any change to the composition of the reportable segments and has no impact on previously reported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2. Revenue From Contracts with Customers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Summary of Accounting Policies on Revenue Recognition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 is recognized upon the transfer of control of promised products or services to the customers in an amount that reflects the consideration the Company expects to receive in exchange for those products and services.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performance obligations consist mainly of transferring control of goods and services identified in the contracts, purchase orders, or invoices. The Company has no significant multi-element contracts with customers.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Significant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estimates returns, price concessions, and discount allowances using the expected value method based on historical trends and other known factors. Rebate allowances are estimated using the most likely method based on each customer contract.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90 days.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 Upon invoicing to the customer, the balance is recorded in trade receivable, net in the consolidated balance sheet.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contract asset and liability balances for the six months ended June 30, 2026:</w:t>
      </w:r>
    </w:p>
    <w:tbl>
      <w:tblPr>
        <w:tblW w:w="9057" w:type="dxa"/>
        <w:jc w:val="center"/>
        <w:tblInd w:w="0" w:type="dxa"/>
        <w:tblLayout w:type="fixed"/>
        <w:tblCellMar>
          <w:top w:w="28" w:type="dxa"/>
          <w:left w:w="28" w:type="dxa"/>
          <w:bottom w:w="28" w:type="dxa"/>
          <w:right w:w="28" w:type="dxa"/>
        </w:tblCellMar>
      </w:tblPr>
      <w:tblGrid>
        <w:gridCol w:w="2569"/>
        <w:gridCol w:w="2254"/>
        <w:gridCol w:w="2257"/>
        <w:gridCol w:w="109"/>
        <w:gridCol w:w="109"/>
        <w:gridCol w:w="109"/>
        <w:gridCol w:w="109"/>
        <w:gridCol w:w="109"/>
        <w:gridCol w:w="109"/>
        <w:gridCol w:w="196"/>
        <w:gridCol w:w="646"/>
        <w:gridCol w:w="109"/>
        <w:gridCol w:w="109"/>
        <w:gridCol w:w="109"/>
        <w:gridCol w:w="154"/>
      </w:tblGrid>
      <w:tr>
        <w:trPr/>
        <w:tc>
          <w:tcPr>
            <w:tcW w:w="2569"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Contract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asset,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Transferred to trade receivables from contract asset included in beginning of the year contract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 net of transferred to trade receivables on contracts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asset,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Contract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liability,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revenue included in beginning of year contract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liability, net of revenue recognized on contracts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liability,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short-term portion of the contract liability of $11.7 million, representing 54% of unsatisfied or partially unsatisfied performance obligations, is expected to be recognized as revenue within 12 months and is included in current liabilities in the consolidated balance sheet. The long-term portion of $10.0 million, representing the remaining balance to be recognized thereafter, is included in other liabilities in the consolidated balance sheet.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Shipping and Handling Fees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Product Warranties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Taxes Collected from Customers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elected to exclude from the measurement of the transaction price all taxes assessed by a governmental authority that are both imposed on and concurrent with a specific revenue-producing transaction and collected by the entity from a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Disaggregated Revenue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revenues disaggregated by the major sources of revenues for the three and six months ended June 30, 2026 and 2025 (dollar amounts in thousands):</w:t>
      </w:r>
    </w:p>
    <w:tbl>
      <w:tblPr>
        <w:tblW w:w="10205" w:type="dxa"/>
        <w:jc w:val="center"/>
        <w:tblInd w:w="0" w:type="dxa"/>
        <w:tblLayout w:type="fixed"/>
        <w:tblCellMar>
          <w:top w:w="28" w:type="dxa"/>
          <w:left w:w="28" w:type="dxa"/>
          <w:bottom w:w="28" w:type="dxa"/>
          <w:right w:w="28" w:type="dxa"/>
        </w:tblCellMar>
      </w:tblPr>
      <w:tblGrid>
        <w:gridCol w:w="693"/>
        <w:gridCol w:w="578"/>
        <w:gridCol w:w="580"/>
        <w:gridCol w:w="354"/>
        <w:gridCol w:w="1331"/>
        <w:gridCol w:w="196"/>
        <w:gridCol w:w="109"/>
        <w:gridCol w:w="109"/>
        <w:gridCol w:w="109"/>
        <w:gridCol w:w="354"/>
        <w:gridCol w:w="1331"/>
        <w:gridCol w:w="196"/>
        <w:gridCol w:w="109"/>
        <w:gridCol w:w="109"/>
        <w:gridCol w:w="109"/>
        <w:gridCol w:w="335"/>
        <w:gridCol w:w="1259"/>
        <w:gridCol w:w="186"/>
        <w:gridCol w:w="109"/>
        <w:gridCol w:w="109"/>
        <w:gridCol w:w="109"/>
        <w:gridCol w:w="329"/>
        <w:gridCol w:w="1238"/>
        <w:gridCol w:w="264"/>
      </w:tblGrid>
      <w:tr>
        <w:trPr/>
        <w:tc>
          <w:tcPr>
            <w:tcW w:w="69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Neurosurgery</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411,458 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399,904 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Surgical Instruments</w:t>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104,030 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 Solutions</w:t>
            </w:r>
          </w:p>
        </w:tc>
        <w:tc>
          <w:tcPr>
            <w:tcW w:w="1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78,907 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80,688 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Specialty Surgery</w:t>
            </w:r>
          </w:p>
        </w:tc>
        <w:tc>
          <w:tcPr>
            <w:tcW w:w="1685"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309,269 </w:t>
            </w:r>
          </w:p>
        </w:tc>
        <w:tc>
          <w:tcPr>
            <w:tcW w:w="196"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303,958 </w:t>
            </w:r>
          </w:p>
        </w:tc>
        <w:tc>
          <w:tcPr>
            <w:tcW w:w="196"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592,404 </w:t>
            </w:r>
          </w:p>
        </w:tc>
        <w:tc>
          <w:tcPr>
            <w:tcW w:w="186"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584,622 </w:t>
            </w:r>
          </w:p>
        </w:tc>
        <w:tc>
          <w:tcPr>
            <w:tcW w:w="26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Wound Reconstruction Solutions</w:t>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159,526 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Label</w:t>
            </w:r>
          </w:p>
        </w:tc>
        <w:tc>
          <w:tcPr>
            <w:tcW w:w="1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57,323 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54,110 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Tissue Reconstruction</w:t>
            </w:r>
          </w:p>
        </w:tc>
        <w:tc>
          <w:tcPr>
            <w:tcW w:w="1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109,492 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111,647 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218,275 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213,636 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418,761 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415,605 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810,679 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798,258 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20"/>
        </w:rPr>
        <w:t>See</w:t>
      </w:r>
      <w:r>
        <w:rPr>
          <w:color w:val="000000"/>
        </w:rPr>
        <w:t xml:space="preserve"> </w:t>
      </w:r>
      <w:r>
        <w:rPr>
          <w:rFonts w:ascii="Times New Roman;serif" w:hAnsi="Times New Roman;serif"/>
          <w:b w:val="false"/>
          <w:i/>
          <w:color w:val="000000"/>
          <w:sz w:val="20"/>
        </w:rPr>
        <w:t>Note 14. Segment and Geographic Information</w:t>
      </w:r>
      <w:r>
        <w:rPr>
          <w:color w:val="000000"/>
        </w:rPr>
        <w:t xml:space="preserve"> </w:t>
      </w:r>
      <w:r>
        <w:rPr>
          <w:rFonts w:ascii="Times New Roman;serif" w:hAnsi="Times New Roman;serif"/>
          <w:b w:val="false"/>
          <w:color w:val="000000"/>
          <w:sz w:val="20"/>
        </w:rPr>
        <w:t>for details of revenues based on the location of the customer.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Inventories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Inventories, net consisted of the following:</w:t>
      </w:r>
    </w:p>
    <w:tbl>
      <w:tblPr>
        <w:tblW w:w="4677" w:type="dxa"/>
        <w:jc w:val="left"/>
        <w:tblInd w:w="0" w:type="dxa"/>
        <w:tblLayout w:type="fixed"/>
        <w:tblCellMar>
          <w:top w:w="28" w:type="dxa"/>
          <w:left w:w="28" w:type="dxa"/>
          <w:bottom w:w="28" w:type="dxa"/>
          <w:right w:w="28" w:type="dxa"/>
        </w:tblCellMar>
      </w:tblPr>
      <w:tblGrid>
        <w:gridCol w:w="582"/>
        <w:gridCol w:w="511"/>
        <w:gridCol w:w="512"/>
        <w:gridCol w:w="217"/>
        <w:gridCol w:w="817"/>
        <w:gridCol w:w="121"/>
        <w:gridCol w:w="109"/>
        <w:gridCol w:w="109"/>
        <w:gridCol w:w="109"/>
        <w:gridCol w:w="287"/>
        <w:gridCol w:w="1078"/>
        <w:gridCol w:w="225"/>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265,496 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262,614 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99,348 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130,773 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 net</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492,005 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492,735 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4. Goodwill and Other Intangible Assets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for the six-month period ended June 30, 2026 were as follows:</w:t>
      </w:r>
    </w:p>
    <w:tbl>
      <w:tblPr>
        <w:tblW w:w="7408" w:type="dxa"/>
        <w:jc w:val="left"/>
        <w:tblInd w:w="0" w:type="dxa"/>
        <w:tblLayout w:type="fixed"/>
        <w:tblCellMar>
          <w:top w:w="28" w:type="dxa"/>
          <w:left w:w="28" w:type="dxa"/>
          <w:bottom w:w="28" w:type="dxa"/>
          <w:right w:w="28" w:type="dxa"/>
        </w:tblCellMar>
      </w:tblPr>
      <w:tblGrid>
        <w:gridCol w:w="870"/>
        <w:gridCol w:w="764"/>
        <w:gridCol w:w="765"/>
        <w:gridCol w:w="274"/>
        <w:gridCol w:w="1029"/>
        <w:gridCol w:w="152"/>
        <w:gridCol w:w="109"/>
        <w:gridCol w:w="109"/>
        <w:gridCol w:w="109"/>
        <w:gridCol w:w="341"/>
        <w:gridCol w:w="1283"/>
        <w:gridCol w:w="190"/>
        <w:gridCol w:w="109"/>
        <w:gridCol w:w="109"/>
        <w:gridCol w:w="109"/>
        <w:gridCol w:w="196"/>
        <w:gridCol w:w="736"/>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Specialty Surgery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Tissue Reconstruction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at December 31, 2025</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344,167 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270,990 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at June 30, 2026</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341,922 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269,223 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611,145 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 xml:space="preserve">In accordance with FASB Topic 350, </w:t>
      </w:r>
      <w:r>
        <w:rPr>
          <w:rFonts w:ascii="Times New Roman;serif" w:hAnsi="Times New Roman;serif"/>
          <w:b w:val="false"/>
          <w:i/>
          <w:color w:val="000000"/>
          <w:sz w:val="20"/>
        </w:rPr>
        <w:t xml:space="preserve">Intangibles—Goodwill and Other </w:t>
      </w:r>
      <w:r>
        <w:rPr>
          <w:rFonts w:ascii="Times New Roman;serif" w:hAnsi="Times New Roman;serif"/>
          <w:b w:val="false"/>
          <w:color w:val="000000"/>
          <w:sz w:val="20"/>
        </w:rPr>
        <w:t xml:space="preserve">(“ASC 350”), goodwill is not subject to amortization but is tested for impairment at the reporting unit level annually in the third quarter. Additionally, the Company may perform interim tests of goodwill for impairment if an event occurs or circumstances change that could potentially reduce the fair value of a reporting unit below its carrying amount. The carrying value of each reporting unit is determined by assigning the assets and liabilities, including the existing goodwill and intangible assets, to those reporting units. An impairment loss is recognized when the reporting unit’s carrying amount exceeds its estimated fair value.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tests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evaluation for some or all of its reporting units and perform a quantitative test. The quantitative test uses a combination of both an income approach and a market approach to determine the fair value of the reporting unit. The income approach utilizes the estimated discounted cash flows for the reporting unit, while the market approach utilizes comparable publicly-traded companies’ revenue and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before interest, taxes, depreciation, and amortization (“EBITDA”) multiples. Estimates and assumptions used in the income approach to calculate projected future discounted cash flows included revenue growth rates, cost of sales, terminal growth rates, and a discount rate for each reporting unit. Discount rates are determined using a weighted average cost of capital for risk factors specific to each reporting unit and other market and industry data. The assumptions used are inherently subject to uncertainty and slight changes in these assumptions could have a significant impact on the concluded value. The estimates and assumptions applied represent a Level 3 measurement in the fair value hierarchy. Level 3 inputs are supported by limited or no market activity and reflect the Company’s assumptions in measuring fair value.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performed a quantitative assessment of its Tissue Reconstruction, Neurosurgery, and Instruments and ENT reporting units in accordance with ASC 350 due to the decrease in the price per share of the Company’s common stock related to a number of factors including recent tariff changes that have created broad economic uncertainty and the impact of quality, operational, and supply issues. The Company recognized an aggregate charge of $511.4 million in goodwill impairment expense in the consolidated statement of operations in the second quarter of 2025. The quantitative test for the Tissue Reconstruction reporting unit utilized a terminal growth rate of 2.5% and a discount rate of 13.5% in the income approach. The Company determined, after performing the quantitative analysis, that the fair value of the Tissue Reconstruction reporting unit was less than its carrying amount and recognized an impairment of $123.3 million. The quantitative test for the Neurosurgery reporting unit utilized a terminal growth rate of 2.5% and a discount rate of 13.5% in the income approach. The Company determined, after performing the quantitative analysis, that the fair value of the Neurosurgery reporting unit was less than its carrying amount and recognized an impairment of $249.0 million. The quantitative test for the Instruments and ENT reporting unit utilized a terminal growth rate of 2.5% and a discount rate of 12.0% in the income approach. The Company determined, after performing the quantitative analysis, that the fair value of the Instruments and ENT reporting unit was less than its carrying amount and recognized an impairment of $139.1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the Company performed its annual test of its reporting units for impairment and completed a qualitative evaluation of its Tissue Reconstruction and Neurosurgery reporting units. The Instruments and ENT reporting unit had been deemed fully-impaired during the second quarter of 2025 and was excluded from this evaluation. After performing the qualitative analysis, the Company concluded that it was more likely than not that the fair values of the Tissue Reconstruction and Neurosurgery reporting units were greater than their carrying amounts. Therefore, it was not necessary to perform a quantitative impairment test.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Other Intangible Assets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identifiable intangible assets were as follows:</w:t>
      </w:r>
    </w:p>
    <w:tbl>
      <w:tblPr>
        <w:tblW w:w="7261" w:type="dxa"/>
        <w:jc w:val="left"/>
        <w:tblInd w:w="0" w:type="dxa"/>
        <w:tblLayout w:type="fixed"/>
        <w:tblCellMar>
          <w:top w:w="28" w:type="dxa"/>
          <w:left w:w="28" w:type="dxa"/>
          <w:bottom w:w="28" w:type="dxa"/>
          <w:right w:w="28" w:type="dxa"/>
        </w:tblCellMar>
      </w:tblPr>
      <w:tblGrid>
        <w:gridCol w:w="692"/>
        <w:gridCol w:w="606"/>
        <w:gridCol w:w="607"/>
        <w:gridCol w:w="280"/>
        <w:gridCol w:w="280"/>
        <w:gridCol w:w="281"/>
        <w:gridCol w:w="109"/>
        <w:gridCol w:w="109"/>
        <w:gridCol w:w="109"/>
        <w:gridCol w:w="196"/>
        <w:gridCol w:w="871"/>
        <w:gridCol w:w="109"/>
        <w:gridCol w:w="109"/>
        <w:gridCol w:w="109"/>
        <w:gridCol w:w="109"/>
        <w:gridCol w:w="208"/>
        <w:gridCol w:w="811"/>
        <w:gridCol w:w="118"/>
        <w:gridCol w:w="109"/>
        <w:gridCol w:w="109"/>
        <w:gridCol w:w="109"/>
        <w:gridCol w:w="196"/>
        <w:gridCol w:w="871"/>
        <w:gridCol w:w="154"/>
      </w:tblGrid>
      <w:tr>
        <w:trPr/>
        <w:tc>
          <w:tcPr>
            <w:tcW w:w="69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Completed technology</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(675,832)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804,809 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(147,184)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Trademarks/brand names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(49,668)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Codman tradename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relationships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(908,230)</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1,075,542 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61" w:type="dxa"/>
        <w:jc w:val="center"/>
        <w:tblInd w:w="0" w:type="dxa"/>
        <w:tblLayout w:type="fixed"/>
        <w:tblCellMar>
          <w:top w:w="28" w:type="dxa"/>
          <w:left w:w="28" w:type="dxa"/>
          <w:bottom w:w="28" w:type="dxa"/>
          <w:right w:w="28" w:type="dxa"/>
        </w:tblCellMar>
      </w:tblPr>
      <w:tblGrid>
        <w:gridCol w:w="692"/>
        <w:gridCol w:w="606"/>
        <w:gridCol w:w="607"/>
        <w:gridCol w:w="280"/>
        <w:gridCol w:w="280"/>
        <w:gridCol w:w="281"/>
        <w:gridCol w:w="109"/>
        <w:gridCol w:w="109"/>
        <w:gridCol w:w="109"/>
        <w:gridCol w:w="196"/>
        <w:gridCol w:w="871"/>
        <w:gridCol w:w="109"/>
        <w:gridCol w:w="109"/>
        <w:gridCol w:w="109"/>
        <w:gridCol w:w="109"/>
        <w:gridCol w:w="208"/>
        <w:gridCol w:w="811"/>
        <w:gridCol w:w="118"/>
        <w:gridCol w:w="109"/>
        <w:gridCol w:w="109"/>
        <w:gridCol w:w="109"/>
        <w:gridCol w:w="196"/>
        <w:gridCol w:w="871"/>
        <w:gridCol w:w="154"/>
      </w:tblGrid>
      <w:tr>
        <w:trPr/>
        <w:tc>
          <w:tcPr>
            <w:tcW w:w="69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Completed technology</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(632,204)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(145,187)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Trademarks/brand names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Codman tradename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relationships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(858,068)</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1,134,663 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Intangible Assets with Indefinite Lives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does not amortize intangible assets with indefinite lives but tests its intangible assets with indefinite lives for impairment annually in the third quarter in accordance with ASC 350. Additionally, the Company performs interim tests of its intangible assets with indefinite lives for impairment if an event occurs or circumstances change that could potentially reduce the fair value of an indefinite lived intangible asset below its carrying amount. The Company tests for impairment by either performing a qualitative evaluation or a quantitative test. The qualitative evaluation is an assessment of factors, including specific operating results as well as industry, market and general economic conditions, to determine whether it is more likely than not that the fair values of the intangible asset is less than its carrying amount. The Company may elect to bypass this qualitative evaluation and perform a quantitative test.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the Company performed a quantitative assessment of its Codman tradename intangible asset in accordance with ASC 350 due to the decrease in the price per share of the Company’s common stock related to a number of factors including recent tariff changes that have created broad economic uncertainty and the impact of quality, operational, and supply issues. In performing this test, the Company utilized a discount rate of 14.5%. The assumptions used in evaluating the Codman tradename for impairment are subject to change and are tracked against historical results by management. Based on the results of the quantitative test, the Company recorded no impairment to the Codman tradename intangible asset.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the Company performed its annual test of its intangible assets with indefinite lives for impairment and completed a qualitative evaluation of its Codman tradename intangible asset. After performing the qualitative analysis, the Company concluded that it was more likely than not that the fair value of the Codman tradename intangible asset was greater than its carrying amount. Therefore, it was not necessary to perform a quantitative impairment test.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Intangible Assets with Definite Lives</w:t>
      </w:r>
    </w:p>
    <w:p>
      <w:pPr>
        <w:pStyle w:val="TextBody"/>
        <w:bidi w:val="0"/>
        <w:spacing w:lineRule="auto" w:line="288" w:before="120" w:after="120"/>
        <w:jc w:val="both"/>
        <w:rPr/>
      </w:pPr>
      <w:r>
        <w:rPr>
          <w:rFonts w:ascii="Times New Roman;serif" w:hAnsi="Times New Roman;serif"/>
          <w:b w:val="false"/>
          <w:color w:val="000000"/>
          <w:sz w:val="20"/>
        </w:rPr>
        <w:t xml:space="preserve">Developed technologies and other definite-lived intangible assets are amortized over their estimated useful lives either using the straight-line method or, if reliably determinable, based on the pattern of which the economic benefit of the asset is expected to be utilized. Definite-lived intangible assets are periodically evaluated for impairment in accordance with FASB Topic 360, </w:t>
      </w:r>
      <w:r>
        <w:rPr>
          <w:rFonts w:ascii="Times New Roman;serif" w:hAnsi="Times New Roman;serif"/>
          <w:b w:val="false"/>
          <w:i/>
          <w:color w:val="000000"/>
          <w:sz w:val="20"/>
        </w:rPr>
        <w:t>Property, Plant and Equipment</w:t>
      </w:r>
      <w:r>
        <w:rPr>
          <w:color w:val="000000"/>
        </w:rPr>
        <w:t xml:space="preserve"> </w:t>
      </w:r>
      <w:r>
        <w:rPr>
          <w:rFonts w:ascii="Times New Roman;serif" w:hAnsi="Times New Roman;serif"/>
          <w:b w:val="false"/>
          <w:color w:val="000000"/>
          <w:sz w:val="20"/>
        </w:rPr>
        <w:t xml:space="preserve">(“ASC 360”) whenever events or changes in circumstances indicate that a definite-lived intangible asset’s carrying value may not be recoverable.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Total amortization of intangible assets for the three and six months ended June 30, 2026 was $27.0 million and $54.0 million, respectively. Of this amount, $23.2 million and $46.4 million, respectively, was related to amortization of technology based intangibles and included in cost of goods sold.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amortization of intangible assets for the three and six months ended June 30, 2025 was $26.8 million and $53.3 million, respectively. Of this amount, $23.0 million and $45.8 million, respectively, was related to amortization of technology based intangibles and included in cost of goods sold.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Based on quarter-end exchange rates, amortization expense (including amounts reported in cost of goods sold) is expected to be approximately $53.7 million for the remainder of 2026, $106.5 million in 2027, $102.9 million in 2028, $97.6 million in 2029, $91.5 million in 2030, $88.5 million in 2031 and $358.6 million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Note 5. Debt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Amendment to the Seventh Amended and Restated Credit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March 24, 2023, the Company entered into the March 2023 Amendment of the Senior Credit Facility with a syndicate of lending banks with Bank of America, N.A., as Administrative Agent. The March 2023 Amendment of the Senior Credit Facility extended the maturity date to March 24, 2028, amended the contractual repayments of the term loan component, and amended the interest rate from LIBOR to SOFR-indexed interest. The Senior Credit Facility is collateralized by substantially all of the assets of the Company’s U.S. subsidiaries, excluding intangible assets. The Senior Credit Facility is subject to various financial and negative covenants and, at June 30, 2026, the Company was in compliance with all such covenants.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June 6, 2025, in response to the risks and uncertainties surrounding the Company’s future results of operations due to tariffs, the Company entered into the June 2025 Amendment of the Senior Credit Facility (the “June 2025 Amendment”) with a syndicate of lending banks with Bank of America, N.A., as Administrative Agent. The June 2025 Amendment did not increase the Company’s total indebtedness or extend the maturity date of the Senior Credit Facility.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Under the terms of the June 2025 Amendment, the Company’s Consolidated Total Leverage Ratio (defined, as of any date of determination, as the ratio of (a) Consolidated Funded Indebtedness as of such date (as defined in the Senior Credit Facility) less cash that is not subject to any restriction on the use or investment thereof to (b) Consolidated EBITDA (as defined in the Senior Credit Facility)) for the period of four consecutive fiscal quarters ending on such date was modified to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tbl>
      <w:tblPr>
        <w:tblW w:w="8607" w:type="dxa"/>
        <w:jc w:val="left"/>
        <w:tblInd w:w="0" w:type="dxa"/>
        <w:tblLayout w:type="fixed"/>
        <w:tblCellMar>
          <w:top w:w="28" w:type="dxa"/>
          <w:left w:w="28" w:type="dxa"/>
          <w:bottom w:w="28" w:type="dxa"/>
          <w:right w:w="28" w:type="dxa"/>
        </w:tblCellMar>
      </w:tblPr>
      <w:tblGrid>
        <w:gridCol w:w="1669"/>
        <w:gridCol w:w="1469"/>
        <w:gridCol w:w="1482"/>
        <w:gridCol w:w="109"/>
        <w:gridCol w:w="109"/>
        <w:gridCol w:w="109"/>
        <w:gridCol w:w="1072"/>
        <w:gridCol w:w="1072"/>
        <w:gridCol w:w="1516"/>
      </w:tblGrid>
      <w:tr>
        <w:trPr/>
        <w:tc>
          <w:tcPr>
            <w:tcW w:w="16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Quarter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Consolidated Total Leverage Ratio</w:t>
            </w:r>
          </w:p>
        </w:tc>
      </w:tr>
      <w:tr>
        <w:trPr/>
        <w:tc>
          <w:tcPr>
            <w:tcW w:w="4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2025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5.00 to 1.00</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4.75 to 1.00</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4.50 to 1.00</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2027 and the last day of each fiscal quarter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4.00 to 1.00</w:t>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the foregoing, from the date of the June 2025 Amendment through the fiscal quarter ending December 31, 2026 (the “Covenant Relief Period”), the Amendment, among other things, also: (i) temporarily establishes, during the Covenant Relief Period, a revised applicable rate schedule; (ii) temporarily limits, during the Covenant Relief Period, the Company’s ability to make certain investments; (iii) temporarily restricts, during the Covenant Relief Period, the Company’s ability to incur incremental indebtedness under the Senior Credit Facility, create certain liens, make certain restricted payments and incur or guarantee indebtedness of excluded subsidiaries; and (iv) temporarily prohibits, during the Covenant Relief Period, the Company from selling, transferring or exclusively licensing material intellectual property to a subsidiary of the Company that is not a loan party under the Senior Credit Facility or designating any subsidiary that owns or exclusively licenses any material intellectual property as an excluded subsidiary under the Senior Credit Facility.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Borrowings under the Senior Credit Facility bear interest under the applicable rate schedule, at the Company’s option, at a rate equal to the following:</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i.Term SOFR in effect from time to time plus 0.10% plus the applicable rate (ranging from 1.00% to 2.13% during the Covenant Relief Period and from 1.00% to 1.75% thereafter) or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ii.The highest of: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weighted average overnight Federal funds rate, as published by the Federal Reserve Bank of New York, plus 0.50%;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prime lending rate of Bank of America, N.A.; or</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3.the one-month Term SOFR plus 1.00%.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applicable rates are based on the Company’s Consolidated Total Leverage Ratio for the period of four consecutive fiscal quarters ending on such date.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will pay an annual commitment fee (ranging from 0.15% to 0.33% during the Covenant Relief Period and from 0.15% to 0.30% thereafter), based on the Company’s Consolidated Total Leverage Ratio, on the amount available for borrowing under the revolving credit facility component of the Senior Credit Facility.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June 2025 Amendment, the Company incurred $3.9 million in fees to creditors and third parties.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have the aggregate principal amount of up to approximately $2.1 billion available to it through the following facilities: (i) a $775.0 million term loan facility, and (ii) a $1.3 billion revolving credit facility, which includes a $60.0 million sublimit for the issuance of standby letters of credit and a $60.0 million sublimit for swingline loans. The terms of the Senior Credit Facility limit the amount of dividends the Company may pay. </w:t>
      </w:r>
    </w:p>
    <w:p>
      <w:pPr>
        <w:pStyle w:val="TextBody"/>
        <w:bidi w:val="0"/>
        <w:spacing w:lineRule="auto" w:line="288" w:before="120" w:after="120"/>
        <w:jc w:val="both"/>
        <w:rPr/>
      </w:pPr>
      <w:r>
        <w:rPr>
          <w:rFonts w:ascii="Times New Roman;serif" w:hAnsi="Times New Roman;serif"/>
          <w:b w:val="false"/>
          <w:color w:val="000000"/>
          <w:sz w:val="20"/>
        </w:rPr>
        <w:t>At June 30, 2026 and December 31, 2025, there wa</w:t>
      </w:r>
      <w:r>
        <w:rPr>
          <w:rFonts w:ascii="Times New Roman;serif" w:hAnsi="Times New Roman;serif"/>
          <w:b w:val="false"/>
          <w:color w:val="000000"/>
          <w:sz w:val="20"/>
          <w:shd w:fill="FFFFFF" w:val="clear"/>
        </w:rPr>
        <w:t>s $1,075.0 million and $1,045.0 million, respectively, ou</w:t>
      </w:r>
      <w:r>
        <w:rPr>
          <w:rFonts w:ascii="Times New Roman;serif" w:hAnsi="Times New Roman;serif"/>
          <w:b w:val="false"/>
          <w:color w:val="000000"/>
          <w:sz w:val="20"/>
        </w:rPr>
        <w:t>tstanding under the revolving credit facility component of the Senior Credit Facility and $707.2 million and $726.6 million, respectively, outstanding under the term loan component of the Senior Credit Facility. The weighted average interest rate on the outstanding borrowings under the Senior Credit Facility was 5.4% and 5.7%, respectively. As of June 30, 2026 and December 31, 2025, there was $43.6 million and $38.8 million, respectively, of the term loan component of the Senior Credit Facility classified as current on the condensed consolidated balance sheet.</w:t>
      </w:r>
    </w:p>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and December 31, 2025, letters of credit outstanding to</w:t>
      </w:r>
      <w:r>
        <w:rPr>
          <w:rFonts w:ascii="Times New Roman;serif" w:hAnsi="Times New Roman;serif"/>
          <w:b w:val="false"/>
          <w:color w:val="000000"/>
          <w:sz w:val="20"/>
        </w:rPr>
        <w:t>taled $3.0 million. There were no amounts drawn under the letters of credit outstanding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Contractual repayments of the term loan component of the Senior Credit Facility are due as follows:</w:t>
      </w:r>
    </w:p>
    <w:tbl>
      <w:tblPr>
        <w:tblW w:w="3717" w:type="dxa"/>
        <w:jc w:val="center"/>
        <w:tblInd w:w="0" w:type="dxa"/>
        <w:tblLayout w:type="fixed"/>
        <w:tblCellMar>
          <w:top w:w="28" w:type="dxa"/>
          <w:left w:w="28" w:type="dxa"/>
          <w:bottom w:w="28" w:type="dxa"/>
          <w:right w:w="28" w:type="dxa"/>
        </w:tblCellMar>
      </w:tblPr>
      <w:tblGrid>
        <w:gridCol w:w="586"/>
        <w:gridCol w:w="516"/>
        <w:gridCol w:w="518"/>
        <w:gridCol w:w="109"/>
        <w:gridCol w:w="109"/>
        <w:gridCol w:w="109"/>
        <w:gridCol w:w="319"/>
        <w:gridCol w:w="1200"/>
        <w:gridCol w:w="251"/>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Repayment</w:t>
            </w:r>
          </w:p>
        </w:tc>
      </w:tr>
      <w:tr>
        <w:trPr/>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634,531 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707,187 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Future interest payments on the term loan component of the Senior Credit Facility based on current interest rates are expected to approximate $18.9 million for the remainder of 2026, $36.0 million in 2027 and $7.9 million in 2028. Interest is calculated on the term loan component of the Senior Credit Facility based on SOFR plus the certain amounts set forth in the Senior Credit Facility. As the revolving credit facility component of the Senior Credit Facility and Securitization Facility (defined below) can be repaid at any time, no interest has been included in the calculation.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Any outstanding borrowings on the revolving credit facility component of the Senior Credit Facility are due on March 24, 2028.</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0.5% Convertible Senior Notes due 2025 (the “2025 Notes”) issued in February 2020 pursuant to an indenture, dated as of February 7, 2020, between the Company and Citibank, N.A., as trustee, matured on August 15, 2025. The 2025 Notes were settled upon maturity for $575.0 million in cash, excluding accrued interest, funded by borrowings on the revolving credit facility component of the Senior Credit Facility. No shares were issued to settle the 2025 Notes.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 The call transactions entered into with the hedge participants expired in August 2025 and the warrant transactions entered into with the hedge participants expired ratably over the period from November 2025 through February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Securitization Facility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June 30, 2026, the Company was in compliance with the covenants and none of the termination events had occurred.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10, 2026, the Company entered into an amendment to the Securitization Facility Agreement with a syndicate of lending banks with PNC Bank, N.A., as Administrative Agent (the “2026 Securitization Facility Amendment”). The 2026 Securitization Facility Amendment extended the maturity date from December 15, 2026 to April 10, 2029 and modified the terms of certain financial covenants and termination events but did not increase the borrowing capacity available to the Company under the Securitization Facility. Under the terms of the 2026 Securitization Facility Amendment, fees on the Company’s borrowings drawn under the Securitization Facility were modified and will range between 95 basis points and 125 basis points based upon the Company’s Consolidated Total Leverage Ratio. The Company incurred approximately $0.3 million of new issuance costs associated with the 2026 Securitization Facility Amendment which will be amortized over the remaining term of the Securitization Agreement as amended.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 had $92.6 million and $87.8 million, respectively, of outstanding borrowings under its Securitization Facility with an interest rate of 5.0% and 4.8%, respectively.</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Debt Issuance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Debt issuance costs associated with the Senior Credit Facility (other than the revolving credit facility component) are presented as a reduction to the carrying value of the related debt. Debt issuance costs associated with the revolving credit facility component of the Senior Credit Facility are capitalized within other long-term assets on the consolidated balance sheet.</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Estimated Fair Value of Debt Measurements</w: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carrying amounts and the estimated fair values of debt as of </w:t>
      </w:r>
      <w:r>
        <w:rPr>
          <w:rFonts w:ascii="Times New Roman;serif" w:hAnsi="Times New Roman;serif"/>
          <w:b w:val="false"/>
          <w:color w:val="000000"/>
          <w:sz w:val="20"/>
        </w:rPr>
        <w:t xml:space="preserve">June 30, 2026 and December 31, 2025 </w:t>
      </w:r>
      <w:r>
        <w:rPr>
          <w:rFonts w:ascii="Times New Roman;serif" w:hAnsi="Times New Roman;serif"/>
          <w:b w:val="false"/>
          <w:color w:val="000000"/>
          <w:sz w:val="20"/>
          <w:shd w:fill="FFFFFF" w:val="clear"/>
        </w:rPr>
        <w:t>are as follows:</w:t>
      </w:r>
    </w:p>
    <w:tbl>
      <w:tblPr>
        <w:tblW w:w="10205" w:type="dxa"/>
        <w:jc w:val="left"/>
        <w:tblInd w:w="0" w:type="dxa"/>
        <w:tblLayout w:type="fixed"/>
        <w:tblCellMar>
          <w:top w:w="28" w:type="dxa"/>
          <w:left w:w="28" w:type="dxa"/>
          <w:bottom w:w="28" w:type="dxa"/>
          <w:right w:w="28" w:type="dxa"/>
        </w:tblCellMar>
      </w:tblPr>
      <w:tblGrid>
        <w:gridCol w:w="1004"/>
        <w:gridCol w:w="818"/>
        <w:gridCol w:w="821"/>
        <w:gridCol w:w="595"/>
        <w:gridCol w:w="595"/>
        <w:gridCol w:w="596"/>
        <w:gridCol w:w="211"/>
        <w:gridCol w:w="942"/>
        <w:gridCol w:w="117"/>
        <w:gridCol w:w="265"/>
        <w:gridCol w:w="1180"/>
        <w:gridCol w:w="147"/>
        <w:gridCol w:w="211"/>
        <w:gridCol w:w="942"/>
        <w:gridCol w:w="117"/>
        <w:gridCol w:w="262"/>
        <w:gridCol w:w="1169"/>
        <w:gridCol w:w="213"/>
      </w:tblGrid>
      <w:tr>
        <w:trPr/>
        <w:tc>
          <w:tcPr>
            <w:tcW w:w="100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29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Measurement</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2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credit facility - term loan</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Level 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707,188 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706,015 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726,563 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725,480 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credit facility - revolving component</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Level 2</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1,073,013 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1,043,340 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Level 2</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90,301 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86,678 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1,874,788 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1,869,329 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1,859,363 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1,855,498 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1,872,299 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1,869,329 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1,856,106 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1,855,498 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Note 6. Derivative Instruments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Interest Rate Hedging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SOFR-indexed borrowings. Additionally, the Company entered into a basis swap where the Company receives Term SOFR and pays daily compounded SOFR to convert the portfolio of swaps from daily compounded SOFR to Term SOFR.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held the following interest rate swaps as of June 30, 2026 and December 31, 2025 (dollar amounts in thousands):</w:t>
      </w:r>
    </w:p>
    <w:tbl>
      <w:tblPr>
        <w:tblW w:w="10290"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315"/>
        <w:gridCol w:w="255"/>
        <w:gridCol w:w="256"/>
        <w:gridCol w:w="109"/>
        <w:gridCol w:w="109"/>
        <w:gridCol w:w="109"/>
        <w:gridCol w:w="355"/>
        <w:gridCol w:w="355"/>
        <w:gridCol w:w="356"/>
        <w:gridCol w:w="109"/>
        <w:gridCol w:w="109"/>
        <w:gridCol w:w="109"/>
        <w:gridCol w:w="361"/>
        <w:gridCol w:w="195"/>
        <w:gridCol w:w="382"/>
        <w:gridCol w:w="109"/>
        <w:gridCol w:w="109"/>
        <w:gridCol w:w="109"/>
        <w:gridCol w:w="196"/>
        <w:gridCol w:w="646"/>
        <w:gridCol w:w="109"/>
        <w:gridCol w:w="109"/>
        <w:gridCol w:w="109"/>
        <w:gridCol w:w="109"/>
        <w:gridCol w:w="196"/>
        <w:gridCol w:w="646"/>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Hedged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 (Liability)</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Basis Swap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1"/>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notional of the basis swap amortizes to match the total notional of the interest rate swap portfolio over time</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180"/>
        <w:jc w:val="both"/>
        <w:rPr/>
      </w:pPr>
      <w:r>
        <w:rPr>
          <w:rFonts w:ascii="Times New Roman;serif" w:hAnsi="Times New Roman;serif"/>
          <w:b w:val="false"/>
          <w:color w:val="000000"/>
          <w:sz w:val="20"/>
        </w:rPr>
        <w:t xml:space="preserve">The interest rate swaps are carried on the consolidated balance sheet at fair value and changes in the fair values were recorded as unrealized gains or losses in accumulated other comprehensive income (“AOCI”). Related gain/loss amounts recognized in AOCI and earnings are presented in the </w:t>
      </w:r>
      <w:r>
        <w:rPr>
          <w:rFonts w:ascii="Times New Roman;serif" w:hAnsi="Times New Roman;serif"/>
          <w:b w:val="false"/>
          <w:i/>
          <w:color w:val="000000"/>
          <w:sz w:val="20"/>
        </w:rPr>
        <w:t>Effects of Derivative Instruments</w:t>
      </w:r>
      <w:r>
        <w:rPr>
          <w:color w:val="000000"/>
        </w:rPr>
        <w:t xml:space="preserve"> </w:t>
      </w:r>
      <w:r>
        <w:rPr>
          <w:rFonts w:ascii="Times New Roman;serif" w:hAnsi="Times New Roman;serif"/>
          <w:b w:val="false"/>
          <w:color w:val="000000"/>
          <w:sz w:val="20"/>
        </w:rPr>
        <w:t xml:space="preserve">table below. The estimated gain that is expected to be reclassified to interest income from AOCI as of June 30, 2026 within the next twelve months is $20.2 million.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AOCI,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AOCI to interest expense at that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Foreign Currency Hedging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Those amounts are subsequently reclassified to earnings from AOCI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success of the Company’s hedging 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Cross-Currency Rate Swaps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(“CHFs”) and receive interest in U.S. dollars. Upon the maturity of these contracts, the Company will pay the principal amount of the loans in CHFs and receive U.S. dollars from the counterparties.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December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principal payments of CHF 5.8 million plus accrued interest. As a result, the aggregate notional amount of the related cross-currency swaps will decrease by a corresponding amount. In February 2025, the Company amended the CHF-denominated intercompany loan to extend the maturity to December 2030. Concurrently, the Company amended the cross-currency swap agreement, with a notional amount of $368.4 million, equivalent to CHF 328.1 million, to extend the maturity to December 2030.</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2025, the Company entered into cross-currency swap agreements to convert an aggregate notional amount of $170.0 million equivalent to 137.6 million of two CHF-denominated intercompany loans into U.S. dollars. The CHF-denominated intercompany loans were the result of an intra-entity transfer of certain intellectual property rights to a subsidiary in Switzerland completed during the fourth quarter of 2025. The intercompany loan of CHF 80.9 million which matures in September 2028 requires quarterly interest payments and annual principal payments of CHF 8.1 million in September 2026 and September 2027; the intercompany loan of CHF 56.6 million which matures in September 2030 requires quarterly interest payments and a principal payment of CHF 8.1 million in September 2029. As the principal outstanding decreases on the intercompany loans, the aggregate notional amount of the related cross-currency swaps will decrease by a corresponding amount.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held the following cross-currency rate swaps as of June 30, 2026 and December 31, 2025 (dollar amounts in thousands):</w:t>
      </w:r>
    </w:p>
    <w:tbl>
      <w:tblPr>
        <w:tblW w:w="10205" w:type="dxa"/>
        <w:jc w:val="center"/>
        <w:tblInd w:w="0" w:type="dxa"/>
        <w:tblLayout w:type="fixed"/>
        <w:tblCellMar>
          <w:top w:w="28" w:type="dxa"/>
          <w:left w:w="28" w:type="dxa"/>
          <w:bottom w:w="28" w:type="dxa"/>
          <w:right w:w="28" w:type="dxa"/>
        </w:tblCellMar>
      </w:tblPr>
      <w:tblGrid>
        <w:gridCol w:w="329"/>
        <w:gridCol w:w="278"/>
        <w:gridCol w:w="226"/>
        <w:gridCol w:w="109"/>
        <w:gridCol w:w="109"/>
        <w:gridCol w:w="109"/>
        <w:gridCol w:w="401"/>
        <w:gridCol w:w="342"/>
        <w:gridCol w:w="343"/>
        <w:gridCol w:w="109"/>
        <w:gridCol w:w="109"/>
        <w:gridCol w:w="109"/>
        <w:gridCol w:w="407"/>
        <w:gridCol w:w="407"/>
        <w:gridCol w:w="409"/>
        <w:gridCol w:w="109"/>
        <w:gridCol w:w="109"/>
        <w:gridCol w:w="109"/>
        <w:gridCol w:w="221"/>
        <w:gridCol w:w="221"/>
        <w:gridCol w:w="222"/>
        <w:gridCol w:w="109"/>
        <w:gridCol w:w="109"/>
        <w:gridCol w:w="109"/>
        <w:gridCol w:w="384"/>
        <w:gridCol w:w="362"/>
        <w:gridCol w:w="238"/>
        <w:gridCol w:w="469"/>
        <w:gridCol w:w="366"/>
        <w:gridCol w:w="368"/>
        <w:gridCol w:w="109"/>
        <w:gridCol w:w="109"/>
        <w:gridCol w:w="109"/>
        <w:gridCol w:w="204"/>
        <w:gridCol w:w="712"/>
        <w:gridCol w:w="113"/>
        <w:gridCol w:w="109"/>
        <w:gridCol w:w="109"/>
        <w:gridCol w:w="109"/>
        <w:gridCol w:w="228"/>
        <w:gridCol w:w="801"/>
        <w:gridCol w:w="192"/>
      </w:tblGrid>
      <w:tr>
        <w:trPr/>
        <w:tc>
          <w:tcPr>
            <w:tcW w:w="32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br/>
              <w:t>Asset (Liability)</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20,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293,637 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305,137 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(49,942)</w:t>
            </w:r>
          </w:p>
        </w:tc>
        <w:tc>
          <w:tcPr>
            <w:tcW w:w="113"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(54,149)</w:t>
            </w:r>
          </w:p>
        </w:tc>
        <w:tc>
          <w:tcPr>
            <w:tcW w:w="19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329,633 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342,543 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3"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92"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10, 2025</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56,644 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(2,668)</w:t>
            </w:r>
          </w:p>
        </w:tc>
        <w:tc>
          <w:tcPr>
            <w:tcW w:w="113"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w:t>
            </w:r>
          </w:p>
        </w:tc>
        <w:tc>
          <w:tcPr>
            <w:tcW w:w="19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22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3"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92"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29,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80,920 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80,920 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w:t>
            </w:r>
          </w:p>
        </w:tc>
        <w:tc>
          <w:tcPr>
            <w:tcW w:w="113"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w:t>
            </w:r>
          </w:p>
        </w:tc>
        <w:tc>
          <w:tcPr>
            <w:tcW w:w="19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71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113"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801"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192"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(54,514)</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(59,667)</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pPr>
      <w:r>
        <w:rPr>
          <w:rFonts w:ascii="Times New Roman;serif" w:hAnsi="Times New Roman;serif"/>
          <w:b w:val="false"/>
          <w:color w:val="000000"/>
          <w:sz w:val="20"/>
        </w:rPr>
        <w:t xml:space="preserve">The cross-currency swaps designated as cash flow hedges are carried on the consolidated balance sheet at fair value, and changes in the fair values were recorded as unrealized gains or losses in AOCI. Related gain/loss amounts recognized in AOCI and earnings are presented in the </w:t>
      </w:r>
      <w:r>
        <w:rPr>
          <w:rFonts w:ascii="Times New Roman;serif" w:hAnsi="Times New Roman;serif"/>
          <w:b w:val="false"/>
          <w:i/>
          <w:color w:val="000000"/>
          <w:sz w:val="20"/>
        </w:rPr>
        <w:t>Effects of Derivative Instruments</w:t>
      </w:r>
      <w:r>
        <w:rPr>
          <w:color w:val="000000"/>
        </w:rPr>
        <w:t xml:space="preserve"> </w:t>
      </w:r>
      <w:r>
        <w:rPr>
          <w:rFonts w:ascii="Times New Roman;serif" w:hAnsi="Times New Roman;serif"/>
          <w:b w:val="false"/>
          <w:color w:val="000000"/>
          <w:sz w:val="20"/>
        </w:rPr>
        <w:t>table below. The estimated gain that is expected to be reclassified to other income (expense), net from AOCI as of June 30, 2026 within the next twelve months is $10.1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recorded gains of $7.2 million and $13.1 million, respectively, in other income, net related to change in fair value related to the foreign currency rate translation to offset the gains and losses, respectively, recognized on the intercompany loans. For the three and six months ended June 30, 2025, the Company recorded losses of $(40.6) million and $(49.8) million, respectively, in other income, net related to change in fair value related to the foreign currency rate translation to offset the gains and losses, respectively, recognized on the intercompany loans.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recorded gains of $3.5 million and $7.0 million, respectively, in other income, net included in the consolidated statements of operations related to the interest rate differential of the cross-currency swaps. For the three and six months ended June 30, 2025, the Company recorded gains of $2.3 million and $3.5 million, respectively, in other income, net included in the consolidated statements of operations related to the interest rate differential of the cross-currency swaps.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entered into a cross-currency swap agreement with a notional amount of CHF 67.8 million equivalent to $75.0 million, where the Company agreed with third-parties to sell CHF in exchange for U.S. dollars at a specified rate at the maturity of the contract. The new cross-currency swap agreement was designated as a net investment hedge to partially offset the effects of foreign currency on foreign subsidiaries.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In July 2025, the Company entered into a cross-currency swap agreement with a notional amount of CHF 59.7 million, equivalent to $75.0 million, where the Company agreed with third-parties to sell CHF in exchange for U.S. dollars at a specified rate at the maturity of the contract. The new cross-currency swap agreement was designated as a net investment hedge to partially offset the effects of foreign currency on foreign subsidiaries.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held the following cross-currency rate swaps designated as net investment hedges as of June 30, 2026 and December 31, 2025, respectively (dollar amounts in thousands):</w:t>
      </w:r>
    </w:p>
    <w:tbl>
      <w:tblPr>
        <w:tblW w:w="10205" w:type="dxa"/>
        <w:jc w:val="center"/>
        <w:tblInd w:w="0" w:type="dxa"/>
        <w:tblLayout w:type="fixed"/>
        <w:tblCellMar>
          <w:top w:w="28" w:type="dxa"/>
          <w:left w:w="28" w:type="dxa"/>
          <w:bottom w:w="28" w:type="dxa"/>
          <w:right w:w="28" w:type="dxa"/>
        </w:tblCellMar>
      </w:tblPr>
      <w:tblGrid>
        <w:gridCol w:w="302"/>
        <w:gridCol w:w="250"/>
        <w:gridCol w:w="179"/>
        <w:gridCol w:w="109"/>
        <w:gridCol w:w="109"/>
        <w:gridCol w:w="109"/>
        <w:gridCol w:w="364"/>
        <w:gridCol w:w="285"/>
        <w:gridCol w:w="286"/>
        <w:gridCol w:w="109"/>
        <w:gridCol w:w="109"/>
        <w:gridCol w:w="109"/>
        <w:gridCol w:w="372"/>
        <w:gridCol w:w="372"/>
        <w:gridCol w:w="373"/>
        <w:gridCol w:w="109"/>
        <w:gridCol w:w="109"/>
        <w:gridCol w:w="109"/>
        <w:gridCol w:w="191"/>
        <w:gridCol w:w="191"/>
        <w:gridCol w:w="192"/>
        <w:gridCol w:w="109"/>
        <w:gridCol w:w="109"/>
        <w:gridCol w:w="109"/>
        <w:gridCol w:w="155"/>
        <w:gridCol w:w="155"/>
        <w:gridCol w:w="156"/>
        <w:gridCol w:w="384"/>
        <w:gridCol w:w="355"/>
        <w:gridCol w:w="188"/>
        <w:gridCol w:w="109"/>
        <w:gridCol w:w="109"/>
        <w:gridCol w:w="109"/>
        <w:gridCol w:w="454"/>
        <w:gridCol w:w="317"/>
        <w:gridCol w:w="318"/>
        <w:gridCol w:w="109"/>
        <w:gridCol w:w="109"/>
        <w:gridCol w:w="109"/>
        <w:gridCol w:w="198"/>
        <w:gridCol w:w="679"/>
        <w:gridCol w:w="110"/>
        <w:gridCol w:w="109"/>
        <w:gridCol w:w="109"/>
        <w:gridCol w:w="109"/>
        <w:gridCol w:w="207"/>
        <w:gridCol w:w="710"/>
        <w:gridCol w:w="173"/>
      </w:tblGrid>
      <w:tr>
        <w:trPr/>
        <w:tc>
          <w:tcPr>
            <w:tcW w:w="30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br/>
              <w:t>Asset (Liability)</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16,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192,140 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192,140 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(43,927)</w:t>
            </w:r>
          </w:p>
        </w:tc>
        <w:tc>
          <w:tcPr>
            <w:tcW w:w="110"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(47,619)</w:t>
            </w:r>
          </w:p>
        </w:tc>
        <w:tc>
          <w:tcPr>
            <w:tcW w:w="173"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0"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3"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17,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(10,308)</w:t>
            </w:r>
          </w:p>
        </w:tc>
        <w:tc>
          <w:tcPr>
            <w:tcW w:w="110"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(10,568)</w:t>
            </w:r>
          </w:p>
        </w:tc>
        <w:tc>
          <w:tcPr>
            <w:tcW w:w="173"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0"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3"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18,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68,483 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68,483 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(12,269)</w:t>
            </w:r>
          </w:p>
        </w:tc>
        <w:tc>
          <w:tcPr>
            <w:tcW w:w="110"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(12,407)</w:t>
            </w:r>
          </w:p>
        </w:tc>
        <w:tc>
          <w:tcPr>
            <w:tcW w:w="173"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0"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3"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15,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(9,663)</w:t>
            </w:r>
          </w:p>
        </w:tc>
        <w:tc>
          <w:tcPr>
            <w:tcW w:w="110"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(9,394)</w:t>
            </w:r>
          </w:p>
        </w:tc>
        <w:tc>
          <w:tcPr>
            <w:tcW w:w="173"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0"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3"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15,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w:t>
            </w:r>
          </w:p>
        </w:tc>
        <w:tc>
          <w:tcPr>
            <w:tcW w:w="110"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w:t>
            </w:r>
          </w:p>
        </w:tc>
        <w:tc>
          <w:tcPr>
            <w:tcW w:w="173"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0"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3"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(78,541)</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(82,199)</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 xml:space="preserve">The net investment hedges are carried on the consolidated balance sheet at fair value and changes in the fair values were recorded as unrealized gains or losses in AOCI. Related gain/loss amounts recognized in AOCI and earnings are presented in the </w:t>
      </w:r>
      <w:r>
        <w:rPr>
          <w:rFonts w:ascii="Times New Roman;serif" w:hAnsi="Times New Roman;serif"/>
          <w:b w:val="false"/>
          <w:i/>
          <w:color w:val="000000"/>
          <w:sz w:val="20"/>
        </w:rPr>
        <w:t>Effects of Derivative Instruments</w:t>
      </w:r>
      <w:r>
        <w:rPr>
          <w:color w:val="000000"/>
        </w:rPr>
        <w:t xml:space="preserve"> </w:t>
      </w:r>
      <w:r>
        <w:rPr>
          <w:rFonts w:ascii="Times New Roman;serif" w:hAnsi="Times New Roman;serif"/>
          <w:b w:val="false"/>
          <w:color w:val="000000"/>
          <w:sz w:val="20"/>
        </w:rPr>
        <w:t>table below. The estimated gain that is expected to be reclassified to interest income from AOCI as of June 30, 2026 within the next twelve months is $10.7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Foreign Currency Forward Contracts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forward contracts designated as cash flow hedges for forecasted purchases in foreign currencies, primarily CHF-denominated intercompany purchases. These contracts typically settle at various dates within twelve months of execution. As of June 30, 2026, the notional amount of foreign currency forward contracts was CHF 19.6 million. The foreign currency forward contracts are carried on the consolidated balance sheet at fair value and changes in the fair values were recorded as unrealized gains or losses in AOCI. The changes in fair value will be recognized into earnings as a component of cost of sales when the forecasted-transaction occurs.</w:t>
      </w:r>
    </w:p>
    <w:p>
      <w:pPr>
        <w:pStyle w:val="TextBody"/>
        <w:bidi w:val="0"/>
        <w:spacing w:lineRule="auto" w:line="288" w:before="120" w:after="120"/>
        <w:jc w:val="both"/>
        <w:rPr/>
      </w:pPr>
      <w:r>
        <w:rPr>
          <w:rFonts w:ascii="Times New Roman;serif" w:hAnsi="Times New Roman;serif"/>
          <w:b w:val="false"/>
          <w:color w:val="000000"/>
          <w:sz w:val="20"/>
        </w:rPr>
        <w:t>For the three months ended June 30, 2026 and 2025, amounts reclassified to earnings included (i) the effective hedge component amounts of $0.3 million and $(0.4) million, respectively, within cost of goods sold, and (ii) forward</w:t>
        <w:noBreakHyphen/>
        <w:t>points amortization of $(0.2) million and $(0.2) million, respectively, within other income (expense), net. For the six months ended June 30, 2026 and 2025, amounts reclassified to earnings included (i) the effective hedge component amounts of $0.8 million and an immaterial amount, respectively, within cost of goods sold, and (ii) forward</w:t>
        <w:noBreakHyphen/>
        <w:t xml:space="preserve">points amortization of $(0.3) million and $(0.4) million, respectively, within other income (expense), net. Related gain/loss amounts recognized in AOCI and earnings are presented in the </w:t>
      </w:r>
      <w:r>
        <w:rPr>
          <w:rFonts w:ascii="Times New Roman;serif" w:hAnsi="Times New Roman;serif"/>
          <w:b w:val="false"/>
          <w:i/>
          <w:color w:val="000000"/>
          <w:sz w:val="20"/>
        </w:rPr>
        <w:t>Effects of Derivative Instruments</w:t>
      </w:r>
      <w:r>
        <w:rPr>
          <w:color w:val="000000"/>
        </w:rPr>
        <w:t xml:space="preserve"> </w:t>
      </w:r>
      <w:r>
        <w:rPr>
          <w:rFonts w:ascii="Times New Roman;serif" w:hAnsi="Times New Roman;serif"/>
          <w:b w:val="false"/>
          <w:color w:val="000000"/>
          <w:sz w:val="20"/>
        </w:rPr>
        <w:t>table below.</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Counterparty Credit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Fair Value of Derivative Instruments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classified all of its derivative instruments within Level 2 of the fair value hierarchy because observable inputs are available for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for derivatives designated as hedging instruments in the condensed consolidated balance sheets as of June 30, 2026 and December 31, 2025:</w:t>
      </w:r>
    </w:p>
    <w:tbl>
      <w:tblPr>
        <w:tblW w:w="7899" w:type="dxa"/>
        <w:jc w:val="left"/>
        <w:tblInd w:w="0" w:type="dxa"/>
        <w:tblLayout w:type="fixed"/>
        <w:tblCellMar>
          <w:top w:w="28" w:type="dxa"/>
          <w:left w:w="28" w:type="dxa"/>
          <w:bottom w:w="28" w:type="dxa"/>
          <w:right w:w="28" w:type="dxa"/>
        </w:tblCellMar>
      </w:tblPr>
      <w:tblGrid>
        <w:gridCol w:w="1470"/>
        <w:gridCol w:w="1294"/>
        <w:gridCol w:w="1300"/>
        <w:gridCol w:w="109"/>
        <w:gridCol w:w="109"/>
        <w:gridCol w:w="109"/>
        <w:gridCol w:w="217"/>
        <w:gridCol w:w="817"/>
        <w:gridCol w:w="121"/>
        <w:gridCol w:w="109"/>
        <w:gridCol w:w="109"/>
        <w:gridCol w:w="109"/>
        <w:gridCol w:w="291"/>
        <w:gridCol w:w="1093"/>
        <w:gridCol w:w="161"/>
        <w:gridCol w:w="109"/>
        <w:gridCol w:w="109"/>
        <w:gridCol w:w="109"/>
        <w:gridCol w:w="154"/>
      </w:tblGrid>
      <w:tr>
        <w:trPr/>
        <w:tc>
          <w:tcPr>
            <w:tcW w:w="147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as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Location on Balance Sheet </w:t>
            </w:r>
            <w:r>
              <w:rPr>
                <w:rFonts w:ascii="Times New Roman;serif" w:hAnsi="Times New Roman;serif"/>
                <w:b/>
                <w:color w:val="000000"/>
                <w:sz w:val="10"/>
              </w:rPr>
              <w:t>(1)</w:t>
            </w: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hedges —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derivatives designated as hedges —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46,846 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hedges —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derivatives designated as hedges —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151,275 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159,294 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Company classifies derivative assets and liabilities as current based on the cash flows expected to be incurred within the following 12 months.</w:t>
      </w:r>
    </w:p>
    <w:p>
      <w:pPr>
        <w:pStyle w:val="TextBody"/>
        <w:bidi w:val="0"/>
        <w:spacing w:before="0" w:after="24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00" w:after="200"/>
        <w:jc w:val="both"/>
        <w:rPr>
          <w:rFonts w:ascii="Times New Roman;serif" w:hAnsi="Times New Roman;serif"/>
          <w:b/>
          <w:color w:val="000000"/>
          <w:sz w:val="20"/>
        </w:rPr>
      </w:pPr>
      <w:r>
        <w:rPr>
          <w:rFonts w:ascii="Times New Roman;serif" w:hAnsi="Times New Roman;serif"/>
          <w:b/>
          <w:color w:val="000000"/>
          <w:sz w:val="20"/>
        </w:rPr>
        <w:t>Effects of Derivative Instruments</w:t>
      </w:r>
    </w:p>
    <w:p>
      <w:pPr>
        <w:pStyle w:val="TextBody"/>
        <w:bidi w:val="0"/>
        <w:spacing w:lineRule="auto" w:line="288" w:before="100" w:after="20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effect of derivative instruments designated as cash flow hedges and net investment hedges on the accompanying condensed consolidated statement of operations during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816"/>
        <w:gridCol w:w="483"/>
        <w:gridCol w:w="484"/>
        <w:gridCol w:w="289"/>
        <w:gridCol w:w="975"/>
        <w:gridCol w:w="162"/>
        <w:gridCol w:w="109"/>
        <w:gridCol w:w="109"/>
        <w:gridCol w:w="109"/>
        <w:gridCol w:w="217"/>
        <w:gridCol w:w="832"/>
        <w:gridCol w:w="122"/>
        <w:gridCol w:w="109"/>
        <w:gridCol w:w="109"/>
        <w:gridCol w:w="109"/>
        <w:gridCol w:w="313"/>
        <w:gridCol w:w="1057"/>
        <w:gridCol w:w="175"/>
        <w:gridCol w:w="109"/>
        <w:gridCol w:w="109"/>
        <w:gridCol w:w="109"/>
        <w:gridCol w:w="289"/>
        <w:gridCol w:w="975"/>
        <w:gridCol w:w="162"/>
        <w:gridCol w:w="109"/>
        <w:gridCol w:w="109"/>
        <w:gridCol w:w="109"/>
        <w:gridCol w:w="450"/>
        <w:gridCol w:w="450"/>
        <w:gridCol w:w="646"/>
      </w:tblGrid>
      <w:tr>
        <w:trPr/>
        <w:tc>
          <w:tcPr>
            <w:tcW w:w="81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in AOCI</w:t>
              <w:br/>
              <w:t>Beginning of</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w:t>
              <w:br/>
              <w:t>Gain (Loss)</w:t>
              <w:br/>
              <w:t>Recognized in</w:t>
              <w:b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Gain (Loss)</w:t>
              <w:br/>
              <w:t>Reclassified from</w:t>
              <w:br/>
              <w:t>AOCI into</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in AOCI</w:t>
              <w:br/>
              <w:t>End of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in</w:t>
              <w:br/>
              <w:t>Statements of</w:t>
              <w:br/>
              <w:t>Operations</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(89,008)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(89,483)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(67,889)</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(75,178)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(38,161)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(55,876)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(96,173)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(97,134)</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(34,078)</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(73,983)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in AOCI</w:t>
              <w:br/>
              <w:t>Beginning of</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w:t>
              <w:br/>
              <w:t>Gain (Loss)</w:t>
              <w:br/>
              <w:t>Recognized in</w:t>
              <w:b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Gain (Loss)</w:t>
              <w:br/>
              <w:t>Reclassified from</w:t>
              <w:br/>
              <w:t>AOCI into</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in AOCI</w:t>
              <w:br/>
              <w:t>End of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in</w:t>
              <w:br/>
              <w:t>Statements of</w:t>
              <w:br/>
              <w:t>Operations</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income (expense), net </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(93,141)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(89,483)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(71,750)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30,751 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34,179 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(75,178)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(49,537)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(46,391)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(59,311)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(96,173)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(117,628)</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(38,226)</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(73,983)</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Derivative Instruments not Designated Hedges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foreign currency forward contracts to mitigate risk from the fluctuations in foreign currency exchange rates associated with intercompany balances in Chinese yuan (“CNH”) CHF, and EUR. These contracts typically settle at various dates within twelve months of execution. As of June 30, 2026, the notional amounts totaled CNH 90.0 million, CHF 12.0 million, and EUR 5.0 million equivalent to $13.3 million, $15.1 million, and $5.8 million,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2021, the Company entered into a foreign currency swap, with a notional amount of JPY 800.0 million, equivalent to $7.3 million, to mitigate the risk from fluctuations in foreign currency exchange rates associated with an intercompany loan denominated in Japanese yen.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In connection with the settlement of the related intercompany loan, the Company fully settled and unwound the derivative during the second quarter of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the foreign currency swaps not designated as hedges was $(0.5) million and $1.0 million as of June 30, 2026 and December 31, 2025,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gains and losses on derivative instruments not designated as hedges on the condensed consolidated statements of income, which was included in other income:</w:t>
      </w:r>
    </w:p>
    <w:tbl>
      <w:tblPr>
        <w:tblW w:w="7999" w:type="dxa"/>
        <w:jc w:val="center"/>
        <w:tblInd w:w="0" w:type="dxa"/>
        <w:tblLayout w:type="fixed"/>
        <w:tblCellMar>
          <w:top w:w="28" w:type="dxa"/>
          <w:left w:w="28" w:type="dxa"/>
          <w:bottom w:w="28" w:type="dxa"/>
          <w:right w:w="28" w:type="dxa"/>
        </w:tblCellMar>
      </w:tblPr>
      <w:tblGrid>
        <w:gridCol w:w="952"/>
        <w:gridCol w:w="835"/>
        <w:gridCol w:w="837"/>
        <w:gridCol w:w="109"/>
        <w:gridCol w:w="109"/>
        <w:gridCol w:w="109"/>
        <w:gridCol w:w="241"/>
        <w:gridCol w:w="517"/>
        <w:gridCol w:w="134"/>
        <w:gridCol w:w="134"/>
        <w:gridCol w:w="134"/>
        <w:gridCol w:w="134"/>
        <w:gridCol w:w="241"/>
        <w:gridCol w:w="775"/>
        <w:gridCol w:w="134"/>
        <w:gridCol w:w="109"/>
        <w:gridCol w:w="109"/>
        <w:gridCol w:w="109"/>
        <w:gridCol w:w="219"/>
        <w:gridCol w:w="472"/>
        <w:gridCol w:w="122"/>
        <w:gridCol w:w="122"/>
        <w:gridCol w:w="122"/>
        <w:gridCol w:w="122"/>
        <w:gridCol w:w="219"/>
        <w:gridCol w:w="707"/>
        <w:gridCol w:w="172"/>
      </w:tblGrid>
      <w:tr>
        <w:trPr/>
        <w:tc>
          <w:tcPr>
            <w:tcW w:w="9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Stock Based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stock options, restricted stock awards, performance stock units and restricted stock units outstanding under the Integra LifeSciences Holdings Corporation Fifth Amended and Restated 2003 Equity Incentive Plan, as amended (the “2003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Stock options issued under the 2003 Plan become exercisable over specified periods, generally within four years from the date of grant for officers and employees, within one year from date of grant for directors which generally expire eight years from the grant date for employees, and from six to ten years for directors and certain executive officers, except in certain instances that result in accelerated vesting due to death, disability, retirement age or change-in-control provisions within their grant agreements. The Company values stock option grants using the binomial distribution model. Restricted stock issued under the 2003 Plan vests over specified periods, generally three years after the date of grant. The vesting of performance stock issued under the 2003 Plan is subject to service and performance conditions.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were approximately $8.2 million of total unrecognized compensation costs related to unvested stock options. These costs are expected to be recognized over a weighted-average period of approximately three years. There were 765,840 stock options granted during the six months ended June 30, 2026. For the six months ended June 30, 2026, the weighted average grant date fair value for stock options granted was $8.28 per option.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Restricted Stock and Performance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Performance stock units, restricted stock units and restricted stock awards generally have requisite service periods of three years, except in certain instances that result in accelerated vesting due to death, disability, retirement age provision or change-in-control provisions in their grant agreements. Performance stock units are subject to graded vesting conditions based on specific revenue and profitability targets. The Company expenses the fair value of restricted stock awards and restricted stock units on a straight-line basis over the requisite service period. As of June 30, 2026, there was approximately $44.4 million of total unrecognized compensation costs related to these unvested awards. The Company expects to recognize these costs over a weighted-average period of approximately two years. The Company granted 2,909,403 restricted stock units and 1,149,357 performance stock units during the six months ended June 30, 2026. For the six months ended June 30, 2026, the weighted average grant date fair value for restricted stock units and performance stock units granted was $10.74 and $9.61 per award,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8. Retirement Plans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various defined benefit plans which cover certain employees in France, Japan, Germany and Switzerland.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periodic benefit costs for the Company’s defined benefit pension plans for the three and six months ended June 30, 2026 were $0.4 million and $0.9 million. The components of the net periodic benefit costs other than the service cost component of $1.0 million and $2.0 million for the three and six months ended June 30, 2026 are included in other income, net in the consolidated statements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periodic benefit costs for the Company’s defined benefit pension plans for the three and six months ended June 30, 2025 were $0.4 million and $0.7 million. The components of the net periodic benefit costs other than the service cost component of $0.8 million and $1.6 million for the three and six months ended June 30, 2025 are included in other income, net in the consolidated statements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plan assets were $69.7 million and $71.7 million as of June 30, 2026 and December 31, 2025, respectively. The net plan assets of the pension plans are invested in common trusts as of June 30, 2026 and December 31, 2025.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Deferred Compensation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a deferred compensation plan in which certain employees of the Company may defer the payment and taxation of up to 75% of their base salary and up to 100% of bonus amounts and other eligible cash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were $8.1 million and $7.9 million as of June 30, 2026 and December 31, 2025, respectively. Offsetting liabilities relating to the deferred compensation plan are included in other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9. Leases and Related Party 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leases administrative, manufacturing, research and distribution facilities, equipment and vehicles through operating lease agreements. The Company has no finance leases as of June 30, 2026. Many of the Company’s facility leases include both lease (e.g., fixed payments including rent) and non-lease components (e.g., common-area or other maintenance costs). For vehicles, the Company has elected the practical expedient to group lease and non-lease components.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most of the Company’s leases do not provide an implicit rate, the Company uses a collateralized incremental borrowing rate based on the information available at the lease commencement date in determining the present value of the lease payments.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operating lease expense for the six months ended June 30, 2026 and June 30, 2025 was $13.0 million and $11.9 million, respectively, which includes $0.1 million in related party operating lease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operating leases were as follows:</w:t>
      </w:r>
    </w:p>
    <w:tbl>
      <w:tblPr>
        <w:tblW w:w="7574" w:type="dxa"/>
        <w:jc w:val="center"/>
        <w:tblInd w:w="0" w:type="dxa"/>
        <w:tblLayout w:type="fixed"/>
        <w:tblCellMar>
          <w:top w:w="28" w:type="dxa"/>
          <w:left w:w="28" w:type="dxa"/>
          <w:bottom w:w="28" w:type="dxa"/>
          <w:right w:w="28" w:type="dxa"/>
        </w:tblCellMar>
      </w:tblPr>
      <w:tblGrid>
        <w:gridCol w:w="1461"/>
        <w:gridCol w:w="1282"/>
        <w:gridCol w:w="1291"/>
        <w:gridCol w:w="109"/>
        <w:gridCol w:w="109"/>
        <w:gridCol w:w="109"/>
        <w:gridCol w:w="109"/>
        <w:gridCol w:w="196"/>
        <w:gridCol w:w="736"/>
        <w:gridCol w:w="256"/>
        <w:gridCol w:w="109"/>
        <w:gridCol w:w="109"/>
        <w:gridCol w:w="109"/>
        <w:gridCol w:w="252"/>
        <w:gridCol w:w="949"/>
        <w:gridCol w:w="388"/>
      </w:tblGrid>
      <w:tr>
        <w:trPr/>
        <w:tc>
          <w:tcPr>
            <w:tcW w:w="146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 except lease term and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137,085 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140,568 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14,019 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163,059 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177,078 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years</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vehicles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years</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years</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vehicles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for the six months ended June 30, 2026 and 2025 were as follows:</w:t>
      </w:r>
    </w:p>
    <w:tbl>
      <w:tblPr>
        <w:tblW w:w="8230" w:type="dxa"/>
        <w:jc w:val="center"/>
        <w:tblInd w:w="0" w:type="dxa"/>
        <w:tblLayout w:type="fixed"/>
        <w:tblCellMar>
          <w:top w:w="28" w:type="dxa"/>
          <w:left w:w="28" w:type="dxa"/>
          <w:bottom w:w="28" w:type="dxa"/>
          <w:right w:w="28" w:type="dxa"/>
        </w:tblCellMar>
      </w:tblPr>
      <w:tblGrid>
        <w:gridCol w:w="2013"/>
        <w:gridCol w:w="1766"/>
        <w:gridCol w:w="1770"/>
        <w:gridCol w:w="263"/>
        <w:gridCol w:w="746"/>
        <w:gridCol w:w="146"/>
        <w:gridCol w:w="109"/>
        <w:gridCol w:w="109"/>
        <w:gridCol w:w="109"/>
        <w:gridCol w:w="236"/>
        <w:gridCol w:w="778"/>
        <w:gridCol w:w="185"/>
      </w:tblGrid>
      <w:tr>
        <w:trPr/>
        <w:tc>
          <w:tcPr>
            <w:tcW w:w="2013"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paid for amounts included in the measurement of lease liabilities: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operating leases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 obtained in exchange for lease liabilities, net of modifications: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operating leases at June 30, 2026 were as follows:</w:t>
      </w:r>
    </w:p>
    <w:tbl>
      <w:tblPr>
        <w:tblW w:w="6329" w:type="dxa"/>
        <w:jc w:val="left"/>
        <w:tblInd w:w="0" w:type="dxa"/>
        <w:tblLayout w:type="fixed"/>
        <w:tblCellMar>
          <w:top w:w="28" w:type="dxa"/>
          <w:left w:w="28" w:type="dxa"/>
          <w:bottom w:w="28" w:type="dxa"/>
          <w:right w:w="28" w:type="dxa"/>
        </w:tblCellMar>
      </w:tblPr>
      <w:tblGrid>
        <w:gridCol w:w="838"/>
        <w:gridCol w:w="735"/>
        <w:gridCol w:w="737"/>
        <w:gridCol w:w="328"/>
        <w:gridCol w:w="705"/>
        <w:gridCol w:w="182"/>
        <w:gridCol w:w="109"/>
        <w:gridCol w:w="109"/>
        <w:gridCol w:w="109"/>
        <w:gridCol w:w="200"/>
        <w:gridCol w:w="753"/>
        <w:gridCol w:w="111"/>
        <w:gridCol w:w="109"/>
        <w:gridCol w:w="109"/>
        <w:gridCol w:w="109"/>
        <w:gridCol w:w="196"/>
        <w:gridCol w:w="736"/>
        <w:gridCol w:w="154"/>
      </w:tblGrid>
      <w:tr>
        <w:trPr/>
        <w:tc>
          <w:tcPr>
            <w:tcW w:w="83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minimum lease payments</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258,077 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82,483 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lease liabilities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lease liabilities</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future minimum lease payments under finance leases at June 30,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Related Party 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one of its manufacturing facilities in Plainsboro, New Jersey, from a general partnership that is 50% owned by a principal stockholder of the Company. The term of the current lease agreement is through October 31, 2029 at an annual rate of approximately $0.3 million.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10. Treasury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there were 14.4 million and 14.4 million shares of treasury stock outstanding with a cost of $686.9 million and $689.2 million, respectively, at a weighted average cost per share of $47.86 for both periods.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December 31, 2025, the Company’s share repurchase program expired. At the time of expiration, approximately $50.0 million remained available for repurchase. The Company did not adopt a new share repurchase program upon the expiration.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11. Income Taxes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Company’s effective tax rate:</w:t>
      </w:r>
    </w:p>
    <w:tbl>
      <w:tblPr>
        <w:tblW w:w="6549" w:type="dxa"/>
        <w:jc w:val="center"/>
        <w:tblInd w:w="0" w:type="dxa"/>
        <w:tblLayout w:type="fixed"/>
        <w:tblCellMar>
          <w:top w:w="28" w:type="dxa"/>
          <w:left w:w="28" w:type="dxa"/>
          <w:bottom w:w="28" w:type="dxa"/>
          <w:right w:w="28" w:type="dxa"/>
        </w:tblCellMar>
      </w:tblPr>
      <w:tblGrid>
        <w:gridCol w:w="477"/>
        <w:gridCol w:w="420"/>
        <w:gridCol w:w="422"/>
        <w:gridCol w:w="209"/>
        <w:gridCol w:w="209"/>
        <w:gridCol w:w="491"/>
        <w:gridCol w:w="209"/>
        <w:gridCol w:w="209"/>
        <w:gridCol w:w="209"/>
        <w:gridCol w:w="209"/>
        <w:gridCol w:w="209"/>
        <w:gridCol w:w="491"/>
        <w:gridCol w:w="109"/>
        <w:gridCol w:w="109"/>
        <w:gridCol w:w="109"/>
        <w:gridCol w:w="278"/>
        <w:gridCol w:w="278"/>
        <w:gridCol w:w="442"/>
        <w:gridCol w:w="188"/>
        <w:gridCol w:w="188"/>
        <w:gridCol w:w="188"/>
        <w:gridCol w:w="188"/>
        <w:gridCol w:w="188"/>
        <w:gridCol w:w="520"/>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tax rate</w:t>
            </w:r>
          </w:p>
        </w:tc>
        <w:tc>
          <w:tcPr>
            <w:tcW w:w="4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rates for the three months ended June 30, 2026 and 2025 were 5.5% and 8.8%, respectively. The 2026 effective tax rate was primarily impacted by tax benefits associated with returns filed in certain foreign jurisdictions, as well as the jurisdictional mix of income, including its impact on the Company’s net Controlled Foreign Corporation tested income (“NCTI”) inclusion, formerly referred to as Global Intangible Low Taxed Income (“GILTI”). The 2025 effective tax rate was primarily impacted by a partially non-deductible goodwill impairment charge, NCTI, and additional taxes related to global minimum tax requirements in certain foreign jurisdictions, partially offset by tax benefits from operating losses in certain jurisdictions.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income tax rates for the six months ended June 30, 2026 and 2025 were 105.7% and 9.2%, respectively. The 2026 effective tax rate was primarily impacted by tax expense related to a shortfall from stock-based compensation due to market conditions, partially offset by a tax benefit from returns filed in certain foreign jurisdictions. The 2025 effective tax rate was primarily impacted by a partially non-deductible goodwill impairment charge, GILTI, and additional taxes related to global minimum tax requirements in certain foreign jurisdictions, partially offset by tax benefits from operating losses in certain jurisdictions.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Changes in tax laws or regulations in the jurisdictions in which the Company operates could impact its effective tax rate. Governments in the U.S. and abroad continue to focus on tax reform and revenue-raising legislation. On July 4, 2025, the One Big Beautiful Bill Act (“OBBBA”), was enacted in the U.S. The OBBBA includes several tax law changes, including extensions of certain 2017 Tax Cuts and Jobs Act provisions, immediate expensing of certain research and development costs, and changes to interest expense deduction limitations.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continues to monitor tax legislation enacted by foreign jurisdictions in response to the Organization of Economic Cooperation and Development's (“OECD”) Pillar Two global minimum tax framework. Pillar Two generally provides for a 15% minimum tax on large multinational companies on a jurisdiction-by-jurisdiction basis, with certain provisions effective beginning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12. Net Income (loss) Per Share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was as follows:</w:t>
      </w:r>
    </w:p>
    <w:tbl>
      <w:tblPr>
        <w:tblW w:w="10205" w:type="dxa"/>
        <w:jc w:val="left"/>
        <w:tblInd w:w="0" w:type="dxa"/>
        <w:tblLayout w:type="fixed"/>
        <w:tblCellMar>
          <w:top w:w="28" w:type="dxa"/>
          <w:left w:w="28" w:type="dxa"/>
          <w:bottom w:w="28" w:type="dxa"/>
          <w:right w:w="28" w:type="dxa"/>
        </w:tblCellMar>
      </w:tblPr>
      <w:tblGrid>
        <w:gridCol w:w="1535"/>
        <w:gridCol w:w="1343"/>
        <w:gridCol w:w="1348"/>
        <w:gridCol w:w="206"/>
        <w:gridCol w:w="586"/>
        <w:gridCol w:w="114"/>
        <w:gridCol w:w="114"/>
        <w:gridCol w:w="114"/>
        <w:gridCol w:w="114"/>
        <w:gridCol w:w="206"/>
        <w:gridCol w:w="847"/>
        <w:gridCol w:w="114"/>
        <w:gridCol w:w="109"/>
        <w:gridCol w:w="109"/>
        <w:gridCol w:w="109"/>
        <w:gridCol w:w="450"/>
        <w:gridCol w:w="1129"/>
        <w:gridCol w:w="249"/>
        <w:gridCol w:w="249"/>
        <w:gridCol w:w="196"/>
        <w:gridCol w:w="804"/>
        <w:gridCol w:w="160"/>
      </w:tblGrid>
      <w:tr>
        <w:trPr/>
        <w:tc>
          <w:tcPr>
            <w:tcW w:w="153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160" w:type="dxa"/>
            <w:gridSpan w:val="3"/>
            <w:tcBorders/>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Dollars in thousands, except per share amounts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249" w:type="dxa"/>
            <w:tcBorders/>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Basic net income (loss) per share:</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(484,073)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(509,366)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77,122 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(loss) per common share</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Diluted net income (loss) per share:</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(484,073)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(509,366)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77,122 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and restricted stock</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for diluted earnings per share</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76,695 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77,122 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76,579 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(loss) per common share</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by the weighted-average common shares outstanding during the period. Diluted earnings per share is computed based on the weighted-average common shares outstanding plus the effect of dilutive potential common shares outstanding during the period calculated using the treasury stock method. Dilutive potential common shares include employee equity share options, non-vested shares, and similar equity instruments granted by the Company. Potential common share equivalents have been excluded where their inclusion would be anti-dilutive. For periods in which the Company generated a net loss, the Company does not include the potential impact of dilutive securities in diluted net loss per share, as the impact of these items is anti-dilutive.</w:t>
      </w:r>
    </w:p>
    <w:p>
      <w:pPr>
        <w:pStyle w:val="TextBody"/>
        <w:bidi w:val="0"/>
        <w:spacing w:lineRule="auto" w:line="288" w:before="120" w:after="120"/>
        <w:jc w:val="both"/>
        <w:rPr/>
      </w:pPr>
      <w:r>
        <w:rPr>
          <w:rFonts w:ascii="Times New Roman;serif" w:hAnsi="Times New Roman;serif"/>
          <w:b w:val="false"/>
          <w:color w:val="000000"/>
          <w:sz w:val="20"/>
        </w:rPr>
        <w:t>Common stock of approximately 1.8 million and 1.5 million</w:t>
      </w:r>
      <w:r>
        <w:rPr>
          <w:color w:val="000000"/>
          <w:shd w:fill="FFFFFF" w:val="clear"/>
        </w:rPr>
        <w:t xml:space="preserve"> </w:t>
      </w:r>
      <w:r>
        <w:rPr>
          <w:rFonts w:ascii="Times New Roman;serif" w:hAnsi="Times New Roman;serif"/>
          <w:b w:val="false"/>
          <w:color w:val="000000"/>
          <w:sz w:val="20"/>
          <w:shd w:fill="FFFFFF" w:val="clear"/>
        </w:rPr>
        <w:t xml:space="preserve">shares at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and 2025, res</w:t>
      </w:r>
      <w:r>
        <w:rPr>
          <w:rFonts w:ascii="Times New Roman;serif" w:hAnsi="Times New Roman;serif"/>
          <w:b w:val="false"/>
          <w:color w:val="000000"/>
          <w:sz w:val="20"/>
        </w:rPr>
        <w:t>pectively, were not included in the computation of diluted net income and diluted net loss per share, respectively, because their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13. Accumulated Other Comprehensive Loss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Comprehensive loss for the three and six months ended June 30, 2026 and 2025:</w:t>
      </w:r>
    </w:p>
    <w:tbl>
      <w:tblPr>
        <w:tblW w:w="9019" w:type="dxa"/>
        <w:jc w:val="left"/>
        <w:tblInd w:w="0" w:type="dxa"/>
        <w:tblLayout w:type="fixed"/>
        <w:tblCellMar>
          <w:top w:w="28" w:type="dxa"/>
          <w:left w:w="28" w:type="dxa"/>
          <w:bottom w:w="28" w:type="dxa"/>
          <w:right w:w="28" w:type="dxa"/>
        </w:tblCellMar>
      </w:tblPr>
      <w:tblGrid>
        <w:gridCol w:w="1355"/>
        <w:gridCol w:w="1189"/>
        <w:gridCol w:w="1191"/>
        <w:gridCol w:w="201"/>
        <w:gridCol w:w="648"/>
        <w:gridCol w:w="112"/>
        <w:gridCol w:w="112"/>
        <w:gridCol w:w="112"/>
        <w:gridCol w:w="112"/>
        <w:gridCol w:w="201"/>
        <w:gridCol w:w="833"/>
        <w:gridCol w:w="112"/>
        <w:gridCol w:w="109"/>
        <w:gridCol w:w="109"/>
        <w:gridCol w:w="109"/>
        <w:gridCol w:w="196"/>
        <w:gridCol w:w="721"/>
        <w:gridCol w:w="109"/>
        <w:gridCol w:w="109"/>
        <w:gridCol w:w="109"/>
        <w:gridCol w:w="109"/>
        <w:gridCol w:w="196"/>
        <w:gridCol w:w="811"/>
        <w:gridCol w:w="154"/>
      </w:tblGrid>
      <w:tr>
        <w:trPr/>
        <w:tc>
          <w:tcPr>
            <w:tcW w:w="135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(484,073)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(509,366)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unrealized gain on derivatives, net of tax</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liability adjustment, net of tax</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net</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(490,874)</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(512,702)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loss by component between December 31, 2025 and June 30, 2026 are presented in the table below, net of tax:</w:t>
      </w:r>
    </w:p>
    <w:tbl>
      <w:tblPr>
        <w:tblW w:w="10205" w:type="dxa"/>
        <w:jc w:val="left"/>
        <w:tblInd w:w="0" w:type="dxa"/>
        <w:tblLayout w:type="fixed"/>
        <w:tblCellMar>
          <w:top w:w="28" w:type="dxa"/>
          <w:left w:w="28" w:type="dxa"/>
          <w:bottom w:w="28" w:type="dxa"/>
          <w:right w:w="28" w:type="dxa"/>
        </w:tblCellMar>
      </w:tblPr>
      <w:tblGrid>
        <w:gridCol w:w="1295"/>
        <w:gridCol w:w="954"/>
        <w:gridCol w:w="958"/>
        <w:gridCol w:w="109"/>
        <w:gridCol w:w="109"/>
        <w:gridCol w:w="109"/>
        <w:gridCol w:w="348"/>
        <w:gridCol w:w="1147"/>
        <w:gridCol w:w="194"/>
        <w:gridCol w:w="109"/>
        <w:gridCol w:w="109"/>
        <w:gridCol w:w="109"/>
        <w:gridCol w:w="353"/>
        <w:gridCol w:w="1004"/>
        <w:gridCol w:w="196"/>
        <w:gridCol w:w="109"/>
        <w:gridCol w:w="109"/>
        <w:gridCol w:w="109"/>
        <w:gridCol w:w="274"/>
        <w:gridCol w:w="978"/>
        <w:gridCol w:w="152"/>
        <w:gridCol w:w="109"/>
        <w:gridCol w:w="109"/>
        <w:gridCol w:w="109"/>
        <w:gridCol w:w="196"/>
        <w:gridCol w:w="687"/>
        <w:gridCol w:w="161"/>
      </w:tblGrid>
      <w:tr>
        <w:trPr/>
        <w:tc>
          <w:tcPr>
            <w:tcW w:w="129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and Losses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Defined Benefit Pension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(51,009)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Amounts reclassified from accumulated other comprehensive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current-period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10,083 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(54,898)</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(40,197)</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reclassified gains of $15.8 million and $11.5 million from AOCI to other income and interest income, respectively. Additionally, the Company reclassified a loss of $0.4 million from AOCI to cost of goods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14. Segment and Geographic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organized primarily on the basis of products and operates two global reportable segments. Resources are allocated and performance is assessed by the Company’s President and Chief Executive Officer, which the Company has determined to be the CODM.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renamed its two reportable segments to better align with the reportable segments’ business activities, structures, and strategies. The reportable segment name change did not result in any change to the composition of the reportable segments and has no impact on previously reported financial information. The two reportable segments and their activities are described below.</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Specialty Surgery reportable segment operations consist of (i) the Neurosurgery business, which sells a full line of products for neurosurgery and neuro critical care such as tissue ablation equipment, dural repair products, cerebral spinal fluid management devices, intracranial monitoring equipment, and cranial stabilization equipment; (ii) the Surgical Instruments business, which sells more than 40,000 instrument patterns and surgical and lighting products to hospitals, surgery centers, dental, podiatry, and veterinary offices; and (iii) the ENT Solutions business, which includes instrumentation, balloon technologies for sinus dilation and eustachian tube dilation, as well as surgical navigation systems.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Tissue Reconstruction reportable segment operations consists of the Wound Reconstruction Solutions business, which sells offerings such as skin and wound repair, plastics and surgical reconstruction products and nerve and tendon repair products. The Tissue Reconstruction segment also includes the Company’s private label business which performs contract manufacturing for third parties.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Corporate and Other category includes a portion of various executive, finance, human resource, information systems and legal functions which are not allocated to the reportable segments. During the six months ended June 30, 2026, the Company updated the allocation of certain cost and expense information that the CODM regularly reviews to evaluate performance for decision-making purposes from the Corporate and Other category to the Company’s reportable segments to align with how the CODM reviews and manages the business. As a result of this update, the Company retrospectively recast prior period results, by reportable segment, to conform to the current period presentation. This update had no impact on the Company’s consolidated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both reportable segments, the CODM uses segment revenue and segment operating income to assess the performance for each segment and in the annual budgeting and forecasting process. The CODM considers budget-to-actual variances on a quarterly basis for segment revenue and segment operating income when making decisions about allocating capital and personnel to the reportable segments.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operating results of the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reportable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sales and profit by each reportable segment for the three and six months ended June 30, 2026 and 2025 are as follows:</w:t>
      </w:r>
    </w:p>
    <w:tbl>
      <w:tblPr>
        <w:tblW w:w="11947" w:type="dxa"/>
        <w:jc w:val="left"/>
        <w:tblInd w:w="0" w:type="dxa"/>
        <w:tblLayout w:type="fixed"/>
        <w:tblCellMar>
          <w:top w:w="28" w:type="dxa"/>
          <w:left w:w="28" w:type="dxa"/>
          <w:bottom w:w="28" w:type="dxa"/>
          <w:right w:w="28" w:type="dxa"/>
        </w:tblCellMar>
      </w:tblPr>
      <w:tblGrid>
        <w:gridCol w:w="727"/>
        <w:gridCol w:w="295"/>
        <w:gridCol w:w="269"/>
        <w:gridCol w:w="196"/>
        <w:gridCol w:w="736"/>
        <w:gridCol w:w="109"/>
        <w:gridCol w:w="109"/>
        <w:gridCol w:w="109"/>
        <w:gridCol w:w="109"/>
        <w:gridCol w:w="226"/>
        <w:gridCol w:w="849"/>
        <w:gridCol w:w="126"/>
        <w:gridCol w:w="109"/>
        <w:gridCol w:w="109"/>
        <w:gridCol w:w="109"/>
        <w:gridCol w:w="240"/>
        <w:gridCol w:w="497"/>
        <w:gridCol w:w="134"/>
        <w:gridCol w:w="109"/>
        <w:gridCol w:w="109"/>
        <w:gridCol w:w="109"/>
        <w:gridCol w:w="196"/>
        <w:gridCol w:w="736"/>
        <w:gridCol w:w="109"/>
        <w:gridCol w:w="109"/>
        <w:gridCol w:w="109"/>
        <w:gridCol w:w="109"/>
        <w:gridCol w:w="196"/>
        <w:gridCol w:w="736"/>
        <w:gridCol w:w="109"/>
        <w:gridCol w:w="109"/>
        <w:gridCol w:w="109"/>
        <w:gridCol w:w="109"/>
        <w:gridCol w:w="226"/>
        <w:gridCol w:w="849"/>
        <w:gridCol w:w="126"/>
        <w:gridCol w:w="109"/>
        <w:gridCol w:w="109"/>
        <w:gridCol w:w="109"/>
        <w:gridCol w:w="254"/>
        <w:gridCol w:w="497"/>
        <w:gridCol w:w="134"/>
        <w:gridCol w:w="109"/>
        <w:gridCol w:w="109"/>
        <w:gridCol w:w="109"/>
        <w:gridCol w:w="196"/>
        <w:gridCol w:w="73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35" w:type="dxa"/>
            <w:gridSpan w:val="21"/>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94" w:type="dxa"/>
            <w:gridSpan w:val="21"/>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291"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Specialty Surgery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Tissue Reconstruction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Corporate and Other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Specialty Surgery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Tissue Reconstruction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Corporate and Other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net</w:t>
            </w:r>
          </w:p>
        </w:tc>
        <w:tc>
          <w:tcPr>
            <w:tcW w:w="196" w:type="dxa"/>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309,269 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109,492 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418,761 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218,275 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810,679 </w:t>
            </w:r>
          </w:p>
        </w:tc>
        <w:tc>
          <w:tcPr>
            <w:tcW w:w="154" w:type="dxa"/>
            <w:tcBorders>
              <w:top w:val="single" w:sz="4" w:space="0" w:color="000000"/>
              <w:right w:val="single" w:sz="4"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32"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26,816 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373,953 </w:t>
            </w:r>
          </w:p>
        </w:tc>
        <w:tc>
          <w:tcPr>
            <w:tcW w:w="154" w:type="dxa"/>
            <w:tcBorders>
              <w:right w:val="single" w:sz="4"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47,754 </w:t>
            </w:r>
          </w:p>
        </w:tc>
        <w:tc>
          <w:tcPr>
            <w:tcW w:w="15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&amp; administrative</w:t>
            </w:r>
          </w:p>
        </w:tc>
        <w:tc>
          <w:tcPr>
            <w:tcW w:w="932"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56,059 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113,087 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350,671 </w:t>
            </w:r>
          </w:p>
        </w:tc>
        <w:tc>
          <w:tcPr>
            <w:tcW w:w="154" w:type="dxa"/>
            <w:tcBorders>
              <w:right w:val="single" w:sz="4"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932" w:type="dxa"/>
            <w:gridSpan w:val="2"/>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7,546 </w:t>
            </w:r>
          </w:p>
        </w:tc>
        <w:tc>
          <w:tcPr>
            <w:tcW w:w="15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 and expenses</w:t>
            </w:r>
          </w:p>
        </w:tc>
        <w:tc>
          <w:tcPr>
            <w:tcW w:w="932" w:type="dxa"/>
            <w:gridSpan w:val="2"/>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90,552 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88,529 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399,476 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420,404 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179,069 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180,451 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779,924 </w:t>
            </w:r>
          </w:p>
        </w:tc>
        <w:tc>
          <w:tcPr>
            <w:tcW w:w="154" w:type="dxa"/>
            <w:tcBorders>
              <w:top w:val="single" w:sz="4" w:space="0" w:color="000000"/>
              <w:right w:val="single" w:sz="4"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932" w:type="dxa"/>
            <w:gridSpan w:val="2"/>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88,874 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18,940 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(88,529)</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39,206 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(180,451)</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30,755 </w:t>
            </w:r>
          </w:p>
        </w:tc>
        <w:tc>
          <w:tcPr>
            <w:tcW w:w="154" w:type="dxa"/>
            <w:tcBorders>
              <w:top w:val="single" w:sz="4" w:space="0" w:color="000000"/>
              <w:right w:val="single" w:sz="4"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4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8,372 </w:t>
            </w:r>
          </w:p>
        </w:tc>
        <w:tc>
          <w:tcPr>
            <w:tcW w:w="154"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41"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(45,459)</w:t>
            </w:r>
          </w:p>
        </w:tc>
        <w:tc>
          <w:tcPr>
            <w:tcW w:w="154" w:type="dxa"/>
            <w:tcBorders>
              <w:right w:val="single" w:sz="4"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41"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8,665 </w:t>
            </w:r>
          </w:p>
        </w:tc>
        <w:tc>
          <w:tcPr>
            <w:tcW w:w="15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1041"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154" w:type="dxa"/>
            <w:tcBorders>
              <w:top w:val="single" w:sz="8" w:space="0" w:color="000000"/>
              <w:right w:val="single" w:sz="4"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4" w:space="0" w:color="000000"/>
              <w:right w:val="single" w:sz="4" w:space="0" w:color="000000"/>
            </w:tcBorders>
            <w:tcMar>
              <w:left w:w="0" w:type="dxa"/>
            </w:tcMar>
            <w:vAlign w:val="center"/>
          </w:tcPr>
          <w:p>
            <w:pPr>
              <w:pStyle w:val="TableContents"/>
              <w:bidi w:val="0"/>
              <w:spacing w:before="0" w:after="283"/>
              <w:jc w:val="left"/>
              <w:rPr>
                <w:sz w:val="4"/>
                <w:szCs w:val="4"/>
              </w:rPr>
            </w:pPr>
            <w:r>
              <w:rPr>
                <w:sz w:val="4"/>
                <w:szCs w:val="4"/>
              </w:rPr>
            </w:r>
          </w:p>
        </w:tc>
      </w:tr>
    </w:tbl>
    <w:tbl>
      <w:tblPr>
        <w:tblW w:w="12178" w:type="dxa"/>
        <w:jc w:val="left"/>
        <w:tblInd w:w="0" w:type="dxa"/>
        <w:tblLayout w:type="fixed"/>
        <w:tblCellMar>
          <w:top w:w="28" w:type="dxa"/>
          <w:left w:w="28" w:type="dxa"/>
          <w:bottom w:w="28" w:type="dxa"/>
          <w:right w:w="28" w:type="dxa"/>
        </w:tblCellMar>
      </w:tblPr>
      <w:tblGrid>
        <w:gridCol w:w="754"/>
        <w:gridCol w:w="268"/>
        <w:gridCol w:w="269"/>
        <w:gridCol w:w="196"/>
        <w:gridCol w:w="751"/>
        <w:gridCol w:w="109"/>
        <w:gridCol w:w="109"/>
        <w:gridCol w:w="109"/>
        <w:gridCol w:w="109"/>
        <w:gridCol w:w="222"/>
        <w:gridCol w:w="854"/>
        <w:gridCol w:w="125"/>
        <w:gridCol w:w="109"/>
        <w:gridCol w:w="109"/>
        <w:gridCol w:w="109"/>
        <w:gridCol w:w="240"/>
        <w:gridCol w:w="497"/>
        <w:gridCol w:w="134"/>
        <w:gridCol w:w="109"/>
        <w:gridCol w:w="109"/>
        <w:gridCol w:w="109"/>
        <w:gridCol w:w="196"/>
        <w:gridCol w:w="751"/>
        <w:gridCol w:w="109"/>
        <w:gridCol w:w="109"/>
        <w:gridCol w:w="109"/>
        <w:gridCol w:w="109"/>
        <w:gridCol w:w="196"/>
        <w:gridCol w:w="751"/>
        <w:gridCol w:w="109"/>
        <w:gridCol w:w="109"/>
        <w:gridCol w:w="109"/>
        <w:gridCol w:w="109"/>
        <w:gridCol w:w="222"/>
        <w:gridCol w:w="854"/>
        <w:gridCol w:w="125"/>
        <w:gridCol w:w="109"/>
        <w:gridCol w:w="109"/>
        <w:gridCol w:w="109"/>
        <w:gridCol w:w="196"/>
        <w:gridCol w:w="751"/>
        <w:gridCol w:w="109"/>
        <w:gridCol w:w="109"/>
        <w:gridCol w:w="109"/>
        <w:gridCol w:w="109"/>
        <w:gridCol w:w="196"/>
        <w:gridCol w:w="751"/>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65" w:type="dxa"/>
            <w:gridSpan w:val="21"/>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95" w:type="dxa"/>
            <w:gridSpan w:val="21"/>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291"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Specialty Surgery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Tissue Reconstruction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Corporate and Other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Specialty Surgery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Tissue Reconstruction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Corporate and Other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net</w:t>
            </w:r>
          </w:p>
        </w:tc>
        <w:tc>
          <w:tcPr>
            <w:tcW w:w="196" w:type="dxa"/>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111,647 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584,622 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213,636 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798,258 </w:t>
            </w:r>
          </w:p>
        </w:tc>
        <w:tc>
          <w:tcPr>
            <w:tcW w:w="154" w:type="dxa"/>
            <w:tcBorders>
              <w:top w:val="single" w:sz="4" w:space="0" w:color="000000"/>
              <w:right w:val="single" w:sz="4"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goods sold </w:t>
            </w:r>
            <w:r>
              <w:rPr>
                <w:rFonts w:ascii="Times New Roman;serif" w:hAnsi="Times New Roman;serif"/>
                <w:b w:val="false"/>
                <w:color w:val="000000"/>
                <w:sz w:val="12"/>
              </w:rPr>
              <w:t>(1)</w:t>
            </w:r>
          </w:p>
        </w:tc>
        <w:tc>
          <w:tcPr>
            <w:tcW w:w="947"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394,494 </w:t>
            </w:r>
          </w:p>
        </w:tc>
        <w:tc>
          <w:tcPr>
            <w:tcW w:w="154" w:type="dxa"/>
            <w:tcBorders>
              <w:right w:val="single" w:sz="4"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Research and development </w:t>
            </w:r>
            <w:r>
              <w:rPr>
                <w:rFonts w:ascii="Times New Roman;serif" w:hAnsi="Times New Roman;serif"/>
                <w:b w:val="false"/>
                <w:color w:val="000000"/>
                <w:sz w:val="12"/>
              </w:rPr>
              <w:t>(1)</w:t>
            </w:r>
          </w:p>
        </w:tc>
        <w:tc>
          <w:tcPr>
            <w:tcW w:w="947" w:type="dxa"/>
            <w:gridSpan w:val="2"/>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51,725 </w:t>
            </w:r>
          </w:p>
        </w:tc>
        <w:tc>
          <w:tcPr>
            <w:tcW w:w="15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Selling, general &amp; administrative </w:t>
            </w:r>
            <w:r>
              <w:rPr>
                <w:rFonts w:ascii="Times New Roman;serif" w:hAnsi="Times New Roman;serif"/>
                <w:b w:val="false"/>
                <w:color w:val="000000"/>
                <w:sz w:val="12"/>
              </w:rPr>
              <w:t>(1)</w:t>
            </w:r>
          </w:p>
        </w:tc>
        <w:tc>
          <w:tcPr>
            <w:tcW w:w="947"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361,387 </w:t>
            </w:r>
          </w:p>
        </w:tc>
        <w:tc>
          <w:tcPr>
            <w:tcW w:w="154" w:type="dxa"/>
            <w:tcBorders>
              <w:right w:val="single" w:sz="4"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947" w:type="dxa"/>
            <w:gridSpan w:val="2"/>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7,458 </w:t>
            </w:r>
          </w:p>
        </w:tc>
        <w:tc>
          <w:tcPr>
            <w:tcW w:w="15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947"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511,365 </w:t>
            </w:r>
          </w:p>
        </w:tc>
        <w:tc>
          <w:tcPr>
            <w:tcW w:w="154" w:type="dxa"/>
            <w:tcBorders>
              <w:right w:val="single" w:sz="4"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 and expenses</w:t>
            </w:r>
          </w:p>
        </w:tc>
        <w:tc>
          <w:tcPr>
            <w:tcW w:w="94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606,150 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230,999 </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91,130 </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928,279 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814,595 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328,544 </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183,290 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1,326,429 </w:t>
            </w:r>
          </w:p>
        </w:tc>
        <w:tc>
          <w:tcPr>
            <w:tcW w:w="154"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left w:val="single" w:sz="4"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left w:val="single" w:sz="4"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right w:val="single" w:sz="4"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loss</w:t>
            </w:r>
          </w:p>
        </w:tc>
        <w:tc>
          <w:tcPr>
            <w:tcW w:w="196" w:type="dxa"/>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(302,192)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(119,352)</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(91,130)</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(512,674)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(229,973)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(114,908)</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(183,290)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(528,171)</w:t>
            </w:r>
          </w:p>
        </w:tc>
        <w:tc>
          <w:tcPr>
            <w:tcW w:w="154"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56" w:type="dxa"/>
            <w:gridSpan w:val="3"/>
            <w:tcBorders>
              <w:top w:val="single" w:sz="4" w:space="0" w:color="000000"/>
              <w:left w:val="single" w:sz="4"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left w:val="single" w:sz="4"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9,130 </w:t>
            </w:r>
          </w:p>
        </w:tc>
        <w:tc>
          <w:tcPr>
            <w:tcW w:w="154" w:type="dxa"/>
            <w:tcBorders>
              <w:top w:val="single" w:sz="4" w:space="0" w:color="000000"/>
              <w:right w:val="single" w:sz="4"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56"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(39,857)</w:t>
            </w:r>
          </w:p>
        </w:tc>
        <w:tc>
          <w:tcPr>
            <w:tcW w:w="15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56"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w:t>
            </w:r>
          </w:p>
        </w:tc>
        <w:tc>
          <w:tcPr>
            <w:tcW w:w="154" w:type="dxa"/>
            <w:tcBorders>
              <w:right w:val="single" w:sz="4"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1056"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(530,952)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(560,988)</w:t>
            </w:r>
          </w:p>
        </w:tc>
        <w:tc>
          <w:tcPr>
            <w:tcW w:w="154" w:type="dxa"/>
            <w:tcBorders>
              <w:top w:val="single" w:sz="8"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bottom w:val="single" w:sz="4"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left w:val="single" w:sz="4" w:space="0" w:color="000000"/>
              <w:bottom w:val="single" w:sz="4"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left w:val="single" w:sz="4" w:space="0" w:color="000000"/>
              <w:bottom w:val="single" w:sz="4"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bottom w:val="single" w:sz="4" w:space="0" w:color="000000"/>
              <w:right w:val="single" w:sz="4" w:space="0" w:color="000000"/>
            </w:tcBorders>
            <w:shd w:fill="CCEE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16"/>
        </w:rPr>
        <w:t>(1) The amounts reported for the three and six months ended June 30, 2025 have been retrospectively recast to reflect the realignment of certain cost and expense information as discussed in</w:t>
      </w:r>
      <w:r>
        <w:rPr>
          <w:color w:val="000000"/>
        </w:rPr>
        <w:t xml:space="preserve"> </w:t>
      </w:r>
      <w:r>
        <w:rPr>
          <w:rFonts w:ascii="Times New Roman;serif" w:hAnsi="Times New Roman;serif"/>
          <w:b w:val="false"/>
          <w:i/>
          <w:color w:val="000000"/>
          <w:sz w:val="16"/>
        </w:rPr>
        <w:t>Note 1. Basis of Presentation</w:t>
      </w:r>
      <w:r>
        <w:rPr>
          <w:rFonts w:ascii="Times New Roman;serif" w:hAnsi="Times New Roman;serif"/>
          <w:b w:val="false"/>
          <w:color w:val="000000"/>
          <w:sz w:val="16"/>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does not allocate any assets to the reportable segments. No asset information is reported to the CODM and disclosed in the financial information for each segment. The Company attributes revenues to geographic areas based on the location of the customer. Total revenue by major geographic area consisted of the following:</w:t>
      </w:r>
    </w:p>
    <w:tbl>
      <w:tblPr>
        <w:tblW w:w="6753" w:type="dxa"/>
        <w:jc w:val="left"/>
        <w:tblInd w:w="0" w:type="dxa"/>
        <w:tblLayout w:type="fixed"/>
        <w:tblCellMar>
          <w:top w:w="28" w:type="dxa"/>
          <w:left w:w="28" w:type="dxa"/>
          <w:bottom w:w="28" w:type="dxa"/>
          <w:right w:w="28" w:type="dxa"/>
        </w:tblCellMar>
      </w:tblPr>
      <w:tblGrid>
        <w:gridCol w:w="555"/>
        <w:gridCol w:w="487"/>
        <w:gridCol w:w="488"/>
        <w:gridCol w:w="199"/>
        <w:gridCol w:w="747"/>
        <w:gridCol w:w="110"/>
        <w:gridCol w:w="110"/>
        <w:gridCol w:w="110"/>
        <w:gridCol w:w="110"/>
        <w:gridCol w:w="199"/>
        <w:gridCol w:w="747"/>
        <w:gridCol w:w="110"/>
        <w:gridCol w:w="109"/>
        <w:gridCol w:w="109"/>
        <w:gridCol w:w="109"/>
        <w:gridCol w:w="196"/>
        <w:gridCol w:w="736"/>
        <w:gridCol w:w="109"/>
        <w:gridCol w:w="109"/>
        <w:gridCol w:w="109"/>
        <w:gridCol w:w="109"/>
        <w:gridCol w:w="196"/>
        <w:gridCol w:w="736"/>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307,099 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306,308 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418,761 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415,605 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810,679 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798,258 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15. Commitments and Contingencies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its business, the Company is involved in, from time to time, various legal actions, including any matters described below, involving product liability, employment, intellectual property and commercial disputes, shareholder related matters, environmental proceedings, tax disputes, and governmental proceedings and investigations, some of which have been settled by the Company. In the opinion of management, such matters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accrues for loss contingencies when it is deemed probable that a loss has been incurred and that loss is estimable. If the reasonable estimate of a probable loss is a range, and no amount within the range is a better estimate than any other, the minimum amount of the range is recorded. In most cases, significant judgment is required to estimate the amount and timing of a loss to be recorded and actual results may differ from these estimates.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December 21, 2023, Fortis Advisors, LLC (representative of the security holders of ACell, Inc. (“ACell”)) filed for arbitration against Integra LifeSciences before the Court of International Arbitration of the International Chamber of Commerce claiming breach of contract related to the earnout consideration from the 2021 acquisition of ACell. Refer to the “Contingent Consideration” subheading of this Note for additional information on the ACell contingent consideration. The arbitration was held in September 2025. On April 15, 2026, the arbitration tribunal issued its decision finding in Integra’s favor on all claims and awarding the Company its attorneys’ fees and costs to be paid by Fortis.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September 12, 2023, a securities class action complaint, captioned Pembroke Pines Firefighters &amp; Police Officers Pension Fund v. Integra LifeSciences Holdings Corporation, No. 23-cv-20321 (D.N.J.), was filed by a purported stockholder of the Company in the United States District Court for the District of New Jersey (the “Pembroke Litigation”) against the Company and certain of the Company’s current and former executive officers. The Pembroke Litigation, filed on behalf of a putative class of stockholders who purchased or acquired the Company’s common stock between March 11, 2019 and May 22, 2023, inclusive, alleges violations of Sections 10(b) and 20(a) of the Securities Exchange Act of 1934, as amended, and Rule 10b-5 promulgated thereunder, on the basis of purportedly materially false and misleading statements and omissions relating to certain quality systems issues identified by the FDA at the Company’s Boston facility, the Company’s efforts to remediate those issues, and the Company’s forecasts for certain products in its Tissue Reconstruction segment. The complaint seeks, among other things, compensatory damages, attorneys’ fees, expert fees, and other costs. The Company believes that it has strong defenses to the allegations in the Pembroke Litigation, and intends to continue to defend the matter vigorously. On July 1, 2025, the class action complaint was dismissed without prejudice. The plaintiffs filed a Second Amended Complaint on August 14, 2025. The Company has filed a motion to dismiss the Second Amended Complaint on October 14, 2025. On March 16, 2026, the plaintiffs filed their Supplemental Amended Complaint, in response to which the Company filed its Supplemental Motion to Dismiss on April 3,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pPr>
      <w:r>
        <w:rPr>
          <w:rFonts w:ascii="Times New Roman;serif" w:hAnsi="Times New Roman;serif"/>
          <w:b w:val="false"/>
          <w:color w:val="000000"/>
          <w:sz w:val="20"/>
        </w:rPr>
        <w:t xml:space="preserve">On May 13, 2025 and May 16, 2025, derivative lawsuits captioned </w:t>
      </w:r>
      <w:r>
        <w:rPr>
          <w:rFonts w:ascii="Times New Roman;serif" w:hAnsi="Times New Roman;serif"/>
          <w:b w:val="false"/>
          <w:i/>
          <w:color w:val="000000"/>
          <w:sz w:val="20"/>
        </w:rPr>
        <w:t>Leverett v. Integra LifeSciences Holding Corp. et al,</w:t>
      </w:r>
      <w:r>
        <w:rPr>
          <w:color w:val="000000"/>
        </w:rPr>
        <w:t xml:space="preserve"> </w:t>
      </w:r>
      <w:r>
        <w:rPr>
          <w:rFonts w:ascii="Times New Roman;serif" w:hAnsi="Times New Roman;serif"/>
          <w:b w:val="false"/>
          <w:color w:val="000000"/>
          <w:sz w:val="20"/>
        </w:rPr>
        <w:t xml:space="preserve">No. 3:2025-cv-04214 (D.N.J.) and </w:t>
      </w:r>
      <w:r>
        <w:rPr>
          <w:rFonts w:ascii="Times New Roman;serif" w:hAnsi="Times New Roman;serif"/>
          <w:b w:val="false"/>
          <w:i/>
          <w:color w:val="000000"/>
          <w:sz w:val="20"/>
        </w:rPr>
        <w:t>Simpkins v. Integra LifeSciences Holding Corp. et al,</w:t>
      </w:r>
      <w:r>
        <w:rPr>
          <w:color w:val="000000"/>
        </w:rPr>
        <w:t xml:space="preserve"> </w:t>
      </w:r>
      <w:r>
        <w:rPr>
          <w:rFonts w:ascii="Times New Roman;serif" w:hAnsi="Times New Roman;serif"/>
          <w:b w:val="false"/>
          <w:color w:val="000000"/>
          <w:sz w:val="20"/>
        </w:rPr>
        <w:t>No. 3:2025-cv-04446 (D.N.J.) were filed in the United States District Court for the District of New Jersey. The actions purport to assert derivative claims on behalf of the Company against its current Board of Directors and certain of its current or former officers and directors. The actions assert claims that the individual defendants breached their fiduciary duties and harmed the Company by making false and misleading statements and omissions relating to certain quality systems issues identified by the U.S. Food and Drug Administration (“FDA”) at the Company’s Boston, Massachusetts manufacturing facility, the Company’s efforts to remediate those issues, and the Company’s forecasts for certain products in its Tissue Reconstruction segment. The complaint seeks, among other things, compensatory damages, attorneys' fees, expert fees, and other costs. The Company believes that it has strong defenses to the allegations in the lawsuits and intends to defend the matters vigorously. These derivative actions have stayed pending resolution of the motion to dismiss in the Pembroke litigation.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Contractual Payment Obligations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October 2024 acquisition of Durepair Regeneration Matrix (“Durepair”), the Company has a remaining contractual obligation to make a cash payment of $20.0 million in October 2026. The obligation is recorded at its present value within accrued expenses and other current liabilities as of June 30,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Contingent Consideration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determined the fair value of contingent consideration during the six month period ended June 30, 2026 and June 30, 2025 to reflect the change in estimate, additions, payments, transfers and the time value of money during each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reconciliation of the opening balances to the closing balances of these Level 3 measurements for the six months ended June 30, 2026 and June 30, 2025 is as follows (in thousands):</w:t>
      </w:r>
    </w:p>
    <w:tbl>
      <w:tblPr>
        <w:tblW w:w="10205" w:type="dxa"/>
        <w:jc w:val="center"/>
        <w:tblInd w:w="0" w:type="dxa"/>
        <w:tblLayout w:type="fixed"/>
        <w:tblCellMar>
          <w:top w:w="28" w:type="dxa"/>
          <w:left w:w="28" w:type="dxa"/>
          <w:bottom w:w="28" w:type="dxa"/>
          <w:right w:w="28" w:type="dxa"/>
        </w:tblCellMar>
      </w:tblPr>
      <w:tblGrid>
        <w:gridCol w:w="1151"/>
        <w:gridCol w:w="885"/>
        <w:gridCol w:w="893"/>
        <w:gridCol w:w="427"/>
        <w:gridCol w:w="1213"/>
        <w:gridCol w:w="237"/>
        <w:gridCol w:w="431"/>
        <w:gridCol w:w="918"/>
        <w:gridCol w:w="237"/>
        <w:gridCol w:w="237"/>
        <w:gridCol w:w="109"/>
        <w:gridCol w:w="702"/>
        <w:gridCol w:w="1457"/>
        <w:gridCol w:w="394"/>
        <w:gridCol w:w="196"/>
        <w:gridCol w:w="556"/>
        <w:gridCol w:w="162"/>
      </w:tblGrid>
      <w:tr>
        <w:trPr/>
        <w:tc>
          <w:tcPr>
            <w:tcW w:w="115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370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Contingent Consideration Liability Related to the Acquisition of:</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7" w:type="dxa"/>
            <w:gridSpan w:val="6"/>
            <w:tcBorders/>
          </w:tcPr>
          <w:p>
            <w:pPr>
              <w:pStyle w:val="TableContents"/>
              <w:bidi w:val="0"/>
              <w:spacing w:before="0" w:after="283"/>
              <w:jc w:val="left"/>
              <w:rPr>
                <w:sz w:val="4"/>
                <w:szCs w:val="4"/>
              </w:rPr>
            </w:pPr>
            <w:r>
              <w:rPr>
                <w:sz w:val="4"/>
                <w:szCs w:val="4"/>
              </w:rPr>
            </w:r>
          </w:p>
        </w:tc>
      </w:tr>
      <w:tr>
        <w:trPr/>
        <w:tc>
          <w:tcPr>
            <w:tcW w:w="2929" w:type="dxa"/>
            <w:gridSpan w:val="3"/>
            <w:vMerge w:val="continue"/>
            <w:tcBorders/>
            <w:tcMar>
              <w:top w:w="0" w:type="dxa"/>
              <w:left w:w="0" w:type="dxa"/>
              <w:bottom w:w="0" w:type="dxa"/>
              <w:right w:w="0" w:type="dxa"/>
            </w:tcMar>
            <w:vAlign w:val="center"/>
          </w:tcPr>
          <w:p>
            <w:pPr>
              <w:pStyle w:val="Normal"/>
              <w:bidi w:val="0"/>
              <w:jc w:val="left"/>
              <w:rPr/>
            </w:pPr>
            <w:r>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Arkis </w:t>
            </w:r>
            <w:r>
              <w:rPr>
                <w:rFonts w:ascii="Times New Roman;serif" w:hAnsi="Times New Roman;serif"/>
                <w:b/>
                <w:color w:val="000000"/>
                <w:sz w:val="12"/>
              </w:rPr>
              <w:t>(1)</w:t>
            </w:r>
          </w:p>
        </w:tc>
        <w:tc>
          <w:tcPr>
            <w:tcW w:w="15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Derma Sciences </w:t>
            </w:r>
            <w:r>
              <w:rPr>
                <w:rFonts w:ascii="Times New Roman;serif" w:hAnsi="Times New Roman;serif"/>
                <w:b/>
                <w:color w:val="000000"/>
                <w:sz w:val="12"/>
              </w:rPr>
              <w:t>(2)</w:t>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Surgical Innovations Associates (SIA), Inc. </w:t>
            </w:r>
            <w:r>
              <w:rPr>
                <w:rFonts w:ascii="Times New Roman;serif" w:hAnsi="Times New Roman;serif"/>
                <w:b/>
                <w:color w:val="000000"/>
                <w:sz w:val="12"/>
              </w:rPr>
              <w:t>(2)</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January 1, 2026</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19,400 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Change in fair value of contingent consideration liabilities </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16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6,960 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 Accrued expenses and other liabilities</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 Other liabilities</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16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6,960 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91"/>
        <w:gridCol w:w="938"/>
        <w:gridCol w:w="945"/>
        <w:gridCol w:w="254"/>
        <w:gridCol w:w="840"/>
        <w:gridCol w:w="141"/>
        <w:gridCol w:w="289"/>
        <w:gridCol w:w="822"/>
        <w:gridCol w:w="161"/>
        <w:gridCol w:w="254"/>
        <w:gridCol w:w="528"/>
        <w:gridCol w:w="141"/>
        <w:gridCol w:w="578"/>
        <w:gridCol w:w="1813"/>
        <w:gridCol w:w="305"/>
        <w:gridCol w:w="196"/>
        <w:gridCol w:w="646"/>
        <w:gridCol w:w="163"/>
      </w:tblGrid>
      <w:tr>
        <w:trPr/>
        <w:tc>
          <w:tcPr>
            <w:tcW w:w="119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61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Contingent Consideration Liability Related to the Acquisition of:</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Arkis </w:t>
            </w:r>
            <w:r>
              <w:rPr>
                <w:rFonts w:ascii="Times New Roman;serif" w:hAnsi="Times New Roman;serif"/>
                <w:b/>
                <w:color w:val="000000"/>
                <w:sz w:val="12"/>
              </w:rPr>
              <w:t>(1)</w:t>
            </w:r>
          </w:p>
        </w:tc>
        <w:tc>
          <w:tcPr>
            <w:tcW w:w="12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Derma Sciences </w:t>
            </w:r>
            <w:r>
              <w:rPr>
                <w:rFonts w:ascii="Times New Roman;serif" w:hAnsi="Times New Roman;serif"/>
                <w:b/>
                <w:color w:val="000000"/>
                <w:sz w:val="12"/>
              </w:rPr>
              <w:t>(2)</w:t>
            </w:r>
          </w:p>
        </w:tc>
        <w:tc>
          <w:tcPr>
            <w:tcW w:w="9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ACell </w:t>
            </w:r>
            <w:r>
              <w:rPr>
                <w:rFonts w:ascii="Times New Roman;serif" w:hAnsi="Times New Roman;serif"/>
                <w:b/>
                <w:color w:val="000000"/>
                <w:sz w:val="12"/>
              </w:rPr>
              <w:t>(2)</w:t>
            </w:r>
          </w:p>
        </w:tc>
        <w:tc>
          <w:tcPr>
            <w:tcW w:w="26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Surgical Innovations Associates (SIA), Inc. </w:t>
            </w:r>
            <w:r>
              <w:rPr>
                <w:rFonts w:ascii="Times New Roman;serif" w:hAnsi="Times New Roman;serif"/>
                <w:b/>
                <w:color w:val="000000"/>
                <w:sz w:val="12"/>
              </w:rPr>
              <w:t>(2)</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January 1, 2025</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54,000 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(18,075)</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 liabilities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37,800 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 Accrued expenses and other liabilities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 Other liabilities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10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37,800 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Times New Roman;serif" w:hAnsi="Times New Roman;serif"/>
          <w:b w:val="false"/>
          <w:color w:val="000000"/>
          <w:sz w:val="14"/>
        </w:rPr>
      </w:pPr>
      <w:r>
        <w:rPr>
          <w:rFonts w:ascii="Times New Roman;serif" w:hAnsi="Times New Roman;serif"/>
          <w:b w:val="false"/>
          <w:color w:val="000000"/>
          <w:sz w:val="14"/>
        </w:rPr>
        <w:t>(1) Location in financial statements: Research and development</w:t>
      </w:r>
    </w:p>
    <w:p>
      <w:pPr>
        <w:pStyle w:val="TextBody"/>
        <w:bidi w:val="0"/>
        <w:spacing w:lineRule="auto" w:line="288" w:before="60" w:after="60"/>
        <w:jc w:val="left"/>
        <w:rPr>
          <w:rFonts w:ascii="Times New Roman;serif" w:hAnsi="Times New Roman;serif"/>
          <w:b w:val="false"/>
          <w:color w:val="000000"/>
          <w:sz w:val="14"/>
        </w:rPr>
      </w:pPr>
      <w:r>
        <w:rPr>
          <w:rFonts w:ascii="Times New Roman;serif" w:hAnsi="Times New Roman;serif"/>
          <w:b w:val="false"/>
          <w:color w:val="000000"/>
          <w:sz w:val="14"/>
        </w:rPr>
        <w:t>(2) Location in financial statements: Selling, general and administrative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Arkis BioSciences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part of the acquisition of Arkis BioSciences Inc. (“Arkis”),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In the first quarter of 2025, the Company paid out a development milestone related to design verification procedures for $5.0 million.</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Derma Sciences,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assumed contingent consideration incurred by Derma Sciences, Inc. (“Derma Sciences”) related to its acquisitions of BioD, LLC and the intellectual property related to Medihoney® products. The Company accounted for the contingent liabilities by recording the fair value on the date of the acquisition based on a probability weighted income approach. The Company has already paid $33.3 million related to the aforementioned contingent liabilities. One contingent milestone remains, which relates to net sales of Medihoney products exceeding certain amounts defined in the agreement between the Company and Derma Sciences. The potential maximum undiscounted payment amounts to $3.0 million. </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Surgical Innovations Associates,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part of the acquisition of Surgical Innovations Associates, Inc. (“SIA”), the Company is required to pay to the former shareholders of SIA up to $90.0 million for two separate payments, which are dependent on (1) achieving certain revenue-based performance milestones in 2023, 2024, and 2025 (up to $50.0 million in additional payments), as well as (2) the approval by the FDA of the pre-market approval ("PMA") application for DuraSorb for certain uses by certain timing targets (up to $40.0 million in additional payments). The Company estimated the fair value of the contingent consideration for the revenue based milestone to be $32.6 million at the acquisition date and $25.0 million for the PMA approval milestone at the acquisition date. The Company disbursed $17.9 million in the second quarter of 2026 for the 2025 performance year. Similarly, in the second quarter of 2025, the Company disbursed $18.1 million related to the 2024 performance year, and in the second quarter of 2024, the Company paid out $12.4 million related to the 2023 performance year. As of June 30, 2026, there were no amounts payable under the PMA approval milestone, as FDA approval of the PMA application had not been obtained by the applicable milestone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16. Fair Value Measurements</w:t>
      </w:r>
    </w:p>
    <w:p>
      <w:pPr>
        <w:pStyle w:val="TextBody"/>
        <w:bidi w:val="0"/>
        <w:spacing w:lineRule="auto" w:line="288" w:before="120" w:after="120"/>
        <w:jc w:val="both"/>
        <w:rPr/>
      </w:pPr>
      <w:r>
        <w:rPr>
          <w:rFonts w:ascii="Times New Roman;serif" w:hAnsi="Times New Roman;serif"/>
          <w:b w:val="false"/>
          <w:color w:val="000000"/>
          <w:sz w:val="20"/>
        </w:rPr>
        <w:t xml:space="preserve">FASB Topic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(“ASC 820”)</w:t>
      </w:r>
      <w:r>
        <w:rPr>
          <w:color w:val="000000"/>
        </w:rPr>
        <w:t xml:space="preserve"> </w:t>
      </w:r>
      <w:r>
        <w:rPr>
          <w:rFonts w:ascii="Times New Roman;serif" w:hAnsi="Times New Roman;serif"/>
          <w:b w:val="false"/>
          <w:color w:val="000000"/>
          <w:sz w:val="20"/>
        </w:rPr>
        <w:t xml:space="preserve">defines fair value as the price that would be received to sell an asset or paid to transfer a liability in an orderly transaction between market participants at the measurement date. When determining fair value, the Company considers the principal or most advantageous market in which it would transact and considers assumptions that market participants would use when pricing the asset or liability.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Valuation techniques used to measure fair value should maximize the use of observable inputs and minimize the use of unobservable inputs. ASC 820 establishes a three-level hierarchy of the inputs (i.e., assumptions that market participants would use in pricing an asset or liability) used to measure fair value, giving the highest priority to quoted prices in active markets and the lowest priority to unobservable inputs in measuring fair value. The categorization within the valuation hierarchy is based on the lowest level of input that is significant to the entire fair value measurement. The three levels of the valuation hierarchy are defined as follows:</w:t>
      </w:r>
    </w:p>
    <w:p>
      <w:pPr>
        <w:pStyle w:val="TextBody"/>
        <w:bidi w:val="0"/>
        <w:spacing w:lineRule="auto" w:line="288" w:before="120" w:after="120"/>
        <w:jc w:val="both"/>
        <w:rPr/>
      </w:pPr>
      <w:r>
        <w:rPr>
          <w:rFonts w:ascii="Times New Roman;serif" w:hAnsi="Times New Roman;serif"/>
          <w:b/>
          <w:color w:val="000000"/>
          <w:sz w:val="20"/>
          <w:u w:val="single"/>
        </w:rPr>
        <w:t>Level 1</w:t>
      </w:r>
      <w:r>
        <w:rPr>
          <w:rFonts w:ascii="Times New Roman;serif" w:hAnsi="Times New Roman;serif"/>
          <w:b w:val="false"/>
          <w:color w:val="000000"/>
          <w:sz w:val="20"/>
        </w:rPr>
        <w:t>: Inputs to the valuation methodology are quoted prices in active markets for identical assets or liabilities.</w:t>
      </w:r>
    </w:p>
    <w:p>
      <w:pPr>
        <w:pStyle w:val="TextBody"/>
        <w:bidi w:val="0"/>
        <w:spacing w:lineRule="auto" w:line="288" w:before="120" w:after="120"/>
        <w:jc w:val="both"/>
        <w:rPr/>
      </w:pPr>
      <w:r>
        <w:rPr>
          <w:rFonts w:ascii="Times New Roman;serif" w:hAnsi="Times New Roman;serif"/>
          <w:b/>
          <w:color w:val="000000"/>
          <w:sz w:val="20"/>
          <w:u w:val="single"/>
        </w:rPr>
        <w:t>Level 2</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Inputs to the valuation methodology are other observable inputs, including quoted market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pStyle w:val="TextBody"/>
        <w:bidi w:val="0"/>
        <w:spacing w:lineRule="auto" w:line="288" w:before="120" w:after="120"/>
        <w:jc w:val="both"/>
        <w:rPr/>
      </w:pPr>
      <w:r>
        <w:rPr>
          <w:rFonts w:ascii="Times New Roman;serif" w:hAnsi="Times New Roman;serif"/>
          <w:b/>
          <w:color w:val="000000"/>
          <w:sz w:val="20"/>
          <w:u w:val="single"/>
        </w:rPr>
        <w:t>Level 3</w:t>
      </w:r>
      <w:r>
        <w:rPr>
          <w:rFonts w:ascii="Times New Roman;serif" w:hAnsi="Times New Roman;serif"/>
          <w:b w:val="false"/>
          <w:color w:val="000000"/>
          <w:sz w:val="20"/>
        </w:rPr>
        <w:t>: Inputs to the valuation methodology are unobservable inputs that are supported by little or no market activity and are based on management’s best estimate of inputs market participants would use in pricing the asset or liability at the measurement date, including assumptions about risk.</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Assets and Liabilities Measured at Fair Value on a Recurring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investments in time deposits that are classified within Level 1 of the fair value hierarchy because they are valued using quoted market prices, as well as certain debt obligations that are classified within Level 1 of the fair value hierarchy because they are valued using quoted market prices. The investments in time deposits are classified as cash and cash equivalents and short-term investments on the consolidated balance sheets which is determined based on maturities at the time of purchase and re-evaluated at each balance sheet date. </w:t>
      </w:r>
    </w:p>
    <w:p>
      <w:pPr>
        <w:pStyle w:val="TextBody"/>
        <w:bidi w:val="0"/>
        <w:spacing w:lineRule="auto" w:line="288" w:before="120" w:after="120"/>
        <w:jc w:val="both"/>
        <w:rPr/>
      </w:pPr>
      <w:r>
        <w:rPr>
          <w:rFonts w:ascii="Times New Roman;serif" w:hAnsi="Times New Roman;serif"/>
          <w:b w:val="false"/>
          <w:color w:val="000000"/>
          <w:sz w:val="20"/>
        </w:rPr>
        <w:t xml:space="preserve">The Company also has investments in derivative instruments, which are comprised of interest rate swaps, cross currency swaps, net investment hedges, and forward foreign currency contracts that are classified within Level 2 of the fair value hierarchy because they are valued using analyses obtained from independent third-party valuation specialists based on market observable inputs. The fair values of these derivative contracts represent the estimated amounts the Company would receive or pay to terminate the contracts. Refer to </w:t>
      </w:r>
      <w:r>
        <w:rPr>
          <w:rFonts w:ascii="Times New Roman;serif" w:hAnsi="Times New Roman;serif"/>
          <w:b w:val="false"/>
          <w:i/>
          <w:color w:val="000000"/>
          <w:sz w:val="20"/>
        </w:rPr>
        <w:t>Note 6. Derivative Instruments</w:t>
      </w:r>
      <w:r>
        <w:rPr>
          <w:color w:val="000000"/>
        </w:rPr>
        <w:t xml:space="preserve"> </w:t>
      </w:r>
      <w:r>
        <w:rPr>
          <w:rFonts w:ascii="Times New Roman;serif" w:hAnsi="Times New Roman;serif"/>
          <w:b w:val="false"/>
          <w:color w:val="000000"/>
          <w:sz w:val="20"/>
        </w:rPr>
        <w:t xml:space="preserve">for further discussion and information on these derivative contracts. </w:t>
      </w:r>
    </w:p>
    <w:p>
      <w:pPr>
        <w:pStyle w:val="TextBody"/>
        <w:bidi w:val="0"/>
        <w:spacing w:lineRule="auto" w:line="288" w:before="120" w:after="120"/>
        <w:jc w:val="both"/>
        <w:rPr/>
      </w:pPr>
      <w:r>
        <w:rPr>
          <w:rFonts w:ascii="Times New Roman;serif" w:hAnsi="Times New Roman;serif"/>
          <w:b w:val="false"/>
          <w:color w:val="000000"/>
          <w:sz w:val="20"/>
        </w:rPr>
        <w:t xml:space="preserve">In addition, the Company has contingent consideration liabilities that are classified within Level 3 of the fair value hierarchy because they are measured at fair value using significant unobservable inputs, including management’s forecast of future revenues for the acquired businesses as well as management’s estimates of the likelihood of achieving the other specified criteria. Refer to </w:t>
      </w:r>
      <w:r>
        <w:rPr>
          <w:rFonts w:ascii="Times New Roman;serif" w:hAnsi="Times New Roman;serif"/>
          <w:b w:val="false"/>
          <w:i/>
          <w:color w:val="000000"/>
          <w:sz w:val="20"/>
        </w:rPr>
        <w:t xml:space="preserve">Note 15. Commitments and Contingencies </w:t>
      </w:r>
      <w:r>
        <w:rPr>
          <w:rFonts w:ascii="Times New Roman;serif" w:hAnsi="Times New Roman;serif"/>
          <w:b w:val="false"/>
          <w:color w:val="000000"/>
          <w:sz w:val="20"/>
        </w:rPr>
        <w:t>for additional information on these contingent consideration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and recorded at fair value on a recurring basis as of June 30, 2026 and December 31, 2025 consisted of the following:</w:t>
      </w:r>
    </w:p>
    <w:tbl>
      <w:tblPr>
        <w:tblW w:w="8446" w:type="dxa"/>
        <w:jc w:val="left"/>
        <w:tblInd w:w="0" w:type="dxa"/>
        <w:tblLayout w:type="fixed"/>
        <w:tblCellMar>
          <w:top w:w="28" w:type="dxa"/>
          <w:left w:w="28" w:type="dxa"/>
          <w:bottom w:w="28" w:type="dxa"/>
          <w:right w:w="28" w:type="dxa"/>
        </w:tblCellMar>
      </w:tblPr>
      <w:tblGrid>
        <w:gridCol w:w="1645"/>
        <w:gridCol w:w="1449"/>
        <w:gridCol w:w="1451"/>
        <w:gridCol w:w="385"/>
        <w:gridCol w:w="385"/>
        <w:gridCol w:w="386"/>
        <w:gridCol w:w="217"/>
        <w:gridCol w:w="817"/>
        <w:gridCol w:w="121"/>
        <w:gridCol w:w="287"/>
        <w:gridCol w:w="1078"/>
        <w:gridCol w:w="225"/>
      </w:tblGrid>
      <w:tr>
        <w:trPr/>
        <w:tc>
          <w:tcPr>
            <w:tcW w:w="164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w:t>
              <w:br/>
              <w:t>Measurement</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235,048 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 (not designated as hedges)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292,031 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 currency rate swaps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59,667 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hedges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82,199 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3</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 (not designated as hedges)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141,835 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167,915 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transfers into or out of Level 3 during the three and six months ended June 30, 2026 and 2025.</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Assets and Liabilities Measured at Fair Value on a Non-Recurring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remeasures the fair value of certain assets and liabilities, including property, plant and equipment, operating lease - right of use assets, and goodwill and other intangible assets, upon the occurrence of certain events. The amounts recognized were recorded to remeasure the carrying amount of assets to the assets’ fair values, which were generally estimated, based upon a market participant’s perspective, using Level 3 measurements, including values estimated using the income approach.</w:t>
      </w:r>
    </w:p>
    <w:p>
      <w:pPr>
        <w:pStyle w:val="TextBody"/>
        <w:bidi w:val="0"/>
        <w:spacing w:lineRule="auto" w:line="288" w:before="120" w:after="120"/>
        <w:jc w:val="both"/>
        <w:rPr/>
      </w:pPr>
      <w:r>
        <w:rPr>
          <w:rFonts w:ascii="Times New Roman;serif" w:hAnsi="Times New Roman;serif"/>
          <w:b w:val="false"/>
          <w:color w:val="000000"/>
          <w:sz w:val="20"/>
        </w:rPr>
        <w:t xml:space="preserve">Other than the fair value estimates disclosed in </w:t>
      </w:r>
      <w:r>
        <w:rPr>
          <w:rFonts w:ascii="Times New Roman;serif" w:hAnsi="Times New Roman;serif"/>
          <w:b w:val="false"/>
          <w:i/>
          <w:color w:val="000000"/>
          <w:sz w:val="20"/>
        </w:rPr>
        <w:t>Note 4. Goodwill and Other Intangible Assets</w:t>
      </w:r>
      <w:r>
        <w:rPr>
          <w:rFonts w:ascii="Times New Roman;serif" w:hAnsi="Times New Roman;serif"/>
          <w:b w:val="false"/>
          <w:color w:val="000000"/>
          <w:sz w:val="20"/>
        </w:rPr>
        <w:t xml:space="preserve">, and </w:t>
      </w:r>
      <w:r>
        <w:rPr>
          <w:rFonts w:ascii="Times New Roman;serif" w:hAnsi="Times New Roman;serif"/>
          <w:b w:val="false"/>
          <w:i/>
          <w:color w:val="000000"/>
          <w:sz w:val="20"/>
        </w:rPr>
        <w:t>Note 9. Leases and Related Party Leases</w:t>
      </w:r>
      <w:r>
        <w:rPr>
          <w:rFonts w:ascii="Times New Roman;serif" w:hAnsi="Times New Roman;serif"/>
          <w:b w:val="false"/>
          <w:color w:val="000000"/>
          <w:sz w:val="20"/>
        </w:rPr>
        <w:t>, there were no non-recurring fair value measurements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17. Subsequent Events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17, 2026, the Company’s manufacturing facility in Cincinnati, Ohio sustained flood damage as a result of severe weather conditions. The flooding caused damage to the facility, equipment, inventory and other assets and resulted in operational disruptions at the site.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currently evaluating the extent of the damage and has not completed its assessment of the financial impact of the event. At the date the financial statements were issued, the Company is unable to reasonably estimate the total losses that may be incurred. The Company maintains insurance coverage for property damage and business interruption losses and is actively working with its insurance carriers to assess available coverage and potential recoveries.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Because the event occurred after the balance sheet date, the accompanying condensed consolidated financial statements do not reflect any adjustments related to this event.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the Company’s financial condition and results of operations should be read in conjunction with our unaudited condensed consolidated financial statements and the related notes thereto appearing elsewhere in this Quarterly Report on Form 10-Q (this “Quarterly Report”) and our consolidated financial statements included in our Annual Report on Form 10-K for the year ended December 31, 2025.</w:t>
      </w:r>
    </w:p>
    <w:p>
      <w:pPr>
        <w:pStyle w:val="TextBody"/>
        <w:bidi w:val="0"/>
        <w:spacing w:lineRule="auto" w:line="288" w:before="120" w:after="120"/>
        <w:jc w:val="both"/>
        <w:rPr/>
      </w:pPr>
      <w:r>
        <w:rPr>
          <w:rFonts w:ascii="Times New Roman;serif" w:hAnsi="Times New Roman;serif"/>
          <w:b w:val="false"/>
          <w:color w:val="000000"/>
          <w:sz w:val="20"/>
        </w:rPr>
        <w:t>We have made statements in this Quarterly Report that constitute forward-looking statements within the meaning of Section 27A of the Securities Act of 1933, as amended and Section 21E of the Securities Exchange Act of 1934 (the “Exchange Act”). All statements other than statements of historical fact contained in this Quarterly Report, including, but not limited to, statements regarding our future business, operational and financial performance and the Company’s expectations and plans with respect to market opportunity, business and operational performance, strategic initiatives, capabilities, resources</w:t>
      </w:r>
      <w:r>
        <w:rPr>
          <w:rFonts w:ascii="Times New Roman;serif" w:hAnsi="Times New Roman;serif"/>
          <w:b w:val="false"/>
          <w:color w:val="008080"/>
          <w:sz w:val="20"/>
        </w:rPr>
        <w:t xml:space="preserve">, </w:t>
      </w:r>
      <w:r>
        <w:rPr>
          <w:rFonts w:ascii="Times New Roman;serif" w:hAnsi="Times New Roman;serif"/>
          <w:b w:val="false"/>
          <w:color w:val="000000"/>
          <w:sz w:val="20"/>
        </w:rPr>
        <w:t xml:space="preserve">manufacturing capabilities, product development, product availability and regulatory approvals, including our plans, production capability, and anticipated operational timelines for the Company’s manufacturing facility in Braintree, Massachusetts (“the Braintree facility”), our expectations regarding the Compliance Master Plan (“the CMP”) implementation, engagement and efficacy, our restructuring and cost-saving initiatives, our intellectual property rights, litigation and tax matters, governmental proceedings and investigations, mergers and acquisitions, divestitures, market acceptance of our products and services, accounting estimates, financing activities, ongoing contractual obligations and compliance with restrictive and financial covenants of our outstanding indebtedness, working capital adequacy, value of our investments, our effective tax rate, estimates regarding the impact of tariffs adopted or implemented by the U.S. or other countries on our business, tariff refunds, anticipated impact of the flooding event at our Cincinnati, Ohio manufacturing facility, financial condition and results of operations, our expected returns to shareholders, and our sales efforts, are forward-looking statements. In some cases, these forward-looking statements may be identified by forward-looking words such as “believe,” “may,” “might,” “could,” “will,” “estimate,” “continue,” “anticipate,” “intend,” “seek,” “plan,” “expect,” “should,” “would” or the negative version of these words or other similar words and expressions in this Quarterly Report.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subject to a number of risks, uncertainties and assumptions about the Company and other matters that may cause our actual results, performance, or achievements to be materially different from any future results, performance, or achievements expressed or implied by the forward-looking statements. We believe these risks include but are not limited to those described under the headings “Risk Factors” and “Special Note Regarding Forward-Looking Statements” in our Annual Report on Form 10-K for the year ended December 31, 2025 and in this Quarterly Report, as such factors may be updated from time to time in our periodic filings with the Securities and Exchange Commission (the “SEC”), which are accessible on the SEC’s website at https://www.sec.gov. Such risks and uncertainties include, but are not limited, to the following: increased geopolitical tension, instability and other macroeconomic factors, including trade barriers and related restrictions (including tariffs and related countermeasures), armed conflict and acts of terrorism, supply chain disruptions, and interest rate and foreign currency rate fluctuations on the Company’s suppliers, vendors and customers and on the Company’s business and financial condition, results of operations and cash flows; the Company's ability to execute its financial, strategic and operating plans effectively; the Company’s ability to remediate quality systems violations; difficulties in implementing the CMP; difficulties or delays in obtaining and maintaining required regulatory approvals, including the costs thereof; potential difficulties, delays and disruptions in manufacturing, distribution or sale of products; the Company's ongoing assessment of the flooding event at its Cincinnati, Ohio manufacturing facility, related financial impacts, recovery efforts, potential asset impairments, unforeseen costs and insurance recoveries; the failure of the Company’s suppliers, vendors, and other third parties to meet contractual, regulatory and other obligations; the anticipated development of markets the Company sells its products into and the success of the Company’s products in these markets; the Company’s ability to predict accurately the demand for its products and products under development; increasing industry competition; the coverage and reimbursement decisions of third-party payors; trends toward health care cost containment; difficulties in controlling expenses, including costs to procure and manufacture the Company’s products; the ability of the Company to successfully manage leadership and organizational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and the impact of changes in management or staff levels; the impact of goodwill and intangible asset impairment charges if future operating results of acquired businesses are significantly less than the results anticipated at the time of the acquisitions; the geographic distribution of where the Company generates its taxable income; changes to applicable laws, regulations and enforcement guidance, including tax laws and global health care reforms; fluctuations in foreign currency exchange rates; the amount of our bank borrowings outstanding and other factors influencing liquidity; breaches, failures or other disruptions of our or our vendors’ or customers’ information technology systems or products; and the potential impact of our compliance with governmental regulations and accounting guidance.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future events and financial trends that we believe may affect our business, results of operations, financial condition, and/or cash flows. These forward-looking statements speak only as of the date of this Quarterly Report and we undertake no obligation to publicly update or revise any forward-looking statements, whether as a result of new information, future events or otherwise, except to the extent required by applicable law. You should carefully consider forward-looking statements and understand that such forward-looking statements are inherently subject to risks and uncertainties, some of which cannot be predicted or quantified, and involve a variety of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Integra LifeSciences Holdings Corporation is a global medical technology company dedicated to restoring lives. We are advancing transformational care through impactful innovation and our portfolio of highly differentiated technologies is trusted by healthcare professionals.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manufacture and sell medical technologies and products in two reportable business segments: Specialty Surgery (formerly, Codman Specialty Surgical) and Tissue Reconstruction (formerly, Tissue Technologies). The Specialty Surgery segment, which represents approximately 70% of our total revenue, consists of market-leading technologies and instrumentation used for a wide range of specialties, such as neurosurgery, neurocritical care, and otolaryngology, commonly referred to as ear, nose, and throat (“ENT”). We are the world leader in neurosurgery and one of the top three providers in the U.S. in instruments used in precision, specialty, and general surgical procedures. Our Tissue Reconstruction segment generates about 30% of our overall revenue and focuses on wound reconstruction and private label.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key manufacturing and research facilities located in California, Maryland, Massachusetts, New Jersey, Ohio, Puerto Rico, Tennessee, Utah, France, Germany, Ireland, Israel and Switzerland. We source most of our handheld surgical instruments and dural sealant products through specialized third-party vendors.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OUR PRODUCTS, SERVICES AND TECHNOLOGIES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were the first company to receive an FDA claim for regeneration of dermal tissue and are a world leader in regenerative technology. We have developed numerous product lines from this technology for applications ranging from burn and deep tissue wounds to the repair of dura mater in the brain, as well as nerves and tendons. We have expanded our base regenerative technology business to include neurosurgical products, ENT, surgical instruments and wound reconstruction solutions through global acquisitions and product development to meet the evolving needs of our customers and enhance patient care.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SPECIALTY SURGERY</w:t>
      </w:r>
    </w:p>
    <w:p>
      <w:pPr>
        <w:pStyle w:val="TextBody"/>
        <w:bidi w:val="0"/>
        <w:spacing w:lineRule="auto" w:line="288" w:before="120" w:after="120"/>
        <w:jc w:val="both"/>
        <w:rPr/>
      </w:pPr>
      <w:r>
        <w:rPr>
          <w:rFonts w:ascii="Times New Roman;serif" w:hAnsi="Times New Roman;serif"/>
          <w:b/>
          <w:i/>
          <w:color w:val="000000"/>
          <w:sz w:val="20"/>
        </w:rPr>
        <w:t>Neurosurgery</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In neurosurgery, we are a global leader in neuro-access, neuro-surgical and neuro-monitoring technologies. Our product portfolio represents a continuum of care from pre-operative, to the neurosurgery operating room, to the neuro-critical care unit and post care for both adult and pediatric patients suffering from brain tumors, brain injury, cerebrospinal fluid pressure complications and other neurological conditions. This portfolio features leading brands such as Codman®, Duraseal®, CUSA®, Mayfield® and Duragen®.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offer leading technologies in dural repair, ultrasonic tissue ablation, intracranial pressure (“ICP”) monitoring, hydrocephalus management, and cranial stabilization systems, while providing a rich research and development pipeline for growth.</w:t>
      </w:r>
    </w:p>
    <w:p>
      <w:pPr>
        <w:pStyle w:val="TextBody"/>
        <w:bidi w:val="0"/>
        <w:spacing w:lineRule="auto" w:line="288" w:before="120" w:after="120"/>
        <w:jc w:val="both"/>
        <w:rPr/>
      </w:pPr>
      <w:r>
        <w:rPr>
          <w:rFonts w:ascii="Times New Roman;serif" w:hAnsi="Times New Roman;serif"/>
          <w:b/>
          <w:i/>
          <w:color w:val="000000"/>
          <w:sz w:val="20"/>
        </w:rPr>
        <w:t>Surgical Instruments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Our specialty instrumentation portfolio includes a catalog of surgical headlamps, surgical instruments, as well as after-market service. With thousands of surgical instrument products, comprised of a comprehensive portfolio of reusable and disposable instruments, including forceps, retractors, scissors, and curettes, tailored for neurosurgery and spine surgery including specialty surgical instruments, we call on the central sterile processing unit of hospitals and acute care surgical centers. Additionally, through a strong U.S. distribution model, we can serve the needs of medical offices.</w:t>
      </w:r>
    </w:p>
    <w:p>
      <w:pPr>
        <w:pStyle w:val="TextBody"/>
        <w:bidi w:val="0"/>
        <w:spacing w:lineRule="auto" w:line="288" w:before="120" w:after="120"/>
        <w:jc w:val="both"/>
        <w:rPr/>
      </w:pPr>
      <w:r>
        <w:rPr>
          <w:rFonts w:ascii="Times New Roman;serif" w:hAnsi="Times New Roman;serif"/>
          <w:b/>
          <w:i/>
          <w:color w:val="000000"/>
          <w:sz w:val="20"/>
        </w:rPr>
        <w:t>ENT Solutions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We provide technologies and instruments that support a broad range of ear, nose and throat procedures, including navigation, balloon sinuplasty, airway and eustachian tube dilation applications. The Company’s ENT portfolio comprises products including the TruDi® Navigation System featuring navigated surgical instrumentation, the RELIEVA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SPINPLUS® Balloon Sinuplasty System, the AERA® Eustachian Tube Dilation System, and the MicroFrance ENT instrumentation line.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TISSUE RECONSTRUCTION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Tissue Reconstruction segment develops and markets a broad portfolio of tissue products and technologies primarily focused on wound reconstruction and care and private label. This segment serves a diverse range of specialties, including plastic and reconstructive surgery, general surgery, and wound management.</w:t>
      </w:r>
    </w:p>
    <w:p>
      <w:pPr>
        <w:pStyle w:val="TextBody"/>
        <w:bidi w:val="0"/>
        <w:spacing w:lineRule="auto" w:line="288" w:before="120" w:after="120"/>
        <w:jc w:val="both"/>
        <w:rPr/>
      </w:pPr>
      <w:r>
        <w:rPr>
          <w:rFonts w:ascii="Times New Roman;serif" w:hAnsi="Times New Roman;serif"/>
          <w:b/>
          <w:i/>
          <w:color w:val="000000"/>
          <w:sz w:val="20"/>
        </w:rPr>
        <w:t xml:space="preserve">Wound Reconstruction Solutions: </w:t>
      </w:r>
      <w:r>
        <w:rPr>
          <w:rFonts w:ascii="Times New Roman;serif" w:hAnsi="Times New Roman;serif"/>
          <w:b w:val="false"/>
          <w:color w:val="000000"/>
          <w:sz w:val="20"/>
        </w:rPr>
        <w:t>We currently utilize five unique technology platforms consisting of highly engineered bovine collagen (derived from bovine sources for structural support), bovine dermis (acellular dermal tissue for natural integration), porcine urinary bladder (extracellular matrix for cellular repopulation), human amniotic tissue (allografts as a wound cover), and resorbable synthetic mesh (biodegradable materials for temporary reinforcement). These technologies address clinical needs in treating acute wounds such as burns, chronic wounds including diabetic foot ulcers, and surgical tissue repair applications such as hernia reinforcement, tendon protection, and peripheral nerve repair. The goal is to support the body’s wound healing process by providing scaffolds that create a wound environment that facilitates cellular invasion and revascularization. These products are often used in hospital settings, wound care clinics, or outpatient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offer a continuum of advanced solutions for plastic and reconstructive surgery, complex hernias, and general surgery, including devices for implantation to reinforce soft tissue where weakness exists and for surgical repair of damaged or ruptured soft tissue membranes. These products provide structural support and promote tissue integration to address areas of tissue weakness. They are bioresorbable or acellular to minimize long-term foreign body reactions and reduce complications like adhesions or infections.</w:t>
      </w:r>
    </w:p>
    <w:p>
      <w:pPr>
        <w:pStyle w:val="TextBody"/>
        <w:bidi w:val="0"/>
        <w:spacing w:lineRule="auto" w:line="288" w:before="120" w:after="120"/>
        <w:jc w:val="both"/>
        <w:rPr/>
      </w:pPr>
      <w:r>
        <w:rPr>
          <w:rFonts w:ascii="Times New Roman;serif" w:hAnsi="Times New Roman;serif"/>
          <w:b/>
          <w:i/>
          <w:color w:val="000000"/>
          <w:sz w:val="20"/>
        </w:rPr>
        <w:t>Private Label</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We offer extensive expertise in collagen biomaterials for other medical technology companies that sell to end markets primarily in spine, surgical and wound care. We manufacture a broad set of our tissue and wound care technologies that are available for private label distribution by our customers, produce raw materials that can be integrated into our customers’ production processes, and have the expertise to design, develop and manufacture products to meet the specific needs of our customers.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RESEARCH AND DEVELOPMENT STRATEGY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 important part of Integra’s growth strategy is introducing new products to strengthen and expand our portfolio through clinical evidence to support regulatory approval and strong reimbursement of our product portfolio around the world, including new indications for existing technologies. Our research and development activities focus on identifying unmet surgical needs and addressing those needs with innovative solutions and products. Investment in research and development is critical to driving our future growth. Our research and development efforts are focused on the further development and improvement of our existing products, the design and development of new innovative medical technologies, and regulatory compliance across all our business segments. We apply our core competency in tissue reconstruction to innovate products for neurosurgical, wound applications, plastic surgery, and reconstructive surgery and we have extensive R&amp;D development programs for our core platforms of electromechanical technologies.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we conduct projects and clinical studies to generate effectiveness and health economic evidence. The Company has continued its investments in clinical education as a key value driver to leverage its global footprint, enhanced digital content, and strengthened its clinical network. As part of this objective, the Company remains committed to participation in clinical research demonstrating the effectiveness of its products prior to market introduction, and in supporting the clinical education and technical training.</w:t>
      </w:r>
    </w:p>
    <w:p>
      <w:pPr>
        <w:pStyle w:val="TextBody"/>
        <w:bidi w:val="0"/>
        <w:spacing w:lineRule="auto" w:line="288" w:before="120" w:after="120"/>
        <w:jc w:val="both"/>
        <w:rPr/>
      </w:pPr>
      <w:r>
        <w:rPr>
          <w:rFonts w:ascii="Times New Roman;serif" w:hAnsi="Times New Roman;serif"/>
          <w:b w:val="false"/>
          <w:i/>
          <w:color w:val="000000"/>
          <w:sz w:val="20"/>
        </w:rPr>
        <w:t>Neurosurgery, Surgical Instruments, and ENT Solutions.</w:t>
      </w:r>
      <w:r>
        <w:rPr>
          <w:color w:val="000000"/>
        </w:rPr>
        <w:t xml:space="preserve"> </w:t>
      </w:r>
      <w:r>
        <w:rPr>
          <w:rFonts w:ascii="Times New Roman;serif" w:hAnsi="Times New Roman;serif"/>
          <w:b w:val="false"/>
          <w:color w:val="000000"/>
          <w:sz w:val="20"/>
        </w:rPr>
        <w:t>The Specialty Surgery neurosurgical business consists of a broad portfolio of market-leading brands, which are used for the management of multiple disease states, including brain tumors, traumatic brain injury, hydrocephalus and other neurological conditions. The growth in this business in recent years has been fueled by geographic expansion and new product registrations in markets, such as China, Japan, and  Europe, which we expect to continue in the near-to-long term. We have several active programs focused on life cycle management and innovation for capital and disposable products in our portfolio. Our product development efforts are focused on core clinical applications in cerebrospinal fluid (“CSF”) management, neuro-critical care monitoring, minimally invasive instruments and electrosurgery and ultrasonic medical technologies, as well as our ambition to transform the standard of care in neurosurgery with product advancements in minimally invasive surgery (“MIS”) and the surgical management of intracerebral hemorrhage (“ICH”).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advance the CerebroFlo® external ventricular drainage (“EVD”), a catheter with Endexo® technology. The Endexo polymer in polyurethane is a permanent additive which has shown to be effective in reducing platelet adhesion in-vitro, reducing thrombus accumulation in-vitro and in vivo, and reducing the clinical incidence of thrombus formation. In vitro evaluations and in vivo animal evaluations do not necessarily predict the clinical performance of the SureFlo EVD Catheter with respect to thrombus formation. The incidence of thrombus formation on polyurethane containing Endexo polymer in other medical devices and/or tissues systems does not necessarily predict the clinical performance of the SureFlo EVD Catheter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intended use of CSF external drainage and monitoring. The CerebroFlo EVD catheter has demonstrated an average of 99% less thrombus accumulation onto its surface, in vitro, compared to a market leading EVD catheter. Our work to combine our Bactiseal antimicrobial technology with the Endexo anti-occlusive technology continues to progress for both a silicone-based hydrocephalus and EVD product.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also continue to advance the Aurora® Surgiscope, which is the only tubular retractor system designed for cranial surgery with an integrated access channel, camera and lighting. The 15mm x 60mm and 15mm x 80mm Aurora Surgiscope System version received 510(k) clearance from the FDA in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July 2025, we announced the inaugural enrollment of the first patient in the AERA Pediatric Registry, a prospective, multi-center observational registry evaluating the real-world use of the AERA Eustachian Tube Balloon Dilation System in children. This marks the focused effort to measure the ongoing clinical performance of AERA in pediatric patients with obstructive Eustachian tube dysfunction. The registry is designed to capture both safety and efficacy outcomes for up to 300 pediatric patients who undergo Eustachian tube balloon dilation using AERA.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September 2025, the Mayfield® Ghost Base Unit Post launched in the U.S., which is designed to help provide clear visualization of anatomical structure and to support surgical accuracy and patient positioning. Throughout the first half of 2026, we introduced the Mayfield Ghost Base Unit Post to markets in Europe, Asia, Australia, and New Zealand.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November 2025, we received 510(k) clearance for the use of the CUSA Clarity system for cardiac surgeries, used for the debridement of unwanted tissue in cardiac surgeries, including valve replacement and repair.</w:t>
      </w:r>
    </w:p>
    <w:p>
      <w:pPr>
        <w:pStyle w:val="TextBody"/>
        <w:bidi w:val="0"/>
        <w:spacing w:lineRule="auto" w:line="288" w:before="120" w:after="120"/>
        <w:jc w:val="both"/>
        <w:rPr/>
      </w:pPr>
      <w:r>
        <w:rPr>
          <w:rFonts w:ascii="Times New Roman;serif" w:hAnsi="Times New Roman;serif"/>
          <w:b w:val="false"/>
          <w:i/>
          <w:color w:val="000000"/>
          <w:sz w:val="20"/>
        </w:rPr>
        <w:t>Tissue Products and Technologies</w:t>
      </w:r>
      <w:r>
        <w:rPr>
          <w:rFonts w:ascii="Times New Roman;serif" w:hAnsi="Times New Roman;serif"/>
          <w:b w:val="false"/>
          <w:color w:val="000000"/>
          <w:sz w:val="20"/>
        </w:rPr>
        <w:t>. Our tissue technology development program applies our expertise in bioengineering to a range of biomaterials including natural materials such as purified collagen, intact human or animal tissues, honey as well as resorbable synthetic polymers with our DuraSorb and DuraSeal product lines. These unique product designs are used for neurosurgical and reconstructive surgical applications, as well as dermal regeneration. Our tissue technology platform includes our legacy Integra® Dermal Regeneration Template (“IDRT”) products and complementary technologies that we have acquired. Our collagen manufacturing capability, combined with our history of innovation, provides us with strong platform technologies for multiple indications.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2021, we filed a PMA application for a specific indication for SurgiMend® in the use of post-mastectomy breast reconstruction and in July 2024 received approvable pending GMP status from FDA, which approved and closed out the clinical portion of this PMA application. We expect PMA approval for SurgiMend in 2027. We are also pursuing a PMA for DuraSorb for use in implant-based breast reconstruction. We completed enrollment for the DuraSorb U.S. investigational device exemption clinical study for two-stage breast reconstruction in June 2023, completed treatment in 2024, completed patient 1-year follow up in 2025, and we continue to advance the PMA application. We expect PMA approval for DuraSorb later in 2027.</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2024, we acquired the product rights for Durepair® Dural Regeneration Matrix, a suturable dural graft which complements our portfolio of dural grafts and sealants, and subsequently launched the product for commercial sale in the U.S. in October 2025.</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EUROPEAN UNION MEDICAL DEVICE (“EU MDR”) REGULATION UPDATES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work towards certifying our products under the EU MDR. In recent years, we received EU MDR certification in our Specialty Surgery segment for Hakim Programmable Valves, Certas Plus with and without Bactiseal catheters, Surgical Patties and Strips, DuraSeal Dural and Xact, CUSA Clarity, DuraGen Suturable, Cranial Drills and Perforators, as well as IDRT, BioPatch, MicroMatrix, and Cytal in our Tissue Reconstruction segment. We do not currently anticipate any significant disruption to our commercial activities in Europe related to EU MDR.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FDA MATTERS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19, 2024, the Company received a warning letter from the FDA (the “2024 Warning Letter”). The 2024 Warning Letter relates to quality system issues identified during FDA inspections at three of the Company’s facilities located in Mansfield, Massachusetts; Plainsboro, New Jersey; and Princeton, New Jersey. The 2024 Warning Letter did not identify any new observations that had not already been provided in the Form 483s previously issued to the Company by the FDA at the conclusion of its three inspections in June and August of 2024 (the “2024 Form 483s”). In the 2024 Form 483s, the FDA deemed certain of the Company’s devices, including cranial perforators, disposable cottonoid patties and strips, and collagen-based products, to be out of compliance with respect to quality system regulations. At that time, the Company took a number of voluntary actions including the initiation of shipping holds for several products and a voluntary recall of the disposable patties and strips. The 2024 Warning Letter does not restrict the Company’s ability to manufacture or ship products, require recall of any products, nor restrict the Company’s ability to seek FDA 510(k) clearance of products. The 2024 Warning Letter states that premarket approval applications for Class III devices to which the quality system regulation violations are reasonably related will not be approved until the violations have been corrected. The Company has submitted several responses to the 2024 Form 483s issued to each of the three manufacturing facilities to the FDA and has submitted several updates to the 2024 Warning Letter throughout 2025 and 2026.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7, 2019, TEI Biosciences, Inc. (“TEI”), one of our wholly owned subsidiaries, received a Warning Letter (the “2019 Warning Letter”), dated March 6, 2019, from the FDA. The 2019 Warning Letter was related to quality systems issues at TEI’s manufacturing facility located in Boston, Massachusetts (the “Boston facility”). The Boston facility manufactured extracellular bovine matrix products in our Tissue Reconstruction segment that were sold both in wound reconstruction and care and surgical reconstruction franchises, and in private label channels. The 2019 Warning Letter resulted from an inspection held at the Boston facility in October and November 2018 and did not identify any new observations that were not already provided in the Form 483 that followed the inspection. We submitted our initial response to the 2019 Warning Letter on March 28, 2019 and provide regular progress reports to the FDA as to our corrective actions. On October 28, 2021, the FDA initiated an inspection of the Boston facility and at the conclusion of the inspection, issued an FDA Form 483 on November 12, 2021. On March 1, 2023, the FDA commenced an inspection of the Boston facility and issued an FDA Form 483 at the conclusion of this inspection (the “2023 Form 483”). In May 2023, after consultation with the FDA, the Company initiated a voluntary global recall of all products manufactured at the Boston facility, including PriMatrix, SurgiMend, Revize™, and TissueMend™, distributed between March 1, 2018 and May 22, 2023 (the “Boston recall”). On July 19, 2023, TEI received a Warning Letter, dated July 17, 2023, from the FDA related to quality system issues at the Boston facility (the “2023 Warning Letter”). The 2023 Warning Letter did not identify any new observations that had not already been provided in the 2023 Form 483. The Company has submitted periodic responses to the FDA for both the 2023 Form 483 and the 2023 Warning Letter. We are committed to resolving the matters identified in the warning letters and Form 483s and are continuing significant efforts to remediate the observations.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Although the warning letters do not restrict the Company’s ability to seek FDA 510(k) clearance of products, PMAs for Class III devices to which the quality system regulation violations are reasonably related will not be approved until the violations have been addressed. Following its assessment of the results of a third-party audit of the Boston facility, the Company announced in the second quarter of 2024 that it no longer planned to restart the manufacture of PriMatrix and SurgiMend at its Boston facility. The restart of the manufacturing of SurgiMend 510k product will occur at the Company’s new tissue manufacturing facility in Braintree, Massachusetts (the “Braintree transition”). In addition, the Company entered into a new third-party agreement, which facilitated the relaunch of PriMatrix, as well as Durepair Dural Regeneration Matrix in 2025, ahead of previously disclosed timelines. The Braintree facility became operational in June 2026 and is currently ramping up production to support the planned SurgiMend relaunch in the fourth quarter of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cannot give any assurances that the FDA will be satisfied with our response to the issues identified by the FDA in any of the foregoing Form 483s or warning letters or as to the expected date of the resolution of such issues. Until the issues cited by the FDA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OPTIMIZATION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result of audits and inspections by regulatory agencies as well as our own review of the Company’s quality management system, we have implemented our enterprise-wide CMP, with the objective of providing a systematic and holistic approach to improving our quality management system across our manufacturing and supply network. The primary objectives of the CMP are to remediate quality system gaps, harmonize our quality management system and enhance the quality culture across the Company. The Company has completed baseline audits across all manufacturing facilities, conducted CMP training, and has made significant progress in its prioritized work streams. Our efforts to implement the CMP are expected to continue and although we anticipate improvements to our quality management system, such results remain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we approved a restructuring initiative to improve the Company’s operational performance by strengthening the stability and resilience of our supply chain, strengthening global commercial capabilities and advancing our prioritization and execution discipline. We expect to incur aggregate restructuring costs associated with this initiative of approximately $12.3 million related to severance and other employee costs. The costs will be incurred as specific actions required as part of the initiative are identified and approved and are expected to continue through the end of 2026. The amounts and timing of estimated restructuring costs are subject to change until finalized; actual amounts and timing may vary materially based on various factors. During 2025, we incurred $8.5 million of restructuring costs related to this initiative. In the six months ended June 30, 2026, we incurred an additional $3.8 million in restructuring related expenses, consistent with the previously announced plans. In addition, we incurred costs related to executive restructuring activities during the six months ended June 30, 2026, which were separate from the previously announced plans.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CINCINNATI FACILITY FLOOD DAMAGE </w:t>
      </w:r>
    </w:p>
    <w:p>
      <w:pPr>
        <w:pStyle w:val="TextBody"/>
        <w:bidi w:val="0"/>
        <w:spacing w:lineRule="auto" w:line="288" w:before="120" w:after="120"/>
        <w:jc w:val="both"/>
        <w:rPr/>
      </w:pPr>
      <w:r>
        <w:rPr>
          <w:rFonts w:ascii="Times New Roman;serif" w:hAnsi="Times New Roman;serif"/>
          <w:b w:val="false"/>
          <w:color w:val="000000"/>
          <w:sz w:val="20"/>
        </w:rPr>
        <w:t xml:space="preserve">On July 17, 2026, our manufacturing facility in Cincinnati, Ohio sustained flood damage as a result of severe weather conditions. The flooding caused damage to portions of the facility, equipment, inventory and other assets and resulted in operational disruptions at the site. We responded immediately to the event and implemented our business continuity plans to support ongoing customer service and operational continuity. We are continuing to assess the full extent of the damage and finalize remediation and recovery plans. Based on our current assessment, including available inventory at our distribution centers and our insurance coverage, we do not currently expect the event to have a material adverse effect on our operations or financial condition. However, our evaluation of the full financial impact of the event remains ongoing, including the ultimate costs of remediation and restoration, the amount of any potential asset impairments, and the timing and extent of insurance recoveries. We maintain insurance coverage for property damage and business interruption losses and are actively working with our insurance carriers to assess available coverage and potential recoveries. While we believe the event may result in insurance recoveries, the amount and timing of any such recoveries cannot be assured. For additional information regarding the flood damage to the Cincinnati facility, see </w:t>
      </w:r>
      <w:r>
        <w:rPr>
          <w:rFonts w:ascii="Times New Roman;serif" w:hAnsi="Times New Roman;serif"/>
          <w:b w:val="false"/>
          <w:i/>
          <w:color w:val="000000"/>
          <w:sz w:val="20"/>
        </w:rPr>
        <w:t>Note 17. Subsequent Events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three and six </w:t>
      </w:r>
      <w:r>
        <w:rPr>
          <w:rFonts w:ascii="Times New Roman;serif" w:hAnsi="Times New Roman;serif"/>
          <w:b w:val="false"/>
          <w:color w:val="000000"/>
          <w:sz w:val="20"/>
          <w:shd w:fill="FFFFFF" w:val="clear"/>
        </w:rPr>
        <w:t xml:space="preserve">months ended June 30, 2026, net income (loss) was $4.5 million and $(0.1) million, or $0.06 and $(0.00) per diluted share, as compared to net losses of $(484.1) million and $(509.4) million, or $(6.31) and $(6.65) per diluted share, for the </w:t>
      </w:r>
      <w:r>
        <w:rPr>
          <w:rFonts w:ascii="Times New Roman;serif" w:hAnsi="Times New Roman;serif"/>
          <w:b w:val="false"/>
          <w:color w:val="000000"/>
          <w:sz w:val="20"/>
        </w:rPr>
        <w:t xml:space="preserve">three and six months </w:t>
      </w:r>
      <w:r>
        <w:rPr>
          <w:rFonts w:ascii="Times New Roman;serif" w:hAnsi="Times New Roman;serif"/>
          <w:b w:val="false"/>
          <w:color w:val="000000"/>
          <w:sz w:val="20"/>
          <w:shd w:fill="FFFFFF" w:val="clear"/>
        </w:rPr>
        <w:t xml:space="preserve">ended June 30, 2025. </w:t>
      </w:r>
      <w:r>
        <w:rPr>
          <w:rFonts w:ascii="Times New Roman;serif" w:hAnsi="Times New Roman;serif"/>
          <w:b w:val="false"/>
          <w:color w:val="000000"/>
          <w:sz w:val="20"/>
        </w:rPr>
        <w:t>The improvement in net income (loss) for the three and six months ended June 30, 2026 was primarily attributable to the goodwill impairment charge recognized in the prior year.</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Special Charges</w:t>
      </w:r>
    </w:p>
    <w:p>
      <w:pPr>
        <w:pStyle w:val="TextBody"/>
        <w:bidi w:val="0"/>
        <w:spacing w:lineRule="auto" w:line="288" w:before="120" w:after="120"/>
        <w:jc w:val="left"/>
        <w:rPr/>
      </w:pPr>
      <w:r>
        <w:rPr>
          <w:rFonts w:ascii="Times New Roman;serif" w:hAnsi="Times New Roman;serif"/>
          <w:b w:val="false"/>
          <w:color w:val="000000"/>
          <w:sz w:val="20"/>
        </w:rPr>
        <w:t>Income before taxes includes the following special charges</w:t>
      </w:r>
      <w:r>
        <w:rPr>
          <w:rFonts w:ascii="Times New Roman;serif" w:hAnsi="Times New Roman;serif"/>
          <w:b/>
          <w:color w:val="000000"/>
          <w:sz w:val="20"/>
        </w:rPr>
        <w:t>:</w:t>
      </w:r>
    </w:p>
    <w:tbl>
      <w:tblPr>
        <w:tblW w:w="9169" w:type="dxa"/>
        <w:jc w:val="left"/>
        <w:tblInd w:w="0" w:type="dxa"/>
        <w:tblLayout w:type="fixed"/>
        <w:tblCellMar>
          <w:top w:w="28" w:type="dxa"/>
          <w:left w:w="28" w:type="dxa"/>
          <w:bottom w:w="28" w:type="dxa"/>
          <w:right w:w="28" w:type="dxa"/>
        </w:tblCellMar>
      </w:tblPr>
      <w:tblGrid>
        <w:gridCol w:w="1494"/>
        <w:gridCol w:w="1314"/>
        <w:gridCol w:w="1317"/>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149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 divestiture and integration-related charges</w:t>
            </w:r>
            <w:r>
              <w:rPr>
                <w:rFonts w:ascii="Times New Roman;serif" w:hAnsi="Times New Roman;serif"/>
                <w:b w:val="false"/>
                <w:color w:val="000000"/>
                <w:sz w:val="12"/>
              </w:rPr>
              <w:t>(1)</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Structural optimization charges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Braintree transition</w:t>
            </w:r>
            <w:r>
              <w:rPr>
                <w:rFonts w:ascii="Times New Roman;serif" w:hAnsi="Times New Roman;serif"/>
                <w:b w:val="false"/>
                <w:color w:val="000000"/>
                <w:sz w:val="12"/>
              </w:rPr>
              <w:t>(2)</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 medical device regulation</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35,218 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69" w:type="dxa"/>
            <w:gridSpan w:val="24"/>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4"/>
              </w:rPr>
              <w:t xml:space="preserve">This includes adjustments for contingent consideration liabilities. Refer to </w:t>
            </w:r>
            <w:r>
              <w:rPr>
                <w:rFonts w:ascii="Times New Roman;serif" w:hAnsi="Times New Roman;serif"/>
                <w:b w:val="false"/>
                <w:i/>
                <w:color w:val="000000"/>
                <w:sz w:val="14"/>
              </w:rPr>
              <w:t>Note 15. Commitments and Contingencies</w:t>
            </w:r>
            <w:r>
              <w:rPr>
                <w:color w:val="000000"/>
              </w:rPr>
              <w:t xml:space="preserve"> </w:t>
            </w:r>
            <w:r>
              <w:rPr>
                <w:rFonts w:ascii="Times New Roman;serif" w:hAnsi="Times New Roman;serif"/>
                <w:b w:val="false"/>
                <w:color w:val="000000"/>
                <w:sz w:val="14"/>
              </w:rPr>
              <w:t>for additional information.</w:t>
            </w:r>
          </w:p>
        </w:tc>
      </w:tr>
      <w:tr>
        <w:trPr/>
        <w:tc>
          <w:tcPr>
            <w:tcW w:w="9169" w:type="dxa"/>
            <w:gridSpan w:val="24"/>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4"/>
              </w:rPr>
              <w:t>This primarily includes idle capacity charges, site transfer costs, quality remediation costs, right of use and fixed asset impairments.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items reported above are reflected in the condensed consolidated statements of operations as follows:</w:t>
      </w:r>
    </w:p>
    <w:tbl>
      <w:tblPr>
        <w:tblW w:w="7593" w:type="dxa"/>
        <w:jc w:val="center"/>
        <w:tblInd w:w="0" w:type="dxa"/>
        <w:tblLayout w:type="fixed"/>
        <w:tblCellMar>
          <w:top w:w="28" w:type="dxa"/>
          <w:left w:w="28" w:type="dxa"/>
          <w:bottom w:w="28" w:type="dxa"/>
          <w:right w:w="28" w:type="dxa"/>
        </w:tblCellMar>
      </w:tblPr>
      <w:tblGrid>
        <w:gridCol w:w="924"/>
        <w:gridCol w:w="812"/>
        <w:gridCol w:w="813"/>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Cost of goods sold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35,218 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typically define special charges as items for which the amounts and/or timing of such expenses may vary significantly from period to period, depending upon our acquisition, divestiture, integration and restructuring activities; items for which the amounts are non-cash in nature; and items which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the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the Company.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Revenues and Gross Margin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revenues and gross margin on product revenues were as follows:</w:t>
      </w:r>
    </w:p>
    <w:tbl>
      <w:tblPr>
        <w:tblW w:w="8861" w:type="dxa"/>
        <w:jc w:val="center"/>
        <w:tblInd w:w="0" w:type="dxa"/>
        <w:tblLayout w:type="fixed"/>
        <w:tblCellMar>
          <w:top w:w="28" w:type="dxa"/>
          <w:left w:w="28" w:type="dxa"/>
          <w:bottom w:w="28" w:type="dxa"/>
          <w:right w:w="28" w:type="dxa"/>
        </w:tblCellMar>
      </w:tblPr>
      <w:tblGrid>
        <w:gridCol w:w="1239"/>
        <w:gridCol w:w="1089"/>
        <w:gridCol w:w="1092"/>
        <w:gridCol w:w="330"/>
        <w:gridCol w:w="206"/>
        <w:gridCol w:w="485"/>
        <w:gridCol w:w="183"/>
        <w:gridCol w:w="183"/>
        <w:gridCol w:w="183"/>
        <w:gridCol w:w="330"/>
        <w:gridCol w:w="206"/>
        <w:gridCol w:w="485"/>
        <w:gridCol w:w="109"/>
        <w:gridCol w:w="109"/>
        <w:gridCol w:w="109"/>
        <w:gridCol w:w="299"/>
        <w:gridCol w:w="206"/>
        <w:gridCol w:w="485"/>
        <w:gridCol w:w="166"/>
        <w:gridCol w:w="166"/>
        <w:gridCol w:w="166"/>
        <w:gridCol w:w="299"/>
        <w:gridCol w:w="195"/>
        <w:gridCol w:w="541"/>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Net Sales</w:t>
            </w:r>
          </w:p>
        </w:tc>
        <w:tc>
          <w:tcPr>
            <w:tcW w:w="25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Specialty Surgery</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309,269</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592,404</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584,622</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Tissue Reconstruction</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109,492</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218,275</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213,636</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418,761</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810,679</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798,258</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199,017</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373,953</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394,494</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 on total revenues</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219,744</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436,726</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403,764</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 as a percentage of total revenues</w:t>
            </w:r>
          </w:p>
        </w:tc>
        <w:tc>
          <w:tcPr>
            <w:tcW w:w="5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4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4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4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Three Months Ended June 30, 2026 as Compared to Three Months Ended June 30, 2025</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Revenues and Gross Margin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total revenues increased by $3.2 million to $418.8 million from $415.6 million for the same period in 2025, representing low-single digit growth compared to the same period in the prior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Specialty Surgery segment, revenues were $309.3 million which represents an increase of $5.3 million, or 2% as compared to the prior-year period. Excluding the impact of foreign currency of $0.4 million, the increase in revenue is primarily driven by Neurosurgery and Surgical Instruments, offset by decreases in our ENT Solutions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Tissue Reconstruction segment, revenues were $109.5 million which represents a decrease of $2.2 million, or 2% as compared to the prior-year period. The decline was attributable to lower sales of MicroMatrix and Integra Skin, partially offset by growth in PriMatrix and DuraSorb. The decrease in Integra Skin sales was primarily due to the clearance of backorders in the prior-year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Gross margin was $219.7 million for the three months ended June 30, 2026, an increase of $10.4 million from $209.3 million for the same period in 2025. Gross margin as a percentage of revenues was 52.5% for the three months ended June 30, 2026 and 50.4% for the same period in 2025. The increase in gross margin is primarily attributable to a reduction in costs associated with the Braintree remediation, lower costs related to quality and operational issues, and improved manufacturing performance compared to the same period in the prior year.</w:t>
      </w:r>
    </w:p>
    <w:p>
      <w:pPr>
        <w:pStyle w:val="TextBody"/>
        <w:bidi w:val="0"/>
        <w:spacing w:lineRule="auto" w:line="288" w:before="120" w:after="120"/>
        <w:jc w:val="both"/>
        <w:rPr/>
      </w:pPr>
      <w:r>
        <w:rPr>
          <w:rFonts w:ascii="Times New Roman;serif" w:hAnsi="Times New Roman;serif"/>
          <w:b/>
          <w:color w:val="000000"/>
          <w:sz w:val="20"/>
        </w:rPr>
        <w:t>Operating Ex</w:t>
      </w:r>
      <w:r>
        <w:rPr>
          <w:rFonts w:ascii="Times New Roman;serif" w:hAnsi="Times New Roman;serif"/>
          <w:b/>
          <w:color w:val="000000"/>
          <w:sz w:val="20"/>
          <w:shd w:fill="FFFFFF" w:val="clear"/>
        </w:rPr>
        <w:t>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operating expenses as a percent of total revenues:</w:t>
      </w:r>
    </w:p>
    <w:tbl>
      <w:tblPr>
        <w:tblW w:w="5237" w:type="dxa"/>
        <w:jc w:val="left"/>
        <w:tblInd w:w="0" w:type="dxa"/>
        <w:tblLayout w:type="fixed"/>
        <w:tblCellMar>
          <w:top w:w="28" w:type="dxa"/>
          <w:left w:w="28" w:type="dxa"/>
          <w:bottom w:w="28" w:type="dxa"/>
          <w:right w:w="28" w:type="dxa"/>
        </w:tblCellMar>
      </w:tblPr>
      <w:tblGrid>
        <w:gridCol w:w="923"/>
        <w:gridCol w:w="812"/>
        <w:gridCol w:w="814"/>
        <w:gridCol w:w="254"/>
        <w:gridCol w:w="212"/>
        <w:gridCol w:w="483"/>
        <w:gridCol w:w="205"/>
        <w:gridCol w:w="205"/>
        <w:gridCol w:w="205"/>
        <w:gridCol w:w="303"/>
        <w:gridCol w:w="253"/>
        <w:gridCol w:w="568"/>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173.7 </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operating expenses, which consist of research and development, selling, general and administrative, and amortization expenses, decreased by $521.5 million, or 72.2%, to $200.5 million in the three months ended June 30, 2026, compared to $722.0 million in the same period in 2025, mainly driven by the goodwill impairment charge in the second quarter of the prior year.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three months ended June 30, 2026 decreased by $2.7 million as compared to the same period in the prior year, primarily attributable to reduced spending in EU MDR.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for the three months ended June 30, 2026 decreased by $7.5 million as compared to the same period in the prior year, primarily due a reduction in Acclarent integration costs and reduced spending in EU MDR.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Intangible Asset Amortization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Amortization expense (which does not include amounts reported in cost of product revenues for technology-based intangible assets) for the three months ended June 30, 2026 was $3.8 million, consistent with the same period in the prior year.</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Non-Operating Income and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non-operating income and expense:</w:t>
      </w:r>
    </w:p>
    <w:tbl>
      <w:tblPr>
        <w:tblW w:w="5592" w:type="dxa"/>
        <w:jc w:val="left"/>
        <w:tblInd w:w="0" w:type="dxa"/>
        <w:tblLayout w:type="fixed"/>
        <w:tblCellMar>
          <w:top w:w="28" w:type="dxa"/>
          <w:left w:w="28" w:type="dxa"/>
          <w:bottom w:w="28" w:type="dxa"/>
          <w:right w:w="28" w:type="dxa"/>
        </w:tblCellMar>
      </w:tblPr>
      <w:tblGrid>
        <w:gridCol w:w="1126"/>
        <w:gridCol w:w="988"/>
        <w:gridCol w:w="990"/>
        <w:gridCol w:w="201"/>
        <w:gridCol w:w="740"/>
        <w:gridCol w:w="112"/>
        <w:gridCol w:w="112"/>
        <w:gridCol w:w="112"/>
        <w:gridCol w:w="112"/>
        <w:gridCol w:w="201"/>
        <w:gridCol w:w="740"/>
        <w:gridCol w:w="158"/>
      </w:tblGrid>
      <w:tr>
        <w:trPr/>
        <w:tc>
          <w:tcPr>
            <w:tcW w:w="112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non-operating income and (expense)</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(14,541)</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(18,278)</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income for the three months ended June 30, 2026 decreased by $0.4 million as compared to the same period in the prior year.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June 30, 2026 increased by $2.0 million as compared to the same period in the prior year primarily due to higher interest rates on the borrowings under the revolving credit facility component of the Senior Credit Facility as compared to the interest rates on the 2025 Notes, which was repaid in August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120" w:after="120"/>
        <w:jc w:val="both"/>
        <w:rPr/>
      </w:pPr>
      <w:r>
        <w:rPr>
          <w:rFonts w:ascii="Times New Roman;serif" w:hAnsi="Times New Roman;serif"/>
          <w:b w:val="false"/>
          <w:color w:val="000000"/>
          <w:sz w:val="20"/>
        </w:rPr>
        <w:t xml:space="preserve">Other income (expense), net for the three months ended June 30, 2026 changed by $6.1 million as compared to the same period in the prior year, primarily driven by higher income on our cross currency swap contracts. For additional information regarding our cross-currency swap arrangements, see </w:t>
      </w:r>
      <w:r>
        <w:rPr>
          <w:rFonts w:ascii="Times New Roman;serif" w:hAnsi="Times New Roman;serif"/>
          <w:b w:val="false"/>
          <w:i/>
          <w:color w:val="000000"/>
          <w:sz w:val="20"/>
        </w:rPr>
        <w:t>Note 6. Derivative Instruments</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Income Taxes </w:t>
      </w:r>
    </w:p>
    <w:tbl>
      <w:tblPr>
        <w:tblW w:w="5312" w:type="dxa"/>
        <w:jc w:val="left"/>
        <w:tblInd w:w="0" w:type="dxa"/>
        <w:tblLayout w:type="fixed"/>
        <w:tblCellMar>
          <w:top w:w="28" w:type="dxa"/>
          <w:left w:w="28" w:type="dxa"/>
          <w:bottom w:w="28" w:type="dxa"/>
          <w:right w:w="28" w:type="dxa"/>
        </w:tblCellMar>
      </w:tblPr>
      <w:tblGrid>
        <w:gridCol w:w="969"/>
        <w:gridCol w:w="849"/>
        <w:gridCol w:w="851"/>
        <w:gridCol w:w="196"/>
        <w:gridCol w:w="556"/>
        <w:gridCol w:w="256"/>
        <w:gridCol w:w="109"/>
        <w:gridCol w:w="109"/>
        <w:gridCol w:w="109"/>
        <w:gridCol w:w="196"/>
        <w:gridCol w:w="811"/>
        <w:gridCol w:w="301"/>
      </w:tblGrid>
      <w:tr>
        <w:trPr/>
        <w:tc>
          <w:tcPr>
            <w:tcW w:w="96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(530,952)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income tax rates for the three months ended June 30, 2026 and 2025 were 5.5% and 8.8%, respectively.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2026 effective tax rate was primarily impacted by tax benefits associated with returns filed in certain foreign jurisdictions, as well as the jurisdictional mix of income, including its impact on the Company’s net Controlled Foreign Corporation tested income (“NCTI”) inclusion, formerly referred to as Global Intangible Low Taxed Income (“GILTI”). The 2025 effective tax rate was primarily impacted by a partially non-deductible goodwill impairment charge, NCTI, and additional taxes related to global minimum tax requirements in certain foreign jurisdictions, partially offset by tax benefits from operating losses in certain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effective tax rate may vary from period to period due to factors including the geographic and business mix of taxable earnings and losses, tax planning activities, and settlements with taxing authorities. The Company evaluates these factors, together with its history of taxable earnings, when assessing the realizability of its tax assets on a quarterly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changes in tax laws or regulations in the jurisdictions in which the Company operates could impact its effective tax rate. Governments in the U.S. and abroad continue to focus on tax reform and revenue-raising legislation. On July 4, 2025, the One Big Beautiful Bill Act (“OBBBA”), was enacted in the U.S. The OBBBA includes several tax law changes, including extensions of certain 2017 Tax Cuts and Jobs Act provisions, immediate expensing of certain research and development costs, and changes to interest expense deduction limitations.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continues to monitor tax legislation enacted by foreign jurisdictions in response to the Organization of Economic Cooperation and Development's (“OECD”) Pillar Two global minimum tax framework. Pillar Two generally provides for a 15% minimum tax on large multinational companies on a jurisdiction-by-jurisdiction basis, with certain provisions effective beginning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Six Months Ended June 30, 2026 as Compared to Six Months Ended June 30, 2025</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Revenues and Gross Margin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total revenues increased by $12.4 million to $810.7 million from $798.3 million for the same period in 2025, representing low-single digit growth compared to the same period in the prior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Specialty Surgery segment, revenues were $592.4 million, an increase of $7.8 million, or 1% from the prior year period. Excluding the impact of foreign currency of $4.5 million, the increase in revenue is primarily driven by Neurosurgery, offset by decreases in our Surgical Instrument and ENT Solutions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Tissue Reconstruction segment, revenues were $218.3 million, an increase of $4.6 million, or 2% from the prior year period. This is primarily attributable to growth in Primatrix and Durasorb, offset by the impact of quality and operational issues associated with Medihoney.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Gross margin was $436.7 million for the six months ended June 30, 2026, an increase of $33.0 million from $403.8 million for the same period in 2025. Gross margin as a percentage of total revenue increased to 53.9% for the six months ended June 30, 2026 from 50.6% in the same period in 2025. The increase in gross margin is primarily attributable to a reduction in costs associated with the Braintree remediation, lower costs related to quality and operational issues, and improved manufacturing performance compared to the same period in the prior year.</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120" w:after="120"/>
        <w:jc w:val="both"/>
        <w:rPr/>
      </w:pPr>
      <w:r>
        <w:rPr>
          <w:rFonts w:ascii="Times New Roman;serif" w:hAnsi="Times New Roman;serif"/>
          <w:b w:val="false"/>
          <w:color w:val="000000"/>
          <w:sz w:val="20"/>
        </w:rPr>
        <w:t>The following is a summary of operating expenses as a percent of total revenues:</w:t>
      </w:r>
      <w:r>
        <w:rPr>
          <w:color w:val="000000"/>
        </w:rPr>
        <w:t> </w:t>
      </w:r>
    </w:p>
    <w:tbl>
      <w:tblPr>
        <w:tblW w:w="5097" w:type="dxa"/>
        <w:jc w:val="left"/>
        <w:tblInd w:w="0" w:type="dxa"/>
        <w:tblLayout w:type="fixed"/>
        <w:tblCellMar>
          <w:top w:w="28" w:type="dxa"/>
          <w:left w:w="28" w:type="dxa"/>
          <w:bottom w:w="28" w:type="dxa"/>
          <w:right w:w="28" w:type="dxa"/>
        </w:tblCellMar>
      </w:tblPr>
      <w:tblGrid>
        <w:gridCol w:w="923"/>
        <w:gridCol w:w="812"/>
        <w:gridCol w:w="814"/>
        <w:gridCol w:w="233"/>
        <w:gridCol w:w="233"/>
        <w:gridCol w:w="442"/>
        <w:gridCol w:w="188"/>
        <w:gridCol w:w="188"/>
        <w:gridCol w:w="188"/>
        <w:gridCol w:w="278"/>
        <w:gridCol w:w="278"/>
        <w:gridCol w:w="520"/>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operating expenses, which consist of selling, general and administrative expenses, research and development expenses, and amortization expenses, decreased by $526.0 million, or 56.4% to $406.0 million in the six months ended June 30, 2026, compared to $931.9 million in the same period in 2025, primarily driven by goodwill impairment recorded in the second quarter of the prior year.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six months ended June 30, 2026 decreased by $4.0 million as compared to the same period, primarily attributable to reduced spending in EU MDR.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decreased by $10.7 million as compared to the same period in the prior year, primarily due a reduction in Acclarent integration costs and reduced spending in EU MDR.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Intangible Asset Amortization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Amortization expense (excluding amounts reported in cost of product revenues for technology-based intangible assets) for the six months ended June 30, 2026 was $7.5 million, consistent with the same period in the prior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expect total annual amortization expense to be approximately $53.7 million for the remainder of 2026, $106.5 million in 2027, $102.9 million in 2028, $97.6 million in 2029, $91.5 million in 2030, $88.5 million in 2031 and $358.6 million thereafter.</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Non-Operating Income and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non-operating income and expenses:</w:t>
      </w:r>
    </w:p>
    <w:tbl>
      <w:tblPr>
        <w:tblW w:w="4554" w:type="dxa"/>
        <w:jc w:val="left"/>
        <w:tblInd w:w="0" w:type="dxa"/>
        <w:tblLayout w:type="fixed"/>
        <w:tblCellMar>
          <w:top w:w="28" w:type="dxa"/>
          <w:left w:w="28" w:type="dxa"/>
          <w:bottom w:w="28" w:type="dxa"/>
          <w:right w:w="28" w:type="dxa"/>
        </w:tblCellMar>
      </w:tblPr>
      <w:tblGrid>
        <w:gridCol w:w="773"/>
        <w:gridCol w:w="678"/>
        <w:gridCol w:w="679"/>
        <w:gridCol w:w="196"/>
        <w:gridCol w:w="721"/>
        <w:gridCol w:w="109"/>
        <w:gridCol w:w="109"/>
        <w:gridCol w:w="109"/>
        <w:gridCol w:w="109"/>
        <w:gridCol w:w="196"/>
        <w:gridCol w:w="721"/>
        <w:gridCol w:w="154"/>
      </w:tblGrid>
      <w:tr>
        <w:trPr/>
        <w:tc>
          <w:tcPr>
            <w:tcW w:w="7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non-operating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income for the six months ended June 30, 2026 decreased by $0.8 million as compared to the same period in the prior year.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120"/>
        <w:jc w:val="both"/>
        <w:rPr/>
      </w:pPr>
      <w:r>
        <w:rPr>
          <w:rFonts w:ascii="Times New Roman;serif" w:hAnsi="Times New Roman;serif"/>
          <w:b w:val="false"/>
          <w:color w:val="000000"/>
          <w:sz w:val="20"/>
          <w:shd w:fill="FFFFFF" w:val="clear"/>
        </w:rPr>
        <w:t>Interes</w:t>
      </w:r>
      <w:r>
        <w:rPr>
          <w:rFonts w:ascii="Times New Roman;serif" w:hAnsi="Times New Roman;serif"/>
          <w:b w:val="false"/>
          <w:color w:val="000000"/>
          <w:sz w:val="20"/>
        </w:rPr>
        <w:t>t expense for the six months ended June 30, 2026 increased by $5.6 million as compared to the same period in the prior year primarily due to higher interest rates on the borrowings under the revolving credit facility component of the Senior Credit Facility as compared to the interest rates on the 2025 Notes, which was repaid in August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120" w:after="120"/>
        <w:jc w:val="both"/>
        <w:rPr/>
      </w:pPr>
      <w:r>
        <w:rPr>
          <w:rFonts w:ascii="Times New Roman;serif" w:hAnsi="Times New Roman;serif"/>
          <w:b w:val="false"/>
          <w:color w:val="000000"/>
          <w:sz w:val="20"/>
        </w:rPr>
        <w:t xml:space="preserve">Other income (expense), net for the six months ended June 30, 2026, increased by $10.8 million as compared to the same period in the prior year, primarily driven by higher income on our cross currency swap contracts. For additional information regarding our cross-currency swap arrangements, see </w:t>
      </w:r>
      <w:r>
        <w:rPr>
          <w:rFonts w:ascii="Times New Roman;serif" w:hAnsi="Times New Roman;serif"/>
          <w:b w:val="false"/>
          <w:i/>
          <w:color w:val="000000"/>
          <w:sz w:val="20"/>
        </w:rPr>
        <w:t>Note 6. Derivative Instruments</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Income Taxes </w:t>
      </w:r>
    </w:p>
    <w:tbl>
      <w:tblPr>
        <w:tblW w:w="5312" w:type="dxa"/>
        <w:jc w:val="left"/>
        <w:tblInd w:w="0" w:type="dxa"/>
        <w:tblLayout w:type="fixed"/>
        <w:tblCellMar>
          <w:top w:w="28" w:type="dxa"/>
          <w:left w:w="28" w:type="dxa"/>
          <w:bottom w:w="28" w:type="dxa"/>
          <w:right w:w="28" w:type="dxa"/>
        </w:tblCellMar>
      </w:tblPr>
      <w:tblGrid>
        <w:gridCol w:w="969"/>
        <w:gridCol w:w="849"/>
        <w:gridCol w:w="851"/>
        <w:gridCol w:w="196"/>
        <w:gridCol w:w="556"/>
        <w:gridCol w:w="256"/>
        <w:gridCol w:w="109"/>
        <w:gridCol w:w="109"/>
        <w:gridCol w:w="109"/>
        <w:gridCol w:w="196"/>
        <w:gridCol w:w="811"/>
        <w:gridCol w:w="301"/>
      </w:tblGrid>
      <w:tr>
        <w:trPr/>
        <w:tc>
          <w:tcPr>
            <w:tcW w:w="96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(560,988)</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68" w:before="0" w:after="0"/>
        <w:jc w:val="both"/>
        <w:rPr/>
      </w:pPr>
      <w:r>
        <w:rPr>
          <w:rFonts w:ascii="Times New Roman;serif" w:hAnsi="Times New Roman;serif"/>
          <w:b w:val="false"/>
          <w:color w:val="000000"/>
          <w:sz w:val="20"/>
        </w:rPr>
        <w:t>The Company’s effective income tax rates for the six months ended June 30, 2026 and 2025 were 105.7% and 9.2%, respectively.</w:t>
      </w:r>
      <w:r>
        <w:rPr>
          <w:color w:val="000000"/>
        </w:rPr>
        <w:t xml:space="preserve"> </w:t>
      </w:r>
      <w:r>
        <w:rPr>
          <w:rFonts w:ascii="Times New Roman;serif" w:hAnsi="Times New Roman;serif"/>
          <w:b w:val="false"/>
          <w:color w:val="000000"/>
          <w:sz w:val="20"/>
        </w:rPr>
        <w:t xml:space="preserve">The 2026 effective tax rate was primarily impacted by a tax expense related to a shortfall from stock-based compensation due to market conditions, partially offset by a tax benefit from returns filed in certain foreign jurisdictions. The 2025 effective tax rate was primarily impacted by a partially non-deductible goodwill impairment charge, NCTI, and additional taxes related to global minimum tax requirements in certain foreign jurisdictions, partially offset by tax benefits from operating losses in certain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GEOGRAPHIC PRODUCT REVENUES AND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attribute revenues to geographic areas based on the location of the customer. Total revenue by major geographic area consisted of the following:</w:t>
      </w:r>
    </w:p>
    <w:p>
      <w:pPr>
        <w:pStyle w:val="TextBody"/>
        <w:bidi w:val="0"/>
        <w:spacing w:before="0" w:after="0"/>
        <w:jc w:val="both"/>
        <w:rPr/>
      </w:pPr>
      <w:r>
        <w:rPr/>
      </w:r>
    </w:p>
    <w:tbl>
      <w:tblPr>
        <w:tblW w:w="6753" w:type="dxa"/>
        <w:jc w:val="left"/>
        <w:tblInd w:w="0" w:type="dxa"/>
        <w:tblLayout w:type="fixed"/>
        <w:tblCellMar>
          <w:top w:w="28" w:type="dxa"/>
          <w:left w:w="28" w:type="dxa"/>
          <w:bottom w:w="28" w:type="dxa"/>
          <w:right w:w="28" w:type="dxa"/>
        </w:tblCellMar>
      </w:tblPr>
      <w:tblGrid>
        <w:gridCol w:w="555"/>
        <w:gridCol w:w="487"/>
        <w:gridCol w:w="488"/>
        <w:gridCol w:w="199"/>
        <w:gridCol w:w="747"/>
        <w:gridCol w:w="110"/>
        <w:gridCol w:w="110"/>
        <w:gridCol w:w="110"/>
        <w:gridCol w:w="110"/>
        <w:gridCol w:w="199"/>
        <w:gridCol w:w="747"/>
        <w:gridCol w:w="110"/>
        <w:gridCol w:w="109"/>
        <w:gridCol w:w="109"/>
        <w:gridCol w:w="109"/>
        <w:gridCol w:w="196"/>
        <w:gridCol w:w="736"/>
        <w:gridCol w:w="109"/>
        <w:gridCol w:w="109"/>
        <w:gridCol w:w="109"/>
        <w:gridCol w:w="109"/>
        <w:gridCol w:w="196"/>
        <w:gridCol w:w="736"/>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307,099 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306,308 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418,761 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415,605 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810,679 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798,258 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generate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Working Capital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Working capital consists of total current assets less total current liabilities as presented in the consolidated balance sheets. The Company’s working capital as of June 30, 2026 and December 31, 2025 was $860.6 million and $703.6 million, respectively. The increase in working capital is driven by the 2026 amendment of our Securitization Facility, which resulted in the reclassification of borrowings from current liabilities to long term liabilities.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Cash and Marketable Securities </w:t>
      </w:r>
    </w:p>
    <w:p>
      <w:pPr>
        <w:pStyle w:val="TextBody"/>
        <w:bidi w:val="0"/>
        <w:spacing w:lineRule="auto" w:line="288" w:before="120" w:after="120"/>
        <w:jc w:val="both"/>
        <w:rPr/>
      </w:pPr>
      <w:r>
        <w:rPr>
          <w:rFonts w:ascii="Times New Roman;serif" w:hAnsi="Times New Roman;serif"/>
          <w:b w:val="false"/>
          <w:color w:val="000000"/>
          <w:sz w:val="20"/>
        </w:rPr>
        <w:t>The Company had cash and cash equivalents totaling approximately $214.4 million and $235.0 million at June 30, 2026 and December 31, 2025, respectively, which are valued based on Level 1 measurements in the fair value hierarchy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At June 30, 2026, our non-U.S. subsidiaries held approximately $185.1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had short-term investments, primarily consisting of time deposits, which are valued based on Level 1 measurements in the fair value hierarchy, totaling approximately $59.7 million and $28.7 million, respectively, at June 30, 2026 and December 31, 2025.</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Cash Flows</w:t>
      </w:r>
    </w:p>
    <w:tbl>
      <w:tblPr>
        <w:tblW w:w="5953" w:type="dxa"/>
        <w:jc w:val="left"/>
        <w:tblInd w:w="0" w:type="dxa"/>
        <w:tblLayout w:type="fixed"/>
        <w:tblCellMar>
          <w:top w:w="28" w:type="dxa"/>
          <w:left w:w="28" w:type="dxa"/>
          <w:bottom w:w="28" w:type="dxa"/>
          <w:right w:w="28" w:type="dxa"/>
        </w:tblCellMar>
      </w:tblPr>
      <w:tblGrid>
        <w:gridCol w:w="1333"/>
        <w:gridCol w:w="1170"/>
        <w:gridCol w:w="1172"/>
        <w:gridCol w:w="197"/>
        <w:gridCol w:w="652"/>
        <w:gridCol w:w="110"/>
        <w:gridCol w:w="110"/>
        <w:gridCol w:w="110"/>
        <w:gridCol w:w="110"/>
        <w:gridCol w:w="197"/>
        <w:gridCol w:w="637"/>
        <w:gridCol w:w="155"/>
      </w:tblGrid>
      <w:tr>
        <w:trPr/>
        <w:tc>
          <w:tcPr>
            <w:tcW w:w="133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32,605 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(58,131)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fluctuations on cash</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Cash Flows Provided by or Used in Operating Activities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Operating cash flows for the six months ended June 30, 2026 increased by $34.9 million compared to the same period in 2025. Within operating cash flows, net income less non-cash adjustments increased for the six months ended June 30, 2026 by approximately $49.0 million, primarily due to the reduced impact of quality and operational issues in the current year compared to the prior period, as well as lower spending on EU MDR compliance and Braintree transition.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changes in assets and liabilities for the six months ended June 30, 2026, net of business acquisitions, decreased cash flows by $56.8 million, mainly attributable to a decrease in accrued expenses and other current liabilities, due to payment of SIA contingent consideration, and an increase in other current assets. This is partially offset by improved customer collections.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changes in assets and liabilities for the six months ended June 30, 2025, net of business acquisitions, decreased cash flows by $42.7 million, mainly attributable to increases in inventory and prepaid expenses and other current assets.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Flows Used in Investing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Uses of cash from investing activities for the six months ended June 30, 2026 were $31.0 million purchases of short term investments and $27.2 million paid for capital expenditures to support improvement initiatives at a number of our manufacturing facilities and other technology investments.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sources of cash from investing activities for the six months ended June 30,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Uses of cash from investing activities during the six months ended June 30, 2025 were $49.1 million paid for capital expenditures to support improvement initiatives at a number of our manufacturing facilities, and other technology investments, as well as $8.5 million related to purchases of short-term investments.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sources of cash from investing activities for the six months ended June 30,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Flows Provided by Financing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Uses of cash from financing activities in the six months ended June 30, 2026 related to the repayments of $60.5 million under our Senior Credit Facility and Securitization Facility. In addition, the Company paid $6.8 million related to payment of SIA contingent consideration, $1.6 million in cash taxes for net equity settlements, and $0.3 million in debt issuance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Sources of cash from financing activities for the six months ended June 30, 2026 were $75.9 million of proceeds from borrowings of long term indebtedness and $0.8 million related to the proceeds from employee stock purchases.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Uses of cash from financing activities in the six months ended June 30, 2025 related to the repayments of $31.1 million under our Senior Credit Facility and Securitization Facility, as well as $16.5 million related to payments of Arkis and SIA contingent consideration. In addition, the Company paid $3.9 million in debt issuance costs and $2.4 million in cash taxes paid for net equity settlements.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Sources of cash from financing activities for the six months ended June 30, 2025 were $67.3 million of proceeds from borrowings of long-term indebtedness and $1.0 million related to the proceeds from the exercise of stock options.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Tariffs and Macroeconomic Environment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April 2025, the U.S. government announced new tariffs on goods imported into the U.S. from dozens of countries, including China and the European Union member states. In response, governments have threatened or imposed reciprocal tariffs or taken other measures, and the United States is in the process of negotiating trade agreements with certain governments. In August 2025, the U.S. Court of Appeals for the Federal Circuit ruled against certain of the U.S. tariffs that have been implemented. The U.S. administration has appealed this ruling. In February 2026, the U.S. Supreme Court ruled to invalidate the U.S. administration’s tariff program implemented under the International Emergency Economic Powers Act (“IEEPA”), concluding that IEEPA did not authorize the broad import duties previously imposed. Following the ruling, the U.S. administration announced a global 10.0% tariff under Section 122 of the Trade Act of 1974, which permits temporary import surcharges of up to 15% for a period of up to 150 days to address balance of payments deficits, with implementation effective almost immediately and subject to certain exemptions. Following the expiration of tariffs previously imposed under Section 122 in July 2026, the U.S. administration announced the immediate implementation of tariffs which apply to certain products we import under Section 301 of the Trade Act of 1974 at rates ranging from 10.0% to 12.5%. The timing, scope, and duration of these tariffs remain uncertain and are subject to change based on governmental actions.</w:t>
      </w:r>
    </w:p>
    <w:p>
      <w:pPr>
        <w:pStyle w:val="TextBody"/>
        <w:bidi w:val="0"/>
        <w:spacing w:lineRule="auto" w:line="288" w:before="120" w:after="120"/>
        <w:jc w:val="both"/>
        <w:rPr/>
      </w:pPr>
      <w:r>
        <w:rPr>
          <w:rFonts w:ascii="Times New Roman;serif" w:hAnsi="Times New Roman;serif"/>
          <w:b w:val="false"/>
          <w:color w:val="000000"/>
          <w:sz w:val="20"/>
        </w:rPr>
        <w:t>Subsequent to the U.S. Supreme Court</w:t>
      </w:r>
      <w:r>
        <w:rPr>
          <w:color w:val="000000"/>
          <w:shd w:fill="FFFFFF" w:val="clear"/>
        </w:rPr>
        <w:t>’</w:t>
      </w:r>
      <w:r>
        <w:rPr>
          <w:rFonts w:ascii="Times New Roman;serif" w:hAnsi="Times New Roman;serif"/>
          <w:b w:val="false"/>
          <w:color w:val="000000"/>
          <w:sz w:val="20"/>
        </w:rPr>
        <w:t>s decision, the U.S. Court of International Trade issued an order directing U.S. Customs and Border Protection (“CBP”) to establish an administrative process to issue refunds of any IEEPA tariffs imposed without appropriate authority. On April 20, 2026, the CBP launched an online portal referred to as the Consolidated Administration and Processing of Entries (“CAPE”) that can be used to facilitate the submission and processing of IEEPA tariff refund requests. As of June 30, 2026, the Company had submitted IEEPA tariff refund claims of $17.6 million, consisting of $16.7 million submitted through Phases 1 and 2 of CAPE and $0.9 million submitted through formal protests filed outside CAPE, all of which remain subject to CBP review and validation prior to the issuance of refunds. The Company expects the remaining amount will be received through Phase 3 of CAPE and through vendor refunds.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0"/>
        </w:rPr>
        <w:t xml:space="preserve">Any tariffs paid have been capitalized in inventory and have been recognized in cost of goods sold as those products subject to tariffs have been sold. In the first quarter of 2026, the Company applied the guidance within FASB Topic 405-20, </w:t>
      </w:r>
      <w:r>
        <w:rPr>
          <w:rFonts w:ascii="Times New Roman;serif" w:hAnsi="Times New Roman;serif"/>
          <w:b w:val="false"/>
          <w:i/>
          <w:color w:val="000000"/>
          <w:sz w:val="20"/>
        </w:rPr>
        <w:t>Liabilities - Extinguishments of Liabilities</w:t>
      </w:r>
      <w:r>
        <w:rPr>
          <w:color w:val="000000"/>
        </w:rPr>
        <w:t xml:space="preserve"> </w:t>
      </w:r>
      <w:r>
        <w:rPr>
          <w:rFonts w:ascii="Times New Roman;serif" w:hAnsi="Times New Roman;serif"/>
          <w:b w:val="false"/>
          <w:color w:val="000000"/>
          <w:sz w:val="20"/>
        </w:rPr>
        <w:t>(“ASC 405-20”) and as a result, recognized a receivable of $19.0 million, recorded within other current assets, for tariffs previously paid on imported goods that are subject to refund. Of this amount $3.4 million had been previously expensed in 2025 to cost of goods sold, and $15.6 million would have been expensed in the current year. These adjustments relate to the legal right to receive a refund of IEEPA tariffs previously imposed on the Company without appropriate authority. During the six months ended June 30, 2026, the Company received cash refunds of $0.5 million, which reduced the receivable balance.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Tariffs have resulted in an increase in certain product costs and could have adverse impacts on, among other things, demand for our products and supply chains. Particularly, the U.S. import tariffs and reciprocal measures by China, are expected to increase the Company’s cost of goods sold. The Company anticipates that some of its suppliers will incur incremental tariff-related costs, which may be passed on to the Company. Approximately half of our global revenue is generated from products manufactured in the U.S. In China, which accounts for approximately 5 percent of our total revenue, roughly half of the products we sell are manufactured in the United States.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in September 2025, the U.S. Department of Commerce initiated national security investigations into medical equipment, devices, and robotics. The tariff environment has continued to shift, with new measures being proposed, paused, implemented, and countered, contributing to broader trade policy uncertainty.</w:t>
      </w:r>
    </w:p>
    <w:p>
      <w:pPr>
        <w:pStyle w:val="TextBody"/>
        <w:bidi w:val="0"/>
        <w:spacing w:lineRule="auto" w:line="288" w:before="120" w:after="120"/>
        <w:jc w:val="both"/>
        <w:rPr/>
      </w:pPr>
      <w:r>
        <w:rPr>
          <w:rFonts w:ascii="Times New Roman;serif" w:hAnsi="Times New Roman;serif"/>
          <w:b w:val="false"/>
          <w:color w:val="000000"/>
          <w:sz w:val="20"/>
        </w:rPr>
        <w:t xml:space="preserve">The overall macroeconomic and geopolitical environment, including tariffs or changes in trade policies, slower economic growth or recession, market volatility and inflation, and uncertainty regarding all of the foregoing, pose risks that could impact our business, results of operations, financial condition and cash flows. The extent and duration of the tariffs and the resulting impact on general economic conditions and on the business are uncertain and are expected to be impacted by various factors, such as negotiations between the U.S. and affected countries, the responses of other countries or regions, exemptions or exclusions that already exist or may be granted, availability and cost of alternative sources of our products and materials, and our ability to offset the effects of any tariffs that might be imposed. For additional information on the risks that tariffs pose to the Company, please see </w:t>
      </w:r>
      <w:r>
        <w:rPr>
          <w:rFonts w:ascii="Times New Roman;serif" w:hAnsi="Times New Roman;serif"/>
          <w:b w:val="false"/>
          <w:i/>
          <w:color w:val="000000"/>
          <w:sz w:val="20"/>
        </w:rPr>
        <w:t>Part I, Item 1A. “Risk Factors”</w:t>
      </w:r>
      <w:r>
        <w:rPr>
          <w:color w:val="000000"/>
        </w:rPr>
        <w:t xml:space="preserve"> </w:t>
      </w:r>
      <w:r>
        <w:rPr>
          <w:rFonts w:ascii="Times New Roman;serif" w:hAnsi="Times New Roman;serif"/>
          <w:b w:val="false"/>
          <w:color w:val="000000"/>
          <w:sz w:val="20"/>
        </w:rPr>
        <w:t>of our Annual Report on Form 10-K for the fiscal year ended December 31,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Credit Agreement, Convertible Senior Notes, Securitization and Related Hedging Activities</w:t>
      </w:r>
    </w:p>
    <w:p>
      <w:pPr>
        <w:pStyle w:val="TextBody"/>
        <w:bidi w:val="0"/>
        <w:spacing w:lineRule="auto" w:line="288" w:before="120" w:after="12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5. Debt</w:t>
      </w:r>
      <w:r>
        <w:rPr>
          <w:rFonts w:ascii="Times New Roman;serif" w:hAnsi="Times New Roman;serif"/>
          <w:b w:val="false"/>
          <w:i/>
          <w:color w:val="000000"/>
          <w:sz w:val="18"/>
          <w:shd w:fill="FFFFFF" w:val="clear"/>
        </w:rPr>
        <w:t xml:space="preserve">, </w:t>
      </w:r>
      <w:r>
        <w:rPr>
          <w:rFonts w:ascii="Times New Roman;serif" w:hAnsi="Times New Roman;serif"/>
          <w:b w:val="false"/>
          <w:color w:val="000000"/>
          <w:sz w:val="20"/>
        </w:rPr>
        <w:t xml:space="preserve">to the Notes to Unaudited Condensed Consolidated Financial Statements (Part I, Item 1 of this Quarterly Report) for a discussion of our Senior Credit Facility, 2025 Notes, and Securitization Facility and </w:t>
      </w:r>
      <w:r>
        <w:rPr>
          <w:rFonts w:ascii="Times New Roman;serif" w:hAnsi="Times New Roman;serif"/>
          <w:b w:val="false"/>
          <w:i/>
          <w:color w:val="000000"/>
          <w:sz w:val="20"/>
        </w:rPr>
        <w:t>Note 6. Derivative Instruments</w:t>
      </w:r>
      <w:r>
        <w:rPr>
          <w:rFonts w:ascii="Times New Roman;serif" w:hAnsi="Times New Roman;serif"/>
          <w:b w:val="false"/>
          <w:i/>
          <w:color w:val="000000"/>
          <w:sz w:val="18"/>
          <w:shd w:fill="FFFFFF" w:val="clear"/>
        </w:rPr>
        <w:t xml:space="preserve">, </w:t>
      </w:r>
      <w:r>
        <w:rPr>
          <w:rFonts w:ascii="Times New Roman;serif" w:hAnsi="Times New Roman;serif"/>
          <w:b w:val="false"/>
          <w:color w:val="000000"/>
          <w:sz w:val="20"/>
        </w:rPr>
        <w:t xml:space="preserve">to the Notes to Unaudited Condensed Consolidated Financial Statements (Part I, Item 1 of this Quarterly Report) for discussion of our hedging activities. </w:t>
      </w:r>
    </w:p>
    <w:p>
      <w:pPr>
        <w:pStyle w:val="TextBody"/>
        <w:bidi w:val="0"/>
        <w:spacing w:lineRule="auto" w:line="288" w:before="120" w:after="120"/>
        <w:jc w:val="both"/>
        <w:rPr/>
      </w:pPr>
      <w:r>
        <w:rPr>
          <w:rFonts w:ascii="Times New Roman;serif" w:hAnsi="Times New Roman;serif"/>
          <w:b w:val="false"/>
          <w:color w:val="000000"/>
          <w:sz w:val="20"/>
        </w:rPr>
        <w:t xml:space="preserve">The Senior Credit Facility is subject to various financial and negative covenants and, at June 30, 2026, the Company was in compliance with all such covenants. Our Consolidated Total Leverage Ratio was 4.10, with the covenant requirement at 5.00 at the end of June 30, 2026. As outlined in the table in </w:t>
      </w:r>
      <w:r>
        <w:rPr>
          <w:rFonts w:ascii="Times New Roman;serif" w:hAnsi="Times New Roman;serif"/>
          <w:b w:val="false"/>
          <w:i/>
          <w:color w:val="000000"/>
          <w:sz w:val="20"/>
        </w:rPr>
        <w:t xml:space="preserve">Note 5. Debt, </w:t>
      </w:r>
      <w:r>
        <w:rPr>
          <w:rFonts w:ascii="Times New Roman;serif" w:hAnsi="Times New Roman;serif"/>
          <w:b w:val="false"/>
          <w:color w:val="000000"/>
          <w:sz w:val="20"/>
        </w:rPr>
        <w:t xml:space="preserve">the covenant requirement will drop from 5.00 to 4.75 for the fiscal quarter ended September 30, 2026.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not paid any cash dividends on our common stock since our formation. Our Senior Credit Facility limits the amount of dividends that we may pay. Any future determinations to pay cash dividends on our common stock will be at the discretion of the Board of Directors and will depend upon our financial condition, results of operations, cash flows and other factors deemed relevant by the Board of Directors.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that our cash, cash equivalents, short-term investments and available borrowings under the Senior Credit Facility are sufficient to finance our operations and capital expenditures for the next twelve months and foreseeable future. Our future capital requirements will depend on many factors, including the growth of our business, the timing and introduction of new products and investments, strategic plans and acquisitions, and the potential impact of tariffs on our cost of goods sold and consumer demand for our products, among others. Additional sources of liquidity available to us include short-term borrowings and the issuance of long-term debt and equity securities.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do not have any off-balance sheet financing arrangements during the six months ended June 30, 2026 that have or are reasonably likely to have, a current or future effect on our financial condition, changes in financial condition, revenues or expenses, results of operations, liquidity, capital expenditures or capital resources that are material to our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w:t>
      </w:r>
    </w:p>
    <w:p>
      <w:pPr>
        <w:pStyle w:val="TextBody"/>
        <w:bidi w:val="0"/>
        <w:spacing w:lineRule="auto" w:line="288" w:before="120" w:after="120"/>
        <w:jc w:val="both"/>
        <w:rPr/>
      </w:pPr>
      <w:r>
        <w:rPr>
          <w:rFonts w:ascii="Times New Roman;serif" w:hAnsi="Times New Roman;serif"/>
          <w:b w:val="false"/>
          <w:color w:val="000000"/>
          <w:sz w:val="20"/>
        </w:rPr>
        <w:t>Our primary obligations include principal and interest payments on the revolving credit facility and t</w:t>
      </w:r>
      <w:r>
        <w:rPr>
          <w:rFonts w:ascii="Times New Roman;serif" w:hAnsi="Times New Roman;serif"/>
          <w:b w:val="false"/>
          <w:color w:val="000000"/>
          <w:sz w:val="20"/>
          <w:shd w:fill="FFFFFF" w:val="clear"/>
        </w:rPr>
        <w:t xml:space="preserve">erm loan component of the Senior Credit Facility and our Securitization Facility. See </w:t>
      </w:r>
      <w:r>
        <w:rPr>
          <w:rFonts w:ascii="Times New Roman;serif" w:hAnsi="Times New Roman;serif"/>
          <w:b w:val="false"/>
          <w:i/>
          <w:color w:val="000000"/>
          <w:sz w:val="20"/>
        </w:rPr>
        <w:t>Note 5. Debt</w:t>
      </w:r>
      <w:r>
        <w:rPr>
          <w:rFonts w:ascii="Times New Roman;serif" w:hAnsi="Times New Roman;serif"/>
          <w:b w:val="false"/>
          <w:i/>
          <w:color w:val="000000"/>
          <w:sz w:val="18"/>
          <w:shd w:fill="FFFFFF" w:val="clear"/>
        </w:rPr>
        <w:t xml:space="preserve">, </w:t>
      </w:r>
      <w:r>
        <w:rPr>
          <w:rFonts w:ascii="Times New Roman;serif" w:hAnsi="Times New Roman;serif"/>
          <w:b w:val="false"/>
          <w:color w:val="000000"/>
          <w:sz w:val="20"/>
        </w:rPr>
        <w:t xml:space="preserve">to the Notes to Consolidated Financial Statements (Part I, Item 1 of this Quarterly Report) for details. </w:t>
      </w:r>
      <w:r>
        <w:rPr>
          <w:rFonts w:ascii="Times New Roman;serif" w:hAnsi="Times New Roman;serif"/>
          <w:b w:val="false"/>
          <w:color w:val="000000"/>
          <w:sz w:val="20"/>
          <w:shd w:fill="FFFFFF" w:val="clear"/>
        </w:rPr>
        <w:t xml:space="preserve">The Company also leases some of our manufacturing facilities and office buildings which have required future minimum lease payments. See </w:t>
      </w:r>
      <w:r>
        <w:rPr>
          <w:rFonts w:ascii="Times New Roman;serif" w:hAnsi="Times New Roman;serif"/>
          <w:b w:val="false"/>
          <w:i/>
          <w:color w:val="000000"/>
          <w:sz w:val="20"/>
        </w:rPr>
        <w:t>Note 9. Leases and Related Party Leases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to the Notes to Consolidated Financial Statements (Part I, Item 1 of this Quarterly Report) </w:t>
      </w:r>
      <w:r>
        <w:rPr>
          <w:rFonts w:ascii="Times New Roman;serif" w:hAnsi="Times New Roman;serif"/>
          <w:b w:val="false"/>
          <w:color w:val="000000"/>
          <w:sz w:val="20"/>
          <w:shd w:fill="FFFFFF" w:val="clear"/>
        </w:rPr>
        <w:t>for a schedule of our future minimum lease payments. Amounts related to the Company’s other obligations, including employment agreements and purchase obligations were not material.</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has future pension contribution obligations and contingent consideration obligations related to prior acquisitions. See </w:t>
      </w:r>
      <w:r>
        <w:rPr>
          <w:rFonts w:ascii="Times New Roman;serif" w:hAnsi="Times New Roman;serif"/>
          <w:b w:val="false"/>
          <w:i/>
          <w:color w:val="000000"/>
          <w:sz w:val="20"/>
        </w:rPr>
        <w:t>Note 8. Retirement Plans</w:t>
      </w:r>
      <w:r>
        <w:rPr>
          <w:rFonts w:ascii="Times New Roman;serif" w:hAnsi="Times New Roman;serif"/>
          <w:b w:val="false"/>
          <w:color w:val="000000"/>
          <w:sz w:val="20"/>
          <w:shd w:fill="FFFFFF" w:val="clear"/>
        </w:rPr>
        <w:t xml:space="preserve">, and </w:t>
      </w:r>
      <w:r>
        <w:rPr>
          <w:rFonts w:ascii="Times New Roman;serif" w:hAnsi="Times New Roman;serif"/>
          <w:b w:val="false"/>
          <w:i/>
          <w:color w:val="000000"/>
          <w:sz w:val="20"/>
        </w:rPr>
        <w:t>Note 15. Commitments and Contingencies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to the Notes to Consolidated Financial Statements </w:t>
      </w:r>
      <w:r>
        <w:rPr>
          <w:rFonts w:ascii="Times New Roman;serif" w:hAnsi="Times New Roman;serif"/>
          <w:b w:val="false"/>
          <w:color w:val="000000"/>
          <w:sz w:val="20"/>
          <w:shd w:fill="FFFFFF" w:val="clear"/>
        </w:rPr>
        <w:t>(Part I, Item 1 of this Quarterly Report)</w:t>
      </w:r>
      <w:r>
        <w:rPr>
          <w:color w:val="000000"/>
        </w:rPr>
        <w:t xml:space="preserve"> </w:t>
      </w:r>
      <w:r>
        <w:rPr>
          <w:rFonts w:ascii="Times New Roman;serif" w:hAnsi="Times New Roman;serif"/>
          <w:b w:val="false"/>
          <w:color w:val="000000"/>
          <w:sz w:val="20"/>
        </w:rPr>
        <w:t xml:space="preserve">for details. </w:t>
      </w:r>
      <w:r>
        <w:rPr>
          <w:rFonts w:ascii="Times New Roman;serif" w:hAnsi="Times New Roman;serif"/>
          <w:b w:val="false"/>
          <w:color w:val="000000"/>
          <w:sz w:val="20"/>
          <w:shd w:fill="FFFFFF" w:val="clear"/>
        </w:rPr>
        <w:t xml:space="preserve">The associated obligations are not fixed.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also has a liability for uncertain tax benefits including interest and penalties. See </w:t>
      </w:r>
      <w:r>
        <w:rPr>
          <w:rFonts w:ascii="Times New Roman;serif" w:hAnsi="Times New Roman;serif"/>
          <w:b w:val="false"/>
          <w:i/>
          <w:color w:val="000000"/>
          <w:sz w:val="20"/>
        </w:rPr>
        <w:t>Note 11. Income Taxes</w:t>
      </w:r>
      <w:r>
        <w:rPr>
          <w:color w:val="000000"/>
          <w:shd w:fill="FFFFFF" w:val="clear"/>
        </w:rPr>
        <w:t xml:space="preserve"> </w:t>
      </w:r>
      <w:r>
        <w:rPr>
          <w:rFonts w:ascii="Times New Roman;serif" w:hAnsi="Times New Roman;serif"/>
          <w:b w:val="false"/>
          <w:color w:val="000000"/>
          <w:sz w:val="20"/>
        </w:rPr>
        <w:t xml:space="preserve">to the Notes to Consolidated Financial Statements </w:t>
      </w:r>
      <w:r>
        <w:rPr>
          <w:rFonts w:ascii="Times New Roman;serif" w:hAnsi="Times New Roman;serif"/>
          <w:b w:val="false"/>
          <w:color w:val="000000"/>
          <w:sz w:val="20"/>
          <w:shd w:fill="FFFFFF" w:val="clear"/>
        </w:rPr>
        <w:t>(Part I, Item 1 of this Quarterly Report)</w:t>
      </w:r>
      <w:r>
        <w:rPr>
          <w:color w:val="000000"/>
        </w:rPr>
        <w:t xml:space="preserve"> </w:t>
      </w:r>
      <w:r>
        <w:rPr>
          <w:rFonts w:ascii="Times New Roman;serif" w:hAnsi="Times New Roman;serif"/>
          <w:b w:val="false"/>
          <w:color w:val="000000"/>
          <w:sz w:val="20"/>
        </w:rPr>
        <w:t xml:space="preserve">for details. </w:t>
      </w:r>
      <w:r>
        <w:rPr>
          <w:rFonts w:ascii="Times New Roman;serif" w:hAnsi="Times New Roman;serif"/>
          <w:b w:val="false"/>
          <w:color w:val="000000"/>
          <w:sz w:val="20"/>
          <w:shd w:fill="FFFFFF" w:val="clear"/>
        </w:rPr>
        <w:t>The Company cannot make a reliable estimate of the period in which the uncertain tax benefits may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based the discussion and analysis of our financial condition and results of operations upon our consolidated financial statements, which have been prepared in conformity with GAAP. The preparation of these financial statements requires us to make estimates and assumptions that affect the reported amount of assets and liabilities, the disclosure of contingent liabilities, and the reported amounts of revenues and expenses. The critical accounting estimates discussed in our Annual Report on Form 10-K for the fiscal year ended December 31, 2025 did not materially change in the six months ended June 30, 2026.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lineRule="auto" w:line="288" w:before="120" w:after="120"/>
        <w:jc w:val="both"/>
        <w:rPr/>
      </w:pPr>
      <w:r>
        <w:rPr>
          <w:rFonts w:ascii="Times New Roman;serif" w:hAnsi="Times New Roman;serif"/>
          <w:b w:val="false"/>
          <w:color w:val="000000"/>
          <w:sz w:val="20"/>
        </w:rPr>
        <w:t xml:space="preserve">Information regarding new accounting pronouncements is included in </w:t>
      </w:r>
      <w:r>
        <w:rPr>
          <w:rFonts w:ascii="Times New Roman;serif" w:hAnsi="Times New Roman;serif"/>
          <w:b w:val="false"/>
          <w:i/>
          <w:color w:val="000000"/>
          <w:sz w:val="20"/>
        </w:rPr>
        <w:t>Note 1. Basis of Presentation</w:t>
      </w:r>
      <w:r>
        <w:rPr>
          <w:rFonts w:ascii="Times New Roman;serif" w:hAnsi="Times New Roman;serif"/>
          <w:b w:val="false"/>
          <w:color w:val="000000"/>
          <w:sz w:val="20"/>
        </w:rPr>
        <w:t>, to the Notes to Unaudited Condensed Consolidated Financial Statements (Part I, Item 1 of this Quarterly Report), and is applicable to the current period’s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Foreign Currency Exchange and Other Rate Risks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Israeli shekel,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pStyle w:val="TextBody"/>
        <w:bidi w:val="0"/>
        <w:spacing w:lineRule="auto" w:line="288" w:before="120" w:after="120"/>
        <w:jc w:val="both"/>
        <w:rPr/>
      </w:pPr>
      <w:r>
        <w:rPr>
          <w:rFonts w:ascii="Times New Roman;serif" w:hAnsi="Times New Roman;serif"/>
          <w:b w:val="false"/>
          <w:color w:val="000000"/>
          <w:sz w:val="20"/>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w:t>
      </w:r>
      <w:r>
        <w:rPr>
          <w:rFonts w:ascii="Times New Roman;serif" w:hAnsi="Times New Roman;serif"/>
          <w:b w:val="false"/>
          <w:i/>
          <w:color w:val="000000"/>
          <w:sz w:val="20"/>
        </w:rPr>
        <w:t>Note 6. Derivative Instruments</w:t>
      </w:r>
      <w:r>
        <w:rPr>
          <w:rFonts w:ascii="Times New Roman;serif" w:hAnsi="Times New Roman;serif"/>
          <w:b w:val="false"/>
          <w:color w:val="000000"/>
          <w:sz w:val="20"/>
        </w:rPr>
        <w:t>, to the Notes to Unaudited Condensed Consolidated Financial Statements (Part I, Item 1 of this Quarterly Report)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results of operations discussed herein have not been materially affected by inflation.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120"/>
        <w:jc w:val="both"/>
        <w:rPr/>
      </w:pPr>
      <w:r>
        <w:rPr>
          <w:rFonts w:ascii="Times New Roman;serif" w:hAnsi="Times New Roman;serif"/>
          <w:b w:val="false"/>
          <w:i/>
          <w:color w:val="000000"/>
          <w:sz w:val="20"/>
        </w:rPr>
        <w:t>Cash and Cash Equivalents</w:t>
      </w:r>
      <w:r>
        <w:rPr>
          <w:color w:val="000000"/>
        </w:rPr>
        <w:t xml:space="preserve"> </w:t>
      </w:r>
      <w:r>
        <w:rPr>
          <w:rFonts w:ascii="Times New Roman;serif" w:hAnsi="Times New Roman;serif"/>
          <w:b w:val="false"/>
          <w:color w:val="000000"/>
          <w:sz w:val="20"/>
        </w:rPr>
        <w:t>- We are exposed to the risk of interest rate fluctuations on the interest income earned on our cash and cash equivalents. A hypothetical 100 basis points increase or decrease in interest rates applicable to our cash and cash equivalents outstanding at June 30, 2026 would impact interest income by approximately $2.1 million on an annual basis. We are subject to foreign currency exchange risk with respect to cash balances maintained in foreign currencies.</w:t>
      </w:r>
    </w:p>
    <w:p>
      <w:pPr>
        <w:pStyle w:val="TextBody"/>
        <w:bidi w:val="0"/>
        <w:spacing w:lineRule="auto" w:line="288" w:before="120" w:after="120"/>
        <w:jc w:val="both"/>
        <w:rPr/>
      </w:pPr>
      <w:r>
        <w:rPr>
          <w:rFonts w:ascii="Times New Roman;serif" w:hAnsi="Times New Roman;serif"/>
          <w:b w:val="false"/>
          <w:i/>
          <w:color w:val="000000"/>
          <w:sz w:val="20"/>
        </w:rPr>
        <w:t xml:space="preserve">Short-Term Investments - </w:t>
      </w:r>
      <w:r>
        <w:rPr>
          <w:rFonts w:ascii="Times New Roman;serif" w:hAnsi="Times New Roman;serif"/>
          <w:b w:val="false"/>
          <w:color w:val="000000"/>
          <w:sz w:val="20"/>
        </w:rPr>
        <w:t xml:space="preserve">We are exposed to the risk of interest rate fluctuations on the interest income earned on our short-term investments. A hypothetical 100 basis points movement in interest rates applicable to our short-term investments outstanding at June 30, 2026 would increase or decrease interest income by approximately $0.6 million on an annual basis. </w:t>
      </w:r>
    </w:p>
    <w:p>
      <w:pPr>
        <w:pStyle w:val="TextBody"/>
        <w:bidi w:val="0"/>
        <w:spacing w:lineRule="auto" w:line="288" w:before="0" w:after="0"/>
        <w:jc w:val="both"/>
        <w:rPr/>
      </w:pP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 Our interest rate risk relates primarily to U.S. dollar SOFR-indexed borrowings. We use interest rate swap derivative instruments to manage our earnings and cash flow exposure to changes in interest rates. These interest rate swaps fix the interest rate on a portion of our expected SOFR-indexed floating-rate borrowings. These interest rate swaps were designated as cash flow hedges as of June 30, 2026. The total notional amounts related to the Company's interest rate swaps were $900.0 million, of which all are effective as of June 30, 2026. Based on our outstanding borrowings at June 30, 2026, a 100 basis points change in interest rates would have impacted interest expense on the unhedged portion of the debt by $9.7 million on an annualized basis. See </w:t>
      </w:r>
      <w:r>
        <w:rPr>
          <w:rFonts w:ascii="Times New Roman;serif" w:hAnsi="Times New Roman;serif"/>
          <w:b w:val="false"/>
          <w:i/>
          <w:color w:val="000000"/>
          <w:sz w:val="20"/>
        </w:rPr>
        <w:t>Note 6. Derivative Instruments</w:t>
      </w:r>
      <w:r>
        <w:rPr>
          <w:rFonts w:ascii="Times New Roman;serif" w:hAnsi="Times New Roman;serif"/>
          <w:b w:val="false"/>
          <w:color w:val="000000"/>
          <w:sz w:val="20"/>
        </w:rPr>
        <w:t>, to the Notes to Unaudited Condensed Consolidated Financial Statements (Part I, Item 1 of this Quarterly Report) for further information regarding interest rate swaps.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June 30, 2026. Based upon this evaluation, our principal executive officer and principal financial officer concluded that our disclosure controls and procedures were effective as of June 30, 2026 to provide such reasonable assurance.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 13a-15(f) under the Exchange Act) that occurred during the quarter ended June 30, 2026 that have materially affected, or are reasonably likely to materially affect, our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response to business integration activities, we have and will continue to further align and streamline the design and operation of the financial control environment to be responsive to the changing business model.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jc w:val="both"/>
        <w:rPr/>
      </w:pPr>
      <w:r>
        <w:rPr>
          <w:rFonts w:ascii="Times New Roman;serif" w:hAnsi="Times New Roman;serif"/>
          <w:b w:val="false"/>
          <w:color w:val="000000"/>
          <w:sz w:val="20"/>
        </w:rPr>
        <w:t xml:space="preserve">Please refer to </w:t>
      </w:r>
      <w:r>
        <w:rPr>
          <w:rFonts w:ascii="Times New Roman;serif" w:hAnsi="Times New Roman;serif"/>
          <w:b w:val="false"/>
          <w:i/>
          <w:color w:val="000000"/>
          <w:sz w:val="20"/>
        </w:rPr>
        <w:t>Note 15. Commitments and Contingencies,</w:t>
      </w:r>
      <w:r>
        <w:rPr>
          <w:color w:val="000000"/>
        </w:rPr>
        <w:t xml:space="preserve"> </w:t>
      </w:r>
      <w:r>
        <w:rPr>
          <w:rFonts w:ascii="Times New Roman;serif" w:hAnsi="Times New Roman;serif"/>
          <w:b w:val="false"/>
          <w:color w:val="000000"/>
          <w:sz w:val="20"/>
        </w:rPr>
        <w:t>to the Notes to Unaudited Condensed Consolidated Financial Statements (Part I, Item 1 of this Quarterly Report) for further details on current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1A. RISK FACTORS </w:t>
      </w:r>
    </w:p>
    <w:p>
      <w:pPr>
        <w:pStyle w:val="TextBody"/>
        <w:bidi w:val="0"/>
        <w:spacing w:lineRule="auto" w:line="288" w:before="120" w:after="120"/>
        <w:jc w:val="both"/>
        <w:rPr/>
      </w:pPr>
      <w:r>
        <w:rPr>
          <w:rFonts w:ascii="Times New Roman;serif" w:hAnsi="Times New Roman;serif"/>
          <w:b w:val="false"/>
          <w:color w:val="212529"/>
          <w:sz w:val="20"/>
        </w:rPr>
        <w:t xml:space="preserve">There have been no material changes in our risk factors included in our Annual Report on Form 10-K for the fiscal year ended </w:t>
      </w:r>
      <w:r>
        <w:rPr>
          <w:rFonts w:ascii="Times New Roman;serif" w:hAnsi="Times New Roman;serif"/>
          <w:b w:val="false"/>
          <w:color w:val="000000"/>
          <w:sz w:val="20"/>
        </w:rPr>
        <w:t>December 31, 2025, as previously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Sale of Unregistered Securities: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Purchases of Equity Securities: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Michael McBreen, the Company’s Executive Vice President and Chief Commercial Officer, adopted a trading plan intended to satisfy Rule 10b5-1(c) under the Exchange Act on June 11, 2026 to sell up to 27,040 shares of our common stock between September 10, 2026 and September 13, 2027, the date this plan expires. The sales will be made in accordance with the prices and formulas set forth in the plan and such plan terminates on the earlier of (i) the date all the shares under the plan are sold and (ii) September 13, 2027.</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than as disclosed above, none of the Company’s directors or officers adopted or terminated any contract, instruction or written plan for the purchase or sale of Company securities that was intended to satisfy the affirmative defense conditions of Rule 10b5-1(c) or any “non-Rule 10b5-1 trading arrangement” (as defined in Item 408(c) of Regulation S-K)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52"/>
        <w:gridCol w:w="2652"/>
        <w:gridCol w:w="376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of the Company dated February 16, 1993 (Incorporated by reference to Exhibit 3.1(a) to the Company’s Annual Report on Form 10-K for the fiscal year ended December 31, 2005)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Amendment to Amended and Restated Certificate of Incorporation of the Company dated May 22, 1998 (Incorporated by reference to Exhibit 3.1(b) to the Company’s Annual Report on Form 10-K for the fiscal year ended December 31, 1998)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to Amended and Restated Certificate of Incorporation of the Company dated May 17, 1999 (Incorporated by reference to Exhibit 3.1(c) to the Company’s Annual Report on Form 10-K for the fiscal year ended December 31, 2004)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to Amended and Restated Certificate of Incorporation of the Company dated December 21, 2016 (Incorporated by reference to Exhibit 3.1 to the Company’s Current Report on Form 8-K filed on December 22, 2016)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Certificate of Amendment to the Amended and Restated Certificate of Incorporation of the Company dated May 9, 2024 (Incorporated by reference to Exhibit 3.1(e) to the Company’s Quarterly Report on Form 10-Q for the quarter ended September 30, 2024</w:t>
              </w:r>
            </w:hyperlink>
            <w:r>
              <w:rPr>
                <w:rFonts w:ascii="Times New Roman;serif" w:hAnsi="Times New Roman;serif"/>
                <w:b w:val="false"/>
                <w:color w:val="000000"/>
                <w:sz w:val="20"/>
              </w:rPr>
              <w:t xml:space="preserve">) </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Third Amended and Restated Bylaws of Integra LifeSciences Holdings Corporation, effective as of February 21, 2023 (Incorporated by reference to Exhibit 3.3 to the Company’s Annual Report on Form 10-K for the fiscal year ended December 31, 2022 filed on February 22, 2023)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6"/>
        <w:gridCol w:w="175"/>
        <w:gridCol w:w="176"/>
        <w:gridCol w:w="109"/>
        <w:gridCol w:w="109"/>
        <w:gridCol w:w="109"/>
        <w:gridCol w:w="2722"/>
        <w:gridCol w:w="2722"/>
        <w:gridCol w:w="3857"/>
      </w:tblGrid>
      <w:tr>
        <w:trPr/>
        <w:tc>
          <w:tcPr>
            <w:tcW w:w="22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3857" w:type="dxa"/>
            <w:tcBorders/>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80"/>
                  <w:sz w:val="20"/>
                  <w:u w:val="single"/>
                </w:rPr>
                <w:t xml:space="preserve">Eighth Amended and Restated Credit Agreement, dated as of April 10, 2026, among Integra LifeSciences Holdings Corporation, the lenders party thereto, Bank of America, N.A., as Administrative Agent, Swing Line Lender and L/C Issuer, Citibank N.A., JPMorgan Chase Bank, N.A., Morgan Stanley MUFG Loan Partners, LLC, PNC Bank, N.A., Truist Securities, Inc. and Wells Fargo Bank, N.A., as Co-Syndication Agents, and The Bank of Nova Scotia, BMO Harris Bank N.A., BNP Paribas, Capital One, National Association, Citizens Bank, N.A., DNB Bank ASA, New York Branch, Santander Bank, N.A. and TD Bank, N.A., as Co-Documentation (Incorporated by reference to Exhibit 10.3 to the Company’s Quarterly Report on Form 10-Q for the quarterly period ended </w:t>
              </w:r>
            </w:hyperlink>
            <w:hyperlink r:id="rId9">
              <w:r>
                <w:rPr>
                  <w:rStyle w:val="InternetLink"/>
                  <w:rFonts w:ascii="Times New Roman;serif" w:hAnsi="Times New Roman;serif"/>
                  <w:b w:val="false"/>
                  <w:color w:val="000080"/>
                  <w:sz w:val="20"/>
                  <w:u w:val="single"/>
                </w:rPr>
                <w:t>March</w:t>
              </w:r>
            </w:hyperlink>
            <w:hyperlink r:id="rId10">
              <w:r>
                <w:rPr>
                  <w:rStyle w:val="InternetLink"/>
                  <w:rFonts w:ascii="Times New Roman;serif" w:hAnsi="Times New Roman;serif"/>
                  <w:b w:val="false"/>
                  <w:color w:val="000080"/>
                  <w:sz w:val="20"/>
                  <w:u w:val="single"/>
                </w:rPr>
                <w:t xml:space="preserve"> 3</w:t>
              </w:r>
            </w:hyperlink>
            <w:hyperlink r:id="rId11">
              <w:r>
                <w:rPr>
                  <w:rStyle w:val="InternetLink"/>
                  <w:rFonts w:ascii="Times New Roman;serif" w:hAnsi="Times New Roman;serif"/>
                  <w:b w:val="false"/>
                  <w:color w:val="000080"/>
                  <w:sz w:val="20"/>
                  <w:u w:val="single"/>
                </w:rPr>
                <w:t>1</w:t>
              </w:r>
            </w:hyperlink>
            <w:hyperlink r:id="rId12">
              <w:r>
                <w:rPr>
                  <w:rStyle w:val="InternetLink"/>
                  <w:rFonts w:ascii="Times New Roman;serif" w:hAnsi="Times New Roman;serif"/>
                  <w:b w:val="false"/>
                  <w:color w:val="000080"/>
                  <w:sz w:val="20"/>
                  <w:u w:val="single"/>
                </w:rPr>
                <w:t xml:space="preserve">, 2026, filed on May 5, 2026) </w:t>
              </w:r>
            </w:hyperlink>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80"/>
                  <w:sz w:val="20"/>
                  <w:u w:val="single"/>
                </w:rPr>
                <w:t xml:space="preserve">Amendment No. 1 to Purchase and Sale Agreement, dated as of April 10, 2026, by and among Integra Receivables LLC, Integra LifeSciences Sales LLC, Integra LifeSciences Corporation, and acknowledged and agreed to by PNC Bank, N.A. (Incorporated by reference to Exhibit 10.4 to the Company’s Quarterly Report on Form 10-Q for the quarterly period ended </w:t>
              </w:r>
            </w:hyperlink>
            <w:hyperlink r:id="rId14">
              <w:r>
                <w:rPr>
                  <w:rStyle w:val="InternetLink"/>
                  <w:rFonts w:ascii="Times New Roman;serif" w:hAnsi="Times New Roman;serif"/>
                  <w:b w:val="false"/>
                  <w:color w:val="000080"/>
                  <w:sz w:val="20"/>
                  <w:u w:val="single"/>
                </w:rPr>
                <w:t>M</w:t>
              </w:r>
            </w:hyperlink>
            <w:hyperlink r:id="rId15">
              <w:r>
                <w:rPr>
                  <w:rStyle w:val="InternetLink"/>
                  <w:rFonts w:ascii="Times New Roman;serif" w:hAnsi="Times New Roman;serif"/>
                  <w:b w:val="false"/>
                  <w:color w:val="000080"/>
                  <w:sz w:val="20"/>
                  <w:u w:val="single"/>
                </w:rPr>
                <w:t>arch</w:t>
              </w:r>
            </w:hyperlink>
            <w:hyperlink r:id="rId16">
              <w:r>
                <w:rPr>
                  <w:rStyle w:val="InternetLink"/>
                  <w:rFonts w:ascii="Times New Roman;serif" w:hAnsi="Times New Roman;serif"/>
                  <w:b w:val="false"/>
                  <w:color w:val="000080"/>
                  <w:sz w:val="20"/>
                  <w:u w:val="single"/>
                </w:rPr>
                <w:t xml:space="preserve"> 3</w:t>
              </w:r>
            </w:hyperlink>
            <w:hyperlink r:id="rId17">
              <w:r>
                <w:rPr>
                  <w:rStyle w:val="InternetLink"/>
                  <w:rFonts w:ascii="Times New Roman;serif" w:hAnsi="Times New Roman;serif"/>
                  <w:b w:val="false"/>
                  <w:color w:val="000080"/>
                  <w:sz w:val="20"/>
                  <w:u w:val="single"/>
                </w:rPr>
                <w:t>1</w:t>
              </w:r>
            </w:hyperlink>
            <w:hyperlink r:id="rId18">
              <w:r>
                <w:rPr>
                  <w:rStyle w:val="InternetLink"/>
                  <w:rFonts w:ascii="Times New Roman;serif" w:hAnsi="Times New Roman;serif"/>
                  <w:b w:val="false"/>
                  <w:color w:val="000080"/>
                  <w:sz w:val="20"/>
                  <w:u w:val="single"/>
                </w:rPr>
                <w:t xml:space="preserve">, 2026, filed on May 5, 2026) </w:t>
              </w:r>
            </w:hyperlink>
          </w:p>
          <w:p>
            <w:pPr>
              <w:pStyle w:val="TableContents"/>
              <w:bidi w:val="0"/>
              <w:spacing w:before="0" w:after="0"/>
              <w:jc w:val="both"/>
              <w:rPr/>
            </w:pPr>
            <w:r>
              <w:rPr/>
            </w:r>
          </w:p>
          <w:p>
            <w:pPr>
              <w:pStyle w:val="TableContents"/>
              <w:bidi w:val="0"/>
              <w:spacing w:before="0" w:after="0"/>
              <w:jc w:val="both"/>
              <w:rPr/>
            </w:pPr>
            <w:r>
              <w:rPr/>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Amendment No. 3 to the Integra LifeSciences Holdings Corporation Fifth Amended and Restated 2003 Equity Incentive Plan (Incorporated by reference to Exhibit 10.1 to the Company’s Current Report on Form 8-K filed May 8, 2026)</w:t>
              </w:r>
            </w:hyperlink>
          </w:p>
          <w:p>
            <w:pPr>
              <w:pStyle w:val="TableContents"/>
              <w:bidi w:val="0"/>
              <w:spacing w:before="0" w:after="0"/>
              <w:jc w:val="left"/>
              <w:rPr/>
            </w:pPr>
            <w:r>
              <w:rPr/>
            </w:r>
          </w:p>
          <w:p>
            <w:pPr>
              <w:pStyle w:val="TableContents"/>
              <w:bidi w:val="0"/>
              <w:spacing w:before="0" w:after="0"/>
              <w:jc w:val="left"/>
              <w:rPr/>
            </w:pPr>
            <w:r>
              <w:rPr/>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Integra LifeSciences Holdings Corporation Directors Deferred Compensation Plan (Incorporated by reference to Exhibit 10.13 to the Company’s Annual Report on Form 10-K for the fiscal year ended December 31, 2025, filed on February 26, 2026)</w:t>
              </w:r>
            </w:hyperlink>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60630xexx105.htm">
              <w:r>
                <w:rPr>
                  <w:rStyle w:val="InternetLink"/>
                  <w:rFonts w:ascii="Times New Roman;serif" w:hAnsi="Times New Roman;serif"/>
                  <w:b w:val="false"/>
                  <w:color w:val="0000FF"/>
                  <w:sz w:val="20"/>
                  <w:u w:val="single"/>
                </w:rPr>
                <w:t>Employment Agreement, dated May 1, 2026, by and between Integra LifeSciences Holdings Corporation, Integra LifeSciences Corporation and Stuart Essig</w:t>
              </w:r>
            </w:hyperlink>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60630xexx106.htm">
              <w:r>
                <w:rPr>
                  <w:rStyle w:val="InternetLink"/>
                  <w:rFonts w:ascii="Times New Roman;serif" w:hAnsi="Times New Roman;serif"/>
                  <w:b w:val="false"/>
                  <w:color w:val="0000FF"/>
                  <w:sz w:val="20"/>
                  <w:u w:val="single"/>
                </w:rPr>
                <w:t>Form of Integra LifeSciences Holdings Corporation Fifth Amended and Restated 2003 Equity Incentive Plan Restricted Stock Unit Award Agreement (May 2026)</w:t>
              </w:r>
            </w:hyperlink>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60630xexx107.htm">
              <w:r>
                <w:rPr>
                  <w:rStyle w:val="InternetLink"/>
                  <w:rFonts w:ascii="Times New Roman;serif" w:hAnsi="Times New Roman;serif"/>
                  <w:b w:val="false"/>
                  <w:color w:val="0000FF"/>
                  <w:sz w:val="20"/>
                  <w:u w:val="single"/>
                </w:rPr>
                <w:t>Form of Integra LifeSciences Holdings Corporation Fifth Amended and Restated 2003 Equity Incentive Plan Non-Qualified Stock Option Award Agreement (May 2026)</w:t>
              </w:r>
            </w:hyperlink>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60630xexx108.htm">
              <w:r>
                <w:rPr>
                  <w:rStyle w:val="InternetLink"/>
                  <w:rFonts w:ascii="Times New Roman;serif" w:hAnsi="Times New Roman;serif"/>
                  <w:b w:val="false"/>
                  <w:color w:val="0000FF"/>
                  <w:sz w:val="20"/>
                  <w:u w:val="single"/>
                </w:rPr>
                <w:t>Separation and General Release Agreement, dated May 1, 2026, by and among Mojdeh Poul, Integra LifeSciences Holdings Corporation and Integra LifeSciences Corporation</w:t>
              </w:r>
            </w:hyperlink>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60630xexx311.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60630xexx312.htm">
              <w:r>
                <w:rPr>
                  <w:rStyle w:val="InternetLink"/>
                  <w:rFonts w:ascii="Times New Roman;serif" w:hAnsi="Times New Roman;serif"/>
                  <w:b w:val="false"/>
                  <w:color w:val="0000FF"/>
                  <w:sz w:val="20"/>
                  <w:u w:val="single"/>
                </w:rPr>
                <w:t>Certification of Principal Financial Officer Pursuant to Section 302 of the Sarbanes-Oxley Act of 2002</w:t>
              </w:r>
            </w:hyperlink>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60630xexx321.htm">
              <w:r>
                <w:rPr>
                  <w:rStyle w:val="InternetLink"/>
                  <w:rFonts w:ascii="Times New Roman;serif" w:hAnsi="Times New Roman;serif"/>
                  <w:b w:val="false"/>
                  <w:color w:val="0000FF"/>
                  <w:sz w:val="20"/>
                  <w:u w:val="single"/>
                </w:rPr>
                <w:t>Certification of Principal Executive Officer Pursuant to Section 906 of the Sarbanes-Oxley Act of 2002</w:t>
              </w:r>
            </w:hyperlink>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60630xexx322.htm">
              <w:r>
                <w:rPr>
                  <w:rStyle w:val="InternetLink"/>
                  <w:rFonts w:ascii="Times New Roman;serif" w:hAnsi="Times New Roman;serif"/>
                  <w:b w:val="false"/>
                  <w:color w:val="0000FF"/>
                  <w:sz w:val="20"/>
                  <w:u w:val="single"/>
                </w:rPr>
                <w:t>Certification of Principal Financial Officer Pursuant to Section 906 of the Sarbanes-Oxley Act of 2002</w:t>
              </w:r>
            </w:hyperlink>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Definition Linkbase Document</w:t>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240" w:after="24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66"/>
        <w:gridCol w:w="2855"/>
        <w:gridCol w:w="4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a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this document is filed as an exhibit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financial information of Integra LifeSciences Holdings Corporation Quarterly Report on Form 10-Q for the quarter ended June 30, 2026 filed on July 29, 2026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da7211b481614d1688f56e0e5a880c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196"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492"/>
        <w:gridCol w:w="1492"/>
        <w:gridCol w:w="211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INTEGRA LIFESCIENCES HOLDINGS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Stuart M. Essig,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M. Essig,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A. Mosebrook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A. Mosebrook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rFonts w:ascii="Times New Roman;serif" w:hAnsi="Times New Roman;serif"/>
          <w:b/>
          <w:color w:val="000000"/>
          <w:sz w:val="24"/>
        </w:rPr>
      </w:pPr>
      <w:r>
        <w:rPr>
          <w:rFonts w:ascii="Times New Roman;serif" w:hAnsi="Times New Roman;serif"/>
          <w:b/>
          <w:color w:val="000000"/>
          <w:sz w:val="24"/>
        </w:rPr>
        <w:t>IART-2026.06.30-EX-10.5</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48.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Employment Agreement (this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by and between Integra LifeSciences Holdings Corporation, a Delaware corporation (“</w:t>
      </w:r>
      <w:r>
        <w:rPr>
          <w:rFonts w:ascii="Times New Roman;serif" w:hAnsi="Times New Roman;serif"/>
          <w:b/>
          <w:color w:val="000000"/>
          <w:sz w:val="24"/>
        </w:rPr>
        <w:t>Holdings</w:t>
      </w:r>
      <w:r>
        <w:rPr>
          <w:color w:val="000000"/>
        </w:rPr>
        <w:t>”</w:t>
      </w:r>
      <w:r>
        <w:rPr>
          <w:rFonts w:ascii="Times New Roman;serif" w:hAnsi="Times New Roman;serif"/>
          <w:b w:val="false"/>
          <w:color w:val="000000"/>
          <w:sz w:val="24"/>
        </w:rPr>
        <w:t>) and Integra LifeSciences Corporation (“</w:t>
      </w:r>
      <w:r>
        <w:rPr>
          <w:rFonts w:ascii="Times New Roman;serif" w:hAnsi="Times New Roman;serif"/>
          <w:b/>
          <w:color w:val="000000"/>
          <w:sz w:val="24"/>
        </w:rPr>
        <w:t>OpCo</w:t>
      </w:r>
      <w:r>
        <w:rPr>
          <w:color w:val="000000"/>
        </w:rPr>
        <w:t xml:space="preserve">” </w:t>
      </w:r>
      <w:r>
        <w:rPr>
          <w:rFonts w:ascii="Times New Roman;serif" w:hAnsi="Times New Roman;serif"/>
          <w:b w:val="false"/>
          <w:color w:val="000000"/>
          <w:sz w:val="24"/>
        </w:rPr>
        <w:t>and, together with Holdings,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Stuart Essig (“</w:t>
      </w:r>
      <w:r>
        <w:rPr>
          <w:rFonts w:ascii="Times New Roman;serif" w:hAnsi="Times New Roman;serif"/>
          <w:b/>
          <w:color w:val="000000"/>
          <w:sz w:val="24"/>
        </w:rPr>
        <w:t>Executive</w:t>
      </w:r>
      <w:r>
        <w:rPr>
          <w:color w:val="000000"/>
        </w:rPr>
        <w:t>”</w:t>
      </w:r>
      <w:r>
        <w:rPr>
          <w:rFonts w:ascii="Times New Roman;serif" w:hAnsi="Times New Roman;serif"/>
          <w:b w:val="false"/>
          <w:color w:val="000000"/>
          <w:sz w:val="24"/>
        </w:rPr>
        <w:t>) is entered into and effective as of May 1, 2026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Background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desires to employ Executive, and Executive desires to become an employee of the Company, on the terms and conditions contained in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the mutual agreements contained herein and intended to be legally bound hereby, the parties hereto agree as follows: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Terms</w:t>
      </w:r>
    </w:p>
    <w:p>
      <w:pPr>
        <w:pStyle w:val="TextBody"/>
        <w:bidi w:val="0"/>
        <w:spacing w:lineRule="auto" w:line="240" w:before="0" w:after="240"/>
        <w:jc w:val="both"/>
        <w:rPr/>
      </w:pPr>
      <w:r>
        <w:rPr>
          <w:rFonts w:ascii="Times New Roman;serif" w:hAnsi="Times New Roman;serif"/>
          <w:b/>
          <w:color w:val="000000"/>
          <w:sz w:val="24"/>
        </w:rPr>
        <w:t>1.</w:t>
      </w:r>
      <w:r>
        <w:rPr>
          <w:rFonts w:ascii="Times New Roman;serif" w:hAnsi="Times New Roman;serif"/>
          <w:b/>
          <w:color w:val="000000"/>
          <w:sz w:val="24"/>
        </w:rPr>
        <w:t>Definitions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following words and phrases shall have the meanings set forth below for the purposes of this Agreement (unless the context clearly indicates otherwise):</w:t>
      </w:r>
    </w:p>
    <w:p>
      <w:pPr>
        <w:pStyle w:val="TextBody"/>
        <w:bidi w:val="0"/>
        <w:spacing w:lineRule="auto" w:line="240" w:before="0" w:after="240"/>
        <w:jc w:val="both"/>
        <w:rPr/>
      </w:pPr>
      <w:r>
        <w:rPr>
          <w:rFonts w:ascii="Times New Roman;serif" w:hAnsi="Times New Roman;serif"/>
          <w:b w:val="false"/>
          <w:color w:val="000000"/>
          <w:sz w:val="24"/>
        </w:rPr>
        <w:t>(a)</w:t>
      </w:r>
      <w:r>
        <w:rPr>
          <w:color w:val="000000"/>
        </w:rPr>
        <w:t>“</w:t>
      </w:r>
      <w:r>
        <w:rPr>
          <w:rFonts w:ascii="Times New Roman;serif" w:hAnsi="Times New Roman;serif"/>
          <w:b/>
          <w:color w:val="000000"/>
          <w:sz w:val="24"/>
        </w:rPr>
        <w:t>Accrued Obligations</w:t>
      </w:r>
      <w:r>
        <w:rPr>
          <w:color w:val="000000"/>
        </w:rPr>
        <w:t xml:space="preserve">” </w:t>
      </w:r>
      <w:r>
        <w:rPr>
          <w:rFonts w:ascii="Times New Roman;serif" w:hAnsi="Times New Roman;serif"/>
          <w:b w:val="false"/>
          <w:color w:val="000000"/>
          <w:sz w:val="24"/>
        </w:rPr>
        <w:t>shall mean: (i) any accrued but unpaid Base Salary through the Termination Date; (ii) any earned, but unpaid, Annual Bonus for the year preceding the Termination Date (the “</w:t>
      </w:r>
      <w:r>
        <w:rPr>
          <w:rFonts w:ascii="Times New Roman;serif" w:hAnsi="Times New Roman;serif"/>
          <w:b/>
          <w:color w:val="000000"/>
          <w:sz w:val="24"/>
        </w:rPr>
        <w:t>Prior Year Bonus</w:t>
      </w:r>
      <w:r>
        <w:rPr>
          <w:color w:val="000000"/>
        </w:rPr>
        <w:t>”</w:t>
      </w:r>
      <w:r>
        <w:rPr>
          <w:rFonts w:ascii="Times New Roman;serif" w:hAnsi="Times New Roman;serif"/>
          <w:b w:val="false"/>
          <w:color w:val="000000"/>
          <w:sz w:val="24"/>
        </w:rPr>
        <w:t xml:space="preserve">); (iii) any accrued, unused vacation or paid time off; and (iv) any accrued but unpaid expenses required to be reimbursed pursuant to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hereof. Accrued Obligations shall also include all benefits to which Executive or Executive’s dependents or beneficiaries are entitled to under any employee benefit plan or program of the Company (or any of their affiliates).</w:t>
      </w:r>
    </w:p>
    <w:p>
      <w:pPr>
        <w:pStyle w:val="TextBody"/>
        <w:bidi w:val="0"/>
        <w:spacing w:lineRule="auto" w:line="240" w:before="0" w:after="240"/>
        <w:jc w:val="both"/>
        <w:rPr/>
      </w:pPr>
      <w:r>
        <w:rPr>
          <w:rFonts w:ascii="Times New Roman;serif" w:hAnsi="Times New Roman;serif"/>
          <w:b w:val="false"/>
          <w:color w:val="000000"/>
          <w:sz w:val="24"/>
        </w:rPr>
        <w:t>(b)</w:t>
      </w:r>
      <w:r>
        <w:rPr>
          <w:color w:val="000000"/>
        </w:rPr>
        <w:t>“</w:t>
      </w:r>
      <w:r>
        <w:rPr>
          <w:rFonts w:ascii="Times New Roman;serif" w:hAnsi="Times New Roman;serif"/>
          <w:b/>
          <w:color w:val="000000"/>
          <w:sz w:val="24"/>
        </w:rPr>
        <w:t>Base Salary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5</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(c)</w:t>
      </w:r>
      <w:r>
        <w:rPr>
          <w:color w:val="000000"/>
        </w:rPr>
        <w:t>“</w:t>
      </w:r>
      <w:r>
        <w:rPr>
          <w:rFonts w:ascii="Times New Roman;serif" w:hAnsi="Times New Roman;serif"/>
          <w:b/>
          <w:color w:val="000000"/>
          <w:sz w:val="24"/>
        </w:rPr>
        <w:t>Board</w:t>
      </w:r>
      <w:r>
        <w:rPr>
          <w:color w:val="000000"/>
        </w:rPr>
        <w:t xml:space="preserve">” </w:t>
      </w:r>
      <w:r>
        <w:rPr>
          <w:rFonts w:ascii="Times New Roman;serif" w:hAnsi="Times New Roman;serif"/>
          <w:b w:val="false"/>
          <w:color w:val="000000"/>
          <w:sz w:val="24"/>
        </w:rPr>
        <w:t>shall mean the Board of Directors of Holdings, or any successor thereto.</w:t>
      </w:r>
    </w:p>
    <w:p>
      <w:pPr>
        <w:pStyle w:val="TextBody"/>
        <w:bidi w:val="0"/>
        <w:spacing w:lineRule="auto" w:line="240" w:before="0" w:after="240"/>
        <w:jc w:val="both"/>
        <w:rPr/>
      </w:pPr>
      <w:r>
        <w:rPr>
          <w:rFonts w:ascii="Times New Roman;serif" w:hAnsi="Times New Roman;serif"/>
          <w:b w:val="false"/>
          <w:color w:val="000000"/>
          <w:sz w:val="24"/>
        </w:rPr>
        <w:t>(d)</w:t>
      </w:r>
      <w:r>
        <w:rPr>
          <w:color w:val="000000"/>
        </w:rPr>
        <w:t>“</w:t>
      </w:r>
      <w:r>
        <w:rPr>
          <w:rFonts w:ascii="Times New Roman;serif" w:hAnsi="Times New Roman;serif"/>
          <w:b/>
          <w:color w:val="000000"/>
          <w:sz w:val="24"/>
        </w:rPr>
        <w:t>Cause</w:t>
      </w:r>
      <w:r>
        <w:rPr>
          <w:rFonts w:ascii="Times New Roman;serif" w:hAnsi="Times New Roman;serif"/>
          <w:b w:val="false"/>
          <w:color w:val="000000"/>
          <w:sz w:val="24"/>
        </w:rPr>
        <w:t>,” as determined by the Board in good faith, shall mean Executive has</w:t>
      </w:r>
    </w:p>
    <w:p>
      <w:pPr>
        <w:pStyle w:val="TextBody"/>
        <w:bidi w:val="0"/>
        <w:spacing w:lineRule="auto" w:line="240" w:before="0" w:after="240"/>
        <w:jc w:val="both"/>
        <w:rPr/>
      </w:pPr>
      <w:r>
        <w:rPr>
          <w:rFonts w:ascii="Times New Roman;serif" w:hAnsi="Times New Roman;serif"/>
          <w:b w:val="false"/>
          <w:color w:val="010000"/>
          <w:sz w:val="24"/>
        </w:rPr>
        <w:t>(i)</w:t>
      </w:r>
      <w:r>
        <w:rPr>
          <w:rFonts w:ascii="Times New Roman;serif" w:hAnsi="Times New Roman;serif"/>
          <w:b w:val="false"/>
          <w:color w:val="000000"/>
          <w:sz w:val="24"/>
        </w:rPr>
        <w:t>failed to perform his stated duties in all material respects;</w:t>
      </w:r>
    </w:p>
    <w:p>
      <w:pPr>
        <w:pStyle w:val="TextBody"/>
        <w:bidi w:val="0"/>
        <w:spacing w:lineRule="auto" w:line="240" w:before="0" w:after="240"/>
        <w:jc w:val="both"/>
        <w:rPr/>
      </w:pPr>
      <w:r>
        <w:rPr>
          <w:rFonts w:ascii="Times New Roman;serif" w:hAnsi="Times New Roman;serif"/>
          <w:b w:val="false"/>
          <w:color w:val="010000"/>
          <w:sz w:val="24"/>
        </w:rPr>
        <w:t>(ii)</w:t>
      </w:r>
      <w:r>
        <w:rPr>
          <w:rFonts w:ascii="Times New Roman;serif" w:hAnsi="Times New Roman;serif"/>
          <w:b w:val="false"/>
          <w:color w:val="000000"/>
          <w:sz w:val="24"/>
        </w:rPr>
        <w:t>intentionally and materially breached any material obligation under this Agreement or materially breached any material policy of the Company or any of its subsidiaries (including any code of conduct or harassment policies);</w:t>
      </w:r>
    </w:p>
    <w:p>
      <w:pPr>
        <w:pStyle w:val="TextBody"/>
        <w:bidi w:val="0"/>
        <w:spacing w:lineRule="auto" w:line="240" w:before="0" w:after="240"/>
        <w:jc w:val="both"/>
        <w:rPr/>
      </w:pPr>
      <w:r>
        <w:rPr>
          <w:rFonts w:ascii="Times New Roman;serif" w:hAnsi="Times New Roman;serif"/>
          <w:b w:val="false"/>
          <w:color w:val="010000"/>
          <w:sz w:val="24"/>
        </w:rPr>
        <w:t>(iii)</w:t>
      </w:r>
      <w:r>
        <w:rPr>
          <w:rFonts w:ascii="Times New Roman;serif" w:hAnsi="Times New Roman;serif"/>
          <w:b w:val="false"/>
          <w:color w:val="000000"/>
          <w:sz w:val="24"/>
        </w:rPr>
        <w:t>demonstrated his personal dishonesty in connection with his employment by the Company;</w:t>
      </w:r>
    </w:p>
    <w:p>
      <w:pPr>
        <w:pStyle w:val="TextBody"/>
        <w:bidi w:val="0"/>
        <w:spacing w:lineRule="auto" w:line="240" w:before="0" w:after="240"/>
        <w:jc w:val="both"/>
        <w:rPr/>
      </w:pPr>
      <w:r>
        <w:rPr>
          <w:rFonts w:ascii="Times New Roman;serif" w:hAnsi="Times New Roman;serif"/>
          <w:b w:val="false"/>
          <w:color w:val="010000"/>
          <w:sz w:val="24"/>
        </w:rPr>
        <w:t>(iv)</w:t>
      </w:r>
      <w:r>
        <w:rPr>
          <w:rFonts w:ascii="Times New Roman;serif" w:hAnsi="Times New Roman;serif"/>
          <w:b w:val="false"/>
          <w:color w:val="000000"/>
          <w:sz w:val="24"/>
        </w:rPr>
        <w:t>engaged in fraud or embezzlement from the Company or any of its subsidiaries;</w:t>
      </w:r>
    </w:p>
    <w:p>
      <w:pPr>
        <w:pStyle w:val="TextBody"/>
        <w:bidi w:val="0"/>
        <w:spacing w:lineRule="auto" w:line="240" w:before="0" w:after="240"/>
        <w:jc w:val="both"/>
        <w:rPr/>
      </w:pPr>
      <w:r>
        <w:rPr>
          <w:rFonts w:ascii="Times New Roman;serif" w:hAnsi="Times New Roman;serif"/>
          <w:b w:val="false"/>
          <w:color w:val="010000"/>
          <w:sz w:val="24"/>
        </w:rPr>
        <w:t>(v)</w:t>
      </w:r>
      <w:r>
        <w:rPr>
          <w:rFonts w:ascii="Times New Roman;serif" w:hAnsi="Times New Roman;serif"/>
          <w:b w:val="false"/>
          <w:color w:val="000000"/>
          <w:sz w:val="24"/>
        </w:rPr>
        <w:t>engaged in a breach of fiduciary duty in connection with his employment with the Company;</w:t>
      </w:r>
    </w:p>
    <w:p>
      <w:pPr>
        <w:pStyle w:val="TextBody"/>
        <w:bidi w:val="0"/>
        <w:spacing w:lineRule="auto" w:line="240" w:before="0" w:after="240"/>
        <w:jc w:val="both"/>
        <w:rPr/>
      </w:pPr>
      <w:r>
        <w:rPr>
          <w:rFonts w:ascii="Times New Roman;serif" w:hAnsi="Times New Roman;serif"/>
          <w:b w:val="false"/>
          <w:color w:val="010000"/>
          <w:sz w:val="24"/>
        </w:rPr>
        <w:t>(vi)</w:t>
      </w:r>
      <w:r>
        <w:rPr>
          <w:rFonts w:ascii="Times New Roman;serif" w:hAnsi="Times New Roman;serif"/>
          <w:b w:val="false"/>
          <w:color w:val="000000"/>
          <w:sz w:val="24"/>
        </w:rPr>
        <w:t xml:space="preserve">engaged in willful misconduct that is materially and demonstrably injurious to the Company or any of its subsidiaries; or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10000"/>
          <w:sz w:val="24"/>
        </w:rPr>
        <w:t>(vii)</w:t>
      </w:r>
      <w:r>
        <w:rPr>
          <w:rFonts w:ascii="Times New Roman;serif" w:hAnsi="Times New Roman;serif"/>
          <w:b w:val="false"/>
          <w:color w:val="000000"/>
          <w:sz w:val="24"/>
        </w:rPr>
        <w:t>been convicted or entered a plea of guilty or nolo contendere to a felony or to any other crime involving moral turpitude.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except with respect to clause (vii), Executive’s employment will not be terminated for Cause unless and until (1), the Company provides Executive with written notice setting forth in reasonable detail the facts and circumstances claimed by the Company to constitute Cause, which written notice must be delivered within sixty (60) days after any member of the Board (other than Executive) has knowledge of an event of condition constituting Cause and (2) Executive fails to cure or remedy such acts or omissions within fifteen (15) days following his receipt of such notice (and during such fifteen (15)-day period Executive has had the opportunity with the assistance of his own legal counsel to appear before the Board to address such matter). No termination of Executive’s employment for Cause shall be effective unless such termination is in writing pursuant to action by a majority of the Board (excluding Executive) at a duly constituted meeting thereof.</w:t>
      </w:r>
    </w:p>
    <w:p>
      <w:pPr>
        <w:pStyle w:val="TextBody"/>
        <w:bidi w:val="0"/>
        <w:spacing w:lineRule="auto" w:line="240" w:before="0" w:after="240"/>
        <w:jc w:val="both"/>
        <w:rPr/>
      </w:pPr>
      <w:r>
        <w:rPr>
          <w:rFonts w:ascii="Times New Roman;serif" w:hAnsi="Times New Roman;serif"/>
          <w:b w:val="false"/>
          <w:color w:val="000000"/>
          <w:sz w:val="24"/>
        </w:rPr>
        <w:t>(e)A “</w:t>
      </w:r>
      <w:r>
        <w:rPr>
          <w:rFonts w:ascii="Times New Roman;serif" w:hAnsi="Times New Roman;serif"/>
          <w:b/>
          <w:color w:val="000000"/>
          <w:sz w:val="24"/>
        </w:rPr>
        <w:t>Change in Control</w:t>
      </w:r>
      <w:r>
        <w:rPr>
          <w:color w:val="000000"/>
        </w:rPr>
        <w:t xml:space="preserve">” </w:t>
      </w:r>
      <w:r>
        <w:rPr>
          <w:rFonts w:ascii="Times New Roman;serif" w:hAnsi="Times New Roman;serif"/>
          <w:b w:val="false"/>
          <w:color w:val="000000"/>
          <w:sz w:val="24"/>
        </w:rPr>
        <w:t xml:space="preserve">shall have the meaning set forth in the Plan, as in effect on the Effective Date, without regard to any amendments or modifications thereto, or the establishment of a successor plan, following the Effective Date. </w:t>
      </w:r>
    </w:p>
    <w:p>
      <w:pPr>
        <w:pStyle w:val="TextBody"/>
        <w:bidi w:val="0"/>
        <w:spacing w:lineRule="auto" w:line="240" w:before="0" w:after="240"/>
        <w:jc w:val="both"/>
        <w:rPr/>
      </w:pPr>
      <w:r>
        <w:rPr>
          <w:rFonts w:ascii="Times New Roman;serif" w:hAnsi="Times New Roman;serif"/>
          <w:b w:val="false"/>
          <w:color w:val="000000"/>
          <w:sz w:val="24"/>
        </w:rPr>
        <w:t>(f)</w:t>
      </w:r>
      <w:r>
        <w:rPr>
          <w:color w:val="000000"/>
        </w:rPr>
        <w:t>“</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shall mean the Internal Revenue Code of 1986, as amended.</w:t>
      </w:r>
    </w:p>
    <w:p>
      <w:pPr>
        <w:pStyle w:val="TextBody"/>
        <w:bidi w:val="0"/>
        <w:spacing w:lineRule="auto" w:line="240" w:before="0" w:after="240"/>
        <w:jc w:val="both"/>
        <w:rPr/>
      </w:pPr>
      <w:r>
        <w:rPr>
          <w:rFonts w:ascii="Times New Roman;serif" w:hAnsi="Times New Roman;serif"/>
          <w:b w:val="false"/>
          <w:color w:val="000000"/>
          <w:sz w:val="24"/>
        </w:rPr>
        <w:t>(g)</w:t>
      </w:r>
      <w:r>
        <w:rPr>
          <w:color w:val="000000"/>
        </w:rPr>
        <w:t>“</w:t>
      </w:r>
      <w:r>
        <w:rPr>
          <w:rFonts w:ascii="Times New Roman;serif" w:hAnsi="Times New Roman;serif"/>
          <w:b/>
          <w:color w:val="000000"/>
          <w:sz w:val="24"/>
        </w:rPr>
        <w:t>Compensation Committee</w:t>
      </w:r>
      <w:r>
        <w:rPr>
          <w:color w:val="000000"/>
        </w:rPr>
        <w:t xml:space="preserve">” </w:t>
      </w:r>
      <w:r>
        <w:rPr>
          <w:rFonts w:ascii="Times New Roman;serif" w:hAnsi="Times New Roman;serif"/>
          <w:b w:val="false"/>
          <w:color w:val="000000"/>
          <w:sz w:val="24"/>
        </w:rPr>
        <w:t>shall mean the Compensation Committee of the Board.</w:t>
      </w:r>
    </w:p>
    <w:p>
      <w:pPr>
        <w:pStyle w:val="TextBody"/>
        <w:bidi w:val="0"/>
        <w:spacing w:lineRule="auto" w:line="240" w:before="0" w:after="240"/>
        <w:jc w:val="both"/>
        <w:rPr/>
      </w:pPr>
      <w:r>
        <w:rPr>
          <w:rFonts w:ascii="Times New Roman;serif" w:hAnsi="Times New Roman;serif"/>
          <w:b w:val="false"/>
          <w:color w:val="000000"/>
          <w:sz w:val="24"/>
        </w:rPr>
        <w:t>(h)</w:t>
      </w:r>
      <w:r>
        <w:rPr>
          <w:color w:val="000000"/>
        </w:rPr>
        <w:t>“</w:t>
      </w:r>
      <w:r>
        <w:rPr>
          <w:rFonts w:ascii="Times New Roman;serif" w:hAnsi="Times New Roman;serif"/>
          <w:b/>
          <w:color w:val="000000"/>
          <w:sz w:val="24"/>
        </w:rPr>
        <w:t>Disability</w:t>
      </w:r>
      <w:r>
        <w:rPr>
          <w:color w:val="000000"/>
        </w:rPr>
        <w:t xml:space="preserve">” </w:t>
      </w:r>
      <w:r>
        <w:rPr>
          <w:rFonts w:ascii="Times New Roman;serif" w:hAnsi="Times New Roman;serif"/>
          <w:b w:val="false"/>
          <w:color w:val="000000"/>
          <w:sz w:val="24"/>
        </w:rPr>
        <w:t>shall mean Executive’s inability to perform his duties hereunder, with or without any reasonable accommodation, by reason of any medically determinable physical or mental impairment which is expected to result in death or which has lasted or is expected to last for a continuous period of not fewer than six months.</w:t>
      </w:r>
    </w:p>
    <w:p>
      <w:pPr>
        <w:pStyle w:val="TextBody"/>
        <w:bidi w:val="0"/>
        <w:spacing w:lineRule="auto" w:line="240" w:before="0" w:after="240"/>
        <w:jc w:val="both"/>
        <w:rPr/>
      </w:pPr>
      <w:r>
        <w:rPr>
          <w:rFonts w:ascii="Times New Roman;serif" w:hAnsi="Times New Roman;serif"/>
          <w:b w:val="false"/>
          <w:color w:val="000000"/>
          <w:sz w:val="24"/>
        </w:rPr>
        <w:t>(i)</w:t>
      </w:r>
      <w:r>
        <w:rPr>
          <w:color w:val="000000"/>
        </w:rPr>
        <w:t>“</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shall mean:</w:t>
      </w:r>
    </w:p>
    <w:p>
      <w:pPr>
        <w:pStyle w:val="TextBody"/>
        <w:bidi w:val="0"/>
        <w:spacing w:lineRule="auto" w:line="240" w:before="0" w:after="240"/>
        <w:jc w:val="both"/>
        <w:rPr/>
      </w:pPr>
      <w:r>
        <w:rPr>
          <w:rFonts w:ascii="Times New Roman;serif" w:hAnsi="Times New Roman;serif"/>
          <w:b w:val="false"/>
          <w:color w:val="010000"/>
          <w:sz w:val="24"/>
        </w:rPr>
        <w:t>(i)</w:t>
      </w:r>
      <w:r>
        <w:rPr>
          <w:rFonts w:ascii="Times New Roman;serif" w:hAnsi="Times New Roman;serif"/>
          <w:b w:val="false"/>
          <w:color w:val="000000"/>
          <w:sz w:val="24"/>
        </w:rPr>
        <w:t xml:space="preserve">a material breach of this Agreement, or of any other material agreement entered into between the Company and Executive (including any agreement evidencing a stock option or other equity award and the indemnification agreement referenced in </w:t>
      </w:r>
      <w:r>
        <w:rPr>
          <w:rFonts w:ascii="Times New Roman;serif" w:hAnsi="Times New Roman;serif"/>
          <w:b w:val="false"/>
          <w:color w:val="000000"/>
          <w:sz w:val="24"/>
          <w:u w:val="single"/>
        </w:rPr>
        <w:t>Section 18(m)</w:t>
      </w:r>
      <w:r>
        <w:rPr>
          <w:rFonts w:ascii="Times New Roman;serif" w:hAnsi="Times New Roman;serif"/>
          <w:b w:val="false"/>
          <w:color w:val="000000"/>
          <w:sz w:val="24"/>
        </w:rPr>
        <w:t>), by the Company;</w:t>
      </w:r>
    </w:p>
    <w:p>
      <w:pPr>
        <w:pStyle w:val="TextBody"/>
        <w:bidi w:val="0"/>
        <w:spacing w:lineRule="auto" w:line="240" w:before="0" w:after="240"/>
        <w:jc w:val="both"/>
        <w:rPr/>
      </w:pPr>
      <w:r>
        <w:rPr>
          <w:rFonts w:ascii="Times New Roman;serif" w:hAnsi="Times New Roman;serif"/>
          <w:b w:val="false"/>
          <w:color w:val="010000"/>
          <w:sz w:val="24"/>
        </w:rPr>
        <w:t>(ii)</w:t>
      </w:r>
      <w:r>
        <w:rPr>
          <w:rFonts w:ascii="Times New Roman;serif" w:hAnsi="Times New Roman;serif"/>
          <w:b w:val="false"/>
          <w:color w:val="000000"/>
          <w:sz w:val="24"/>
        </w:rPr>
        <w:t xml:space="preserve">the failure of Executive to be appointed to the positions set forth in </w:t>
      </w:r>
      <w:r>
        <w:rPr>
          <w:rFonts w:ascii="Times New Roman;serif" w:hAnsi="Times New Roman;serif"/>
          <w:b w:val="false"/>
          <w:color w:val="000000"/>
          <w:sz w:val="24"/>
          <w:u w:val="single"/>
        </w:rPr>
        <w:t>Section 2(a)</w:t>
      </w:r>
      <w:r>
        <w:rPr>
          <w:color w:val="000000"/>
        </w:rPr>
        <w:t xml:space="preserve"> </w:t>
      </w:r>
      <w:r>
        <w:rPr>
          <w:rFonts w:ascii="Times New Roman;serif" w:hAnsi="Times New Roman;serif"/>
          <w:b w:val="false"/>
          <w:color w:val="000000"/>
          <w:sz w:val="24"/>
        </w:rPr>
        <w:t>hereof or the failure to be nominated or renominated for reelection as a director of the Board;</w:t>
      </w:r>
    </w:p>
    <w:p>
      <w:pPr>
        <w:pStyle w:val="TextBody"/>
        <w:bidi w:val="0"/>
        <w:spacing w:lineRule="auto" w:line="240" w:before="0" w:after="240"/>
        <w:jc w:val="both"/>
        <w:rPr/>
      </w:pPr>
      <w:r>
        <w:rPr>
          <w:rFonts w:ascii="Times New Roman;serif" w:hAnsi="Times New Roman;serif"/>
          <w:b w:val="false"/>
          <w:color w:val="010000"/>
          <w:sz w:val="24"/>
        </w:rPr>
        <w:t>(iii)</w:t>
      </w:r>
      <w:r>
        <w:rPr>
          <w:rFonts w:ascii="Times New Roman;serif" w:hAnsi="Times New Roman;serif"/>
          <w:b w:val="false"/>
          <w:color w:val="000000"/>
          <w:sz w:val="24"/>
        </w:rPr>
        <w:t>without Executive’s express written consent, the relocation by the Company of Executive’s office location to a location other than his principal residence;</w:t>
      </w:r>
    </w:p>
    <w:p>
      <w:pPr>
        <w:pStyle w:val="TextBody"/>
        <w:bidi w:val="0"/>
        <w:spacing w:lineRule="auto" w:line="240" w:before="0" w:after="240"/>
        <w:jc w:val="both"/>
        <w:rPr/>
      </w:pPr>
      <w:r>
        <w:rPr>
          <w:rFonts w:ascii="Times New Roman;serif" w:hAnsi="Times New Roman;serif"/>
          <w:b w:val="false"/>
          <w:color w:val="010000"/>
          <w:sz w:val="24"/>
        </w:rPr>
        <w:t>(iv)</w:t>
      </w:r>
      <w:r>
        <w:rPr>
          <w:rFonts w:ascii="Times New Roman;serif" w:hAnsi="Times New Roman;serif"/>
          <w:b w:val="false"/>
          <w:color w:val="000000"/>
          <w:sz w:val="24"/>
        </w:rPr>
        <w:t xml:space="preserve">without Executive’s express written consent, the Company (1) reduces Executive’s Base Salary or Target TDC opportunity, (2) materially reduces the aggregate fringe benefits provided to Executive or (3) except due to Executive’s illness or incapacity, materially alters Executive’s authority and/or title as set forth in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hereof in a manner reasonably construed to constitute a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demotion, including, without limitation, the Company ceasing to be a public company or ceasing to be traded on the Nasdaq Global Select Market; </w:t>
      </w:r>
    </w:p>
    <w:p>
      <w:pPr>
        <w:pStyle w:val="TextBody"/>
        <w:bidi w:val="0"/>
        <w:spacing w:lineRule="auto" w:line="240" w:before="0" w:after="240"/>
        <w:jc w:val="both"/>
        <w:rPr/>
      </w:pPr>
      <w:r>
        <w:rPr>
          <w:rFonts w:ascii="Times New Roman;serif" w:hAnsi="Times New Roman;serif"/>
          <w:b w:val="false"/>
          <w:color w:val="010000"/>
          <w:sz w:val="24"/>
        </w:rPr>
        <w:t>(v)</w:t>
      </w:r>
      <w:r>
        <w:rPr>
          <w:rFonts w:ascii="Times New Roman;serif" w:hAnsi="Times New Roman;serif"/>
          <w:b w:val="false"/>
          <w:color w:val="000000"/>
          <w:sz w:val="24"/>
        </w:rPr>
        <w:t xml:space="preserve">without Executive’s express written consent, Executive fails at any point during the two-year period following a Change in Control to hold the title and authority (as set forth in </w:t>
      </w:r>
      <w:r>
        <w:rPr>
          <w:rFonts w:ascii="Times New Roman;serif" w:hAnsi="Times New Roman;serif"/>
          <w:b w:val="false"/>
          <w:color w:val="000000"/>
          <w:sz w:val="24"/>
          <w:u w:val="single"/>
        </w:rPr>
        <w:t>Sections 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4(a)</w:t>
      </w:r>
      <w:r>
        <w:rPr>
          <w:color w:val="000000"/>
        </w:rPr>
        <w:t xml:space="preserve"> </w:t>
      </w:r>
      <w:r>
        <w:rPr>
          <w:rFonts w:ascii="Times New Roman;serif" w:hAnsi="Times New Roman;serif"/>
          <w:b w:val="false"/>
          <w:color w:val="000000"/>
          <w:sz w:val="24"/>
        </w:rPr>
        <w:t>hereof) with the parent corporation (or if there is no parent corporation, the surviving corporation) that Executive held with the Company immediately prior to the Change in Control, provided Executive resigns within two years of the Change in Control; or</w:t>
      </w:r>
    </w:p>
    <w:p>
      <w:pPr>
        <w:pStyle w:val="TextBody"/>
        <w:bidi w:val="0"/>
        <w:spacing w:lineRule="auto" w:line="240" w:before="0" w:after="240"/>
        <w:jc w:val="both"/>
        <w:rPr/>
      </w:pPr>
      <w:r>
        <w:rPr>
          <w:rFonts w:ascii="Times New Roman;serif" w:hAnsi="Times New Roman;serif"/>
          <w:b w:val="false"/>
          <w:color w:val="010000"/>
          <w:sz w:val="24"/>
        </w:rPr>
        <w:t>(vi)</w:t>
      </w:r>
      <w:r>
        <w:rPr>
          <w:rFonts w:ascii="Times New Roman;serif" w:hAnsi="Times New Roman;serif"/>
          <w:b w:val="false"/>
          <w:color w:val="000000"/>
          <w:sz w:val="24"/>
        </w:rPr>
        <w:t>the Company fails to obtain the assumption of this Agreement by any successor to the Company.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Executive’s termination of employment will not be deemed to be for Good Reason unless (1) Executive provides the Company with written dated notice setting forth in reasonable detail the facts and circumstances claimed by Executive to constitute Good Reason within 60 days after the date of the occurrence of any event that Executive knows or should reasonably have known to constitute Good Reason, (2) the Company fails to cure such acts or omissions within 30 days following its receipt of such notice, and (3) the effective date of Executive’s termination for Good Reason occurs no later than 60 days after the expiration of the Company’s cure period.</w:t>
      </w:r>
    </w:p>
    <w:p>
      <w:pPr>
        <w:pStyle w:val="TextBody"/>
        <w:bidi w:val="0"/>
        <w:spacing w:lineRule="auto" w:line="240" w:before="0" w:after="240"/>
        <w:jc w:val="both"/>
        <w:rPr/>
      </w:pPr>
      <w:r>
        <w:rPr>
          <w:rFonts w:ascii="Times New Roman;serif" w:hAnsi="Times New Roman;serif"/>
          <w:b w:val="false"/>
          <w:color w:val="000000"/>
          <w:sz w:val="24"/>
        </w:rPr>
        <w:t>(j)</w:t>
      </w:r>
      <w:r>
        <w:rPr>
          <w:color w:val="000000"/>
        </w:rPr>
        <w:t>“</w:t>
      </w:r>
      <w:r>
        <w:rPr>
          <w:rFonts w:ascii="Times New Roman;serif" w:hAnsi="Times New Roman;serif"/>
          <w:b/>
          <w:color w:val="000000"/>
          <w:sz w:val="24"/>
        </w:rPr>
        <w:t>Plan</w:t>
      </w:r>
      <w:r>
        <w:rPr>
          <w:color w:val="000000"/>
        </w:rPr>
        <w:t xml:space="preserve">” </w:t>
      </w:r>
      <w:r>
        <w:rPr>
          <w:rFonts w:ascii="Times New Roman;serif" w:hAnsi="Times New Roman;serif"/>
          <w:b w:val="false"/>
          <w:color w:val="000000"/>
          <w:sz w:val="24"/>
        </w:rPr>
        <w:t>shall mean Holdings’ 2003 Equity Incentive Plan, as amended and restated from time to time (and any successor plan).</w:t>
      </w:r>
    </w:p>
    <w:p>
      <w:pPr>
        <w:pStyle w:val="TextBody"/>
        <w:bidi w:val="0"/>
        <w:spacing w:lineRule="auto" w:line="240" w:before="0" w:after="240"/>
        <w:jc w:val="both"/>
        <w:rPr/>
      </w:pPr>
      <w:r>
        <w:rPr>
          <w:rFonts w:ascii="Times New Roman;serif" w:hAnsi="Times New Roman;serif"/>
          <w:b w:val="false"/>
          <w:color w:val="000000"/>
          <w:sz w:val="24"/>
        </w:rPr>
        <w:t>(k)</w:t>
      </w:r>
      <w:r>
        <w:rPr>
          <w:color w:val="000000"/>
        </w:rPr>
        <w:t>“</w:t>
      </w:r>
      <w:r>
        <w:rPr>
          <w:rFonts w:ascii="Times New Roman;serif" w:hAnsi="Times New Roman;serif"/>
          <w:b/>
          <w:color w:val="000000"/>
          <w:sz w:val="24"/>
        </w:rPr>
        <w:t>Retirement</w:t>
      </w:r>
      <w:r>
        <w:rPr>
          <w:color w:val="000000"/>
        </w:rPr>
        <w:t xml:space="preserve">” </w:t>
      </w:r>
      <w:r>
        <w:rPr>
          <w:rFonts w:ascii="Times New Roman;serif" w:hAnsi="Times New Roman;serif"/>
          <w:b w:val="false"/>
          <w:color w:val="000000"/>
          <w:sz w:val="24"/>
        </w:rPr>
        <w:t xml:space="preserve">shall mean Executive’s voluntary resignation of employment with the Company effective on the Initial End Date,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Executive provides the Company with at least 180 days’ prior written notice of Executive’s intention to voluntarily resign.</w:t>
      </w:r>
    </w:p>
    <w:p>
      <w:pPr>
        <w:pStyle w:val="TextBody"/>
        <w:bidi w:val="0"/>
        <w:spacing w:lineRule="auto" w:line="240" w:before="0" w:after="240"/>
        <w:jc w:val="both"/>
        <w:rPr/>
      </w:pPr>
      <w:r>
        <w:rPr>
          <w:rFonts w:ascii="Times New Roman;serif" w:hAnsi="Times New Roman;serif"/>
          <w:b w:val="false"/>
          <w:color w:val="000000"/>
          <w:sz w:val="24"/>
        </w:rPr>
        <w:t>(l)</w:t>
      </w:r>
      <w:r>
        <w:rPr>
          <w:color w:val="000000"/>
        </w:rPr>
        <w:t>“</w:t>
      </w:r>
      <w:r>
        <w:rPr>
          <w:rFonts w:ascii="Times New Roman;serif" w:hAnsi="Times New Roman;serif"/>
          <w:b/>
          <w:color w:val="000000"/>
          <w:sz w:val="24"/>
        </w:rPr>
        <w:t>Target TDC</w:t>
      </w:r>
      <w:r>
        <w:rPr>
          <w:color w:val="000000"/>
        </w:rPr>
        <w:t xml:space="preserve">” </w:t>
      </w:r>
      <w:r>
        <w:rPr>
          <w:rFonts w:ascii="Times New Roman;serif" w:hAnsi="Times New Roman;serif"/>
          <w:b w:val="false"/>
          <w:color w:val="000000"/>
          <w:sz w:val="24"/>
        </w:rPr>
        <w:t>shall mean, for each year during the Employment Period commencing on and after January 1, 2027, the sum of Executive’s Base Salary, Target Bonus, and the aggregate grant date fair value of equity awards under Sections 8(a) and (b).</w:t>
      </w:r>
    </w:p>
    <w:p>
      <w:pPr>
        <w:pStyle w:val="TextBody"/>
        <w:bidi w:val="0"/>
        <w:spacing w:lineRule="auto" w:line="240" w:before="0" w:after="240"/>
        <w:jc w:val="both"/>
        <w:rPr/>
      </w:pPr>
      <w:r>
        <w:rPr>
          <w:rFonts w:ascii="Times New Roman;serif" w:hAnsi="Times New Roman;serif"/>
          <w:b w:val="false"/>
          <w:color w:val="000000"/>
          <w:sz w:val="24"/>
        </w:rPr>
        <w:t>(m)</w:t>
      </w:r>
      <w:r>
        <w:rPr>
          <w:color w:val="000000"/>
        </w:rPr>
        <w:t>“</w:t>
      </w:r>
      <w:r>
        <w:rPr>
          <w:rFonts w:ascii="Times New Roman;serif" w:hAnsi="Times New Roman;serif"/>
          <w:b/>
          <w:color w:val="000000"/>
          <w:sz w:val="24"/>
        </w:rPr>
        <w:t>Termination Date</w:t>
      </w:r>
      <w:r>
        <w:rPr>
          <w:color w:val="000000"/>
        </w:rPr>
        <w:t xml:space="preserve">” </w:t>
      </w:r>
      <w:r>
        <w:rPr>
          <w:rFonts w:ascii="Times New Roman;serif" w:hAnsi="Times New Roman;serif"/>
          <w:b w:val="false"/>
          <w:color w:val="000000"/>
          <w:sz w:val="24"/>
        </w:rPr>
        <w:t>shall mean the date of Executive’s “separation from service” from the Company (within the meaning of Section 409A(a)(2)(A)(i) of the Code and Treasury Regulation Section 1.409A-1(h)), as specified in the Termination Notice if such Termination Notice is applicable.</w:t>
      </w:r>
    </w:p>
    <w:p>
      <w:pPr>
        <w:pStyle w:val="TextBody"/>
        <w:bidi w:val="0"/>
        <w:spacing w:lineRule="auto" w:line="240" w:before="0" w:after="240"/>
        <w:jc w:val="both"/>
        <w:rPr/>
      </w:pPr>
      <w:r>
        <w:rPr>
          <w:rFonts w:ascii="Times New Roman;serif" w:hAnsi="Times New Roman;serif"/>
          <w:b w:val="false"/>
          <w:color w:val="000000"/>
          <w:sz w:val="24"/>
        </w:rPr>
        <w:t>(n)</w:t>
      </w:r>
      <w:r>
        <w:rPr>
          <w:color w:val="000000"/>
        </w:rPr>
        <w:t>“</w:t>
      </w:r>
      <w:r>
        <w:rPr>
          <w:rFonts w:ascii="Times New Roman;serif" w:hAnsi="Times New Roman;serif"/>
          <w:b/>
          <w:color w:val="000000"/>
          <w:sz w:val="24"/>
        </w:rPr>
        <w:t>Termination Notice</w:t>
      </w:r>
      <w:r>
        <w:rPr>
          <w:color w:val="000000"/>
        </w:rPr>
        <w:t xml:space="preserve">” </w:t>
      </w:r>
      <w:r>
        <w:rPr>
          <w:rFonts w:ascii="Times New Roman;serif" w:hAnsi="Times New Roman;serif"/>
          <w:b w:val="false"/>
          <w:color w:val="000000"/>
          <w:sz w:val="24"/>
        </w:rPr>
        <w:t xml:space="preserve">shall mean a written dated notice which: (i) indicates the specific termination provision in this Agreement relied upon (if any); (ii) sets forth in reasonable detail the facts and circumstances claimed to provide a basis for the termination of Executive’s employment under such provision (with a period to cure as set forth in the definitions of Cause and Good Reason, as applicable, to the extent that the act or omission is capable of cure); (iii) specifies a Termination Date; and (iv) is given in the manner specified in </w:t>
      </w:r>
      <w:r>
        <w:rPr>
          <w:rFonts w:ascii="Times New Roman;serif" w:hAnsi="Times New Roman;serif"/>
          <w:b w:val="false"/>
          <w:color w:val="000000"/>
          <w:sz w:val="24"/>
          <w:u w:val="single"/>
        </w:rPr>
        <w:t>Section 18(l)</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color w:val="000000"/>
          <w:sz w:val="24"/>
        </w:rPr>
        <w:t>2.</w:t>
      </w:r>
      <w:r>
        <w:rPr>
          <w:rFonts w:ascii="Times New Roman;serif" w:hAnsi="Times New Roman;serif"/>
          <w:b/>
          <w:color w:val="000000"/>
          <w:sz w:val="24"/>
        </w:rPr>
        <w:t>Employment; Directorship; Location</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(a)Effective as of the Effective Date, Executive shall serve as the President and Chief Executive Officer of Holdings and OpCo, and Executive hereby agrees to accept such employment and agrees to render services to the Company and OpCo in such capacity (or in such other capacity in the future as the Board may reasonably deem equivalent to such position) on the terms and conditions set forth in this Agreement. Executive shall report to the Board.</w:t>
      </w:r>
    </w:p>
    <w:p>
      <w:pPr>
        <w:pStyle w:val="TextBody"/>
        <w:bidi w:val="0"/>
        <w:spacing w:lineRule="auto" w:line="240" w:before="0" w:after="240"/>
        <w:jc w:val="both"/>
        <w:rPr/>
      </w:pPr>
      <w:r>
        <w:rPr>
          <w:rFonts w:ascii="Times New Roman;serif" w:hAnsi="Times New Roman;serif"/>
          <w:b w:val="false"/>
          <w:color w:val="000000"/>
          <w:sz w:val="24"/>
        </w:rPr>
        <w:t xml:space="preserve">(b)For the avoidance of doubt, Executive shall continue to serve as Executive Chairman of the Board throughout the Employment Period. During the Employment Period, the Company shall cause Executive to be renominated to stand for election to the Board at any meeting of stockholders of Holdings during which any such election is held and Executive’s term as director will expire if he is not reelected;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 the Company shall not be obligated to cause such nomination if any of the events constituting Cause have occurred and, if applicable, not been cured or Executive has issued a Termination Notice and (ii) the stockholders’ failure to reelect Executive shall not constitute a termination of Executive’s employment by the Company without Cause and shall not constitute an event giving rise to Good Reason.</w:t>
      </w:r>
      <w:r>
        <w:rPr>
          <w:color w:val="374151"/>
        </w:rPr>
        <w:t xml:space="preserve"> </w:t>
      </w:r>
      <w:r>
        <w:rPr>
          <w:rFonts w:ascii="Times New Roman;serif" w:hAnsi="Times New Roman;serif"/>
          <w:b w:val="false"/>
          <w:color w:val="000000"/>
          <w:sz w:val="24"/>
        </w:rPr>
        <w:t>Unless otherwise agreed to in writing between the Company and Executive, the termination of Executive’s employment shall not affect Executive’s membership as a director of the Board.</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(c)Executive’s primary office location shall be his principal residence, which is currently Austin, Texas.</w:t>
      </w:r>
    </w:p>
    <w:p>
      <w:pPr>
        <w:pStyle w:val="TextBody"/>
        <w:bidi w:val="0"/>
        <w:spacing w:lineRule="auto" w:line="240" w:before="0" w:after="240"/>
        <w:jc w:val="both"/>
        <w:rPr/>
      </w:pPr>
      <w:r>
        <w:rPr>
          <w:rFonts w:ascii="Times New Roman;serif" w:hAnsi="Times New Roman;serif"/>
          <w:b/>
          <w:color w:val="000000"/>
          <w:sz w:val="24"/>
        </w:rPr>
        <w:t>3.</w:t>
      </w:r>
      <w:r>
        <w:rPr>
          <w:rFonts w:ascii="Times New Roman;serif" w:hAnsi="Times New Roman;serif"/>
          <w:b/>
          <w:color w:val="000000"/>
          <w:sz w:val="24"/>
        </w:rPr>
        <w:t>Term of Agreement</w:t>
      </w:r>
      <w:r>
        <w:rPr>
          <w:rFonts w:ascii="Times New Roman;serif" w:hAnsi="Times New Roman;serif"/>
          <w:b w:val="false"/>
          <w:color w:val="000000"/>
          <w:sz w:val="24"/>
        </w:rPr>
        <w:t xml:space="preserve">. Unless earlier terminated by Executive or the Company as provided in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hereof, the term of Executive’s employment under this Agreement (such term, the “</w:t>
      </w:r>
      <w:r>
        <w:rPr>
          <w:rFonts w:ascii="Times New Roman;serif" w:hAnsi="Times New Roman;serif"/>
          <w:b/>
          <w:color w:val="000000"/>
          <w:sz w:val="24"/>
        </w:rPr>
        <w:t>Employment Period</w:t>
      </w:r>
      <w:r>
        <w:rPr>
          <w:color w:val="000000"/>
        </w:rPr>
        <w:t>”</w:t>
      </w:r>
      <w:r>
        <w:rPr>
          <w:rFonts w:ascii="Times New Roman;serif" w:hAnsi="Times New Roman;serif"/>
          <w:b w:val="false"/>
          <w:color w:val="000000"/>
          <w:sz w:val="24"/>
        </w:rPr>
        <w:t>) shall commence on the Effective Date and terminate on the third anniversary of the Effective Date (the “</w:t>
      </w:r>
      <w:r>
        <w:rPr>
          <w:rFonts w:ascii="Times New Roman;serif" w:hAnsi="Times New Roman;serif"/>
          <w:b/>
          <w:color w:val="000000"/>
          <w:sz w:val="24"/>
        </w:rPr>
        <w:t>Initial End Date</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Executive and the Company may mutually agree to extend the Employment Period within ninety (90) days prior to the Initial End Date, and, if the Employment Period is not so extended, this Agreement and Executive’s employment hereunder shall terminate on the Initial End Date.</w:t>
      </w:r>
    </w:p>
    <w:p>
      <w:pPr>
        <w:pStyle w:val="TextBody"/>
        <w:bidi w:val="0"/>
        <w:spacing w:lineRule="auto" w:line="240" w:before="0" w:after="240"/>
        <w:jc w:val="both"/>
        <w:rPr/>
      </w:pPr>
      <w:r>
        <w:rPr>
          <w:rFonts w:ascii="Times New Roman;serif" w:hAnsi="Times New Roman;serif"/>
          <w:b/>
          <w:color w:val="000000"/>
          <w:sz w:val="24"/>
        </w:rPr>
        <w:t>4.</w:t>
      </w:r>
      <w:r>
        <w:rPr>
          <w:rFonts w:ascii="Times New Roman;serif" w:hAnsi="Times New Roman;serif"/>
          <w:b/>
          <w:color w:val="000000"/>
          <w:sz w:val="24"/>
        </w:rPr>
        <w:t>Duties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Executive shall:</w:t>
      </w:r>
    </w:p>
    <w:p>
      <w:pPr>
        <w:pStyle w:val="TextBody"/>
        <w:bidi w:val="0"/>
        <w:spacing w:lineRule="auto" w:line="240" w:before="0" w:after="240"/>
        <w:jc w:val="both"/>
        <w:rPr/>
      </w:pPr>
      <w:r>
        <w:rPr>
          <w:rFonts w:ascii="Times New Roman;serif" w:hAnsi="Times New Roman;serif"/>
          <w:b w:val="false"/>
          <w:color w:val="000000"/>
          <w:sz w:val="24"/>
        </w:rPr>
        <w:t xml:space="preserve">(a)have duties, authority and responsibilities reasonably consistent with his employment hereunder and shall faithfully and diligently do and perform all such acts and duties, and furnish such services as are assigned to Executive as of the Effective Date, and (subject to </w:t>
      </w:r>
      <w:r>
        <w:rPr>
          <w:rFonts w:ascii="Times New Roman;serif" w:hAnsi="Times New Roman;serif"/>
          <w:b w:val="false"/>
          <w:color w:val="000000"/>
          <w:sz w:val="24"/>
          <w:u w:val="single"/>
        </w:rPr>
        <w:t>Section 2</w:t>
      </w:r>
      <w:r>
        <w:rPr>
          <w:rFonts w:ascii="Times New Roman;serif" w:hAnsi="Times New Roman;serif"/>
          <w:b w:val="false"/>
          <w:color w:val="000000"/>
          <w:sz w:val="24"/>
        </w:rPr>
        <w:t>) such additional acts, duties and services as the Board may assign in the future; and</w:t>
      </w:r>
    </w:p>
    <w:p>
      <w:pPr>
        <w:pStyle w:val="TextBody"/>
        <w:bidi w:val="0"/>
        <w:spacing w:lineRule="auto" w:line="240" w:before="0" w:after="240"/>
        <w:jc w:val="both"/>
        <w:rPr/>
      </w:pPr>
      <w:r>
        <w:rPr>
          <w:rFonts w:ascii="Times New Roman;serif" w:hAnsi="Times New Roman;serif"/>
          <w:b w:val="false"/>
          <w:color w:val="000000"/>
          <w:sz w:val="24"/>
        </w:rPr>
        <w:t xml:space="preserve">(b)devote his full professional time, energy, skill and best efforts to the performance of his duties hereunder, in a manner that will faithfully and diligently further the business and interests of the Company, and shall not be employed by or participate or engage in or in any manner be a part of the management or operations of any business enterprise other than the Company without the prior consent of the Board, which consent may be granted or withheld in its sole discretion;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notwithstanding the foregoing, Executive may continue to serve as a member of the boards of directors of the companies at which Executive serves on the board immediately prior to the Effective Date and may serve on civic or charitable boards or committees so long as such service does not materially interfere with Executive’s obligations pursuant to this Agreement. Except as provided above, the Company and Executive agree that Executive may participate on the board of directors (or similar governing bodies) of other entities subject to the prior written approval of the Board.</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4"/>
        </w:rPr>
        <w:t>5.</w:t>
      </w:r>
      <w:r>
        <w:rPr>
          <w:rFonts w:ascii="Times New Roman;serif" w:hAnsi="Times New Roman;serif"/>
          <w:b/>
          <w:color w:val="000000"/>
          <w:sz w:val="24"/>
        </w:rPr>
        <w:t>Annual Compensation</w:t>
      </w:r>
      <w:r>
        <w:rPr>
          <w:rFonts w:ascii="Times New Roman;serif" w:hAnsi="Times New Roman;serif"/>
          <w:b w:val="false"/>
          <w:color w:val="000000"/>
          <w:sz w:val="24"/>
        </w:rPr>
        <w:t xml:space="preserve">. Executive’s base salary rate shall be equal to $1,075,000 per annum. Executive’s base salary, as determined in accordance with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and as may be increased from time to time, is hereinafter referred to as his “</w:t>
      </w:r>
      <w:r>
        <w:rPr>
          <w:rFonts w:ascii="Times New Roman;serif" w:hAnsi="Times New Roman;serif"/>
          <w:b/>
          <w:color w:val="000000"/>
          <w:sz w:val="24"/>
        </w:rPr>
        <w:t>Base Salary</w:t>
      </w:r>
      <w:r>
        <w:rPr>
          <w:rFonts w:ascii="Times New Roman;serif" w:hAnsi="Times New Roman;serif"/>
          <w:b w:val="false"/>
          <w:color w:val="000000"/>
          <w:sz w:val="24"/>
        </w:rPr>
        <w:t>.” Executive’s Base Salary shall be payable in periodic installments in accordance with the Company’s regular payroll practices in effect from time to time. The Base Salary shall be subject to annual review, but may not be decreased without Executive’s express written consent. Any increase in the Base Salary shall be in the sole discretion of the Compensation Committee.</w:t>
      </w:r>
    </w:p>
    <w:p>
      <w:pPr>
        <w:pStyle w:val="TextBody"/>
        <w:bidi w:val="0"/>
        <w:spacing w:lineRule="auto" w:line="240" w:before="0" w:after="240"/>
        <w:jc w:val="both"/>
        <w:rPr/>
      </w:pPr>
      <w:r>
        <w:rPr>
          <w:rFonts w:ascii="Times New Roman;serif" w:hAnsi="Times New Roman;serif"/>
          <w:b/>
          <w:color w:val="000000"/>
          <w:sz w:val="24"/>
        </w:rPr>
        <w:t>6.</w:t>
      </w:r>
      <w:r>
        <w:rPr>
          <w:rFonts w:ascii="Times New Roman;serif" w:hAnsi="Times New Roman;serif"/>
          <w:b/>
          <w:color w:val="000000"/>
          <w:sz w:val="24"/>
        </w:rPr>
        <w:t>Annual Bonus Opportunity</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(a)</w:t>
      </w:r>
      <w:r>
        <w:rPr>
          <w:rFonts w:ascii="Times New Roman;serif" w:hAnsi="Times New Roman;serif"/>
          <w:b/>
          <w:color w:val="000000"/>
          <w:sz w:val="24"/>
        </w:rPr>
        <w:t>Annual Bonus</w:t>
      </w:r>
      <w:r>
        <w:rPr>
          <w:rFonts w:ascii="Times New Roman;serif" w:hAnsi="Times New Roman;serif"/>
          <w:b w:val="false"/>
          <w:color w:val="000000"/>
          <w:sz w:val="24"/>
        </w:rPr>
        <w:t>. Executive shall have the opportunity to receive an annual performance bonus in an amount targeted at 125% of Executive’s Base Salary (the “</w:t>
      </w:r>
      <w:r>
        <w:rPr>
          <w:rFonts w:ascii="Times New Roman;serif" w:hAnsi="Times New Roman;serif"/>
          <w:b/>
          <w:color w:val="000000"/>
          <w:sz w:val="24"/>
        </w:rPr>
        <w:t>Target Bonus</w:t>
      </w:r>
      <w:r>
        <w:rPr>
          <w:color w:val="000000"/>
        </w:rPr>
        <w:t>”</w:t>
      </w:r>
      <w:r>
        <w:rPr>
          <w:rFonts w:ascii="Times New Roman;serif" w:hAnsi="Times New Roman;serif"/>
          <w:b w:val="false"/>
          <w:color w:val="000000"/>
          <w:sz w:val="24"/>
        </w:rPr>
        <w:t xml:space="preserve">). For the avoidance of doubt, in the event performance objectives with respect to a performance period are achieved below threshold, no annual bonus will be earned pursuant to this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with respect to such performance period. The actual amount of any such annual bonus that the Company determines to pay to Executive (the “</w:t>
      </w:r>
      <w:r>
        <w:rPr>
          <w:rFonts w:ascii="Times New Roman;serif" w:hAnsi="Times New Roman;serif"/>
          <w:b/>
          <w:color w:val="000000"/>
          <w:sz w:val="24"/>
        </w:rPr>
        <w:t>Annual Bonus</w:t>
      </w:r>
      <w:r>
        <w:rPr>
          <w:color w:val="000000"/>
        </w:rPr>
        <w:t>”</w:t>
      </w:r>
      <w:r>
        <w:rPr>
          <w:rFonts w:ascii="Times New Roman;serif" w:hAnsi="Times New Roman;serif"/>
          <w:b w:val="false"/>
          <w:color w:val="000000"/>
          <w:sz w:val="24"/>
        </w:rPr>
        <w:t>) shall be based upon the satisfaction of performance objectives established and evaluated by the Compensation Committee in its sole discretion; provided that, to the extent that Executive’s Annual Bonus for a year is based on objective performance targets, all or any elements of which are substantially similar to the objective performance targets of any other senior executive of the Company which the Compensation Committee determines have been satisfied, then Executive shall also be considered to have satisfied such elements of the performance targets. For calendar year 2026, Executive’s Annual Bonus shall be pro-rated for Executive’s period of employment from the Effective Date through December 31, 2026.</w:t>
      </w:r>
    </w:p>
    <w:p>
      <w:pPr>
        <w:pStyle w:val="TextBody"/>
        <w:bidi w:val="0"/>
        <w:spacing w:lineRule="auto" w:line="240" w:before="0" w:after="240"/>
        <w:jc w:val="both"/>
        <w:rPr/>
      </w:pPr>
      <w:r>
        <w:rPr>
          <w:rFonts w:ascii="Times New Roman;serif" w:hAnsi="Times New Roman;serif"/>
          <w:b w:val="false"/>
          <w:color w:val="000000"/>
          <w:sz w:val="24"/>
        </w:rPr>
        <w:t>(b)</w:t>
      </w:r>
      <w:r>
        <w:rPr>
          <w:rFonts w:ascii="Times New Roman;serif" w:hAnsi="Times New Roman;serif"/>
          <w:b/>
          <w:color w:val="000000"/>
          <w:sz w:val="24"/>
        </w:rPr>
        <w:t>Time and Form of Payment</w:t>
      </w:r>
      <w:r>
        <w:rPr>
          <w:rFonts w:ascii="Times New Roman;serif" w:hAnsi="Times New Roman;serif"/>
          <w:b w:val="false"/>
          <w:color w:val="000000"/>
          <w:sz w:val="24"/>
        </w:rPr>
        <w:t xml:space="preserve">. The Compensation Committee shall, in its sole discretion, determine the extent to which the Annual Bonus shall be paid in cash and the extent to which such Annual Bonus shall be paid in the form of one or more equity-based awards (including equity-based awards settled on a deferred basis),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portion of such Annual Bonus that is paid in the form of an equity-based award shall be fully vested as of the date on which such award is granted. The Annual Bonus, if any, will be paid in cash and/or by grant of an equity-based award by March 15 of the year following the applicable performance year, subject to Executive’s continued employment through the payment date, except as expressly provided herein in connection with a termination of Executive’s employment by the Company without Cause or by Executive for Good Reason, as provided in </w:t>
      </w:r>
      <w:r>
        <w:rPr>
          <w:rFonts w:ascii="Times New Roman;serif" w:hAnsi="Times New Roman;serif"/>
          <w:b w:val="false"/>
          <w:color w:val="000000"/>
          <w:sz w:val="24"/>
          <w:u w:val="single"/>
        </w:rPr>
        <w:t>Section 13(b)(ii)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13(c)(ii)</w:t>
      </w:r>
      <w:r>
        <w:rPr>
          <w:color w:val="000000"/>
        </w:rPr>
        <w:t xml:space="preserve"> </w:t>
      </w:r>
      <w:r>
        <w:rPr>
          <w:rFonts w:ascii="Times New Roman;serif" w:hAnsi="Times New Roman;serif"/>
          <w:b w:val="false"/>
          <w:color w:val="000000"/>
          <w:sz w:val="24"/>
        </w:rPr>
        <w:t xml:space="preserve">hereof, or due to Retirement, as provided in </w:t>
      </w:r>
      <w:r>
        <w:rPr>
          <w:rFonts w:ascii="Times New Roman;serif" w:hAnsi="Times New Roman;serif"/>
          <w:b w:val="false"/>
          <w:color w:val="000000"/>
          <w:sz w:val="24"/>
          <w:u w:val="single"/>
        </w:rPr>
        <w:t>Section 14(b)</w:t>
      </w:r>
      <w:r>
        <w:rPr>
          <w:color w:val="000000"/>
        </w:rPr>
        <w:t xml:space="preserve"> </w:t>
      </w:r>
      <w:r>
        <w:rPr>
          <w:rFonts w:ascii="Times New Roman;serif" w:hAnsi="Times New Roman;serif"/>
          <w:b w:val="false"/>
          <w:color w:val="000000"/>
          <w:sz w:val="24"/>
        </w:rPr>
        <w:t>or due to death or Disability. For avoidance of doubt, Executive shall remain entitled to payment of a Prior Year Bonus if Executive’s employment ends prior to payment of such Prior Year Bonus due to the termination of Executive’s employment by the Company without Cause or by Executive for Good Reason, or due to Retirement, death or Disability.</w:t>
      </w:r>
    </w:p>
    <w:p>
      <w:pPr>
        <w:pStyle w:val="TextBody"/>
        <w:bidi w:val="0"/>
        <w:spacing w:lineRule="auto" w:line="240" w:before="0" w:after="240"/>
        <w:jc w:val="both"/>
        <w:rPr/>
      </w:pPr>
      <w:r>
        <w:rPr>
          <w:rFonts w:ascii="Times New Roman;serif" w:hAnsi="Times New Roman;serif"/>
          <w:b/>
          <w:color w:val="000000"/>
          <w:sz w:val="24"/>
        </w:rPr>
        <w:t>7.</w:t>
      </w:r>
      <w:r>
        <w:rPr>
          <w:rFonts w:ascii="Times New Roman;serif" w:hAnsi="Times New Roman;serif"/>
          <w:b/>
          <w:color w:val="000000"/>
          <w:sz w:val="24"/>
        </w:rPr>
        <w:t>Benefit Plans</w:t>
      </w:r>
      <w:r>
        <w:rPr>
          <w:rFonts w:ascii="Times New Roman;serif" w:hAnsi="Times New Roman;serif"/>
          <w:b w:val="false"/>
          <w:color w:val="000000"/>
          <w:sz w:val="24"/>
        </w:rPr>
        <w:t>. Executive shall be entitled to participate in and receive benefits under any employee benefit plan or stock-based plan of the Company in accordance with their terms, and shall be eligible for any other plans and benefits covering executives of the Company, to the extent commensurate with his then duties and responsibilities fixed by the Board.</w:t>
      </w:r>
    </w:p>
    <w:p>
      <w:pPr>
        <w:pStyle w:val="TextBody"/>
        <w:bidi w:val="0"/>
        <w:spacing w:lineRule="auto" w:line="240" w:before="0" w:after="240"/>
        <w:jc w:val="both"/>
        <w:rPr/>
      </w:pPr>
      <w:r>
        <w:rPr>
          <w:rFonts w:ascii="Times New Roman;serif" w:hAnsi="Times New Roman;serif"/>
          <w:b/>
          <w:color w:val="000000"/>
          <w:sz w:val="24"/>
        </w:rPr>
        <w:t>8.</w:t>
      </w:r>
      <w:r>
        <w:rPr>
          <w:rFonts w:ascii="Times New Roman;serif" w:hAnsi="Times New Roman;serif"/>
          <w:b/>
          <w:color w:val="000000"/>
          <w:sz w:val="24"/>
        </w:rPr>
        <w:t>Equity Compensation</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(a)On or promptly following the Effective Date, Holdings shall grant to Executive a restricted stock unit award covering an aggregate number of shares of Holdings common stock such that the award has an aggregate grant-date fair market value equal to $4,000,000 (the “</w:t>
      </w:r>
      <w:r>
        <w:rPr>
          <w:rFonts w:ascii="Times New Roman;serif" w:hAnsi="Times New Roman;serif"/>
          <w:b/>
          <w:color w:val="000000"/>
          <w:sz w:val="24"/>
        </w:rPr>
        <w:t>RSU Award</w:t>
      </w:r>
      <w:r>
        <w:rPr>
          <w:color w:val="000000"/>
        </w:rPr>
        <w:t>”</w:t>
      </w:r>
      <w:r>
        <w:rPr>
          <w:rFonts w:ascii="Times New Roman;serif" w:hAnsi="Times New Roman;serif"/>
          <w:b w:val="false"/>
          <w:color w:val="000000"/>
          <w:sz w:val="24"/>
        </w:rPr>
        <w:t xml:space="preserve">). Except as provided in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 xml:space="preserve">below, the RSU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Award shall vest as to one-third of the units covered thereby on the one-year anniversary of the Effective Date and as to the remaining two-thirds of such units in 24 monthly installments commencing on the first day of the month following the one-year anniversary of the Effective Date, subject to Executive’s continued employment through the applicable vesting date. Except as set forth in </w:t>
      </w:r>
      <w:r>
        <w:rPr>
          <w:rFonts w:ascii="Times New Roman;serif" w:hAnsi="Times New Roman;serif"/>
          <w:b w:val="false"/>
          <w:color w:val="000000"/>
          <w:sz w:val="24"/>
          <w:u w:val="single"/>
        </w:rPr>
        <w:t>Section 8(d)</w:t>
      </w:r>
      <w:r>
        <w:rPr>
          <w:rFonts w:ascii="Times New Roman;serif" w:hAnsi="Times New Roman;serif"/>
          <w:b w:val="false"/>
          <w:color w:val="000000"/>
          <w:sz w:val="24"/>
        </w:rPr>
        <w:t>, the terms and conditions of the RSU Award shall be governed in all respects by the terms and conditions of the applicable award agreement and the Plan.</w:t>
      </w:r>
    </w:p>
    <w:p>
      <w:pPr>
        <w:pStyle w:val="TextBody"/>
        <w:bidi w:val="0"/>
        <w:spacing w:lineRule="auto" w:line="240" w:before="0" w:after="240"/>
        <w:jc w:val="both"/>
        <w:rPr/>
      </w:pPr>
      <w:r>
        <w:rPr>
          <w:rFonts w:ascii="Times New Roman;serif" w:hAnsi="Times New Roman;serif"/>
          <w:b w:val="false"/>
          <w:color w:val="000000"/>
          <w:sz w:val="24"/>
        </w:rPr>
        <w:t>(b)On or promptly following the Effective Date, Holdings shall grant to Executive an option to purchase shares of Holdings common stock (the “</w:t>
      </w:r>
      <w:r>
        <w:rPr>
          <w:rFonts w:ascii="Times New Roman;serif" w:hAnsi="Times New Roman;serif"/>
          <w:b/>
          <w:color w:val="000000"/>
          <w:sz w:val="24"/>
        </w:rPr>
        <w:t>Option</w:t>
      </w:r>
      <w:r>
        <w:rPr>
          <w:color w:val="000000"/>
        </w:rPr>
        <w:t>”</w:t>
      </w:r>
      <w:r>
        <w:rPr>
          <w:rFonts w:ascii="Times New Roman;serif" w:hAnsi="Times New Roman;serif"/>
          <w:b w:val="false"/>
          <w:color w:val="000000"/>
          <w:sz w:val="24"/>
        </w:rPr>
        <w:t xml:space="preserve">). The aggregate number of shares of Holdings common stock subject to the Option shall be determined such that the aggregate grant-date fair value of the Option shall be $4,000,000, using the same assumptions that Holdings uses in the preparation of its financial statements. Except as provided in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 xml:space="preserve">below, the Option shall vest and become exercisable as to one-third of the shares covered thereby on the one-year anniversary of the Effective Date and as to the remaining two-thirds of such shares in 24 monthly installments commencing on the first day of the month following the one-year anniversary of the Effective Date, subject to Executive’s continued employment through the applicable vesting date. The Option shall be a nonqualified stock option, shall have an exercise price per share equal to the Fair Market Value (as defined in the Plan) of Holdings’ common stock on the applicable grant date, and have a maximum term of eight years from the applicable grant date. Except as set forth in </w:t>
      </w:r>
      <w:r>
        <w:rPr>
          <w:rFonts w:ascii="Times New Roman;serif" w:hAnsi="Times New Roman;serif"/>
          <w:b w:val="false"/>
          <w:color w:val="000000"/>
          <w:sz w:val="24"/>
          <w:u w:val="single"/>
        </w:rPr>
        <w:t>Section 8(d)</w:t>
      </w:r>
      <w:r>
        <w:rPr>
          <w:rFonts w:ascii="Times New Roman;serif" w:hAnsi="Times New Roman;serif"/>
          <w:b w:val="false"/>
          <w:color w:val="000000"/>
          <w:sz w:val="24"/>
        </w:rPr>
        <w:t>, the terms and conditions of the Option shall be governed in all respects by the terms and conditions of the applicable award agreement and the Plan.</w:t>
      </w:r>
    </w:p>
    <w:p>
      <w:pPr>
        <w:pStyle w:val="TextBody"/>
        <w:bidi w:val="0"/>
        <w:spacing w:lineRule="auto" w:line="240" w:before="0" w:after="240"/>
        <w:jc w:val="both"/>
        <w:rPr/>
      </w:pPr>
      <w:r>
        <w:rPr>
          <w:rFonts w:ascii="Times New Roman;serif" w:hAnsi="Times New Roman;serif"/>
          <w:b w:val="false"/>
          <w:color w:val="000000"/>
          <w:sz w:val="24"/>
        </w:rPr>
        <w:t xml:space="preserve">(c)Commencing with calendar year 2027, Executive will be eligible to receive equity-based compensation, as determined by the Board or the Compensation Committee from time to time, under any program(s) maintained by Holdings for its other senior executives;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 no more than 50% of the aggregate grant-date fair value of all equity awards awarded to Executive for any such calendar year shall be in the form of performance stock units, and (ii) the terms and conditions applicable to any such equity awards shall be no less favorable to Executive than (A) with respect to restricted stock units and options, the terms and conditions applicable to the RSU Award and Option set forth in </w:t>
      </w:r>
      <w:r>
        <w:rPr>
          <w:rFonts w:ascii="Times New Roman;serif" w:hAnsi="Times New Roman;serif"/>
          <w:b w:val="false"/>
          <w:color w:val="000000"/>
          <w:sz w:val="24"/>
          <w:u w:val="single"/>
        </w:rPr>
        <w:t>Sections 8(a)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above and (B) with respect to performance stock units, the terms and conditions set forth in </w:t>
      </w:r>
      <w:r>
        <w:rPr>
          <w:rFonts w:ascii="Times New Roman;serif" w:hAnsi="Times New Roman;serif"/>
          <w:b w:val="false"/>
          <w:color w:val="000000"/>
          <w:sz w:val="24"/>
          <w:u w:val="single"/>
        </w:rPr>
        <w:t>Section 8(d)(ii)</w:t>
      </w:r>
      <w:r>
        <w:rPr>
          <w:color w:val="000000"/>
        </w:rPr>
        <w:t xml:space="preserve"> </w:t>
      </w:r>
      <w:r>
        <w:rPr>
          <w:rFonts w:ascii="Times New Roman;serif" w:hAnsi="Times New Roman;serif"/>
          <w:b w:val="false"/>
          <w:color w:val="000000"/>
          <w:sz w:val="24"/>
        </w:rPr>
        <w:t xml:space="preserve">below. </w:t>
      </w:r>
    </w:p>
    <w:p>
      <w:pPr>
        <w:pStyle w:val="TextBody"/>
        <w:bidi w:val="0"/>
        <w:spacing w:lineRule="auto" w:line="240" w:before="0" w:after="240"/>
        <w:jc w:val="both"/>
        <w:rPr/>
      </w:pPr>
      <w:r>
        <w:rPr>
          <w:rFonts w:ascii="Times New Roman;serif" w:hAnsi="Times New Roman;serif"/>
          <w:b w:val="false"/>
          <w:color w:val="000000"/>
          <w:sz w:val="24"/>
        </w:rPr>
        <w:t>(d)Each of the RSU Award and Option, and each other restricted stock unit, performance stock unit, and stock option grant made to Executive (collectively “</w:t>
      </w:r>
      <w:r>
        <w:rPr>
          <w:rFonts w:ascii="Times New Roman;serif" w:hAnsi="Times New Roman;serif"/>
          <w:b/>
          <w:color w:val="000000"/>
          <w:sz w:val="24"/>
        </w:rPr>
        <w:t>Equity Awards</w:t>
      </w:r>
      <w:r>
        <w:rPr>
          <w:color w:val="000000"/>
        </w:rPr>
        <w:t>”</w:t>
      </w:r>
      <w:r>
        <w:rPr>
          <w:rFonts w:ascii="Times New Roman;serif" w:hAnsi="Times New Roman;serif"/>
          <w:b w:val="false"/>
          <w:color w:val="000000"/>
          <w:sz w:val="24"/>
        </w:rPr>
        <w:t xml:space="preserve">), shall be set forth in a separate award agreement to be entered into by Executive and the Company that are substantially similar to the Company’s forms of award agreements currently applicable to its senior executives;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all Equity Awards consisting of restricted stock units or options shall have terms consistent with </w:t>
      </w:r>
      <w:r>
        <w:rPr>
          <w:rFonts w:ascii="Times New Roman;serif" w:hAnsi="Times New Roman;serif"/>
          <w:b w:val="false"/>
          <w:color w:val="000000"/>
          <w:sz w:val="24"/>
          <w:u w:val="single"/>
        </w:rPr>
        <w:t>Sections 13(c)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14</w:t>
      </w:r>
      <w:r>
        <w:rPr>
          <w:color w:val="000000"/>
        </w:rPr>
        <w:t xml:space="preserve"> </w:t>
      </w:r>
      <w:r>
        <w:rPr>
          <w:rFonts w:ascii="Times New Roman;serif" w:hAnsi="Times New Roman;serif"/>
          <w:b w:val="false"/>
          <w:color w:val="000000"/>
          <w:sz w:val="24"/>
        </w:rPr>
        <w:t>hereof and (ii) all Equity Awards consisting of performance stock units shall provide that (x) upon a termination of Executive’s employment due to death or Disability, such performance stock units shall be fully vested as of the Termination Date and settled at the end of the performance period based on actual achievement of the applicable performance goals and (y) upon Retirement, (1) performance stock units granted more than 12 months prior to Retirement shall be fully vested as of the Termination Date and settled at the end of the performance period based on actual achievement of the performance goals and (2) performance stock units granted at least six but less than 12 months prior to Retirement shall be vested as of the Termination Date on a pro-rated basis (based on the number of months employed from the applicable grant date to the Termination Date) and settled at the end of the performance period based on actual achievement of the performance goals.</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(e)The Company agrees that for so long as it is required to file reports under Sections 13 or 15(d) of the Exchange Act, it will maintain in effect a Form S-8 registration statement covering the issuance to Executive of the shares underlying Executive’s then outstanding equity-based compensation awards.</w:t>
      </w:r>
    </w:p>
    <w:p>
      <w:pPr>
        <w:pStyle w:val="TextBody"/>
        <w:bidi w:val="0"/>
        <w:spacing w:lineRule="auto" w:line="240" w:before="0" w:after="240"/>
        <w:jc w:val="both"/>
        <w:rPr/>
      </w:pPr>
      <w:r>
        <w:rPr>
          <w:rFonts w:ascii="Times New Roman;serif" w:hAnsi="Times New Roman;serif"/>
          <w:b/>
          <w:color w:val="000000"/>
          <w:sz w:val="24"/>
        </w:rPr>
        <w:t>9.</w:t>
      </w:r>
      <w:r>
        <w:rPr>
          <w:rFonts w:ascii="Times New Roman;serif" w:hAnsi="Times New Roman;serif"/>
          <w:b/>
          <w:color w:val="000000"/>
          <w:sz w:val="24"/>
        </w:rPr>
        <w:t>Vacation</w:t>
      </w:r>
      <w:r>
        <w:rPr>
          <w:rFonts w:ascii="Times New Roman;serif" w:hAnsi="Times New Roman;serif"/>
          <w:b w:val="false"/>
          <w:color w:val="000000"/>
          <w:sz w:val="24"/>
        </w:rPr>
        <w:t>. During the Employment Period, Executive shall be entitled to vacation in accordance with the plans, policies, programs and practices of the Company applicable to its senior executives, as in effect from time to time.</w:t>
      </w:r>
    </w:p>
    <w:p>
      <w:pPr>
        <w:pStyle w:val="TextBody"/>
        <w:bidi w:val="0"/>
        <w:spacing w:lineRule="auto" w:line="240" w:before="0" w:after="240"/>
        <w:jc w:val="both"/>
        <w:rPr/>
      </w:pPr>
      <w:r>
        <w:rPr>
          <w:rFonts w:ascii="Times New Roman;serif" w:hAnsi="Times New Roman;serif"/>
          <w:b/>
          <w:color w:val="000000"/>
          <w:sz w:val="24"/>
        </w:rPr>
        <w:t>10.</w:t>
      </w:r>
      <w:r>
        <w:rPr>
          <w:rFonts w:ascii="Times New Roman;serif" w:hAnsi="Times New Roman;serif"/>
          <w:b/>
          <w:color w:val="000000"/>
          <w:sz w:val="24"/>
        </w:rPr>
        <w:t>Business Expenses</w:t>
      </w:r>
      <w:r>
        <w:rPr>
          <w:rFonts w:ascii="Times New Roman;serif" w:hAnsi="Times New Roman;serif"/>
          <w:b w:val="false"/>
          <w:color w:val="000000"/>
          <w:sz w:val="24"/>
        </w:rPr>
        <w:t>. The Company shall reimburse Executive or otherwise pay for all reasonable expenses incurred by Executive in furtherance of or in connection with the business of the Company, including, but not limited to, automobile and traveling expenses and all reasonable entertainment expenses, subject to such reasonable documentation, the applicable plans, policies, and practices of the Company applicable to its senior executives, as in effect from time to time, and other limitations as may be established by the Company. For avoidance of doubt, Executive shall be reimbursed for business class travel to the Company’s office in Princeton, New Jersey and all incidental travel expenses related thereto.</w:t>
      </w:r>
    </w:p>
    <w:p>
      <w:pPr>
        <w:pStyle w:val="TextBody"/>
        <w:bidi w:val="0"/>
        <w:spacing w:lineRule="auto" w:line="240" w:before="0" w:after="240"/>
        <w:jc w:val="both"/>
        <w:rPr/>
      </w:pPr>
      <w:r>
        <w:rPr>
          <w:rFonts w:ascii="Times New Roman;serif" w:hAnsi="Times New Roman;serif"/>
          <w:b/>
          <w:color w:val="000000"/>
          <w:sz w:val="24"/>
        </w:rPr>
        <w:t>11.</w:t>
      </w:r>
      <w:r>
        <w:rPr>
          <w:rFonts w:ascii="Times New Roman;serif" w:hAnsi="Times New Roman;serif"/>
          <w:b/>
          <w:color w:val="000000"/>
          <w:sz w:val="24"/>
        </w:rPr>
        <w:t>Legal Fees</w:t>
      </w:r>
      <w:r>
        <w:rPr>
          <w:rFonts w:ascii="Times New Roman;serif" w:hAnsi="Times New Roman;serif"/>
          <w:b w:val="false"/>
          <w:color w:val="000000"/>
          <w:sz w:val="24"/>
        </w:rPr>
        <w:t xml:space="preserve">. The Company shall reimburse Executive for up to $50,000 in legal fees and expenses actually incurred by Executive in connection with the drafting, review and negotiation of this Agreement and any related agreements on or prior to the Effective Date. Subject to </w:t>
      </w:r>
      <w:r>
        <w:rPr>
          <w:rFonts w:ascii="Times New Roman;serif" w:hAnsi="Times New Roman;serif"/>
          <w:b w:val="false"/>
          <w:color w:val="000000"/>
          <w:sz w:val="24"/>
          <w:u w:val="single"/>
        </w:rPr>
        <w:t>Section 18(b)</w:t>
      </w:r>
      <w:r>
        <w:rPr>
          <w:color w:val="000000"/>
        </w:rPr>
        <w:t xml:space="preserve"> </w:t>
      </w:r>
      <w:r>
        <w:rPr>
          <w:rFonts w:ascii="Times New Roman;serif" w:hAnsi="Times New Roman;serif"/>
          <w:b w:val="false"/>
          <w:color w:val="000000"/>
          <w:sz w:val="24"/>
        </w:rPr>
        <w:t>below, the Company shall pay or reimburse such legal fees and expenses within thirty (30) days following Executive’s delivery to the Company of documentation evidencing such expenses (which may for avoidance of doubt omit narrative detail of services).</w:t>
      </w:r>
    </w:p>
    <w:p>
      <w:pPr>
        <w:pStyle w:val="TextBody"/>
        <w:bidi w:val="0"/>
        <w:spacing w:lineRule="auto" w:line="240" w:before="0" w:after="240"/>
        <w:jc w:val="both"/>
        <w:rPr/>
      </w:pPr>
      <w:r>
        <w:rPr>
          <w:rFonts w:ascii="Times New Roman;serif" w:hAnsi="Times New Roman;serif"/>
          <w:b/>
          <w:color w:val="000000"/>
          <w:sz w:val="24"/>
        </w:rPr>
        <w:t>12.</w:t>
      </w:r>
      <w:r>
        <w:rPr>
          <w:rFonts w:ascii="Times New Roman;serif" w:hAnsi="Times New Roman;serif"/>
          <w:b/>
          <w:color w:val="000000"/>
          <w:sz w:val="24"/>
        </w:rPr>
        <w:t>Disability</w:t>
      </w:r>
      <w:r>
        <w:rPr>
          <w:rFonts w:ascii="Times New Roman;serif" w:hAnsi="Times New Roman;serif"/>
          <w:b w:val="false"/>
          <w:color w:val="000000"/>
          <w:sz w:val="24"/>
        </w:rPr>
        <w:t>. In the event Executive incurs a Disability, Executive’s obligation to perform services under this Agreement will terminate, and the Board may terminate this Agreement upon written notice to Executive.</w:t>
      </w:r>
    </w:p>
    <w:p>
      <w:pPr>
        <w:pStyle w:val="TextBody"/>
        <w:bidi w:val="0"/>
        <w:spacing w:lineRule="auto" w:line="240" w:before="0" w:after="240"/>
        <w:jc w:val="both"/>
        <w:rPr/>
      </w:pPr>
      <w:r>
        <w:rPr>
          <w:rFonts w:ascii="Times New Roman;serif" w:hAnsi="Times New Roman;serif"/>
          <w:b/>
          <w:color w:val="000000"/>
          <w:sz w:val="24"/>
        </w:rPr>
        <w:t>13.</w:t>
      </w:r>
      <w:r>
        <w:rPr>
          <w:rFonts w:ascii="Times New Roman;serif" w:hAnsi="Times New Roman;serif"/>
          <w:b/>
          <w:color w:val="000000"/>
          <w:sz w:val="24"/>
        </w:rPr>
        <w:t>Termination</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(a)</w:t>
      </w:r>
      <w:r>
        <w:rPr>
          <w:rFonts w:ascii="Times New Roman;serif" w:hAnsi="Times New Roman;serif"/>
          <w:b/>
          <w:color w:val="000000"/>
          <w:sz w:val="24"/>
        </w:rPr>
        <w:t>Accrued Obligations</w:t>
      </w:r>
      <w:r>
        <w:rPr>
          <w:rFonts w:ascii="Times New Roman;serif" w:hAnsi="Times New Roman;serif"/>
          <w:b w:val="false"/>
          <w:color w:val="000000"/>
          <w:sz w:val="24"/>
        </w:rPr>
        <w:t>. Regardless of the reason for Executive’s termination of employment, including a resignation by Executive other than for Good Reason or the termination of Executive’s employment by the Company for Cause, Executive (or his estate or other legal representative, as the case may be) shall be paid or provided all Accrued Obligations, except that the Prior Year Bonus shall not be paid if Executive is terminated for Cause or resigns without Good Reason.</w:t>
      </w:r>
    </w:p>
    <w:p>
      <w:pPr>
        <w:pStyle w:val="TextBody"/>
        <w:bidi w:val="0"/>
        <w:spacing w:lineRule="auto" w:line="240" w:before="0" w:after="240"/>
        <w:jc w:val="both"/>
        <w:rPr/>
      </w:pPr>
      <w:r>
        <w:rPr>
          <w:rFonts w:ascii="Times New Roman;serif" w:hAnsi="Times New Roman;serif"/>
          <w:b w:val="false"/>
          <w:color w:val="000000"/>
          <w:sz w:val="24"/>
        </w:rPr>
        <w:t>(b)</w:t>
      </w:r>
      <w:r>
        <w:rPr>
          <w:rFonts w:ascii="Times New Roman;serif" w:hAnsi="Times New Roman;serif"/>
          <w:b/>
          <w:color w:val="000000"/>
          <w:sz w:val="24"/>
        </w:rPr>
        <w:t>Termination without Cause or for Good Reason (No Change in Control)</w:t>
      </w:r>
      <w:r>
        <w:rPr>
          <w:rFonts w:ascii="Times New Roman;serif" w:hAnsi="Times New Roman;serif"/>
          <w:b w:val="false"/>
          <w:color w:val="000000"/>
          <w:sz w:val="24"/>
        </w:rPr>
        <w:t xml:space="preserve">. Except as provided in </w:t>
      </w:r>
      <w:r>
        <w:rPr>
          <w:rFonts w:ascii="Times New Roman;serif" w:hAnsi="Times New Roman;serif"/>
          <w:b w:val="false"/>
          <w:color w:val="000000"/>
          <w:sz w:val="24"/>
          <w:u w:val="single"/>
        </w:rPr>
        <w:t>Sections 13(c) and 13(e)</w:t>
      </w:r>
      <w:r>
        <w:rPr>
          <w:color w:val="000000"/>
        </w:rPr>
        <w:t xml:space="preserve"> </w:t>
      </w:r>
      <w:r>
        <w:rPr>
          <w:rFonts w:ascii="Times New Roman;serif" w:hAnsi="Times New Roman;serif"/>
          <w:b w:val="false"/>
          <w:color w:val="000000"/>
          <w:sz w:val="24"/>
        </w:rPr>
        <w:t xml:space="preserve">in the event of a Change in Control, and subject to Executive’s execution and delivery of a general release attached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(the “</w:t>
      </w:r>
      <w:r>
        <w:rPr>
          <w:rFonts w:ascii="Times New Roman;serif" w:hAnsi="Times New Roman;serif"/>
          <w:b/>
          <w:color w:val="000000"/>
          <w:sz w:val="24"/>
        </w:rPr>
        <w:t>Release</w:t>
      </w:r>
      <w:r>
        <w:rPr>
          <w:color w:val="000000"/>
        </w:rPr>
        <w:t>”</w:t>
      </w:r>
      <w:r>
        <w:rPr>
          <w:rFonts w:ascii="Times New Roman;serif" w:hAnsi="Times New Roman;serif"/>
          <w:b w:val="false"/>
          <w:color w:val="000000"/>
          <w:sz w:val="24"/>
        </w:rPr>
        <w:t xml:space="preserve">) which the Company shall provide Executive within five (5) days following the Termination Date, and the Release becoming effective within 60 days following the date the Release is provided to Executive, in the event that Executive’s employment is terminated by the Company for a reason other than death, Disability or Cause or Executive terminates his employment for Good Reason, then, in addition to the Accrued Obligations, subject to </w:t>
      </w:r>
      <w:r>
        <w:rPr>
          <w:rFonts w:ascii="Times New Roman;serif" w:hAnsi="Times New Roman;serif"/>
          <w:b w:val="false"/>
          <w:color w:val="000000"/>
          <w:sz w:val="24"/>
          <w:u w:val="single"/>
        </w:rPr>
        <w:t>Section 13(f)</w:t>
      </w:r>
      <w:r>
        <w:rPr>
          <w:color w:val="000000"/>
        </w:rPr>
        <w:t xml:space="preserve"> </w:t>
      </w:r>
      <w:r>
        <w:rPr>
          <w:rFonts w:ascii="Times New Roman;serif" w:hAnsi="Times New Roman;serif"/>
          <w:b w:val="false"/>
          <w:color w:val="000000"/>
          <w:sz w:val="24"/>
        </w:rPr>
        <w:t>below:</w:t>
      </w:r>
    </w:p>
    <w:p>
      <w:pPr>
        <w:pStyle w:val="TextBody"/>
        <w:bidi w:val="0"/>
        <w:spacing w:lineRule="auto" w:line="240" w:before="0" w:after="240"/>
        <w:jc w:val="both"/>
        <w:rPr/>
      </w:pPr>
      <w:r>
        <w:rPr>
          <w:rFonts w:ascii="Times New Roman;serif" w:hAnsi="Times New Roman;serif"/>
          <w:b w:val="false"/>
          <w:color w:val="010000"/>
          <w:sz w:val="24"/>
        </w:rPr>
        <w:t>(i)</w:t>
      </w:r>
      <w:r>
        <w:rPr>
          <w:rFonts w:ascii="Times New Roman;serif" w:hAnsi="Times New Roman;serif"/>
          <w:b w:val="false"/>
          <w:color w:val="000000"/>
          <w:sz w:val="24"/>
        </w:rPr>
        <w:t xml:space="preserve">The Company shall pay to Executive a severance amount equal to 2.0 times the sum of (x) Executive’s Base Salary and (y) Executive’s Target Bonus, each as of his last day of active employment (but disregarding any reduction in violation of </w:t>
      </w:r>
      <w:r>
        <w:rPr>
          <w:rFonts w:ascii="Times New Roman;serif" w:hAnsi="Times New Roman;serif"/>
          <w:b w:val="false"/>
          <w:color w:val="000000"/>
          <w:sz w:val="24"/>
          <w:u w:val="single"/>
        </w:rPr>
        <w:t>Sections 5</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w:t>
      </w:r>
      <w:r>
        <w:rPr>
          <w:color w:val="000000"/>
        </w:rPr>
        <w:t xml:space="preserve"> </w:t>
      </w:r>
      <w:r>
        <w:rPr>
          <w:rFonts w:ascii="Times New Roman;serif" w:hAnsi="Times New Roman;serif"/>
          <w:b w:val="false"/>
          <w:color w:val="000000"/>
          <w:sz w:val="24"/>
        </w:rPr>
        <w:t>or that otherwise would be a basis for Good Reason), payable over the two-year period immediately following the Termination Date (the “</w:t>
      </w:r>
      <w:r>
        <w:rPr>
          <w:rFonts w:ascii="Times New Roman;serif" w:hAnsi="Times New Roman;serif"/>
          <w:b/>
          <w:color w:val="000000"/>
          <w:sz w:val="24"/>
        </w:rPr>
        <w:t>Severance Period</w:t>
      </w:r>
      <w:r>
        <w:rPr>
          <w:color w:val="000000"/>
        </w:rPr>
        <w:t>”</w:t>
      </w:r>
      <w:r>
        <w:rPr>
          <w:rFonts w:ascii="Times New Roman;serif" w:hAnsi="Times New Roman;serif"/>
          <w:b w:val="false"/>
          <w:color w:val="000000"/>
          <w:sz w:val="24"/>
        </w:rPr>
        <w:t xml:space="preserve">), with such amount to be paid in substantially equal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installments in accordance with the Company’s regularly-scheduled payroll dates during the Severance Period with the first payment being made on the first normal payroll date following the effectiveness of the Release, and the amount(s) otherwise payable prior to such first payroll date shall be paid on such date without interest thereon; </w:t>
      </w:r>
    </w:p>
    <w:p>
      <w:pPr>
        <w:pStyle w:val="TextBody"/>
        <w:bidi w:val="0"/>
        <w:spacing w:lineRule="auto" w:line="240" w:before="0" w:after="240"/>
        <w:jc w:val="both"/>
        <w:rPr/>
      </w:pPr>
      <w:r>
        <w:rPr>
          <w:rFonts w:ascii="Times New Roman;serif" w:hAnsi="Times New Roman;serif"/>
          <w:b w:val="false"/>
          <w:color w:val="010000"/>
          <w:sz w:val="24"/>
        </w:rPr>
        <w:t>(ii)</w:t>
      </w:r>
      <w:r>
        <w:rPr>
          <w:rFonts w:ascii="Times New Roman;serif" w:hAnsi="Times New Roman;serif"/>
          <w:b w:val="false"/>
          <w:color w:val="000000"/>
          <w:sz w:val="24"/>
        </w:rPr>
        <w:t>The Company shall pay to Executive a pro-rata portion of Executive’s Annual Bonus for the fiscal year in which the Termination Date occurs, based on actual results for such year (determined by multiplying the amount of such bonus which would be due for the full fiscal year by a fraction, the numerator of which is the number of days during the fiscal year of termination that Executive is employed by the Company and the denominator of which is the total number of days in such fiscal year), payable in a single lump sum no later than March 15 of the year following the year in which the Termination Date occurs (the “</w:t>
      </w:r>
      <w:r>
        <w:rPr>
          <w:rFonts w:ascii="Times New Roman;serif" w:hAnsi="Times New Roman;serif"/>
          <w:b/>
          <w:color w:val="000000"/>
          <w:sz w:val="24"/>
        </w:rPr>
        <w:t>Pro-Rata Bonus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jc w:val="both"/>
        <w:rPr/>
      </w:pPr>
      <w:r>
        <w:rPr>
          <w:rFonts w:ascii="Times New Roman;serif" w:hAnsi="Times New Roman;serif"/>
          <w:b w:val="false"/>
          <w:color w:val="010000"/>
          <w:sz w:val="24"/>
        </w:rPr>
        <w:t>(iii)</w:t>
      </w:r>
      <w:r>
        <w:rPr>
          <w:rFonts w:ascii="Times New Roman;serif" w:hAnsi="Times New Roman;serif"/>
          <w:b w:val="false"/>
          <w:color w:val="000000"/>
          <w:sz w:val="24"/>
        </w:rPr>
        <w:t>The Company shall pay to Executive, for the period ending on the earliest of (A) 18 months following the Termination Date, (B) the date of Executive’s full-time employment by another employer, (C) Executive’s death, or (D) the first month in which Executive does not pay to the Company the applicable monthly premium for COBRA insurance coverage under the Company’s group health plan, a monthly cash payment, payable on the first business day of each month that follows the Termination Date, in an amount equal to Executive’s monthly premium cost for COBRA family health coverage under the Company’s group health plan (such payments, “</w:t>
      </w:r>
      <w:r>
        <w:rPr>
          <w:rFonts w:ascii="Times New Roman;serif" w:hAnsi="Times New Roman;serif"/>
          <w:b/>
          <w:color w:val="000000"/>
          <w:sz w:val="24"/>
        </w:rPr>
        <w:t>COBRA Continuation Payments</w:t>
      </w:r>
      <w:r>
        <w:rPr>
          <w:color w:val="000000"/>
        </w:rPr>
        <w:t>”</w:t>
      </w:r>
      <w:r>
        <w:rPr>
          <w:rFonts w:ascii="Times New Roman;serif" w:hAnsi="Times New Roman;serif"/>
          <w:b w:val="false"/>
          <w:color w:val="000000"/>
          <w:sz w:val="24"/>
        </w:rPr>
        <w:t>); and</w:t>
      </w:r>
    </w:p>
    <w:p>
      <w:pPr>
        <w:pStyle w:val="TextBody"/>
        <w:bidi w:val="0"/>
        <w:spacing w:lineRule="auto" w:line="240" w:before="0" w:after="240"/>
        <w:jc w:val="both"/>
        <w:rPr/>
      </w:pPr>
      <w:r>
        <w:rPr>
          <w:rFonts w:ascii="Times New Roman;serif" w:hAnsi="Times New Roman;serif"/>
          <w:b w:val="false"/>
          <w:color w:val="010000"/>
          <w:sz w:val="24"/>
        </w:rPr>
        <w:t>(iv)</w:t>
      </w:r>
      <w:r>
        <w:rPr>
          <w:rFonts w:ascii="Times New Roman;serif" w:hAnsi="Times New Roman;serif"/>
          <w:b w:val="false"/>
          <w:color w:val="000000"/>
          <w:sz w:val="24"/>
        </w:rPr>
        <w:t xml:space="preserve">All outstanding equity awards granted to Executive under any of Holdings’ equity incentive plans (or awards substituted therefor covering the securities of a successor company), including for avoidance of doubt the Equity Awards referred to in </w:t>
      </w:r>
      <w:r>
        <w:rPr>
          <w:rFonts w:ascii="Times New Roman;serif" w:hAnsi="Times New Roman;serif"/>
          <w:b w:val="false"/>
          <w:color w:val="000000"/>
          <w:sz w:val="24"/>
          <w:u w:val="single"/>
        </w:rPr>
        <w:t>Section 8</w:t>
      </w:r>
      <w:r>
        <w:rPr>
          <w:rFonts w:ascii="Times New Roman;serif" w:hAnsi="Times New Roman;serif"/>
          <w:b w:val="false"/>
          <w:color w:val="000000"/>
          <w:sz w:val="24"/>
        </w:rPr>
        <w:t xml:space="preserve">, shall immediately become vested in full, </w:t>
      </w:r>
      <w:r>
        <w:rPr>
          <w:rFonts w:ascii="Times New Roman;serif" w:hAnsi="Times New Roman;serif"/>
          <w:b w:val="false"/>
          <w:color w:val="000000"/>
          <w:sz w:val="24"/>
          <w:u w:val="single"/>
        </w:rPr>
        <w:t>provided</w:t>
      </w:r>
      <w:r>
        <w:rPr>
          <w:rFonts w:ascii="Times New Roman;serif" w:hAnsi="Times New Roman;serif"/>
          <w:b w:val="false"/>
          <w:color w:val="000000"/>
          <w:sz w:val="24"/>
        </w:rPr>
        <w:t>, (i) all equity awards consisting of options, to the extent vested as of the Termination Date (after giving effect to any accelerated vesting that occurs in connection with such termination), shall remain exercisable until the earlier of (A) the fifth anniversary of the Termination Date or (B) the expiration date set forth in the applicable stock option agreement and (ii) all equity awards consisting of performance stock units shall be fully vested as of the Termination Date and settled at the end of the performance period based on actual achievement of the applicable performance goals..</w:t>
      </w:r>
    </w:p>
    <w:p>
      <w:pPr>
        <w:pStyle w:val="TextBody"/>
        <w:bidi w:val="0"/>
        <w:spacing w:lineRule="auto" w:line="240" w:before="0" w:after="240"/>
        <w:jc w:val="both"/>
        <w:rPr/>
      </w:pPr>
      <w:r>
        <w:rPr>
          <w:rFonts w:ascii="Times New Roman;serif" w:hAnsi="Times New Roman;serif"/>
          <w:b w:val="false"/>
          <w:color w:val="000000"/>
          <w:sz w:val="24"/>
        </w:rPr>
        <w:t>(c)</w:t>
      </w:r>
      <w:r>
        <w:rPr>
          <w:rFonts w:ascii="Times New Roman;serif" w:hAnsi="Times New Roman;serif"/>
          <w:b/>
          <w:color w:val="000000"/>
          <w:sz w:val="24"/>
        </w:rPr>
        <w:t>Termination without Cause or for Good Reason (Change in Control)</w:t>
      </w:r>
      <w:r>
        <w:rPr>
          <w:rFonts w:ascii="Times New Roman;serif" w:hAnsi="Times New Roman;serif"/>
          <w:b w:val="false"/>
          <w:color w:val="000000"/>
          <w:sz w:val="24"/>
        </w:rPr>
        <w:t xml:space="preserve">. Notwithstanding anything to the contrary set forth in </w:t>
      </w:r>
      <w:r>
        <w:rPr>
          <w:rFonts w:ascii="Times New Roman;serif" w:hAnsi="Times New Roman;serif"/>
          <w:b w:val="false"/>
          <w:color w:val="000000"/>
          <w:sz w:val="24"/>
          <w:u w:val="single"/>
        </w:rPr>
        <w:t>Section 13(b)</w:t>
      </w:r>
      <w:r>
        <w:rPr>
          <w:rFonts w:ascii="Times New Roman;serif" w:hAnsi="Times New Roman;serif"/>
          <w:b w:val="false"/>
          <w:color w:val="000000"/>
          <w:sz w:val="24"/>
        </w:rPr>
        <w:t xml:space="preserve">, and subject to Executive’s execution and delivery of the Release which the Company shall provide Executive within five (5) days following the Termination Date, and the Release becoming effective within 60 days following the date the Release is provided to Executive, in the event that, on or within 24 months following, a Change in Control, Executive terminates his employment for Good Reason or Executive’s employment is terminated by the Company for a reason other than death, Disability or Cause, in addition to the Accrued Obligations, subject to </w:t>
      </w:r>
      <w:r>
        <w:rPr>
          <w:rFonts w:ascii="Times New Roman;serif" w:hAnsi="Times New Roman;serif"/>
          <w:b w:val="false"/>
          <w:color w:val="000000"/>
          <w:sz w:val="24"/>
          <w:u w:val="single"/>
        </w:rPr>
        <w:t>Section 13(f)</w:t>
      </w:r>
      <w:r>
        <w:rPr>
          <w:color w:val="000000"/>
        </w:rPr>
        <w:t xml:space="preserve"> </w:t>
      </w:r>
      <w:r>
        <w:rPr>
          <w:rFonts w:ascii="Times New Roman;serif" w:hAnsi="Times New Roman;serif"/>
          <w:b w:val="false"/>
          <w:color w:val="000000"/>
          <w:sz w:val="24"/>
        </w:rPr>
        <w:t>below:</w:t>
      </w:r>
    </w:p>
    <w:p>
      <w:pPr>
        <w:pStyle w:val="TextBody"/>
        <w:bidi w:val="0"/>
        <w:spacing w:lineRule="auto" w:line="240" w:before="0" w:after="240"/>
        <w:jc w:val="both"/>
        <w:rPr/>
      </w:pPr>
      <w:r>
        <w:rPr>
          <w:rFonts w:ascii="Times New Roman;serif" w:hAnsi="Times New Roman;serif"/>
          <w:b w:val="false"/>
          <w:color w:val="010000"/>
          <w:sz w:val="24"/>
        </w:rPr>
        <w:t>(i)</w:t>
      </w:r>
      <w:r>
        <w:rPr>
          <w:rFonts w:ascii="Times New Roman;serif" w:hAnsi="Times New Roman;serif"/>
          <w:b w:val="false"/>
          <w:color w:val="000000"/>
          <w:sz w:val="24"/>
        </w:rPr>
        <w:t>The Company shall pay to Executive a severance amount equal to 2.99 times the sum of (a) Executive’s Base Salary, and (b) Executive’s Target Bonus, each as of his last day of active employment (but disregarding any reduction</w:t>
      </w:r>
      <w:r>
        <w:rPr>
          <w:color w:val="000000"/>
          <w:u w:val="single"/>
        </w:rPr>
        <w:t xml:space="preserve"> </w:t>
      </w:r>
      <w:r>
        <w:rPr>
          <w:rFonts w:ascii="Times New Roman;serif" w:hAnsi="Times New Roman;serif"/>
          <w:b w:val="false"/>
          <w:color w:val="000000"/>
          <w:sz w:val="24"/>
        </w:rPr>
        <w:t xml:space="preserve">in violation of </w:t>
      </w:r>
      <w:r>
        <w:rPr>
          <w:rFonts w:ascii="Times New Roman;serif" w:hAnsi="Times New Roman;serif"/>
          <w:b w:val="false"/>
          <w:color w:val="000000"/>
          <w:sz w:val="24"/>
          <w:u w:val="single"/>
        </w:rPr>
        <w:t>Sections 5</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w:t>
      </w:r>
      <w:r>
        <w:rPr>
          <w:color w:val="000000"/>
        </w:rPr>
        <w:t xml:space="preserve"> </w:t>
      </w:r>
      <w:r>
        <w:rPr>
          <w:rFonts w:ascii="Times New Roman;serif" w:hAnsi="Times New Roman;serif"/>
          <w:b w:val="false"/>
          <w:color w:val="000000"/>
          <w:sz w:val="24"/>
        </w:rPr>
        <w:t xml:space="preserve">or that otherwise would be a basis for Good Reason). Any amount payable pursuant to this </w:t>
      </w:r>
      <w:r>
        <w:rPr>
          <w:rFonts w:ascii="Times New Roman;serif" w:hAnsi="Times New Roman;serif"/>
          <w:b w:val="false"/>
          <w:color w:val="000000"/>
          <w:sz w:val="24"/>
          <w:u w:val="single"/>
        </w:rPr>
        <w:t>Section 13(c)(i)</w:t>
      </w:r>
      <w:r>
        <w:rPr>
          <w:color w:val="000000"/>
        </w:rPr>
        <w:t xml:space="preserve"> </w:t>
      </w:r>
      <w:r>
        <w:rPr>
          <w:rFonts w:ascii="Times New Roman;serif" w:hAnsi="Times New Roman;serif"/>
          <w:b w:val="false"/>
          <w:color w:val="000000"/>
          <w:sz w:val="24"/>
        </w:rPr>
        <w:t xml:space="preserve">shall be paid in a single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lump sum cash payment on the first normal payroll date following the effectiveness of the Release;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the Change in Control does not constitute a “change in control event” for purposes of Section 409A of the Code and the regulations promulgated thereunder, any amount payable pursuant to this </w:t>
      </w:r>
      <w:r>
        <w:rPr>
          <w:rFonts w:ascii="Times New Roman;serif" w:hAnsi="Times New Roman;serif"/>
          <w:b w:val="false"/>
          <w:color w:val="000000"/>
          <w:sz w:val="24"/>
          <w:u w:val="single"/>
        </w:rPr>
        <w:t>Section 13(c)(i)</w:t>
      </w:r>
      <w:r>
        <w:rPr>
          <w:color w:val="000000"/>
        </w:rPr>
        <w:t xml:space="preserve"> </w:t>
      </w:r>
      <w:r>
        <w:rPr>
          <w:rFonts w:ascii="Times New Roman;serif" w:hAnsi="Times New Roman;serif"/>
          <w:b w:val="false"/>
          <w:color w:val="000000"/>
          <w:sz w:val="24"/>
        </w:rPr>
        <w:t>instead shall be payable over the two-year period immediately following the Termination Date (the “</w:t>
      </w:r>
      <w:r>
        <w:rPr>
          <w:rFonts w:ascii="Times New Roman;serif" w:hAnsi="Times New Roman;serif"/>
          <w:b/>
          <w:color w:val="000000"/>
          <w:sz w:val="24"/>
        </w:rPr>
        <w:t>CIC Severance Period</w:t>
      </w:r>
      <w:r>
        <w:rPr>
          <w:color w:val="000000"/>
        </w:rPr>
        <w:t>”</w:t>
      </w:r>
      <w:r>
        <w:rPr>
          <w:rFonts w:ascii="Times New Roman;serif" w:hAnsi="Times New Roman;serif"/>
          <w:b w:val="false"/>
          <w:color w:val="000000"/>
          <w:sz w:val="24"/>
        </w:rPr>
        <w:t>), with such amount to be paid in substantially equal installments in accordance with the Company’s regularly-scheduled payroll dates during the CIC Severance Period with the first payment being made on the first normal payroll date following the effectiveness of the Release, and the amount otherwise payable prior to such first payroll date shall be paid on such date without interest thereon;</w:t>
      </w:r>
    </w:p>
    <w:p>
      <w:pPr>
        <w:pStyle w:val="TextBody"/>
        <w:bidi w:val="0"/>
        <w:spacing w:lineRule="auto" w:line="240" w:before="0" w:after="240"/>
        <w:jc w:val="both"/>
        <w:rPr/>
      </w:pPr>
      <w:r>
        <w:rPr>
          <w:rFonts w:ascii="Times New Roman;serif" w:hAnsi="Times New Roman;serif"/>
          <w:b w:val="false"/>
          <w:color w:val="010000"/>
          <w:sz w:val="24"/>
        </w:rPr>
        <w:t>(ii)</w:t>
      </w:r>
      <w:r>
        <w:rPr>
          <w:rFonts w:ascii="Times New Roman;serif" w:hAnsi="Times New Roman;serif"/>
          <w:b w:val="false"/>
          <w:color w:val="000000"/>
          <w:sz w:val="24"/>
        </w:rPr>
        <w:t xml:space="preserve">The Company shall pay to Executive the Pro-Rata Bonus as described in </w:t>
      </w:r>
      <w:r>
        <w:rPr>
          <w:rFonts w:ascii="Times New Roman;serif" w:hAnsi="Times New Roman;serif"/>
          <w:b w:val="false"/>
          <w:color w:val="000000"/>
          <w:sz w:val="24"/>
          <w:u w:val="single"/>
        </w:rPr>
        <w:t>Section 13(b)(ii)</w:t>
      </w:r>
      <w:r>
        <w:rPr>
          <w:rFonts w:ascii="Times New Roman;serif" w:hAnsi="Times New Roman;serif"/>
          <w:b w:val="false"/>
          <w:color w:val="000000"/>
          <w:sz w:val="24"/>
        </w:rPr>
        <w:t xml:space="preserve">; </w:t>
      </w:r>
    </w:p>
    <w:p>
      <w:pPr>
        <w:pStyle w:val="TextBody"/>
        <w:bidi w:val="0"/>
        <w:spacing w:lineRule="auto" w:line="240" w:before="0" w:after="240"/>
        <w:jc w:val="both"/>
        <w:rPr/>
      </w:pPr>
      <w:r>
        <w:rPr>
          <w:rFonts w:ascii="Times New Roman;serif" w:hAnsi="Times New Roman;serif"/>
          <w:b w:val="false"/>
          <w:color w:val="010000"/>
          <w:sz w:val="24"/>
        </w:rPr>
        <w:t>(iii)</w:t>
      </w:r>
      <w:r>
        <w:rPr>
          <w:rFonts w:ascii="Times New Roman;serif" w:hAnsi="Times New Roman;serif"/>
          <w:b w:val="false"/>
          <w:color w:val="000000"/>
          <w:sz w:val="24"/>
        </w:rPr>
        <w:t xml:space="preserve">The Company shall pay to Executive COBRA Continuation Payments as described in </w:t>
      </w:r>
      <w:r>
        <w:rPr>
          <w:rFonts w:ascii="Times New Roman;serif" w:hAnsi="Times New Roman;serif"/>
          <w:b w:val="false"/>
          <w:color w:val="000000"/>
          <w:sz w:val="24"/>
          <w:u w:val="single"/>
        </w:rPr>
        <w:t>Section 13(b)(iii)</w:t>
      </w:r>
      <w:r>
        <w:rPr>
          <w:rFonts w:ascii="Times New Roman;serif" w:hAnsi="Times New Roman;serif"/>
          <w:b w:val="false"/>
          <w:color w:val="000000"/>
          <w:sz w:val="24"/>
        </w:rPr>
        <w:t>; and</w:t>
      </w:r>
    </w:p>
    <w:p>
      <w:pPr>
        <w:pStyle w:val="TextBody"/>
        <w:bidi w:val="0"/>
        <w:spacing w:lineRule="auto" w:line="240" w:before="0" w:after="240"/>
        <w:jc w:val="both"/>
        <w:rPr/>
      </w:pPr>
      <w:r>
        <w:rPr>
          <w:rFonts w:ascii="Times New Roman;serif" w:hAnsi="Times New Roman;serif"/>
          <w:b w:val="false"/>
          <w:color w:val="010000"/>
          <w:sz w:val="24"/>
        </w:rPr>
        <w:t>(iv)</w:t>
      </w:r>
      <w:r>
        <w:rPr>
          <w:rFonts w:ascii="Times New Roman;serif" w:hAnsi="Times New Roman;serif"/>
          <w:b w:val="false"/>
          <w:color w:val="000000"/>
          <w:sz w:val="24"/>
        </w:rPr>
        <w:t xml:space="preserve">All outstanding equity awards granted to Executive under any of Holdings’ equity incentive plans (or awards substituted therefor covering the securities of a successor company), including for avoidance of doubt the Equity Awards referred to in </w:t>
      </w:r>
      <w:r>
        <w:rPr>
          <w:rFonts w:ascii="Times New Roman;serif" w:hAnsi="Times New Roman;serif"/>
          <w:b w:val="false"/>
          <w:color w:val="000000"/>
          <w:sz w:val="24"/>
          <w:u w:val="single"/>
        </w:rPr>
        <w:t>Section 8</w:t>
      </w:r>
      <w:r>
        <w:rPr>
          <w:rFonts w:ascii="Times New Roman;serif" w:hAnsi="Times New Roman;serif"/>
          <w:b w:val="false"/>
          <w:color w:val="000000"/>
          <w:sz w:val="24"/>
        </w:rPr>
        <w:t xml:space="preserve">, shall immediately become vested in full, </w:t>
      </w:r>
      <w:r>
        <w:rPr>
          <w:rFonts w:ascii="Times New Roman;serif" w:hAnsi="Times New Roman;serif"/>
          <w:b w:val="false"/>
          <w:color w:val="000000"/>
          <w:sz w:val="24"/>
          <w:u w:val="single"/>
        </w:rPr>
        <w:t>provided</w:t>
      </w:r>
      <w:r>
        <w:rPr>
          <w:rFonts w:ascii="Times New Roman;serif" w:hAnsi="Times New Roman;serif"/>
          <w:b w:val="false"/>
          <w:color w:val="000000"/>
          <w:sz w:val="24"/>
        </w:rPr>
        <w:t>, (i) all equity awards consisting of options, to the extent vested as of the Termination Date (after giving effect to any accelerated vesting that occurs in connection with such termination), shall remain exercisable until the earlier of (A) the fifth anniversary of the Termination Date or (B) the expiration date set forth in the applicable stock option agreement and (ii) all equity awards consisting of performance stock units shall be fully vested as of the Termination Date and settled at the end of the performance period based on actual achievement of the applicable performance goals.</w:t>
      </w:r>
    </w:p>
    <w:p>
      <w:pPr>
        <w:pStyle w:val="TextBody"/>
        <w:bidi w:val="0"/>
        <w:spacing w:lineRule="auto" w:line="240" w:before="0" w:after="240"/>
        <w:jc w:val="both"/>
        <w:rPr/>
      </w:pPr>
      <w:r>
        <w:rPr>
          <w:rFonts w:ascii="Times New Roman;serif" w:hAnsi="Times New Roman;serif"/>
          <w:b w:val="false"/>
          <w:color w:val="000000"/>
          <w:sz w:val="24"/>
        </w:rPr>
        <w:t xml:space="preserve">(d)Notwithstanding anything contained herein to the contrary, in the event Executive terminates employment under circumstances entitling him to the payments and benefits under </w:t>
      </w:r>
      <w:r>
        <w:rPr>
          <w:rFonts w:ascii="Times New Roman;serif" w:hAnsi="Times New Roman;serif"/>
          <w:b w:val="false"/>
          <w:color w:val="000000"/>
          <w:sz w:val="24"/>
          <w:u w:val="single"/>
        </w:rPr>
        <w:t>Section 13(b)</w:t>
      </w:r>
      <w:r>
        <w:rPr>
          <w:rFonts w:ascii="Times New Roman;serif" w:hAnsi="Times New Roman;serif"/>
          <w:b w:val="false"/>
          <w:color w:val="000000"/>
          <w:sz w:val="24"/>
        </w:rPr>
        <w:t xml:space="preserve">, and a Change in Control occurs within 120 days after his Termination Date, then Executive shall be entitled to the payments and benefits set forth in </w:t>
      </w:r>
      <w:r>
        <w:rPr>
          <w:rFonts w:ascii="Times New Roman;serif" w:hAnsi="Times New Roman;serif"/>
          <w:b w:val="false"/>
          <w:color w:val="000000"/>
          <w:sz w:val="24"/>
          <w:u w:val="single"/>
        </w:rPr>
        <w:t>Section 13(c)</w:t>
      </w:r>
      <w:r>
        <w:rPr>
          <w:rFonts w:ascii="Times New Roman;serif" w:hAnsi="Times New Roman;serif"/>
          <w:b w:val="false"/>
          <w:color w:val="000000"/>
          <w:sz w:val="24"/>
        </w:rPr>
        <w:t xml:space="preserve">, reduced by any severance payments paid to Executive pursuant to </w:t>
      </w:r>
      <w:r>
        <w:rPr>
          <w:rFonts w:ascii="Times New Roman;serif" w:hAnsi="Times New Roman;serif"/>
          <w:b w:val="false"/>
          <w:color w:val="000000"/>
          <w:sz w:val="24"/>
          <w:u w:val="single"/>
        </w:rPr>
        <w:t>Section 13(b)(i)</w:t>
      </w:r>
      <w:r>
        <w:rPr>
          <w:color w:val="000000"/>
        </w:rPr>
        <w:t xml:space="preserve"> </w:t>
      </w:r>
      <w:r>
        <w:rPr>
          <w:rFonts w:ascii="Times New Roman;serif" w:hAnsi="Times New Roman;serif"/>
          <w:b w:val="false"/>
          <w:color w:val="000000"/>
          <w:sz w:val="24"/>
        </w:rPr>
        <w:t>prior to the Change in Control.</w:t>
      </w:r>
    </w:p>
    <w:p>
      <w:pPr>
        <w:pStyle w:val="TextBody"/>
        <w:bidi w:val="0"/>
        <w:spacing w:lineRule="auto" w:line="240" w:before="0" w:after="240"/>
        <w:jc w:val="both"/>
        <w:rPr/>
      </w:pPr>
      <w:r>
        <w:rPr>
          <w:rFonts w:ascii="Times New Roman;serif" w:hAnsi="Times New Roman;serif"/>
          <w:b w:val="false"/>
          <w:color w:val="000000"/>
          <w:sz w:val="24"/>
        </w:rPr>
        <w:t>(e)</w:t>
      </w:r>
      <w:r>
        <w:rPr>
          <w:rFonts w:ascii="Times New Roman;serif" w:hAnsi="Times New Roman;serif"/>
          <w:b/>
          <w:color w:val="000000"/>
          <w:sz w:val="24"/>
        </w:rPr>
        <w:t>Termination Notice</w:t>
      </w:r>
      <w:r>
        <w:rPr>
          <w:rFonts w:ascii="Times New Roman;serif" w:hAnsi="Times New Roman;serif"/>
          <w:b w:val="false"/>
          <w:color w:val="000000"/>
          <w:sz w:val="24"/>
        </w:rPr>
        <w:t>. Except in the event of Executive’s death, a termination under this Agreement shall be effected by means of a Termination Notice.</w:t>
      </w:r>
    </w:p>
    <w:p>
      <w:pPr>
        <w:pStyle w:val="TextBody"/>
        <w:bidi w:val="0"/>
        <w:spacing w:lineRule="auto" w:line="240" w:before="0" w:after="240"/>
        <w:jc w:val="both"/>
        <w:rPr/>
      </w:pPr>
      <w:r>
        <w:rPr>
          <w:rFonts w:ascii="Times New Roman;serif" w:hAnsi="Times New Roman;serif"/>
          <w:b w:val="false"/>
          <w:color w:val="000000"/>
          <w:sz w:val="24"/>
        </w:rPr>
        <w:t>(f)</w:t>
      </w:r>
      <w:r>
        <w:rPr>
          <w:rFonts w:ascii="Times New Roman;serif" w:hAnsi="Times New Roman;serif"/>
          <w:b/>
          <w:color w:val="000000"/>
          <w:sz w:val="24"/>
        </w:rPr>
        <w:t>Payment Delay</w:t>
      </w:r>
      <w:r>
        <w:rPr>
          <w:rFonts w:ascii="Times New Roman;serif" w:hAnsi="Times New Roman;serif"/>
          <w:b w:val="false"/>
          <w:color w:val="000000"/>
          <w:sz w:val="24"/>
        </w:rPr>
        <w:t xml:space="preserve">. Notwithstanding any provision to the contrary herein, no compensation or benefits, including without limitation any severance payments or benefits payable under this </w:t>
      </w:r>
      <w:r>
        <w:rPr>
          <w:rFonts w:ascii="Times New Roman;serif" w:hAnsi="Times New Roman;serif"/>
          <w:b w:val="false"/>
          <w:color w:val="000000"/>
          <w:sz w:val="24"/>
          <w:u w:val="single"/>
        </w:rPr>
        <w:t>Section 13</w:t>
      </w:r>
      <w:r>
        <w:rPr>
          <w:rFonts w:ascii="Times New Roman;serif" w:hAnsi="Times New Roman;serif"/>
          <w:b w:val="false"/>
          <w:color w:val="000000"/>
          <w:sz w:val="24"/>
        </w:rPr>
        <w:t xml:space="preserve">, shall be paid to Executive during the six-month period following Executive’s “separation from service” (within the meaning of Section 409A(a)(2)(A)(i) of the Code) to the extent that the Company reasonably determines that paying such amounts at the time or times indicated in this Agreement would be a prohibited distribution under Section 409A(a)(2)(B)(i) of the Code. Any amounts delayed as a result of the previous sentence shall be paid to Executive in a lump sum within 30 days after the end of such six-month period, and any amounts payable to Executive after the expiration of such six-month period under this Agreement shall continue to be paid to Executive in accordance with the terms of this Agreement. If Executive dies during such six-month period and prior to the payment of the delayed amounts hereunder, such unpaid delayed payments shall be paid to the personal representative of Executive’s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estate within 30 days after the date of Executive’s death. If a portion of the severance pay or benefits is deferred compensation subject to Section 409A of the Code, and the payment thereof is contingent upon execution and nonrevocation of a general release of claims, and the period for considering or revoking the release spans two calendar years, then the portion of the severance pay or benefits that is deferred compensation will be paid or begin to be paid on the first business day of the second calendar year.</w:t>
      </w:r>
    </w:p>
    <w:p>
      <w:pPr>
        <w:pStyle w:val="TextBody"/>
        <w:bidi w:val="0"/>
        <w:spacing w:lineRule="auto" w:line="240" w:before="0" w:after="240"/>
        <w:jc w:val="both"/>
        <w:rPr/>
      </w:pPr>
      <w:r>
        <w:rPr>
          <w:rFonts w:ascii="Times New Roman;serif" w:hAnsi="Times New Roman;serif"/>
          <w:b w:val="false"/>
          <w:color w:val="000000"/>
          <w:sz w:val="24"/>
        </w:rPr>
        <w:t>(g)</w:t>
      </w:r>
      <w:r>
        <w:rPr>
          <w:rFonts w:ascii="Times New Roman;serif" w:hAnsi="Times New Roman;serif"/>
          <w:b/>
          <w:color w:val="000000"/>
          <w:sz w:val="24"/>
        </w:rPr>
        <w:t>No Mitigation</w:t>
      </w:r>
      <w:r>
        <w:rPr>
          <w:rFonts w:ascii="Times New Roman;serif" w:hAnsi="Times New Roman;serif"/>
          <w:b w:val="false"/>
          <w:color w:val="000000"/>
          <w:sz w:val="24"/>
        </w:rPr>
        <w:t xml:space="preserve">. Executive shall not be required to mitigate the amount of any payment provided for in this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by seeking other employment or otherwise.</w:t>
      </w:r>
    </w:p>
    <w:p>
      <w:pPr>
        <w:pStyle w:val="TextBody"/>
        <w:bidi w:val="0"/>
        <w:spacing w:lineRule="auto" w:line="240" w:before="0" w:after="240"/>
        <w:jc w:val="both"/>
        <w:rPr/>
      </w:pPr>
      <w:r>
        <w:rPr>
          <w:rFonts w:ascii="Times New Roman;serif" w:hAnsi="Times New Roman;serif"/>
          <w:b/>
          <w:color w:val="000000"/>
          <w:sz w:val="24"/>
        </w:rPr>
        <w:t>14.</w:t>
      </w:r>
      <w:r>
        <w:rPr>
          <w:rFonts w:ascii="Times New Roman;serif" w:hAnsi="Times New Roman;serif"/>
          <w:b/>
          <w:color w:val="000000"/>
          <w:sz w:val="24"/>
        </w:rPr>
        <w:t>Equity Treatment upon Executive’s Death, Disability, or Retirement; Pro-Rata Bonus on Retirement</w:t>
      </w:r>
      <w:r>
        <w:rPr>
          <w:rFonts w:ascii="Times New Roman;serif" w:hAnsi="Times New Roman;serif"/>
          <w:b w:val="false"/>
          <w:color w:val="000000"/>
          <w:sz w:val="24"/>
        </w:rPr>
        <w:t xml:space="preserve">. </w:t>
      </w:r>
    </w:p>
    <w:p>
      <w:pPr>
        <w:pStyle w:val="TextBody"/>
        <w:bidi w:val="0"/>
        <w:spacing w:lineRule="auto" w:line="240" w:before="0" w:after="240"/>
        <w:jc w:val="both"/>
        <w:rPr/>
      </w:pPr>
      <w:r>
        <w:rPr>
          <w:rFonts w:ascii="Times New Roman;serif" w:hAnsi="Times New Roman;serif"/>
          <w:b w:val="false"/>
          <w:color w:val="000000"/>
          <w:sz w:val="24"/>
        </w:rPr>
        <w:t>(a)</w:t>
      </w:r>
      <w:r>
        <w:rPr>
          <w:rFonts w:ascii="Times New Roman;serif" w:hAnsi="Times New Roman;serif"/>
          <w:b/>
          <w:color w:val="000000"/>
          <w:sz w:val="24"/>
        </w:rPr>
        <w:t>Death or Disability</w:t>
      </w:r>
      <w:r>
        <w:rPr>
          <w:rFonts w:ascii="Times New Roman;serif" w:hAnsi="Times New Roman;serif"/>
          <w:b w:val="false"/>
          <w:color w:val="000000"/>
          <w:sz w:val="24"/>
        </w:rPr>
        <w:t xml:space="preserve">. In the event that Executive’s employment is terminated due to death or Disability, all outstanding equity awards granted to Executive under any of Holdings’ equity incentive plans, including, for avoidance of doubt, the Equity Awards referred to in </w:t>
      </w:r>
      <w:r>
        <w:rPr>
          <w:rFonts w:ascii="Times New Roman;serif" w:hAnsi="Times New Roman;serif"/>
          <w:b w:val="false"/>
          <w:color w:val="000000"/>
          <w:sz w:val="24"/>
          <w:u w:val="single"/>
        </w:rPr>
        <w:t>Section 8</w:t>
      </w:r>
      <w:r>
        <w:rPr>
          <w:rFonts w:ascii="Times New Roman;serif" w:hAnsi="Times New Roman;serif"/>
          <w:b w:val="false"/>
          <w:color w:val="000000"/>
          <w:sz w:val="24"/>
        </w:rPr>
        <w:t xml:space="preserve">, shall immediately become vested in full, </w:t>
      </w:r>
      <w:r>
        <w:rPr>
          <w:rFonts w:ascii="Times New Roman;serif" w:hAnsi="Times New Roman;serif"/>
          <w:b w:val="false"/>
          <w:color w:val="000000"/>
          <w:sz w:val="24"/>
          <w:u w:val="single"/>
        </w:rPr>
        <w:t>provided</w:t>
      </w:r>
      <w:r>
        <w:rPr>
          <w:rFonts w:ascii="Times New Roman;serif" w:hAnsi="Times New Roman;serif"/>
          <w:b w:val="false"/>
          <w:color w:val="000000"/>
          <w:sz w:val="24"/>
        </w:rPr>
        <w:t>, (i) all equity awards consisting of options, to the extent vested as of the Termination Date (after giving effect to any accelerated vesting that occurs in connection with such termination), shall remain exercisable until the earlier to occur of (A) the fifth anniversary of the Termination Date or (B) the stated expiration date set forth in the applicable stock option agreement and (ii) all equity awards consisting of performance stock units shall, while fully vested as of the Termination Date, be settled at the end of the performance period based on actual achievement of the applicable performance goals.</w:t>
      </w:r>
    </w:p>
    <w:p>
      <w:pPr>
        <w:pStyle w:val="TextBody"/>
        <w:bidi w:val="0"/>
        <w:spacing w:lineRule="auto" w:line="240" w:before="0" w:after="240"/>
        <w:jc w:val="both"/>
        <w:rPr/>
      </w:pPr>
      <w:r>
        <w:rPr>
          <w:rFonts w:ascii="Times New Roman;serif" w:hAnsi="Times New Roman;serif"/>
          <w:b w:val="false"/>
          <w:color w:val="000000"/>
          <w:sz w:val="24"/>
        </w:rPr>
        <w:t>(b)</w:t>
      </w:r>
      <w:r>
        <w:rPr>
          <w:rFonts w:ascii="Times New Roman;serif" w:hAnsi="Times New Roman;serif"/>
          <w:b/>
          <w:color w:val="000000"/>
          <w:sz w:val="24"/>
        </w:rPr>
        <w:t>Retirement</w:t>
      </w:r>
      <w:r>
        <w:rPr>
          <w:rFonts w:ascii="Times New Roman;serif" w:hAnsi="Times New Roman;serif"/>
          <w:b w:val="false"/>
          <w:color w:val="000000"/>
          <w:sz w:val="24"/>
        </w:rPr>
        <w:t xml:space="preserve">. In the event of Executive’s Retirement or upon Executive’s termination without Cause or for Good Reason after Executive has given proper notice of Retirement, all outstanding equity awards granted to Executive under any of Holdings’ equity incentive plans, including, for the avoidance of doubt, the Equity Awards referred to in </w:t>
      </w:r>
      <w:r>
        <w:rPr>
          <w:rFonts w:ascii="Times New Roman;serif" w:hAnsi="Times New Roman;serif"/>
          <w:b w:val="false"/>
          <w:color w:val="000000"/>
          <w:sz w:val="24"/>
          <w:u w:val="single"/>
        </w:rPr>
        <w:t>Section 8</w:t>
      </w:r>
      <w:r>
        <w:rPr>
          <w:rFonts w:ascii="Times New Roman;serif" w:hAnsi="Times New Roman;serif"/>
          <w:b w:val="false"/>
          <w:color w:val="000000"/>
          <w:sz w:val="24"/>
        </w:rPr>
        <w:t xml:space="preserve">, shall immediately become vested in full, </w:t>
      </w:r>
      <w:r>
        <w:rPr>
          <w:rFonts w:ascii="Times New Roman;serif" w:hAnsi="Times New Roman;serif"/>
          <w:b w:val="false"/>
          <w:color w:val="000000"/>
          <w:sz w:val="24"/>
          <w:u w:val="single"/>
        </w:rPr>
        <w:t>provided</w:t>
      </w:r>
      <w:r>
        <w:rPr>
          <w:rFonts w:ascii="Times New Roman;serif" w:hAnsi="Times New Roman;serif"/>
          <w:b w:val="false"/>
          <w:color w:val="000000"/>
          <w:sz w:val="24"/>
        </w:rPr>
        <w:t>, (i) all equity awards consisting of options, to the extent vested as of the Termination Date (after giving effect to any accelerated vesting that occurs in connection with such termination), shall remain exercisable until the earlier to occur of (A) the fifth anniversary of the Termination Date or (B) the stated expiration date set forth in the applicable stock option agreement and (ii) all equity awards consisting of performance stock units shall, while fully vested as of the Termination Date, be settled at the end of the performance period based on actual achievement of the applicable performance goals. In addition, in the event of Executive’s Retirement, Executive shall be entitled to receive the Pro-Rata Bonus.</w:t>
      </w:r>
    </w:p>
    <w:p>
      <w:pPr>
        <w:pStyle w:val="TextBody"/>
        <w:bidi w:val="0"/>
        <w:spacing w:lineRule="auto" w:line="240" w:before="0" w:after="240"/>
        <w:jc w:val="both"/>
        <w:rPr/>
      </w:pPr>
      <w:r>
        <w:rPr>
          <w:rFonts w:ascii="Times New Roman;serif" w:hAnsi="Times New Roman;serif"/>
          <w:b/>
          <w:color w:val="000000"/>
          <w:sz w:val="24"/>
        </w:rPr>
        <w:t>15.</w:t>
      </w:r>
      <w:r>
        <w:rPr>
          <w:rFonts w:ascii="Times New Roman;serif" w:hAnsi="Times New Roman;serif"/>
          <w:b/>
          <w:color w:val="000000"/>
          <w:sz w:val="24"/>
        </w:rPr>
        <w:t>Limitation on Payments</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 xml:space="preserve">(a)Notwithstanding any other provision of this Agreement, in the event that any payment or benefit received or to be received by Executive (whether pursuant to the terms of this Agreement or any other plan, arrangement or agreement, including any payment or benefit received in connection with a termination of Executive’s employment) (all such payments and benefits, including the payments and benefits under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hereof, being hereinafter referred to as the “</w:t>
      </w:r>
      <w:r>
        <w:rPr>
          <w:rFonts w:ascii="Times New Roman;serif" w:hAnsi="Times New Roman;serif"/>
          <w:b/>
          <w:color w:val="000000"/>
          <w:sz w:val="24"/>
        </w:rPr>
        <w:t>Total Payments</w:t>
      </w:r>
      <w:r>
        <w:rPr>
          <w:color w:val="000000"/>
        </w:rPr>
        <w:t>”</w:t>
      </w:r>
      <w:r>
        <w:rPr>
          <w:rFonts w:ascii="Times New Roman;serif" w:hAnsi="Times New Roman;serif"/>
          <w:b w:val="false"/>
          <w:color w:val="000000"/>
          <w:sz w:val="24"/>
        </w:rPr>
        <w:t>) would be subject (in whole or part) to the excise tax imposed under Section 4999 of the Code (the “</w:t>
      </w:r>
      <w:r>
        <w:rPr>
          <w:rFonts w:ascii="Times New Roman;serif" w:hAnsi="Times New Roman;serif"/>
          <w:b/>
          <w:color w:val="000000"/>
          <w:sz w:val="24"/>
        </w:rPr>
        <w:t>Excise Tax</w:t>
      </w:r>
      <w:r>
        <w:rPr>
          <w:color w:val="000000"/>
        </w:rPr>
        <w:t>”</w:t>
      </w:r>
      <w:r>
        <w:rPr>
          <w:rFonts w:ascii="Times New Roman;serif" w:hAnsi="Times New Roman;serif"/>
          <w:b w:val="false"/>
          <w:color w:val="000000"/>
          <w:sz w:val="24"/>
        </w:rPr>
        <w:t xml:space="preserve">), then, after taking into account any reduction in the Total Payments provided by reason of Section 280G of the Code in such other plan, arrangement or agreement, the Total Payments shall be reduced to the extent necessary so that no portion of the Total Payments is subject to the Excise Tax, but such reduction shall be made only if (i) the net amount of such Total Payments as so reduced (and after subtracting the net amount of federal, state and local income taxes on such reduced Total Payments and after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Executive would be subject in respect of such unreduced Total Payments and after taking into account the phase out of itemized deductions and personal exemptions attributable to such unreduced Total Payments). The Total Payments shall be reduced in the following order: (A) reduction of any cash severance payments otherwise payable to Executive that are exempt from Section 409A of the Code; (B) reduction of any other cash payments or benefits otherwise payable to Executive that are exempt from Section 409A of the Code, but excluding any payments attributable to any acceleration of vesting or payments with respect to any equity award that are exempt from Section 409A of the Code; (C) reduction of any other payments or benefits otherwise payable to Executive on a pro-rated basis or such other manner that complies with Section 409A of the Code, but excluding any payments attributable to any acceleration of vesting and payments with respect to any equity award that are exempt from Section 409A of the Code; and (D) reduction of any payments attributable to any acceleration of vesting or payments with respect to any equity award that are exempt from Section 409A of the Code, in each case beginning with payments that would otherwise be made last in time.</w:t>
      </w:r>
    </w:p>
    <w:p>
      <w:pPr>
        <w:pStyle w:val="TextBody"/>
        <w:bidi w:val="0"/>
        <w:spacing w:lineRule="auto" w:line="240" w:before="0" w:after="240"/>
        <w:jc w:val="both"/>
        <w:rPr/>
      </w:pPr>
      <w:r>
        <w:rPr>
          <w:rFonts w:ascii="Times New Roman;serif" w:hAnsi="Times New Roman;serif"/>
          <w:b w:val="false"/>
          <w:color w:val="000000"/>
          <w:sz w:val="24"/>
        </w:rPr>
        <w:t xml:space="preserve">(b)Any determination required under this </w:t>
      </w:r>
      <w:r>
        <w:rPr>
          <w:rFonts w:ascii="Times New Roman;serif" w:hAnsi="Times New Roman;serif"/>
          <w:b w:val="false"/>
          <w:color w:val="000000"/>
          <w:sz w:val="24"/>
          <w:u w:val="single"/>
        </w:rPr>
        <w:t>Section 14</w:t>
      </w:r>
      <w:r>
        <w:rPr>
          <w:color w:val="000000"/>
        </w:rPr>
        <w:t xml:space="preserve"> </w:t>
      </w:r>
      <w:r>
        <w:rPr>
          <w:rFonts w:ascii="Times New Roman;serif" w:hAnsi="Times New Roman;serif"/>
          <w:b w:val="false"/>
          <w:color w:val="000000"/>
          <w:sz w:val="24"/>
        </w:rPr>
        <w:t>shall be made in writing in good faith by independent auditors of nationally recognized standing (the “</w:t>
      </w:r>
      <w:r>
        <w:rPr>
          <w:rFonts w:ascii="Times New Roman;serif" w:hAnsi="Times New Roman;serif"/>
          <w:b/>
          <w:color w:val="000000"/>
          <w:sz w:val="24"/>
        </w:rPr>
        <w:t>Accounting Firm</w:t>
      </w:r>
      <w:r>
        <w:rPr>
          <w:color w:val="000000"/>
        </w:rPr>
        <w:t>”</w:t>
      </w:r>
      <w:r>
        <w:rPr>
          <w:rFonts w:ascii="Times New Roman;serif" w:hAnsi="Times New Roman;serif"/>
          <w:b w:val="false"/>
          <w:color w:val="000000"/>
          <w:sz w:val="24"/>
        </w:rPr>
        <w:t xml:space="preserve">) mutually agreed to between the Company and Executive. The Accounting Firm shall provide detailed supporting calculations to the Company and Executive. The Company and Executive shall provide the Accounting Firm with such information and documents as the Accounting Firm may reasonably request in order to make a determination under this </w:t>
      </w:r>
      <w:r>
        <w:rPr>
          <w:rFonts w:ascii="Times New Roman;serif" w:hAnsi="Times New Roman;serif"/>
          <w:b w:val="false"/>
          <w:color w:val="000000"/>
          <w:sz w:val="24"/>
          <w:u w:val="single"/>
        </w:rPr>
        <w:t>Section 14</w:t>
      </w:r>
      <w:r>
        <w:rPr>
          <w:rFonts w:ascii="Times New Roman;serif" w:hAnsi="Times New Roman;serif"/>
          <w:b w:val="false"/>
          <w:color w:val="000000"/>
          <w:sz w:val="24"/>
        </w:rPr>
        <w:t xml:space="preserve">. The Company shall be responsible for (i) all fees and expenses incurred by the Accounting Firm in connection with the calculations required by this </w:t>
      </w:r>
      <w:r>
        <w:rPr>
          <w:rFonts w:ascii="Times New Roman;serif" w:hAnsi="Times New Roman;serif"/>
          <w:b w:val="false"/>
          <w:color w:val="000000"/>
          <w:sz w:val="24"/>
          <w:u w:val="single"/>
        </w:rPr>
        <w:t>Section 14</w:t>
      </w:r>
      <w:r>
        <w:rPr>
          <w:rFonts w:ascii="Times New Roman;serif" w:hAnsi="Times New Roman;serif"/>
          <w:b w:val="false"/>
          <w:color w:val="000000"/>
          <w:sz w:val="24"/>
        </w:rPr>
        <w:t>, and, (ii) for all costs, fees and expenses payable to any independent third-party valuation firm retained by or at the request of the Accounting Firm or Executive to deliver an opinion as to the value of Executive’s non-compete obligations to the Company.</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(c)For purposes of determining whether and the extent to which the Total Payments will be subject to the Excise Tax, (i) no portion of the Total Payments the receipt or enjoyment of which Executive shall have waived at such time and in such manner as not to constitute a “payment” within the meaning of Section 280G(b) of the Code shall be taken into account; (ii) no portion of the Total Payments shall be taken into account which, in the written opinion of the Accounting Firm, does not constitute a “parachute payment” within the meaning of Section 280G(b)(2) of the Code (including by reason of Section 280G(b)(4)(A) of the Code) and, in calculating the Excise Tax, no portion of such Total Payments shall be taken into account which, in the opinion of the Accounting Firm, constitutes reasonable compensation for services actually rendered (including for refraining from providing services), within the meaning of Section 280G(b)(4)(B) of the Code and regulations thereunder, in excess of the Base Amount (as defined in Section 280G(b)(3) of the Code) allocable to such reasonable compensation; and (iii) the value of any non-cash benefit or any deferred payment or benefit included in the Total Payments shall be determined by the Accounting Firm in accordance with the principles of Sections 280G(d)(3) and (4)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4"/>
        </w:rPr>
        <w:t>16.</w:t>
      </w:r>
      <w:r>
        <w:rPr>
          <w:rFonts w:ascii="Times New Roman;serif" w:hAnsi="Times New Roman;serif"/>
          <w:b/>
          <w:color w:val="000000"/>
          <w:sz w:val="24"/>
        </w:rPr>
        <w:t>Assignability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Company may assign this Agreement and its rights and obligations hereunder in whole, but not in part, to any entity to which the Company may transfer all or substantially all of its assets, if in any such case said entity shall expressly in writing assume all obligations of the Company hereunder as fully as if it had been originally made a party hereto. This Agreement shall inure to the benefit of and be binding upon Holdings, OpCo and their respective successors and assigns. This Agreement is personal to Executive, and his rights and duties hereunder shall not be assigned except as expressly agreed to in writing by the Company.</w:t>
      </w:r>
    </w:p>
    <w:p>
      <w:pPr>
        <w:pStyle w:val="TextBody"/>
        <w:bidi w:val="0"/>
        <w:spacing w:lineRule="auto" w:line="240" w:before="0" w:after="240"/>
        <w:jc w:val="both"/>
        <w:rPr/>
      </w:pPr>
      <w:r>
        <w:rPr>
          <w:rFonts w:ascii="Times New Roman;serif" w:hAnsi="Times New Roman;serif"/>
          <w:b/>
          <w:color w:val="000000"/>
          <w:sz w:val="24"/>
        </w:rPr>
        <w:t>17.</w:t>
      </w:r>
      <w:r>
        <w:rPr>
          <w:rFonts w:ascii="Times New Roman;serif" w:hAnsi="Times New Roman;serif"/>
          <w:b/>
          <w:color w:val="000000"/>
          <w:sz w:val="24"/>
        </w:rPr>
        <w:t>Death of Executive</w:t>
      </w:r>
      <w:r>
        <w:rPr>
          <w:rFonts w:ascii="Times New Roman;serif" w:hAnsi="Times New Roman;serif"/>
          <w:b w:val="false"/>
          <w:color w:val="000000"/>
          <w:sz w:val="24"/>
        </w:rPr>
        <w:t xml:space="preserve">. If Executive dies during the term of this Agreement, the Company shall pay to Executive’s spouse a death benefit equal to one (1) times the sum of Executive’s Base Salary and Target Bonus at the time of his death (but disregarding any reduction in violation of </w:t>
      </w:r>
      <w:r>
        <w:rPr>
          <w:rFonts w:ascii="Times New Roman;serif" w:hAnsi="Times New Roman;serif"/>
          <w:b w:val="false"/>
          <w:color w:val="000000"/>
          <w:sz w:val="24"/>
          <w:u w:val="single"/>
        </w:rPr>
        <w:t>Sections 5</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w:t>
      </w:r>
      <w:r>
        <w:rPr>
          <w:color w:val="000000"/>
        </w:rPr>
        <w:t xml:space="preserve"> </w:t>
      </w:r>
      <w:r>
        <w:rPr>
          <w:rFonts w:ascii="Times New Roman;serif" w:hAnsi="Times New Roman;serif"/>
          <w:b w:val="false"/>
          <w:color w:val="000000"/>
          <w:sz w:val="24"/>
        </w:rPr>
        <w:t>or that otherwise would have been a basis for Good Reason), which shall be paid to Executive’s spouse in a lump sum cash payment within 30 days following the date of Executive’s death. In addition, the Company shall pay to Executive’s spouse and eligible dependents for the period ending on the earlier of (i) the applicable expiration date of COBRA coverage, or (ii) the first month in which Executive’s spouse and/or eligible dependents do not pay to the Company the applicable monthly premium for COBRA insurance coverage under the Company’s group health plan, a monthly cash payment that is equal to their monthly premium cost for the “COBRA” health coverage they elect under the Company’s group health plan. The first monthly cash payment provided for in the immediately preceding sentence shall be paid within 30 days following the date of Executive’s death and each monthly payment thereafter shall be paid on the first business day of each month, commencing with the second month that follows the date of Executive’s death. Any amounts due to Executive under this Agreement (not including any Base Salary not yet earned by Executive) unpaid as of the date of Executive’s death shall be paid in a single sum as soon as practicable following Executive’s date of death, but no later than the first business day of the second month following Executive’s death (or any earlier date as required by applicable law) to Executive’s surviving spouse, or if none, to the duly appointed personal representative of his estate.</w:t>
      </w:r>
    </w:p>
    <w:p>
      <w:pPr>
        <w:pStyle w:val="TextBody"/>
        <w:bidi w:val="0"/>
        <w:spacing w:lineRule="auto" w:line="240" w:before="0" w:after="240"/>
        <w:jc w:val="both"/>
        <w:rPr/>
      </w:pPr>
      <w:r>
        <w:rPr>
          <w:rFonts w:ascii="Times New Roman;serif" w:hAnsi="Times New Roman;serif"/>
          <w:b/>
          <w:color w:val="000000"/>
          <w:sz w:val="24"/>
        </w:rPr>
        <w:t>18.</w:t>
      </w:r>
      <w:r>
        <w:rPr>
          <w:rFonts w:ascii="Times New Roman;serif" w:hAnsi="Times New Roman;serif"/>
          <w:b/>
          <w:color w:val="000000"/>
          <w:sz w:val="24"/>
        </w:rPr>
        <w:t>Certain Covenants</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(a)</w:t>
      </w:r>
      <w:r>
        <w:rPr>
          <w:rFonts w:ascii="Times New Roman;serif" w:hAnsi="Times New Roman;serif"/>
          <w:b/>
          <w:color w:val="000000"/>
          <w:sz w:val="24"/>
        </w:rPr>
        <w:t>Nondisparagement</w:t>
      </w:r>
      <w:r>
        <w:rPr>
          <w:rFonts w:ascii="Times New Roman;serif" w:hAnsi="Times New Roman;serif"/>
          <w:b w:val="false"/>
          <w:color w:val="000000"/>
          <w:sz w:val="24"/>
        </w:rPr>
        <w:t xml:space="preserve">. During and after Executive’s employment or other service with the Company, Executive agrees to not, at any time, make, directly or indirectly, any oral or written statements that are disparaging of the Company, the products or services of the Company, or any of the Company’s present or former officers, equity holders, directors or employees;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 xml:space="preserve">Executive may confer in confidence with his legal representatives and make demonstrably true statements. During and after Executive’s employment or other service with the Company, the Company agrees that the Board members and the Company’s officers shall not, at any time, make, directly or indirectly, any oral or written statements that are disparaging of Executive;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such individuals may confer in confidence with his or her or the Company’s legal representatives and make demonstrably true statements.</w:t>
      </w:r>
    </w:p>
    <w:p>
      <w:pPr>
        <w:pStyle w:val="TextBody"/>
        <w:bidi w:val="0"/>
        <w:spacing w:lineRule="auto" w:line="240" w:before="0" w:after="240"/>
        <w:jc w:val="both"/>
        <w:rPr/>
      </w:pPr>
      <w:r>
        <w:rPr>
          <w:rFonts w:ascii="Times New Roman;serif" w:hAnsi="Times New Roman;serif"/>
          <w:b w:val="false"/>
          <w:color w:val="000000"/>
          <w:sz w:val="24"/>
        </w:rPr>
        <w:t>(b)</w:t>
      </w:r>
      <w:r>
        <w:rPr>
          <w:rFonts w:ascii="Times New Roman;serif" w:hAnsi="Times New Roman;serif"/>
          <w:b/>
          <w:color w:val="000000"/>
          <w:sz w:val="24"/>
        </w:rPr>
        <w:t>Injunctive and Other Relief</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10000"/>
          <w:sz w:val="24"/>
        </w:rPr>
        <w:t>(i)</w:t>
      </w:r>
      <w:r>
        <w:rPr>
          <w:rFonts w:ascii="Times New Roman;serif" w:hAnsi="Times New Roman;serif"/>
          <w:b w:val="false"/>
          <w:color w:val="000000"/>
          <w:sz w:val="24"/>
        </w:rPr>
        <w:t xml:space="preserve">Executive acknowledges and agrees that the covenants contained herein are fair and reasonable in light of the consideration paid hereunder, and that damages alone shall not be an adequate remedy for any breach by Executive of his covenants contained herein and accordingly expressly agrees that, in addition to any other remedies which the Company may have, the Company shall be entitled to injunctive relief in any court of competent jurisdiction for any breach or threatened breach of any such covenants by Executive. Nothing contained herein shall prevent or delay the Company from seeking, in any court of competent jurisdiction, specific performance or other equitable remedies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event of any breach or intended breach by Executive of any of its obligations hereunder.</w:t>
      </w:r>
    </w:p>
    <w:p>
      <w:pPr>
        <w:pStyle w:val="TextBody"/>
        <w:bidi w:val="0"/>
        <w:spacing w:lineRule="auto" w:line="240" w:before="0" w:after="240"/>
        <w:jc w:val="both"/>
        <w:rPr/>
      </w:pPr>
      <w:r>
        <w:rPr>
          <w:rFonts w:ascii="Times New Roman;serif" w:hAnsi="Times New Roman;serif"/>
          <w:b w:val="false"/>
          <w:color w:val="010000"/>
          <w:sz w:val="24"/>
        </w:rPr>
        <w:t>(ii)</w:t>
      </w:r>
      <w:r>
        <w:rPr>
          <w:rFonts w:ascii="Times New Roman;serif" w:hAnsi="Times New Roman;serif"/>
          <w:b w:val="false"/>
          <w:color w:val="000000"/>
          <w:sz w:val="24"/>
        </w:rPr>
        <w:t xml:space="preserve">Notwithstanding the equitable relief available to the Company, Executive, in the event of a breach of his covenants contained in </w:t>
      </w:r>
      <w:r>
        <w:rPr>
          <w:rFonts w:ascii="Times New Roman;serif" w:hAnsi="Times New Roman;serif"/>
          <w:b w:val="false"/>
          <w:color w:val="000000"/>
          <w:sz w:val="24"/>
          <w:u w:val="single"/>
        </w:rPr>
        <w:t>Section 18</w:t>
      </w:r>
      <w:r>
        <w:rPr>
          <w:color w:val="000000"/>
        </w:rPr>
        <w:t xml:space="preserve"> </w:t>
      </w:r>
      <w:r>
        <w:rPr>
          <w:rFonts w:ascii="Times New Roman;serif" w:hAnsi="Times New Roman;serif"/>
          <w:b w:val="false"/>
          <w:color w:val="000000"/>
          <w:sz w:val="24"/>
        </w:rPr>
        <w:t>hereof, understands and agrees that the uncertainties and delay inherent in the legal process would result in a continuing breach for some period of time, and therefore, continuing injury to the Company until and unless the Company can obtain such equitable relief. Therefore, in addition to such equitable relief, the Company shall be entitled to monetary damages for any such period of breach until the termination of such breach, in an amount up to the amount of all monies received by Executive as a result of said breach.</w:t>
      </w:r>
    </w:p>
    <w:p>
      <w:pPr>
        <w:pStyle w:val="TextBody"/>
        <w:bidi w:val="0"/>
        <w:spacing w:lineRule="auto" w:line="240" w:before="0" w:after="240"/>
        <w:jc w:val="both"/>
        <w:rPr/>
      </w:pPr>
      <w:r>
        <w:rPr>
          <w:rFonts w:ascii="Times New Roman;serif" w:hAnsi="Times New Roman;serif"/>
          <w:b w:val="false"/>
          <w:color w:val="010000"/>
          <w:sz w:val="24"/>
        </w:rPr>
        <w:t>(iii)</w:t>
      </w:r>
      <w:r>
        <w:rPr>
          <w:rFonts w:ascii="Times New Roman;serif" w:hAnsi="Times New Roman;serif"/>
          <w:b w:val="false"/>
          <w:color w:val="000000"/>
          <w:sz w:val="24"/>
        </w:rPr>
        <w:t xml:space="preserve">If any provision of </w:t>
      </w:r>
      <w:r>
        <w:rPr>
          <w:rFonts w:ascii="Times New Roman;serif" w:hAnsi="Times New Roman;serif"/>
          <w:b w:val="false"/>
          <w:color w:val="000000"/>
          <w:sz w:val="24"/>
          <w:u w:val="single"/>
        </w:rPr>
        <w:t>Section 18</w:t>
      </w:r>
      <w:r>
        <w:rPr>
          <w:color w:val="000000"/>
        </w:rPr>
        <w:t xml:space="preserve"> </w:t>
      </w:r>
      <w:r>
        <w:rPr>
          <w:rFonts w:ascii="Times New Roman;serif" w:hAnsi="Times New Roman;serif"/>
          <w:b w:val="false"/>
          <w:color w:val="000000"/>
          <w:sz w:val="24"/>
        </w:rPr>
        <w:t>is determined to be invalid or unenforceable by reason of its duration or scope, such duration or scope, or both, shall be deemed to be reduced to a duration or scope to the extent necessary to render such provision valid and enforceable. In such event, Executive shall negotiate in good faith to provide the Company with lawful and enforceable protection that is most nearly equivalent to that found to be invalid or unenforceable.</w:t>
      </w:r>
    </w:p>
    <w:p>
      <w:pPr>
        <w:pStyle w:val="TextBody"/>
        <w:bidi w:val="0"/>
        <w:spacing w:lineRule="auto" w:line="240" w:before="0" w:after="240"/>
        <w:jc w:val="both"/>
        <w:rPr/>
      </w:pPr>
      <w:r>
        <w:rPr>
          <w:rFonts w:ascii="Times New Roman;serif" w:hAnsi="Times New Roman;serif"/>
          <w:b w:val="false"/>
          <w:color w:val="000000"/>
          <w:sz w:val="24"/>
        </w:rPr>
        <w:t>(c)</w:t>
      </w:r>
      <w:r>
        <w:rPr>
          <w:rFonts w:ascii="Times New Roman;serif" w:hAnsi="Times New Roman;serif"/>
          <w:b/>
          <w:color w:val="000000"/>
          <w:sz w:val="24"/>
        </w:rPr>
        <w:t>Exceptions</w:t>
      </w:r>
      <w:r>
        <w:rPr>
          <w:rFonts w:ascii="Times New Roman;serif" w:hAnsi="Times New Roman;serif"/>
          <w:b w:val="false"/>
          <w:color w:val="000000"/>
          <w:sz w:val="24"/>
        </w:rPr>
        <w:t>. Nothing contained in this Agreement shall prohibit Executive from reporting or communicating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without notice to the Company, for the purpose of reporting or investigating a suspected violation of law, or from providing such information to Executive’s attorney or in a sealed complaint or other document filed in a lawsuit or other governmental proceeding. Pursuant to 18 USC Section 1833(b), (1)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and (2) Executive acknowledges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pStyle w:val="TextBody"/>
        <w:bidi w:val="0"/>
        <w:spacing w:lineRule="auto" w:line="240" w:before="0" w:after="240"/>
        <w:jc w:val="both"/>
        <w:rPr/>
      </w:pPr>
      <w:r>
        <w:rPr>
          <w:rFonts w:ascii="Times New Roman;serif" w:hAnsi="Times New Roman;serif"/>
          <w:b w:val="false"/>
          <w:color w:val="000000"/>
          <w:sz w:val="24"/>
        </w:rPr>
        <w:t>(d)</w:t>
      </w:r>
      <w:r>
        <w:rPr>
          <w:rFonts w:ascii="Times New Roman;serif" w:hAnsi="Times New Roman;serif"/>
          <w:b/>
          <w:color w:val="000000"/>
          <w:sz w:val="24"/>
        </w:rPr>
        <w:t>Company</w:t>
      </w:r>
      <w:r>
        <w:rPr>
          <w:rFonts w:ascii="Times New Roman;serif" w:hAnsi="Times New Roman;serif"/>
          <w:b w:val="false"/>
          <w:color w:val="000000"/>
          <w:sz w:val="24"/>
        </w:rPr>
        <w:t xml:space="preserve">. For purposes of this </w:t>
      </w:r>
      <w:r>
        <w:rPr>
          <w:rFonts w:ascii="Times New Roman;serif" w:hAnsi="Times New Roman;serif"/>
          <w:b w:val="false"/>
          <w:color w:val="000000"/>
          <w:sz w:val="24"/>
          <w:u w:val="single"/>
        </w:rPr>
        <w:t>Section 18</w:t>
      </w:r>
      <w:r>
        <w:rPr>
          <w:rFonts w:ascii="Times New Roman;serif" w:hAnsi="Times New Roman;serif"/>
          <w:b w:val="false"/>
          <w:color w:val="000000"/>
          <w:sz w:val="24"/>
        </w:rPr>
        <w:t>, the term “</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shall mean Integra LifeSciences Holdings Corporation and any corporation, partnership or other entity owned directly or indirectly, in whole or in part, by Integra LifeSciences Holdings Corporation.</w:t>
      </w:r>
    </w:p>
    <w:p>
      <w:pPr>
        <w:pStyle w:val="TextBody"/>
        <w:bidi w:val="0"/>
        <w:spacing w:lineRule="auto" w:line="240" w:before="0" w:after="240"/>
        <w:jc w:val="both"/>
        <w:rPr/>
      </w:pPr>
      <w:r>
        <w:rPr>
          <w:rFonts w:ascii="Times New Roman;serif" w:hAnsi="Times New Roman;serif"/>
          <w:b w:val="false"/>
          <w:color w:val="000000"/>
          <w:sz w:val="24"/>
        </w:rPr>
        <w:t>(e)</w:t>
      </w:r>
      <w:r>
        <w:rPr>
          <w:rFonts w:ascii="Times New Roman;serif" w:hAnsi="Times New Roman;serif"/>
          <w:b/>
          <w:color w:val="000000"/>
          <w:sz w:val="24"/>
        </w:rPr>
        <w:t>Additional Restrictive Covenants</w:t>
      </w:r>
      <w:r>
        <w:rPr>
          <w:rFonts w:ascii="Times New Roman;serif" w:hAnsi="Times New Roman;serif"/>
          <w:b w:val="false"/>
          <w:color w:val="000000"/>
          <w:sz w:val="24"/>
        </w:rPr>
        <w:t xml:space="preserve">. As a condition to Executive’s employment with the Company and the effectiveness of this Agreement, Executive agrees and acknowledges that Executive shall execute on the Effective Date the Confidentiality and Invention Disclosure and Non-Compete Agreement attached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(the “</w:t>
      </w:r>
      <w:r>
        <w:rPr>
          <w:rFonts w:ascii="Times New Roman;serif" w:hAnsi="Times New Roman;serif"/>
          <w:b/>
          <w:color w:val="000000"/>
          <w:sz w:val="24"/>
        </w:rPr>
        <w:t>Restrictive Covenant Agreement</w:t>
      </w:r>
      <w:r>
        <w:rPr>
          <w:color w:val="000000"/>
        </w:rPr>
        <w:t>”</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color w:val="000000"/>
          <w:sz w:val="24"/>
        </w:rPr>
        <w:t>19.</w:t>
      </w:r>
      <w:r>
        <w:rPr>
          <w:rFonts w:ascii="Times New Roman;serif" w:hAnsi="Times New Roman;serif"/>
          <w:b/>
          <w:color w:val="000000"/>
          <w:sz w:val="24"/>
        </w:rPr>
        <w:t>Miscellaneous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w:t>
      </w:r>
      <w:r>
        <w:rPr>
          <w:rFonts w:ascii="Times New Roman;serif" w:hAnsi="Times New Roman;serif"/>
          <w:b/>
          <w:color w:val="000000"/>
          <w:sz w:val="24"/>
        </w:rPr>
        <w:t>Amendment</w:t>
      </w:r>
      <w:r>
        <w:rPr>
          <w:rFonts w:ascii="Times New Roman;serif" w:hAnsi="Times New Roman;serif"/>
          <w:b w:val="false"/>
          <w:color w:val="000000"/>
          <w:sz w:val="24"/>
        </w:rPr>
        <w:t>. No provision of this Agreement may be amended unless such amendment is signed by Executive and such officer as may be specifically designated by the Board to sign on the Company’s behalf.</w:t>
      </w:r>
    </w:p>
    <w:p>
      <w:pPr>
        <w:pStyle w:val="TextBody"/>
        <w:bidi w:val="0"/>
        <w:spacing w:lineRule="auto" w:line="240" w:before="0" w:after="240"/>
        <w:jc w:val="both"/>
        <w:rPr/>
      </w:pPr>
      <w:r>
        <w:rPr>
          <w:rFonts w:ascii="Times New Roman;serif" w:hAnsi="Times New Roman;serif"/>
          <w:b w:val="false"/>
          <w:color w:val="000000"/>
          <w:sz w:val="24"/>
        </w:rPr>
        <w:t>(b)</w:t>
      </w:r>
      <w:r>
        <w:rPr>
          <w:rFonts w:ascii="Times New Roman;serif" w:hAnsi="Times New Roman;serif"/>
          <w:b/>
          <w:color w:val="000000"/>
          <w:sz w:val="24"/>
        </w:rPr>
        <w:t>Section 409A</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10000"/>
          <w:sz w:val="24"/>
        </w:rPr>
        <w:t>(i)</w:t>
      </w:r>
      <w:r>
        <w:rPr>
          <w:rFonts w:ascii="Times New Roman;serif" w:hAnsi="Times New Roman;serif"/>
          <w:b w:val="false"/>
          <w:color w:val="000000"/>
          <w:sz w:val="24"/>
        </w:rPr>
        <w:t>This Agreement shall be interpreted to avoid any penalty taxes or interest under Section 409A of the Code. If any payment or benefit cannot be provided or made at the time specified herein without incurring taxes or interest under Section 409A of the Code, then such benefit or payment shall be provided in full at the earliest time thereafter when such taxes or interest will not be imposed. All payments of nonqualified deferred compensation subject to Section 409A of the Code to be made upon a termination of employment under this Agreement may only be made upon a “separation from service” as defined under Section 409A of the Code. For purposes of Section 409A of the Code, each payment made under this Agreement shall be treated as a separate payment. In no event may Executive, directly or indirectly, designate the calendar year of payment.</w:t>
      </w:r>
    </w:p>
    <w:p>
      <w:pPr>
        <w:pStyle w:val="TextBody"/>
        <w:bidi w:val="0"/>
        <w:spacing w:lineRule="auto" w:line="240" w:before="0" w:after="240"/>
        <w:jc w:val="both"/>
        <w:rPr/>
      </w:pPr>
      <w:r>
        <w:rPr>
          <w:rFonts w:ascii="Times New Roman;serif" w:hAnsi="Times New Roman;serif"/>
          <w:b w:val="false"/>
          <w:color w:val="010000"/>
          <w:sz w:val="24"/>
        </w:rPr>
        <w:t>(ii)</w:t>
      </w:r>
      <w:r>
        <w:rPr>
          <w:rFonts w:ascii="Times New Roman;serif" w:hAnsi="Times New Roman;serif"/>
          <w:b w:val="false"/>
          <w:color w:val="000000"/>
          <w:sz w:val="24"/>
        </w:rPr>
        <w:t>To the extent that any payments or reimbursements provided to Executive under this Agreement are deemed to constitute compensation to which Treasury Regulation Section 1.409A-3(i)(1)(iv) would apply, such payments or reimbursements shall be made or provided in accordance with the requirements of Section 409A of the Code, including, where applicable, the requirement that (A) any reimbursement is for expenses incurred during Executive’s lifetime (or during a shorter period of time specified in this Agreement), (B) the amount of expenses eligible for reimbursement during a calendar year may not affect the expenses eligible for reimbursement in any other calendar year, (C) the reimbursement of an eligible expense will be made on or before the last day of the calendar year following the year in which the expense is incurred, and (D) the right to reimbursement is not subject to liquidation or exchange for another benefit. If expenses are incurred in connection with litigation, any reimbursements under this Agreement shall be paid not later than the end of the calendar year following the year in which the litigation is resolved.</w:t>
      </w:r>
    </w:p>
    <w:p>
      <w:pPr>
        <w:pStyle w:val="TextBody"/>
        <w:bidi w:val="0"/>
        <w:spacing w:lineRule="auto" w:line="240" w:before="0" w:after="240"/>
        <w:jc w:val="both"/>
        <w:rPr/>
      </w:pPr>
      <w:r>
        <w:rPr>
          <w:rFonts w:ascii="Times New Roman;serif" w:hAnsi="Times New Roman;serif"/>
          <w:b w:val="false"/>
          <w:color w:val="000000"/>
          <w:sz w:val="24"/>
        </w:rPr>
        <w:t>(c)</w:t>
      </w:r>
      <w:r>
        <w:rPr>
          <w:rFonts w:ascii="Times New Roman;serif" w:hAnsi="Times New Roman;serif"/>
          <w:b/>
          <w:color w:val="000000"/>
          <w:sz w:val="24"/>
        </w:rPr>
        <w:t>Nature of Obligations</w:t>
      </w:r>
      <w:r>
        <w:rPr>
          <w:rFonts w:ascii="Times New Roman;serif" w:hAnsi="Times New Roman;serif"/>
          <w:b w:val="false"/>
          <w:color w:val="000000"/>
          <w:sz w:val="24"/>
        </w:rPr>
        <w:t>. Nothing contained herein shall create or require the Company to create a trust of any kind to fund any benefits which may be payable hereunder, and to the extent that Executive acquires a right to receive benefits from the Company hereunder, such right shall be no greater than the right of any unsecured general creditor of the Company.</w:t>
      </w:r>
    </w:p>
    <w:p>
      <w:pPr>
        <w:pStyle w:val="TextBody"/>
        <w:bidi w:val="0"/>
        <w:spacing w:lineRule="auto" w:line="240" w:before="0" w:after="240"/>
        <w:jc w:val="both"/>
        <w:rPr/>
      </w:pPr>
      <w:r>
        <w:rPr>
          <w:rFonts w:ascii="Times New Roman;serif" w:hAnsi="Times New Roman;serif"/>
          <w:b w:val="false"/>
          <w:color w:val="000000"/>
          <w:sz w:val="24"/>
        </w:rPr>
        <w:t>(d)</w:t>
      </w:r>
      <w:r>
        <w:rPr>
          <w:rFonts w:ascii="Times New Roman;serif" w:hAnsi="Times New Roman;serif"/>
          <w:b/>
          <w:color w:val="000000"/>
          <w:sz w:val="24"/>
        </w:rPr>
        <w:t>Withholding</w:t>
      </w:r>
      <w:r>
        <w:rPr>
          <w:rFonts w:ascii="Times New Roman;serif" w:hAnsi="Times New Roman;serif"/>
          <w:b w:val="false"/>
          <w:color w:val="000000"/>
          <w:sz w:val="24"/>
        </w:rPr>
        <w:t>. The Company shall have the right to withhold from all payments made pursuant to this Agreement any federal, state, or local taxes and such other amounts as may be required by law to be withheld from such payments.</w:t>
      </w:r>
    </w:p>
    <w:p>
      <w:pPr>
        <w:pStyle w:val="TextBody"/>
        <w:bidi w:val="0"/>
        <w:spacing w:lineRule="auto" w:line="240" w:before="0" w:after="240"/>
        <w:jc w:val="both"/>
        <w:rPr/>
      </w:pPr>
      <w:r>
        <w:rPr>
          <w:rFonts w:ascii="Times New Roman;serif" w:hAnsi="Times New Roman;serif"/>
          <w:b w:val="false"/>
          <w:color w:val="000000"/>
          <w:sz w:val="24"/>
        </w:rPr>
        <w:t>(e)</w:t>
      </w:r>
      <w:r>
        <w:rPr>
          <w:rFonts w:ascii="Times New Roman;serif" w:hAnsi="Times New Roman;serif"/>
          <w:b/>
          <w:color w:val="000000"/>
          <w:sz w:val="24"/>
        </w:rPr>
        <w:t>Prior Employment</w:t>
      </w:r>
      <w:r>
        <w:rPr>
          <w:rFonts w:ascii="Times New Roman;serif" w:hAnsi="Times New Roman;serif"/>
          <w:b w:val="false"/>
          <w:color w:val="000000"/>
          <w:sz w:val="24"/>
        </w:rPr>
        <w:t xml:space="preserve">. Executive represents and warrants that his acceptance of employment with the Company has not breached, and the performance of his duties hereunder will not breach, any duty owed by him to any prior employer or other person. Executive further represents and warrants to the Company that (i) the performance of his obligations hereunder will not violate any agreement between him and any other person, firm, organization or other entity, (ii) he is not bound by the terms of any agreement with any previous employer or other party to refrain from competing, directly or indirectly, with the business of such previous employer or other party that would be violated by his entering into this Agreement and/or providing services to the Company pursuant to the terms of this Agreement, and (iii) Executive’s performance of his duties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will not require him to, and he shall not, rely on in the performance of his duties or disclose to the Company or any other person or entity or induce the Company in any way to use or rely on any trade secret or other confidential or proprietary information or material belonging to any previous employer of Executive.</w:t>
      </w:r>
    </w:p>
    <w:p>
      <w:pPr>
        <w:pStyle w:val="TextBody"/>
        <w:bidi w:val="0"/>
        <w:spacing w:lineRule="auto" w:line="240" w:before="0" w:after="240"/>
        <w:jc w:val="both"/>
        <w:rPr/>
      </w:pPr>
      <w:r>
        <w:rPr>
          <w:rFonts w:ascii="Times New Roman;serif" w:hAnsi="Times New Roman;serif"/>
          <w:b w:val="false"/>
          <w:color w:val="000000"/>
          <w:sz w:val="24"/>
        </w:rPr>
        <w:t>(f)</w:t>
      </w:r>
      <w:r>
        <w:rPr>
          <w:rFonts w:ascii="Times New Roman;serif" w:hAnsi="Times New Roman;serif"/>
          <w:b/>
          <w:color w:val="000000"/>
          <w:sz w:val="24"/>
        </w:rPr>
        <w:t>Cooperation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Upon the receipt of reasonable notice from the Company (including outside counsel), Executive agrees that, while employed by the Company and thereafter, Executive will respond and provide information, as promptly as reasonably practicable, with regard to matters in which Executive has knowledge as a result of Executive’s employment with the Company, and will provide reasonable assistance to the Company and its representatives, at the Company’s expense (including, without limitation, expenses reasonably incurred by Executive in cooperating and assisting hereunder), in defense of any claims that may be made against the Company (other than by Executive), and will reasonably assist the Company in the prosecution of any claims that may be made by the Company (other than against Executive), to the extent that such claims may relate to the period of Executive’s employment with the Company (collectively, the “</w:t>
      </w:r>
      <w:r>
        <w:rPr>
          <w:rFonts w:ascii="Times New Roman;serif" w:hAnsi="Times New Roman;serif"/>
          <w:b/>
          <w:color w:val="000000"/>
          <w:sz w:val="24"/>
        </w:rPr>
        <w:t>Claims</w:t>
      </w:r>
      <w:r>
        <w:rPr>
          <w:color w:val="000000"/>
        </w:rPr>
        <w:t>”</w:t>
      </w:r>
      <w:r>
        <w:rPr>
          <w:rFonts w:ascii="Times New Roman;serif" w:hAnsi="Times New Roman;serif"/>
          <w:b w:val="false"/>
          <w:color w:val="000000"/>
          <w:sz w:val="24"/>
        </w:rPr>
        <w:t xml:space="preserve">). Executive agrees to promptly inform the Company if Executive becomes aware of any lawsuits involving Claims that may be filed or threatened against the Company. Executive also agrees to promptly inform the Company (to the extent that Executive is legally permitted to do so) if Executive is asked to assist in any investigation of the Company (or its actions) or another party attempts to obtain information or documents from Executive (other than in connection with any litigation or other proceeding in which Executive is a party-in-opposition) with respect to matters Executive believes in good faith to relate to any investigation of the Company, in each case, regardless of whether a lawsuit or other proceeding has then been filed against the Company with respect to such investigation, and shall not do so unless legally required. During the pendency of any litigation or other proceeding involving Claims, Executive shall not communicate with anyone (other than Executive’s attorneys and tax and/or financial advisors and except to the extent that Executive determines in good faith is necessary in connection with the performance of Executive’s duties hereunder) with respect to the facts or subject matter of any pending or potential litigation or regulatory or administrative proceeding involving the Company without giving prior written notice to the Company or the Company’s counsel. The Company agrees to reimburse or advance Executive for all reasonable expenses incurred by Executive in providing the assistance set forth herein in accordance with and subject to the Company’s expense reimbursement policies. </w:t>
      </w:r>
    </w:p>
    <w:p>
      <w:pPr>
        <w:pStyle w:val="TextBody"/>
        <w:bidi w:val="0"/>
        <w:spacing w:lineRule="auto" w:line="240" w:before="0" w:after="240"/>
        <w:jc w:val="both"/>
        <w:rPr/>
      </w:pPr>
      <w:r>
        <w:rPr>
          <w:rFonts w:ascii="Times New Roman;serif" w:hAnsi="Times New Roman;serif"/>
          <w:b w:val="false"/>
          <w:color w:val="000000"/>
          <w:sz w:val="24"/>
        </w:rPr>
        <w:t>(g)</w:t>
      </w:r>
      <w:r>
        <w:rPr>
          <w:rFonts w:ascii="Times New Roman;serif" w:hAnsi="Times New Roman;serif"/>
          <w:b/>
          <w:color w:val="000000"/>
          <w:sz w:val="24"/>
        </w:rPr>
        <w:t>Headings</w:t>
      </w:r>
      <w:r>
        <w:rPr>
          <w:rFonts w:ascii="Times New Roman;serif" w:hAnsi="Times New Roman;serif"/>
          <w:b w:val="false"/>
          <w:color w:val="000000"/>
          <w:sz w:val="24"/>
        </w:rPr>
        <w:t>. The Section headings contained in this Agreement are for reference purposes only and shall not affect in any way the meaning or interpretation of this Agreement. In the event of a conflict between a heading and the content of a Section, the content of the Section shall control.</w:t>
      </w:r>
    </w:p>
    <w:p>
      <w:pPr>
        <w:pStyle w:val="TextBody"/>
        <w:bidi w:val="0"/>
        <w:spacing w:lineRule="auto" w:line="240" w:before="0" w:after="240"/>
        <w:jc w:val="both"/>
        <w:rPr/>
      </w:pPr>
      <w:r>
        <w:rPr>
          <w:rFonts w:ascii="Times New Roman;serif" w:hAnsi="Times New Roman;serif"/>
          <w:b w:val="false"/>
          <w:color w:val="000000"/>
          <w:sz w:val="24"/>
        </w:rPr>
        <w:t>(h)</w:t>
      </w:r>
      <w:r>
        <w:rPr>
          <w:rFonts w:ascii="Times New Roman;serif" w:hAnsi="Times New Roman;serif"/>
          <w:b/>
          <w:color w:val="000000"/>
          <w:sz w:val="24"/>
        </w:rPr>
        <w:t>Recoupment</w:t>
      </w:r>
      <w:r>
        <w:rPr>
          <w:rFonts w:ascii="Times New Roman;serif" w:hAnsi="Times New Roman;serif"/>
          <w:b w:val="false"/>
          <w:color w:val="000000"/>
          <w:sz w:val="24"/>
        </w:rPr>
        <w:t>. To the extent required by applicable law, any applicable securities exchange listing standards or the Company’s Incentive Compensation Recovery Policy or Clawback Policy (each, as amended from time to time, or any successor or replacement policy), any amounts paid or payable under this Agreement (including, without limitation, amounts paid prior to the effectiveness of such law or listing standards) shall be subject to forfeiture, repayment or recapture to the extent required by such applicable law, policy or listing standard.</w:t>
      </w:r>
    </w:p>
    <w:p>
      <w:pPr>
        <w:pStyle w:val="TextBody"/>
        <w:bidi w:val="0"/>
        <w:spacing w:lineRule="auto" w:line="240" w:before="0" w:after="240"/>
        <w:jc w:val="both"/>
        <w:rPr/>
      </w:pPr>
      <w:r>
        <w:rPr>
          <w:rFonts w:ascii="Times New Roman;serif" w:hAnsi="Times New Roman;serif"/>
          <w:b w:val="false"/>
          <w:color w:val="000000"/>
          <w:sz w:val="24"/>
        </w:rPr>
        <w:t>(i)</w:t>
      </w:r>
      <w:r>
        <w:rPr>
          <w:rFonts w:ascii="Times New Roman;serif" w:hAnsi="Times New Roman;serif"/>
          <w:b/>
          <w:color w:val="000000"/>
          <w:sz w:val="24"/>
        </w:rPr>
        <w:t>Gender and Number</w:t>
      </w:r>
      <w:r>
        <w:rPr>
          <w:rFonts w:ascii="Times New Roman;serif" w:hAnsi="Times New Roman;serif"/>
          <w:b w:val="false"/>
          <w:color w:val="000000"/>
          <w:sz w:val="24"/>
        </w:rPr>
        <w:t>. Whenever used in this Agreement, a neuter pronoun is deemed to include both the masculine and the feminine, unless the context clearly indicates otherwise. The singular form, whenever used herein, shall mean or include the plural form where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(j)</w:t>
      </w:r>
      <w:r>
        <w:rPr>
          <w:rFonts w:ascii="Times New Roman;serif" w:hAnsi="Times New Roman;serif"/>
          <w:b/>
          <w:color w:val="000000"/>
          <w:sz w:val="24"/>
        </w:rPr>
        <w:t>Severability</w:t>
      </w:r>
      <w:r>
        <w:rPr>
          <w:rFonts w:ascii="Times New Roman;serif" w:hAnsi="Times New Roman;serif"/>
          <w:b w:val="false"/>
          <w:color w:val="000000"/>
          <w:sz w:val="24"/>
        </w:rPr>
        <w:t>. If any provision of this Agreement or the application thereof to any person or circumstance shall be invalid or unenforceable under any applicable law, such event shall not affect or render invalid or unenforceable any other provision of this Agreement and shall not affect the application of any provision to other persons or circumstances.</w:t>
      </w:r>
    </w:p>
    <w:p>
      <w:pPr>
        <w:pStyle w:val="TextBody"/>
        <w:bidi w:val="0"/>
        <w:spacing w:lineRule="auto" w:line="240" w:before="0" w:after="240"/>
        <w:jc w:val="both"/>
        <w:rPr/>
      </w:pPr>
      <w:r>
        <w:rPr>
          <w:rFonts w:ascii="Times New Roman;serif" w:hAnsi="Times New Roman;serif"/>
          <w:b w:val="false"/>
          <w:color w:val="000000"/>
          <w:sz w:val="24"/>
        </w:rPr>
        <w:t>(k)</w:t>
      </w:r>
      <w:r>
        <w:rPr>
          <w:rFonts w:ascii="Times New Roman;serif" w:hAnsi="Times New Roman;serif"/>
          <w:b/>
          <w:color w:val="000000"/>
          <w:sz w:val="24"/>
        </w:rPr>
        <w:t>Binding Effect</w:t>
      </w:r>
      <w:r>
        <w:rPr>
          <w:rFonts w:ascii="Times New Roman;serif" w:hAnsi="Times New Roman;serif"/>
          <w:b w:val="false"/>
          <w:color w:val="000000"/>
          <w:sz w:val="24"/>
        </w:rPr>
        <w:t>. This Agreement shall be binding upon and inure to the benefit of the parties hereto and their respective successors, permitted assigns, heirs, executors and administrators.</w:t>
      </w:r>
    </w:p>
    <w:p>
      <w:pPr>
        <w:pStyle w:val="TextBody"/>
        <w:bidi w:val="0"/>
        <w:spacing w:lineRule="auto" w:line="240" w:before="0" w:after="240"/>
        <w:jc w:val="both"/>
        <w:rPr/>
      </w:pPr>
      <w:r>
        <w:rPr>
          <w:rFonts w:ascii="Times New Roman;serif" w:hAnsi="Times New Roman;serif"/>
          <w:b w:val="false"/>
          <w:color w:val="000000"/>
          <w:sz w:val="24"/>
        </w:rPr>
        <w:t>(l)</w:t>
      </w:r>
      <w:r>
        <w:rPr>
          <w:rFonts w:ascii="Times New Roman;serif" w:hAnsi="Times New Roman;serif"/>
          <w:b/>
          <w:color w:val="000000"/>
          <w:sz w:val="24"/>
        </w:rPr>
        <w:t>Notice</w:t>
      </w:r>
      <w:r>
        <w:rPr>
          <w:rFonts w:ascii="Times New Roman;serif" w:hAnsi="Times New Roman;serif"/>
          <w:b w:val="false"/>
          <w:color w:val="000000"/>
          <w:sz w:val="24"/>
        </w:rPr>
        <w:t>. For purposes of this Agreement, notices and all other communications provided for in this Agreement shall be in writing and shall be deemed to have been duly given if hand-delivered, sent by documented overnight delivery service or by certified or registered mail, return receipt requested, postage prepaid, addressed to the respective addresses set forth below:</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To the Company: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Integra LifeSciences Holdings Corporation </w:t>
        <w:br/>
        <w:t xml:space="preserve">1100 Campus Road </w:t>
        <w:br/>
        <w:t>Princeton, New Jersey 08540</w:t>
        <w:br/>
        <w:t>Attn: General Counsel</w:t>
      </w:r>
    </w:p>
    <w:p>
      <w:pPr>
        <w:pStyle w:val="TextBody"/>
        <w:bidi w:val="0"/>
        <w:spacing w:lineRule="auto" w:line="288" w:before="0" w:after="240"/>
        <w:jc w:val="left"/>
        <w:rPr/>
      </w:pPr>
      <w:r>
        <w:rPr>
          <w:rFonts w:ascii="Times New Roman;serif" w:hAnsi="Times New Roman;serif"/>
          <w:b/>
          <w:color w:val="000000"/>
          <w:sz w:val="24"/>
        </w:rPr>
        <w:t>To Executive:</w:t>
      </w:r>
      <w:r>
        <w:rPr>
          <w:color w:val="000000"/>
        </w:rPr>
        <w:t xml:space="preserve"> </w:t>
      </w:r>
      <w:r>
        <w:rPr>
          <w:rFonts w:ascii="Times New Roman;serif" w:hAnsi="Times New Roman;serif"/>
          <w:b w:val="false"/>
          <w:color w:val="000000"/>
          <w:sz w:val="24"/>
        </w:rPr>
        <w:t>at Executive’s most recent address on the records of the Company</w:t>
      </w:r>
    </w:p>
    <w:p>
      <w:pPr>
        <w:pStyle w:val="TextBody"/>
        <w:bidi w:val="0"/>
        <w:spacing w:lineRule="auto" w:line="240" w:before="0" w:after="240"/>
        <w:jc w:val="both"/>
        <w:rPr/>
      </w:pPr>
      <w:r>
        <w:rPr>
          <w:rFonts w:ascii="Times New Roman;serif" w:hAnsi="Times New Roman;serif"/>
          <w:b w:val="false"/>
          <w:color w:val="000000"/>
          <w:sz w:val="24"/>
        </w:rPr>
        <w:t>(m)</w:t>
      </w:r>
      <w:r>
        <w:rPr>
          <w:rFonts w:ascii="Times New Roman;serif" w:hAnsi="Times New Roman;serif"/>
          <w:b/>
          <w:color w:val="000000"/>
          <w:sz w:val="24"/>
        </w:rPr>
        <w:t>Effectiveness; Entire Agreement</w:t>
      </w:r>
      <w:r>
        <w:rPr>
          <w:rFonts w:ascii="Times New Roman;serif" w:hAnsi="Times New Roman;serif"/>
          <w:b w:val="false"/>
          <w:color w:val="000000"/>
          <w:sz w:val="24"/>
        </w:rPr>
        <w:t>. This Agreement and the Restrictive Covenant Agreement shall become effective as of the Effective Date. As of the Effective Date, this Agreement, together with the Restrictive Covenant Agreement, sets forth the entire understanding of the parties and supersedes all prior agreements, arrangements and communications, whether oral or written, pertaining to the subject matter hereof; provided, however, that certain Indemnification Agreement, dated as of February 15, 2019, between the Company and Executive, all outstanding equity awards granted by the Company to Executive prior to the Effective Date shall remain in full force and effect, as shall any other written agreement to which Executive and the Company are party that contains restrictive covenants, and Executive shall remain entitled to any benefits, including deferred compensation, he earned or accrued under any Company benefit plan or arrangement prior to the Effective Date. This Agreement and the obligations and commitments hereunder shall neither commence nor be of any force or effect prior to the Effective Date.</w:t>
      </w:r>
    </w:p>
    <w:p>
      <w:pPr>
        <w:pStyle w:val="TextBody"/>
        <w:bidi w:val="0"/>
        <w:spacing w:lineRule="auto" w:line="240" w:before="0" w:after="240"/>
        <w:jc w:val="both"/>
        <w:rPr/>
      </w:pPr>
      <w:r>
        <w:rPr>
          <w:rFonts w:ascii="Times New Roman;serif" w:hAnsi="Times New Roman;serif"/>
          <w:b w:val="false"/>
          <w:color w:val="000000"/>
          <w:sz w:val="24"/>
        </w:rPr>
        <w:t>(n)</w:t>
      </w:r>
      <w:r>
        <w:rPr>
          <w:rFonts w:ascii="Times New Roman;serif" w:hAnsi="Times New Roman;serif"/>
          <w:b/>
          <w:color w:val="000000"/>
          <w:sz w:val="24"/>
        </w:rPr>
        <w:t>Governing Law</w:t>
      </w:r>
      <w:r>
        <w:rPr>
          <w:rFonts w:ascii="Times New Roman;serif" w:hAnsi="Times New Roman;serif"/>
          <w:b w:val="false"/>
          <w:color w:val="000000"/>
          <w:sz w:val="24"/>
        </w:rPr>
        <w:t>. The validity, interpretation, construction and performance of this Agreement shall be governed by the laws of the United States where applicable and otherwise by the laws of the State of Delaware.</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this Agreement has been executed as of the date first above written.</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tbl>
      <w:tblPr>
        <w:tblW w:w="4842" w:type="dxa"/>
        <w:jc w:val="left"/>
        <w:tblInd w:w="0" w:type="dxa"/>
        <w:tblLayout w:type="fixed"/>
        <w:tblCellMar>
          <w:top w:w="28" w:type="dxa"/>
          <w:left w:w="28" w:type="dxa"/>
          <w:bottom w:w="28" w:type="dxa"/>
          <w:right w:w="28" w:type="dxa"/>
        </w:tblCellMar>
      </w:tblPr>
      <w:tblGrid>
        <w:gridCol w:w="1619"/>
        <w:gridCol w:w="1423"/>
        <w:gridCol w:w="1428"/>
        <w:gridCol w:w="109"/>
        <w:gridCol w:w="109"/>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INTEGRA LIFESCIENCES HOLDINGS</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CORPORATION</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w:t>
            </w:r>
            <w:r>
              <w:rPr>
                <w:rFonts w:ascii="Times New Roman;serif" w:hAnsi="Times New Roman;serif"/>
                <w:b w:val="false"/>
                <w:color w:val="000000"/>
                <w:sz w:val="24"/>
                <w:u w:val="single"/>
              </w:rPr>
              <w:t>/s/ Renee Lo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Renee Lo</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INTEGRA LIFESCIENCES</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CORPORATION</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w:t>
            </w:r>
            <w:r>
              <w:rPr>
                <w:rFonts w:ascii="Times New Roman;serif" w:hAnsi="Times New Roman;serif"/>
                <w:b w:val="false"/>
                <w:color w:val="000000"/>
                <w:sz w:val="24"/>
                <w:u w:val="single"/>
              </w:rPr>
              <w:t>/s/ Chantal Veillon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Chantal Veillon</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Human Resources Officer</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this Agreement has been executed as of the date first above written.</w:t>
      </w:r>
    </w:p>
    <w:p>
      <w:pPr>
        <w:pStyle w:val="TextBody"/>
        <w:bidi w:val="0"/>
        <w:spacing w:before="0" w:after="240"/>
        <w:ind w:left="0" w:right="0" w:firstLine="720"/>
        <w:jc w:val="both"/>
        <w:rPr/>
      </w:pPr>
      <w:r>
        <w:rPr/>
      </w:r>
    </w:p>
    <w:tbl>
      <w:tblPr>
        <w:tblW w:w="2247" w:type="dxa"/>
        <w:jc w:val="left"/>
        <w:tblInd w:w="0" w:type="dxa"/>
        <w:tblLayout w:type="fixed"/>
        <w:tblCellMar>
          <w:top w:w="28" w:type="dxa"/>
          <w:left w:w="28" w:type="dxa"/>
          <w:bottom w:w="28" w:type="dxa"/>
          <w:right w:w="28" w:type="dxa"/>
        </w:tblCellMar>
      </w:tblPr>
      <w:tblGrid>
        <w:gridCol w:w="124"/>
        <w:gridCol w:w="109"/>
        <w:gridCol w:w="109"/>
        <w:gridCol w:w="557"/>
        <w:gridCol w:w="557"/>
        <w:gridCol w:w="7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0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EXECUTIVE</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w:t>
            </w:r>
            <w:r>
              <w:rPr>
                <w:rFonts w:ascii="Times New Roman;serif" w:hAnsi="Times New Roman;serif"/>
                <w:b w:val="false"/>
                <w:color w:val="000000"/>
                <w:sz w:val="24"/>
                <w:u w:val="single"/>
              </w:rPr>
              <w:t>/s/ Stuart Essig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Stuart Essig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GENERAL RELEASE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18"/>
        </w:rPr>
        <w:t>[</w:t>
      </w:r>
      <w:r>
        <w:rPr>
          <w:rFonts w:ascii="Times New Roman;serif" w:hAnsi="Times New Roman;serif"/>
          <w:b w:val="false"/>
          <w:i/>
          <w:color w:val="000000"/>
          <w:sz w:val="18"/>
        </w:rPr>
        <w:t>These materials have been omitted pursuant to Item 601(a)(5) of Regulation S-K under the Securities Act of 1933, as amended. The registrant agrees to furnish supplementally a copy of the omitted materials to the Securities and Exchange Commission upon request.</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before="0" w:after="240"/>
        <w:jc w:val="center"/>
        <w:rPr/>
      </w:pPr>
      <w:r>
        <w:rPr/>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CONFIDENTIALITY AND INVENTION DISCLOSURE AND NON-COMPETE AGREEMENT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19"/>
        <w:jc w:val="center"/>
        <w:rPr/>
      </w:pPr>
      <w:r>
        <w:rPr>
          <w:rFonts w:ascii="Times New Roman;serif" w:hAnsi="Times New Roman;serif"/>
          <w:b w:val="false"/>
          <w:color w:val="000000"/>
          <w:sz w:val="18"/>
        </w:rPr>
        <w:t>[</w:t>
      </w:r>
      <w:r>
        <w:rPr>
          <w:rFonts w:ascii="Times New Roman;serif" w:hAnsi="Times New Roman;serif"/>
          <w:b w:val="false"/>
          <w:i/>
          <w:color w:val="000000"/>
          <w:sz w:val="18"/>
        </w:rPr>
        <w:t>These materials have been omitted pursuant to Item 601(a)(5) of Regulation S-K under the Securities Act of 1933, as amended. The registrant agrees to furnish supplementally a copy of the omitted materials to the Securities and Exchange Commission upon request.</w:t>
      </w:r>
      <w:r>
        <w:rPr>
          <w:rFonts w:ascii="Times New Roman;serif" w:hAnsi="Times New Roman;serif"/>
          <w:b w:val="false"/>
          <w:color w:val="000000"/>
          <w:sz w:val="18"/>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txbxContent>
                </v:textbox>
                <w10:wrap type="none"/>
              </v:rect>
            </w:pict>
          </mc:Fallback>
        </mc:AlternateConten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rFonts w:ascii="Times New Roman;serif" w:hAnsi="Times New Roman;serif"/>
          <w:b/>
          <w:color w:val="000000"/>
          <w:sz w:val="24"/>
        </w:rPr>
      </w:pPr>
      <w:r>
        <w:rPr>
          <w:rFonts w:ascii="Times New Roman;serif" w:hAnsi="Times New Roman;serif"/>
          <w:b/>
          <w:color w:val="000000"/>
          <w:sz w:val="24"/>
        </w:rPr>
        <w:t>IART-2026.06.30-EX-10.6</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4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RESTRICTED STOCK UNIT AWARD AGREEMENT</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THIS RESTRICTED STOCK UNIT AWARD AGREEMENT </w:t>
      </w:r>
      <w:r>
        <w:rPr>
          <w:rFonts w:ascii="Times New Roman;serif" w:hAnsi="Times New Roman;serif"/>
          <w:b w:val="false"/>
          <w:color w:val="000000"/>
          <w:sz w:val="24"/>
        </w:rPr>
        <w:t>(the “</w:t>
      </w:r>
      <w:r>
        <w:rPr>
          <w:rFonts w:ascii="Times New Roman;serif" w:hAnsi="Times New Roman;serif"/>
          <w:b/>
          <w:color w:val="000000"/>
          <w:sz w:val="24"/>
        </w:rPr>
        <w:t>Award Agreement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dated as of [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Award Date</w:t>
      </w:r>
      <w:r>
        <w:rPr>
          <w:color w:val="000000"/>
        </w:rPr>
        <w:t>”</w:t>
      </w:r>
      <w:r>
        <w:rPr>
          <w:rFonts w:ascii="Times New Roman;serif" w:hAnsi="Times New Roman;serif"/>
          <w:b w:val="false"/>
          <w:color w:val="000000"/>
          <w:sz w:val="24"/>
        </w:rPr>
        <w:t>), is made by and between</w:t>
      </w:r>
      <w:r>
        <w:rPr>
          <w:color w:val="000000"/>
        </w:rPr>
        <w:t xml:space="preserve"> </w:t>
      </w:r>
      <w:r>
        <w:rPr>
          <w:rFonts w:ascii="Times New Roman;serif" w:hAnsi="Times New Roman;serif"/>
          <w:b w:val="false"/>
          <w:color w:val="000000"/>
          <w:sz w:val="24"/>
        </w:rPr>
        <w:t>Integra LifeSciences Holdings Corporation</w:t>
      </w:r>
      <w:r>
        <w:rPr>
          <w:rFonts w:ascii="Times New Roman;serif" w:hAnsi="Times New Roman;serif"/>
          <w:b/>
          <w:color w:val="000000"/>
          <w:sz w:val="24"/>
        </w:rPr>
        <w:t xml:space="preserve">, </w:t>
      </w:r>
      <w:r>
        <w:rPr>
          <w:rFonts w:ascii="Times New Roman;serif" w:hAnsi="Times New Roman;serif"/>
          <w:b w:val="false"/>
          <w:color w:val="000000"/>
          <w:sz w:val="24"/>
        </w:rPr>
        <w:t xml:space="preserve">a Delaware corporation (the </w:t>
      </w:r>
      <w:r>
        <w:rPr>
          <w:color w:val="000000"/>
        </w:rPr>
        <w:t>“</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             ], hereinafter referred to as the “</w:t>
      </w:r>
      <w:r>
        <w:rPr>
          <w:rFonts w:ascii="Times New Roman;serif" w:hAnsi="Times New Roman;serif"/>
          <w:b/>
          <w:color w:val="000000"/>
          <w:sz w:val="24"/>
        </w:rPr>
        <w:t>Participant</w:t>
      </w:r>
      <w:r>
        <w:rPr>
          <w:rFonts w:ascii="Times New Roman;serif" w:hAnsi="Times New Roman;serif"/>
          <w:b w:val="false"/>
          <w:color w:val="000000"/>
          <w:sz w:val="24"/>
        </w:rPr>
        <w:t xml:space="preserve">,” a Key Employee or Associate (as defined in the Plan). </w:t>
      </w:r>
    </w:p>
    <w:p>
      <w:pPr>
        <w:pStyle w:val="TextBody"/>
        <w:bidi w:val="0"/>
        <w:spacing w:lineRule="auto" w:line="288" w:before="0" w:after="240"/>
        <w:ind w:left="0" w:right="0" w:firstLine="1440"/>
        <w:jc w:val="both"/>
        <w:rPr/>
      </w:pPr>
      <w:r>
        <w:rPr>
          <w:rFonts w:ascii="Times New Roman;serif" w:hAnsi="Times New Roman;serif"/>
          <w:b/>
          <w:color w:val="000000"/>
          <w:sz w:val="24"/>
        </w:rPr>
        <w:t>WHEREAS</w:t>
      </w:r>
      <w:r>
        <w:rPr>
          <w:rFonts w:ascii="Times New Roman;serif" w:hAnsi="Times New Roman;serif"/>
          <w:b w:val="false"/>
          <w:color w:val="000000"/>
          <w:sz w:val="24"/>
        </w:rPr>
        <w:t>, the Company has established and maintains the Integra LifeSciences Holdings Corporation Fifth Amended and Restated 2003 Equity Incentive Plan, as amended from time to time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color w:val="000000"/>
          <w:sz w:val="24"/>
        </w:rPr>
        <w:t>WHEREAS</w:t>
      </w:r>
      <w:r>
        <w:rPr>
          <w:rFonts w:ascii="Times New Roman;serif" w:hAnsi="Times New Roman;serif"/>
          <w:b w:val="false"/>
          <w:color w:val="000000"/>
          <w:sz w:val="24"/>
        </w:rPr>
        <w:t>, the Company, Integra LifeSciences Corporation and Participant entered into that certain Employment Agreement dated as of May 1, 2026 (the “</w:t>
      </w:r>
      <w:r>
        <w:rPr>
          <w:rFonts w:ascii="Times New Roman;serif" w:hAnsi="Times New Roman;serif"/>
          <w:b/>
          <w:color w:val="000000"/>
          <w:sz w:val="24"/>
        </w:rPr>
        <w:t>Employment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in accordance with the Employment Agreement, the Company desires to grant an award of Restricted Stock Units (“</w:t>
      </w:r>
      <w:r>
        <w:rPr>
          <w:rFonts w:ascii="Times New Roman;serif" w:hAnsi="Times New Roman;serif"/>
          <w:b/>
          <w:color w:val="000000"/>
          <w:sz w:val="24"/>
        </w:rPr>
        <w:t>RSUs</w:t>
      </w:r>
      <w:r>
        <w:rPr>
          <w:color w:val="000000"/>
        </w:rPr>
        <w:t>”</w:t>
      </w:r>
      <w:r>
        <w:rPr>
          <w:rFonts w:ascii="Times New Roman;serif" w:hAnsi="Times New Roman;serif"/>
          <w:b w:val="false"/>
          <w:color w:val="000000"/>
          <w:sz w:val="24"/>
        </w:rPr>
        <w:t>) as provided for herein to the Participant in consideration of his acceptance of the positions of President and Chief Executive Officer of the Company and as an incentive for his efforts for the Company or its Related Corporations or Affiliates;</w:t>
      </w:r>
    </w:p>
    <w:p>
      <w:pPr>
        <w:pStyle w:val="TextBody"/>
        <w:bidi w:val="0"/>
        <w:spacing w:lineRule="auto" w:line="288" w:before="0" w:after="240"/>
        <w:ind w:left="0" w:right="0" w:firstLine="1440"/>
        <w:jc w:val="both"/>
        <w:rPr/>
      </w:pPr>
      <w:r>
        <w:rPr>
          <w:rFonts w:ascii="Times New Roman;serif" w:hAnsi="Times New Roman;serif"/>
          <w:b/>
          <w:color w:val="000000"/>
          <w:sz w:val="24"/>
        </w:rPr>
        <w:t>WHEREAS</w:t>
      </w:r>
      <w:r>
        <w:rPr>
          <w:rFonts w:ascii="Times New Roman;serif" w:hAnsi="Times New Roman;serif"/>
          <w:b w:val="false"/>
          <w:color w:val="000000"/>
          <w:sz w:val="24"/>
        </w:rPr>
        <w:t>, Restricted Stock Units can be granted, and the shares of common stock of the Company (the “</w:t>
      </w:r>
      <w:r>
        <w:rPr>
          <w:rFonts w:ascii="Times New Roman;serif" w:hAnsi="Times New Roman;serif"/>
          <w:b/>
          <w:color w:val="000000"/>
          <w:sz w:val="24"/>
        </w:rPr>
        <w:t>Shares</w:t>
      </w:r>
      <w:r>
        <w:rPr>
          <w:color w:val="000000"/>
        </w:rPr>
        <w:t>”</w:t>
      </w:r>
      <w:r>
        <w:rPr>
          <w:rFonts w:ascii="Times New Roman;serif" w:hAnsi="Times New Roman;serif"/>
          <w:b w:val="false"/>
          <w:color w:val="000000"/>
          <w:sz w:val="24"/>
        </w:rPr>
        <w:t>) subject to the RSUs can be issued, under Section 7.8 of the Plan; and</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NOW, THEREFORE, </w:t>
      </w:r>
      <w:r>
        <w:rPr>
          <w:rFonts w:ascii="Times New Roman;serif" w:hAnsi="Times New Roman;serif"/>
          <w:b w:val="false"/>
          <w:color w:val="000000"/>
          <w:sz w:val="24"/>
        </w:rPr>
        <w:t>in consideration of the various covenants herein contained, and intending to be legally bound hereby, the parties hereto agree as follows:</w:t>
      </w:r>
    </w:p>
    <w:p>
      <w:pPr>
        <w:pStyle w:val="TextBody"/>
        <w:bidi w:val="0"/>
        <w:spacing w:lineRule="auto" w:line="240" w:before="0" w:after="240"/>
        <w:jc w:val="center"/>
        <w:rPr/>
      </w:pPr>
      <w:r>
        <w:rPr>
          <w:rFonts w:ascii="Times New Roman;serif" w:hAnsi="Times New Roman;serif"/>
          <w:b/>
          <w:color w:val="000000"/>
          <w:sz w:val="24"/>
        </w:rPr>
        <w:t>ARTICLE I.</w:t>
      </w:r>
      <w:r>
        <w:rPr>
          <w:rFonts w:ascii="Times New Roman;serif" w:hAnsi="Times New Roman;serif"/>
          <w:b/>
          <w:color w:val="000000"/>
          <w:sz w:val="24"/>
        </w:rPr>
        <w:br/>
      </w:r>
      <w:r>
        <w:rPr>
          <w:rFonts w:ascii="Times New Roman;serif" w:hAnsi="Times New Roman;serif"/>
          <w:b/>
          <w:color w:val="000000"/>
          <w:sz w:val="24"/>
          <w:u w:val="single"/>
        </w:rPr>
        <w:t>DEFINITIONS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Capitalized terms not otherwise defined below shall have the meaning set forth in the Plan. The masculine pronoun shall include the feminine and neuter, and the singular the plural, where the context so indicates. </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1.1</w:t>
      </w:r>
      <w:r>
        <w:rPr>
          <w:color w:val="000000"/>
        </w:rPr>
        <w:t>“</w:t>
      </w:r>
      <w:r>
        <w:rPr>
          <w:rFonts w:ascii="Times New Roman;serif" w:hAnsi="Times New Roman;serif"/>
          <w:b/>
          <w:color w:val="000000"/>
          <w:sz w:val="24"/>
        </w:rPr>
        <w:t xml:space="preserve">Award Date” </w:t>
      </w:r>
      <w:r>
        <w:rPr>
          <w:rFonts w:ascii="Times New Roman;serif" w:hAnsi="Times New Roman;serif"/>
          <w:b w:val="false"/>
          <w:color w:val="000000"/>
          <w:sz w:val="24"/>
        </w:rPr>
        <w:t>shall have the meaning set forth in the recitals.</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1.2</w:t>
      </w:r>
      <w:r>
        <w:rPr>
          <w:color w:val="000000"/>
        </w:rPr>
        <w:t>“</w:t>
      </w:r>
      <w:r>
        <w:rPr>
          <w:rFonts w:ascii="Times New Roman;serif" w:hAnsi="Times New Roman;serif"/>
          <w:b/>
          <w:color w:val="000000"/>
          <w:sz w:val="24"/>
        </w:rPr>
        <w:t xml:space="preserve">Cause” </w:t>
      </w:r>
      <w:r>
        <w:rPr>
          <w:rFonts w:ascii="Times New Roman;serif" w:hAnsi="Times New Roman;serif"/>
          <w:b w:val="false"/>
          <w:color w:val="000000"/>
          <w:sz w:val="24"/>
        </w:rPr>
        <w:t>shall mean “Cause” as defined in the Employment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1.3</w:t>
      </w:r>
      <w:r>
        <w:rPr>
          <w:color w:val="000000"/>
        </w:rPr>
        <w:t>“</w:t>
      </w:r>
      <w:r>
        <w:rPr>
          <w:rFonts w:ascii="Times New Roman;serif" w:hAnsi="Times New Roman;serif"/>
          <w:b/>
          <w:color w:val="000000"/>
          <w:sz w:val="24"/>
        </w:rPr>
        <w:t xml:space="preserve">Covenants Agreement” </w:t>
      </w:r>
      <w:r>
        <w:rPr>
          <w:rFonts w:ascii="Times New Roman;serif" w:hAnsi="Times New Roman;serif"/>
          <w:b w:val="false"/>
          <w:color w:val="000000"/>
          <w:sz w:val="24"/>
        </w:rPr>
        <w:t>shall mean the Confidentiality and Invention Disclosure and Non-Compete Agreement by and between the Company and the Participant, executed in connection with the Award Agreement in Appendix A.</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1.4</w:t>
      </w:r>
      <w:r>
        <w:rPr>
          <w:color w:val="000000"/>
        </w:rPr>
        <w:t>“</w:t>
      </w:r>
      <w:r>
        <w:rPr>
          <w:rFonts w:ascii="Times New Roman;serif" w:hAnsi="Times New Roman;serif"/>
          <w:b/>
          <w:color w:val="000000"/>
          <w:sz w:val="24"/>
        </w:rPr>
        <w:t xml:space="preserve">Effective Date” </w:t>
      </w:r>
      <w:r>
        <w:rPr>
          <w:rFonts w:ascii="Times New Roman;serif" w:hAnsi="Times New Roman;serif"/>
          <w:b w:val="false"/>
          <w:color w:val="000000"/>
          <w:sz w:val="24"/>
        </w:rPr>
        <w:t>shall mean the “Effective Date” as set forth in the Employment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1.5</w:t>
      </w:r>
      <w:r>
        <w:rPr>
          <w:color w:val="000000"/>
        </w:rPr>
        <w:t>“</w:t>
      </w:r>
      <w:r>
        <w:rPr>
          <w:rFonts w:ascii="Times New Roman;serif" w:hAnsi="Times New Roman;serif"/>
          <w:b/>
          <w:color w:val="000000"/>
          <w:sz w:val="24"/>
        </w:rPr>
        <w:t xml:space="preserve">Plan” </w:t>
      </w:r>
      <w:r>
        <w:rPr>
          <w:rFonts w:ascii="Times New Roman;serif" w:hAnsi="Times New Roman;serif"/>
          <w:b w:val="false"/>
          <w:color w:val="000000"/>
          <w:sz w:val="24"/>
        </w:rPr>
        <w:t>shall have the meaning set forth in the recitals.</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1.6</w:t>
      </w:r>
      <w:r>
        <w:rPr>
          <w:color w:val="000000"/>
        </w:rPr>
        <w:t>“</w:t>
      </w:r>
      <w:r>
        <w:rPr>
          <w:rFonts w:ascii="Times New Roman;serif" w:hAnsi="Times New Roman;serif"/>
          <w:b/>
          <w:color w:val="000000"/>
          <w:sz w:val="24"/>
        </w:rPr>
        <w:t>Restricted Stock Units</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RSUs</w:t>
      </w:r>
      <w:r>
        <w:rPr>
          <w:color w:val="000000"/>
        </w:rPr>
        <w:t xml:space="preserve">” </w:t>
      </w:r>
      <w:r>
        <w:rPr>
          <w:rFonts w:ascii="Times New Roman;serif" w:hAnsi="Times New Roman;serif"/>
          <w:b w:val="false"/>
          <w:color w:val="000000"/>
          <w:sz w:val="24"/>
        </w:rPr>
        <w:t>shall mean a conditional right to receive Shares pursuant to the terms of the Plan and this Award Agreement upon vesting and settlement as set forth in this Award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1.7</w:t>
      </w:r>
      <w:r>
        <w:rPr>
          <w:color w:val="000000"/>
        </w:rPr>
        <w:t>“</w:t>
      </w:r>
      <w:r>
        <w:rPr>
          <w:rFonts w:ascii="Times New Roman;serif" w:hAnsi="Times New Roman;serif"/>
          <w:b/>
          <w:color w:val="000000"/>
          <w:sz w:val="24"/>
        </w:rPr>
        <w:t>Rule 16b-3</w:t>
      </w:r>
      <w:r>
        <w:rPr>
          <w:color w:val="000000"/>
        </w:rPr>
        <w:t xml:space="preserve">” </w:t>
      </w:r>
      <w:r>
        <w:rPr>
          <w:rFonts w:ascii="Times New Roman;serif" w:hAnsi="Times New Roman;serif"/>
          <w:b w:val="false"/>
          <w:color w:val="000000"/>
          <w:sz w:val="24"/>
        </w:rPr>
        <w:t>shall mean that certain Rule 16b-3 under the U.S. Exchange Act, as such Rule may be amended from time to time.</w:t>
      </w:r>
    </w:p>
    <w:p>
      <w:pPr>
        <w:pStyle w:val="TextBody"/>
        <w:bidi w:val="0"/>
        <w:spacing w:lineRule="auto" w:line="240" w:before="0" w:after="240"/>
        <w:ind w:left="0" w:right="0" w:firstLine="720"/>
        <w:jc w:val="left"/>
        <w:rPr/>
      </w:pPr>
      <w:r>
        <w:rPr>
          <w:rFonts w:ascii="Times New Roman;serif" w:hAnsi="Times New Roman;serif"/>
          <w:b w:val="false"/>
          <w:color w:val="000000"/>
          <w:sz w:val="24"/>
          <w:u w:val="single"/>
        </w:rPr>
        <w:t>Section 1.8</w:t>
      </w:r>
      <w:r>
        <w:rPr>
          <w:color w:val="000000"/>
        </w:rPr>
        <w:t>“</w:t>
      </w:r>
      <w:r>
        <w:rPr>
          <w:rFonts w:ascii="Times New Roman;serif" w:hAnsi="Times New Roman;serif"/>
          <w:b/>
          <w:color w:val="000000"/>
          <w:sz w:val="24"/>
        </w:rPr>
        <w:t>Secretary</w:t>
      </w:r>
      <w:r>
        <w:rPr>
          <w:color w:val="000000"/>
        </w:rPr>
        <w:t xml:space="preserve">” </w:t>
      </w:r>
      <w:r>
        <w:rPr>
          <w:rFonts w:ascii="Times New Roman;serif" w:hAnsi="Times New Roman;serif"/>
          <w:b w:val="false"/>
          <w:color w:val="000000"/>
          <w:sz w:val="24"/>
        </w:rPr>
        <w:t>shall mean the Secretary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1.9</w:t>
      </w:r>
      <w:r>
        <w:rPr>
          <w:color w:val="000000"/>
        </w:rPr>
        <w:t>“</w:t>
      </w:r>
      <w:r>
        <w:rPr>
          <w:rFonts w:ascii="Times New Roman;serif" w:hAnsi="Times New Roman;serif"/>
          <w:b/>
          <w:color w:val="000000"/>
          <w:sz w:val="24"/>
        </w:rPr>
        <w:t xml:space="preserve">Service Recipient” </w:t>
      </w:r>
      <w:r>
        <w:rPr>
          <w:rFonts w:ascii="Times New Roman;serif" w:hAnsi="Times New Roman;serif"/>
          <w:b w:val="false"/>
          <w:color w:val="000000"/>
          <w:sz w:val="24"/>
        </w:rPr>
        <w:t>shall mean the Company, Related Corporation or Affiliate with which the Participant has an employment or service relationship.</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1.10</w:t>
      </w:r>
      <w:r>
        <w:rPr>
          <w:color w:val="000000"/>
        </w:rPr>
        <w:t>“</w:t>
      </w:r>
      <w:r>
        <w:rPr>
          <w:rFonts w:ascii="Times New Roman;serif" w:hAnsi="Times New Roman;serif"/>
          <w:b/>
          <w:color w:val="000000"/>
          <w:sz w:val="24"/>
        </w:rPr>
        <w:t xml:space="preserve">Termination Date” </w:t>
      </w:r>
      <w:r>
        <w:rPr>
          <w:rFonts w:ascii="Times New Roman;serif" w:hAnsi="Times New Roman;serif"/>
          <w:b w:val="false"/>
          <w:color w:val="000000"/>
          <w:sz w:val="24"/>
        </w:rPr>
        <w:t>shall mean the date the Participant is no longer actively providing services to the Company, a Related Corporation or Affiliate (regardless of the reason for such termination and whether or not later found to be invalid or in breach of applicable laws in the jurisdiction where the Participant is employed or rendering services or the terms of the Participant’s employment or service agreement, if any) and, unless otherwise expressly provided for in this Award Agreement or determined by the Company, will not be extended by any notice period (e.g., the Participant’s period of employment or service will not include any contractual notice period ). The Committee shall have the exclusive discretion to determine when the Participant’s service is terminated for purposes of this Award of RSUs (including when the Participant is no longer considered to be providing service while on a leave of absence).</w:t>
      </w:r>
    </w:p>
    <w:p>
      <w:pPr>
        <w:pStyle w:val="TextBody"/>
        <w:bidi w:val="0"/>
        <w:spacing w:lineRule="auto" w:line="240" w:before="0" w:after="240"/>
        <w:jc w:val="center"/>
        <w:rPr/>
      </w:pPr>
      <w:r>
        <w:rPr>
          <w:rFonts w:ascii="Times New Roman;serif" w:hAnsi="Times New Roman;serif"/>
          <w:b/>
          <w:color w:val="000000"/>
          <w:sz w:val="24"/>
        </w:rPr>
        <w:t>ARTICLE II.</w:t>
      </w:r>
      <w:r>
        <w:rPr>
          <w:rFonts w:ascii="Times New Roman;serif" w:hAnsi="Times New Roman;serif"/>
          <w:b/>
          <w:color w:val="000000"/>
          <w:sz w:val="24"/>
        </w:rPr>
        <w:br/>
      </w:r>
      <w:r>
        <w:rPr>
          <w:rFonts w:ascii="Times New Roman;serif" w:hAnsi="Times New Roman;serif"/>
          <w:b/>
          <w:color w:val="000000"/>
          <w:sz w:val="24"/>
          <w:u w:val="single"/>
        </w:rPr>
        <w:t>GRANT OF RESTRICTED STOCK UNITS AND ISSUANCE OF SHARES</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2.1</w:t>
      </w:r>
      <w:r>
        <w:rPr>
          <w:rFonts w:ascii="Times New Roman;serif" w:hAnsi="Times New Roman;serif"/>
          <w:b/>
          <w:color w:val="000000"/>
          <w:sz w:val="24"/>
        </w:rPr>
        <w:t xml:space="preserve">Grant of RSUs. </w:t>
      </w:r>
      <w:r>
        <w:rPr>
          <w:rFonts w:ascii="Times New Roman;serif" w:hAnsi="Times New Roman;serif"/>
          <w:b w:val="false"/>
          <w:color w:val="000000"/>
          <w:sz w:val="24"/>
        </w:rPr>
        <w:t>The Company hereby grants [               ] RSUs to the Participant as of the Award Date, in accordance with and subject to the terms, conditions and restrictions of this Award Agreement and the Plan. RSUs shall be credited to an account maintained for the Participant on the books of the Company, as of the Award Date.</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2.2</w:t>
      </w:r>
      <w:r>
        <w:rPr>
          <w:rFonts w:ascii="Times New Roman;serif" w:hAnsi="Times New Roman;serif"/>
          <w:b/>
          <w:color w:val="000000"/>
          <w:sz w:val="24"/>
        </w:rPr>
        <w:t xml:space="preserve">Vesting of RSUs. </w:t>
      </w:r>
      <w:r>
        <w:rPr>
          <w:rFonts w:ascii="Times New Roman;serif" w:hAnsi="Times New Roman;serif"/>
          <w:b w:val="false"/>
          <w:color w:val="000000"/>
          <w:sz w:val="24"/>
        </w:rPr>
        <w:t>Subject to the terms and conditions of this Award Agreement and the Plan,  33.3% of the RSUs awarded hereunder shall vest on each of the first anniversary of the “Effective Date” (as defined in the Employment Agreement) and 66.7% shall vest in 24 monthly installments commencing on the first day of the month following the one-year anniversary of the Effective Date (each such date a “</w:t>
      </w:r>
      <w:r>
        <w:rPr>
          <w:rFonts w:ascii="Times New Roman;serif" w:hAnsi="Times New Roman;serif"/>
          <w:b/>
          <w:color w:val="000000"/>
          <w:sz w:val="24"/>
        </w:rPr>
        <w:t>Vesting Date</w:t>
      </w:r>
      <w:r>
        <w:rPr>
          <w:color w:val="000000"/>
        </w:rPr>
        <w:t>”</w:t>
      </w:r>
      <w:r>
        <w:rPr>
          <w:rFonts w:ascii="Times New Roman;serif" w:hAnsi="Times New Roman;serif"/>
          <w:b w:val="false"/>
          <w:color w:val="000000"/>
          <w:sz w:val="24"/>
        </w:rPr>
        <w:t>), provided the Participant remains employed or in the service of the Company and/or any Related Corporation through the applicable Vesting Date.</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2.3</w:t>
      </w:r>
      <w:r>
        <w:rPr>
          <w:rFonts w:ascii="Times New Roman;serif" w:hAnsi="Times New Roman;serif"/>
          <w:b/>
          <w:color w:val="000000"/>
          <w:sz w:val="24"/>
        </w:rPr>
        <w:t xml:space="preserve">Termination of Service (other than as set forth in Sections 2.4 and 2.5). </w:t>
      </w:r>
      <w:r>
        <w:rPr>
          <w:rFonts w:ascii="Times New Roman;serif" w:hAnsi="Times New Roman;serif"/>
          <w:b w:val="false"/>
          <w:color w:val="000000"/>
          <w:sz w:val="24"/>
        </w:rPr>
        <w:t xml:space="preserve">Upon the Participant’s termination of service prior to a Vesting Date, other than as set forth in Section 2.4 or Section 2.5 below, any RSUs granted to the Participant under this Award Agreement which have not yet vested on the Termination Date shall terminate without payment and shall be of no further force or effect from and after the Termination Date. </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2.4</w:t>
      </w:r>
      <w:r>
        <w:rPr>
          <w:rFonts w:ascii="Times New Roman;serif" w:hAnsi="Times New Roman;serif"/>
          <w:b/>
          <w:color w:val="000000"/>
          <w:sz w:val="24"/>
        </w:rPr>
        <w:t xml:space="preserve">Death, Disability or Retirement. </w:t>
      </w:r>
      <w:r>
        <w:rPr>
          <w:rFonts w:ascii="Times New Roman;serif" w:hAnsi="Times New Roman;serif"/>
          <w:b w:val="false"/>
          <w:color w:val="000000"/>
          <w:sz w:val="24"/>
        </w:rPr>
        <w:t>Notwithstanding Section 2.2,</w:t>
      </w:r>
      <w:r>
        <w:rPr>
          <w:color w:val="000000"/>
        </w:rPr>
        <w:t xml:space="preserve"> </w:t>
      </w:r>
      <w:r>
        <w:rPr>
          <w:rFonts w:ascii="Times New Roman;serif" w:hAnsi="Times New Roman;serif"/>
          <w:b w:val="false"/>
          <w:color w:val="000000"/>
          <w:sz w:val="24"/>
        </w:rPr>
        <w:t>if the Participant terminates employment with the Company due to death, “Disability” (as defined in the Employment Agreement) or “Retirement” (as defined in the Employment Agreement), all unvested RSUs held by the Participant immediately prior to such termination of employment shall thereupon become fully vested and all forfeiture restrictions thereupon shall lapse.</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2.5</w:t>
      </w:r>
      <w:r>
        <w:rPr>
          <w:rFonts w:ascii="Times New Roman;serif" w:hAnsi="Times New Roman;serif"/>
          <w:b/>
          <w:color w:val="000000"/>
          <w:sz w:val="24"/>
        </w:rPr>
        <w:t>Involuntary Termination.</w:t>
      </w:r>
      <w:r>
        <w:rPr>
          <w:color w:val="000000"/>
        </w:rPr>
        <w:t xml:space="preserve"> </w:t>
      </w:r>
      <w:r>
        <w:rPr>
          <w:rFonts w:ascii="Times New Roman;serif" w:hAnsi="Times New Roman;serif"/>
          <w:b w:val="false"/>
          <w:color w:val="000000"/>
          <w:sz w:val="24"/>
        </w:rPr>
        <w:t xml:space="preserve">In the event that the Participant’s employment with the Company terminates under any of the circumstances set forth in Section 13(b) or (c) of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Employment Agreement, which for the avoidance of doubt is an involuntary termination without Cause, a resignation for “Good Reason” (as defined in the Employment Agreement), whether before, on or after a “Change in Control” (as defined in the Employment Agreement), subject to the Participant’s execution of a “Release” (as defined in the Employment Agreement) in the manner set forth in the Employment Agreement, all unvested RSUs held by the Participant immediately prior to such termination of employment shall thereupon become fully vested and all forfeiture restrictions shall thereupon lapse.</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2.6</w:t>
      </w:r>
      <w:r>
        <w:rPr>
          <w:rFonts w:ascii="Times New Roman;serif" w:hAnsi="Times New Roman;serif"/>
          <w:b/>
          <w:color w:val="000000"/>
          <w:sz w:val="24"/>
        </w:rPr>
        <w:t xml:space="preserve">Acceleration of Vesting. </w:t>
      </w:r>
      <w:r>
        <w:rPr>
          <w:rFonts w:ascii="Times New Roman;serif" w:hAnsi="Times New Roman;serif"/>
          <w:b w:val="false"/>
          <w:color w:val="000000"/>
          <w:sz w:val="24"/>
        </w:rPr>
        <w:t>Notwithstanding the provisions of Sections 2.2, 2.3, 2.4, and 2.5, the Compensation Committee of the Company (the “</w:t>
      </w:r>
      <w:r>
        <w:rPr>
          <w:rFonts w:ascii="Times New Roman;serif" w:hAnsi="Times New Roman;serif"/>
          <w:b/>
          <w:color w:val="000000"/>
          <w:sz w:val="24"/>
        </w:rPr>
        <w:t>Committee</w:t>
      </w:r>
      <w:r>
        <w:rPr>
          <w:color w:val="000000"/>
        </w:rPr>
        <w:t>”</w:t>
      </w:r>
      <w:r>
        <w:rPr>
          <w:rFonts w:ascii="Times New Roman;serif" w:hAnsi="Times New Roman;serif"/>
          <w:b w:val="false"/>
          <w:color w:val="000000"/>
          <w:sz w:val="24"/>
        </w:rPr>
        <w:t>) may, in its sole discretion, at any time prior to or following the events contemplated in such Sections, permit the vesting of any or all RSUs held by the Participant and the issuance of Shares in respect of such RSUs in the manner and on the terms authorized by the Committee, provided that the Committee will not, in any case, authorize the vesting of an RSU or the issuance of a Share pursuant to this Section beyond the Vesting Date.</w:t>
      </w:r>
      <w:r>
        <w:rPr>
          <w:color w:val="000000"/>
        </w:rPr>
        <w:t xml:space="preserve"> </w:t>
      </w:r>
      <w:r>
        <w:rPr>
          <w:rFonts w:ascii="Times New Roman;serif" w:hAnsi="Times New Roman;serif"/>
          <w:b w:val="false"/>
          <w:color w:val="000000"/>
          <w:sz w:val="24"/>
        </w:rPr>
        <w:t>If so accelerated, such RSUs will be considered as having vested as of the date specified by the Committee. The payment of Shares upon vesting pursuant to this Section 2.6 shall in all cases be paid at a time or in a manner that is exempt from, or complies with, Section 409A of the Code and the regulations promulgated thereunder (“</w:t>
      </w:r>
      <w:r>
        <w:rPr>
          <w:rFonts w:ascii="Times New Roman;serif" w:hAnsi="Times New Roman;serif"/>
          <w:b/>
          <w:color w:val="000000"/>
          <w:sz w:val="24"/>
        </w:rPr>
        <w:t>Section 409A</w:t>
      </w:r>
      <w:r>
        <w:rPr>
          <w:color w:val="000000"/>
        </w:rPr>
        <w:t>”</w:t>
      </w:r>
      <w:r>
        <w:rPr>
          <w:rFonts w:ascii="Times New Roman;serif" w:hAnsi="Times New Roman;serif"/>
          <w:b w:val="false"/>
          <w:color w:val="000000"/>
          <w:sz w:val="24"/>
        </w:rPr>
        <w:t>). The prior sentence may be superseded in a future agreement or amendment to this Award Agreement only by direct and specific reference to such sentence. Notwithstanding anything in the Plan or this Award Agreement or any other agreement (whether entered into before, on or after the Award Date), if the vesting of the balance, or some lesser portion of the balance, of the RSUs is accelerated in connection with the Participant’s termination of service (provided that such termination is a “separation from service” within the meaning of Section 409A, as determined by the Company), other than due to the Participant’s death, and if (x) the Participant is a “specified employee” within the meaning of Section 409A at the time of such termination of service and (y) the payment of such accelerated RSUs will result in the imposition of additional tax under Section 409A if paid to the Participant on or within the six (6) month period following the Participant’s termination of service, then the payment of such accelerated RSUs will not be made until the date six (6) months and one (1) day following the date of Participant’s termination of service, unless the Participant dies following his or her termination of service, in which case, the RSUs will be paid in Shares to the Participant’s estate as soon as practicable following his or her death.</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2.7</w:t>
      </w:r>
      <w:r>
        <w:rPr>
          <w:rFonts w:ascii="Times New Roman;serif" w:hAnsi="Times New Roman;serif"/>
          <w:b/>
          <w:color w:val="000000"/>
          <w:sz w:val="24"/>
        </w:rPr>
        <w:t xml:space="preserve">Settlement. </w:t>
      </w:r>
      <w:r>
        <w:rPr>
          <w:rFonts w:ascii="Times New Roman;serif" w:hAnsi="Times New Roman;serif"/>
          <w:b w:val="false"/>
          <w:color w:val="000000"/>
          <w:sz w:val="24"/>
        </w:rPr>
        <w:t>On or as soon as administratively practicable (and any event within 30 days) following each Vesting Date, the Company shall cause to be issued to the Participant Shares with respect to the RSUs that become vested on such Vesting Date or sooner pursuant to Section 2.4, 2.5 or 2.6.</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2.8</w:t>
      </w:r>
      <w:r>
        <w:rPr>
          <w:rFonts w:ascii="Times New Roman;serif" w:hAnsi="Times New Roman;serif"/>
          <w:b/>
          <w:color w:val="000000"/>
          <w:sz w:val="24"/>
        </w:rPr>
        <w:t xml:space="preserve">Fractions. </w:t>
      </w:r>
      <w:r>
        <w:rPr>
          <w:rFonts w:ascii="Times New Roman;serif" w:hAnsi="Times New Roman;serif"/>
          <w:b w:val="false"/>
          <w:color w:val="000000"/>
          <w:sz w:val="24"/>
        </w:rPr>
        <w:t>No fractional Share will be issued pursuant to an award granted hereunder. The number of Shares issuable to the Participant upon payment of any award granted under this Award Agreement will be rounded down to the nearest whole number of Share. No payment or other adjustment will be made with respect to the fractional Share so disregarded.</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2.9</w:t>
      </w:r>
      <w:r>
        <w:rPr>
          <w:rFonts w:ascii="Times New Roman;serif" w:hAnsi="Times New Roman;serif"/>
          <w:b/>
          <w:color w:val="000000"/>
          <w:sz w:val="24"/>
        </w:rPr>
        <w:t xml:space="preserve">Section 409A. </w:t>
      </w:r>
      <w:r>
        <w:rPr>
          <w:rFonts w:ascii="Times New Roman;serif" w:hAnsi="Times New Roman;serif"/>
          <w:b w:val="false"/>
          <w:color w:val="000000"/>
          <w:sz w:val="24"/>
        </w:rPr>
        <w:t xml:space="preserve">It is the intent of this Award Agreement and the Plan that this Award Agreement and the Plan and all payments and benefits to U.S. taxpayers thereunder be exempt from, or comply with, the requirements of Section 409A so that none of the RSUs provided under this Award Agreement or Shares issuable thereunder will be subject to the additional tax imposed under Section 409A, and any ambiguities herein will be interpreted in accordance with such intention. Each payment payable under this Award Agreement is intended to constitute a separate payment for purposes of Section 409A. However, in no event will the Company reimburse the Participant, or be otherwise responsible for, any taxes or costs that may be imposed on the Participant as a result of Section 409A. To the extent that any provision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Award Agreement or the Plan would cause a conflict with the requirements of Section 409A of the Code or would cause the administration of the Award Agreement to fail to satisfy the requirements of Section 409A, such provision shall be deemed null and void to the extent permitted by applicable law.</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2.10</w:t>
      </w:r>
      <w:r>
        <w:rPr>
          <w:rFonts w:ascii="Times New Roman;serif" w:hAnsi="Times New Roman;serif"/>
          <w:b/>
          <w:color w:val="000000"/>
          <w:sz w:val="24"/>
        </w:rPr>
        <w:t xml:space="preserve">Adjustments to Restricted Stock Units. </w:t>
      </w:r>
      <w:r>
        <w:rPr>
          <w:rFonts w:ascii="Times New Roman;serif" w:hAnsi="Times New Roman;serif"/>
          <w:b w:val="false"/>
          <w:color w:val="000000"/>
          <w:sz w:val="24"/>
        </w:rPr>
        <w:t>In the event of any subdivision, consolidation, stock dividend, capital reorganization, reclassification, exchange, or other change with respect to the Shares, or a consolidation, amalgamation, merger, spin-off, sale, lease or exchange of all or substantially all of the property of the Company or other distribution of the Company's assets to stockholders (other than the payment of ordinary cash dividends), the account of the Participant and the RSUs held by the Participant shall be adjusted in such manner, if any, as the Committee may in its discretion deem appropriate to preserve, proportionally, the interests of the Participant under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2.11</w:t>
      </w:r>
      <w:r>
        <w:rPr>
          <w:rFonts w:ascii="Times New Roman;serif" w:hAnsi="Times New Roman;serif"/>
          <w:b/>
          <w:color w:val="000000"/>
          <w:sz w:val="24"/>
        </w:rPr>
        <w:t xml:space="preserve">Restrictive Covenants. </w:t>
      </w:r>
      <w:r>
        <w:rPr>
          <w:rFonts w:ascii="Times New Roman;serif" w:hAnsi="Times New Roman;serif"/>
          <w:b w:val="false"/>
          <w:color w:val="000000"/>
          <w:sz w:val="24"/>
        </w:rPr>
        <w:t>As a condition precedent to the grant of the RSUs, the Participant hereby agrees to be subject to the confidentiality, inventions assignment, non-competition and other restrictive covenants set forth in the Covenants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2.12</w:t>
      </w:r>
      <w:r>
        <w:rPr>
          <w:rFonts w:ascii="Times New Roman;serif" w:hAnsi="Times New Roman;serif"/>
          <w:b/>
          <w:color w:val="000000"/>
          <w:sz w:val="24"/>
        </w:rPr>
        <w:t xml:space="preserve">Forfeiture/Clawback. </w:t>
      </w:r>
      <w:r>
        <w:rPr>
          <w:rFonts w:ascii="Times New Roman;serif" w:hAnsi="Times New Roman;serif"/>
          <w:b w:val="false"/>
          <w:color w:val="000000"/>
          <w:sz w:val="24"/>
        </w:rPr>
        <w:t>Notwithstanding anything contained in the Plan or the Award Agreement to the contrary, the RSUs shall be subject to the provisions of any clawback, repayment, recapture or recoupment policy implemented by the Company, including any such policy(ies) adopted to comply with applicable law (including without limitation the Dodd-Frank Wall Street Reform and Consumer Protection Act and Section 10D of the Securities Exchange Act of 1934, as amended), governmental regulation or securities exchange listing standards and any rules or regulations promulgated thereunder, to the extent set forth in such policy and/or in any notice or agreement relating to the RSUs under the Plan. The Company may reduce, cancel, or withhold against the RSUs or any other outstanding unvested or vested cash or equity based compensation owed or due to the Participant, in each case, to the fullest extent permitted by applicable law in order to enforce the terms of any such clawback policy(ies).</w:t>
      </w:r>
    </w:p>
    <w:p>
      <w:pPr>
        <w:pStyle w:val="TextBody"/>
        <w:bidi w:val="0"/>
        <w:spacing w:lineRule="auto" w:line="240" w:before="0" w:after="240"/>
        <w:jc w:val="center"/>
        <w:rPr/>
      </w:pPr>
      <w:r>
        <w:rPr>
          <w:rFonts w:ascii="Times New Roman;serif" w:hAnsi="Times New Roman;serif"/>
          <w:b/>
          <w:color w:val="000000"/>
          <w:sz w:val="24"/>
        </w:rPr>
        <w:t>ARTICLE III.</w:t>
      </w:r>
      <w:r>
        <w:rPr>
          <w:rFonts w:ascii="Times New Roman;serif" w:hAnsi="Times New Roman;serif"/>
          <w:b/>
          <w:color w:val="000000"/>
          <w:sz w:val="24"/>
        </w:rPr>
        <w:br/>
      </w:r>
      <w:r>
        <w:rPr>
          <w:rFonts w:ascii="Times New Roman;serif" w:hAnsi="Times New Roman;serif"/>
          <w:b/>
          <w:color w:val="000000"/>
          <w:sz w:val="24"/>
          <w:u w:val="single"/>
        </w:rPr>
        <w:t>ADDITIONAL TERMS AND CONDITIONS</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3.1</w:t>
      </w:r>
      <w:r>
        <w:rPr>
          <w:rFonts w:ascii="Times New Roman;serif" w:hAnsi="Times New Roman;serif"/>
          <w:b/>
          <w:color w:val="000000"/>
          <w:sz w:val="24"/>
        </w:rPr>
        <w:t>Status of Plan.</w:t>
      </w:r>
      <w:r>
        <w:rPr>
          <w:color w:val="000000"/>
        </w:rPr>
        <w:t xml:space="preserve"> </w:t>
      </w:r>
      <w:r>
        <w:rPr>
          <w:rFonts w:ascii="Times New Roman;serif" w:hAnsi="Times New Roman;serif"/>
          <w:b w:val="false"/>
          <w:color w:val="000000"/>
          <w:sz w:val="24"/>
        </w:rPr>
        <w:t>The terms of the Plan are incorporated by reference into, and made part of, this Award Agreement. In the event of a conflict between the Plan and this Award Agreement, the terms of the Plan shall govern.</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3.2</w:t>
      </w:r>
      <w:r>
        <w:rPr>
          <w:rFonts w:ascii="Times New Roman;serif" w:hAnsi="Times New Roman;serif"/>
          <w:b/>
          <w:color w:val="000000"/>
          <w:sz w:val="24"/>
        </w:rPr>
        <w:t xml:space="preserve">Committee’s Authority. </w:t>
      </w:r>
      <w:r>
        <w:rPr>
          <w:rFonts w:ascii="Times New Roman;serif" w:hAnsi="Times New Roman;serif"/>
          <w:b w:val="false"/>
          <w:color w:val="000000"/>
          <w:sz w:val="24"/>
        </w:rPr>
        <w:t xml:space="preserve">The Committee shall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Participant, the Company and all other interested persons. The Committee shall not be personally liable for any action, determination or interpretation made in good faith with respect to the Plan or this Award Agreement. The Committee shall, in its absolute discretion, determine when such conditions have been fulfilled. </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3.3</w:t>
      </w:r>
      <w:r>
        <w:rPr>
          <w:rFonts w:ascii="Times New Roman;serif" w:hAnsi="Times New Roman;serif"/>
          <w:b/>
          <w:color w:val="000000"/>
          <w:sz w:val="24"/>
        </w:rPr>
        <w:t>Nature of Grant</w:t>
      </w:r>
      <w:r>
        <w:rPr>
          <w:rFonts w:ascii="Times New Roman;serif" w:hAnsi="Times New Roman;serif"/>
          <w:b w:val="false"/>
          <w:color w:val="000000"/>
          <w:sz w:val="24"/>
        </w:rPr>
        <w:t>. By accepting the grant of the RSUs, the Participant acknowledges, understands and agrees that, except as does not conflict with the Employment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the Plan is established voluntarily by the Company, is discretionary in nature and may be modified, amended, suspended or terminated by the Company at any time to the extent permitted in the Plan;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the grant of the RSUs is exceptional voluntary and occasional and does not create any contractual or other right to receive future grants of RSUs or benefits in lieu of RSUs, even if RSUs have been awarded in the past;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all decisions with respect to future grants of RSUs, if any, will be at the sole discretion of the Company;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the Participant is voluntarily participating in the Plan;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in consideration of an in exchange for the issuance of the RSUs pursuant to this Award Agreement and other good and valuable consideration as set forth herein, the receipt and sufficiency of which are hereby acknowledged by the Participant, the Participant shall be bound by the Covenants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rPr>
        <w:t>except to the extent explicitly and minimally required under applicable legislation, no Affiliate or Related Corporation (including, but not limited to, the Service Recipient) has any obligation to make any payment of any kind to the Participant under this Award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rPr>
        <w:t>the grant of the RSUs and any Shares subject to the RSUs, and the income from and value of same, are not intended to replace any pension rights or compensation;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(viii)</w:t>
      </w:r>
      <w:r>
        <w:rPr>
          <w:rFonts w:ascii="Times New Roman;serif" w:hAnsi="Times New Roman;serif"/>
          <w:b w:val="false"/>
          <w:color w:val="000000"/>
          <w:sz w:val="24"/>
        </w:rPr>
        <w:t>unless otherwise agreed with the Company in writing, the RSUs and the Shares subject to the RSUs, and the income from and value of same, are not granted as consideration for, or in connection with, any service the Participant may provide as a director of a Related Corporation or an Affiliate;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(ix)</w:t>
      </w:r>
      <w:r>
        <w:rPr>
          <w:rFonts w:ascii="Times New Roman;serif" w:hAnsi="Times New Roman;serif"/>
          <w:b w:val="false"/>
          <w:color w:val="000000"/>
          <w:sz w:val="24"/>
        </w:rPr>
        <w:t>except to the extent explicitly and minimally required under applicable legislation, the award of the RSUs and the Shares subject to the RSUs, and the income from and value of same are not part of normal or expected compensation or salary for any purposes, including, but not limited to, calculating any severance, resignation, termination, end of service payments, bonuses, retirement or welfare benefits or similar payments and in no event should be considered as compensation for, or relating in any way to, past services for the Company or any Related Corporation or Affiliate;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rPr>
        <w:t xml:space="preserve">the future value of the Shares underlying the RSUs is unknown, indeterminable and cannot be predicted with certainty;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w:t>
      </w:r>
      <w:r>
        <w:rPr>
          <w:rFonts w:ascii="Times New Roman;serif" w:hAnsi="Times New Roman;serif"/>
          <w:b w:val="false"/>
          <w:color w:val="000000"/>
          <w:sz w:val="24"/>
        </w:rPr>
        <w:t>except to the extent explicitly and minimally required under applicable legislation, no claim or entitlement to compensation or damages shall arise from forfeiture of the RSUs resulting from the Participant’s termination of employment, or other service relationship (for any reason whatsoever and whether or not later found to be invalid or in breach of employment laws in the jurisdiction where the Participant is employed or the terms of the Participant’s employment agreement, if any);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(xii)</w:t>
      </w:r>
      <w:r>
        <w:rPr>
          <w:rFonts w:ascii="Times New Roman;serif" w:hAnsi="Times New Roman;serif"/>
          <w:b w:val="false"/>
          <w:color w:val="000000"/>
          <w:sz w:val="24"/>
        </w:rPr>
        <w:t>the Company is not providing any tax, legal or financial advice, nor is the Company making any recommendations regarding the Participant’s participation in the Plan or sale of the Shares acquired upon vesting and settlement of the RSUs. The Participant should consult with his or her own personal tax, legal and financial advisors regarding his or her participation in the Plan before taking any action related to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3.4</w:t>
      </w:r>
      <w:r>
        <w:rPr>
          <w:rFonts w:ascii="Times New Roman;serif" w:hAnsi="Times New Roman;serif"/>
          <w:b/>
          <w:color w:val="000000"/>
          <w:sz w:val="24"/>
        </w:rPr>
        <w:t xml:space="preserve">Responsibility for Taxes.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Participant acknowledges that, regardless of any action taken by the Company or, if different, the Service Recipient, the ultimate liability for all income tax, social insurance, payroll tax, fringe benefits tax, payment on account, and other tax-related items related to the Participant’s participation in the Plan and legally applicable to the Participant or deemed applicable to the Participant (“</w:t>
      </w:r>
      <w:r>
        <w:rPr>
          <w:rFonts w:ascii="Times New Roman;serif" w:hAnsi="Times New Roman;serif"/>
          <w:b/>
          <w:color w:val="000000"/>
          <w:sz w:val="24"/>
        </w:rPr>
        <w:t>Tax-Related Items</w:t>
      </w:r>
      <w:r>
        <w:rPr>
          <w:color w:val="000000"/>
        </w:rPr>
        <w:t>”</w:t>
      </w:r>
      <w:r>
        <w:rPr>
          <w:rFonts w:ascii="Times New Roman;serif" w:hAnsi="Times New Roman;serif"/>
          <w:b w:val="false"/>
          <w:color w:val="000000"/>
          <w:sz w:val="24"/>
        </w:rPr>
        <w:t xml:space="preserve">) is and remains Participant’s responsibility and may exceed the amount, if any, actually withheld by the Company or the Service Recipient. The Participant further acknowledges that the Company and/or the Service Recipient (i) make no representations or undertakings regarding the treatment of any Tax-Related Items in connection with any aspect of the RSUs or the underlying Shares, including, but not limited to, the grant, vesting or settlement of the RSUs, the subsequent sale of Shares acquired pursuant to such settlement and the receipt of any dividends or other distributions paid on the Shares, and (ii) do not commit to and are under no obligation to structure the terms of the grant or any aspect of the RSUs to reduce or eliminate the Participant’s liability for Tax-Related Items or achieve any particular tax result. Further, if the Participant is subject to Tax-Related Items in more than one jurisdiction, the Participant acknowledges that the Company and/or the Service Recipient (or former service recipient, as applicable) may be required to withhold or account for Tax-Related Items in more than one jurisdiction.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xml:space="preserve">. Prior to any relevant taxable or tax withholding event, as applicable, the Participant agrees to make arrangements satisfactory to the Company and the Service Recipient to satisfy any applicable withholding obligations the Company or the Service Recipient may have for Tax-Related Items. In this regard, the Participant authorizes the Company and the Service Recipient, as applicable, and their respective agents to satisfy any applicable withholding obligation for Tax-Related Items by one or a combination of the following, as directed by the Participant: </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withholding from wages or other cash compensation payable to the Participant by the Company or any Service Recipient; </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by the Participant tendering a cash payment or making a payment in a form acceptable to the Company or the Service Recipient; </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withholding from proceeds of the sale of Shares to be issued upon vesting of the RSUs either through a voluntary sale or through a mandatory sale arranged by the Company (on the Participant’s behalf pursuant to this authorization without further consent);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withholding in Shares to be issued upon vesting of the RSUs (in which case the Participant will be deemed to have been issued the full number of Shares subject to the vested portion of the RSUs, notwithstanding that a number of the Shares are held back solely for the purpose of paying the Tax-Related Items);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any other method acceptable to the Company and to the extent required under the Plan and applicable laws, approved by the Committee. </w:t>
      </w:r>
    </w:p>
    <w:p>
      <w:pPr>
        <w:pStyle w:val="TextBody"/>
        <w:bidi w:val="0"/>
        <w:spacing w:lineRule="auto" w:line="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and/or the Service Recipient may withhold or account for Tax-Related Items by considering statutory withholding rates or other applicable withholding rates, including minimum or maximum rates applicable in the Participant’s jurisdiction(s). In the event of over-withholding or if the maximum applicable rate for the Participant’s jurisdiction is used in connection with the withholding methods described in (c) or (d) above, the Participant may receive a refund of any over-withheld amount in cash (with no entitlement to the equivalent amount in Shares), or if not refunded, the Participant may be able to seek a refund from the applicable tax authorities. In the event of under-withholding, the Participant may be required to pay additional Tax-Related Items directly to the applicable tax authorities or to the Company and/or the Service Recipient. If any applicable withholding obligation for Tax-Related Items is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satisfied by withholding in Shares, for tax purposes, the Participant will be deemed to have been issued the full number of Shares subject to the vested RSUs, notwithstanding that a number of the Shares is held back solely for the purpose of paying the Tax-Related Items. The Participant agrees to pay to the Company or the Service Recipient any amount of Tax-Related Items that the Company or the Service Recipient may be required to withhold or account for as a result of the Participant’s participation in the Plan that cannot be satisfied by the means previously described. The Company may refuse to deliver the Shares or the proceeds of the sale of Shares, if the Participant fails to comply with the Participant’s obligations for Tax-Related Items.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Tax Consequences</w:t>
      </w:r>
      <w:r>
        <w:rPr>
          <w:rFonts w:ascii="Times New Roman;serif" w:hAnsi="Times New Roman;serif"/>
          <w:b w:val="false"/>
          <w:color w:val="000000"/>
          <w:sz w:val="24"/>
        </w:rPr>
        <w:t>. The Participant has reviewed with his or her own tax advisors the applicable tax consequences of this investment and the transactions contemplated by this Award Agreement. With respect to such matters, the Participant relies solely on such advisors and not on any statements or representations of the Company or any of its agents, written or oral.</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3.5</w:t>
      </w:r>
      <w:r>
        <w:rPr>
          <w:rFonts w:ascii="Times New Roman;serif" w:hAnsi="Times New Roman;serif"/>
          <w:b/>
          <w:color w:val="000000"/>
          <w:sz w:val="24"/>
        </w:rPr>
        <w:t xml:space="preserve">Restricted Stock Units Non-Transferable. </w:t>
      </w:r>
      <w:r>
        <w:rPr>
          <w:rFonts w:ascii="Times New Roman;serif" w:hAnsi="Times New Roman;serif"/>
          <w:b w:val="false"/>
          <w:color w:val="000000"/>
          <w:sz w:val="24"/>
        </w:rPr>
        <w:t>Except to the limited extent provided in Section 2,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3.6</w:t>
      </w:r>
      <w:r>
        <w:rPr>
          <w:rFonts w:ascii="Times New Roman;serif" w:hAnsi="Times New Roman;serif"/>
          <w:b/>
          <w:color w:val="000000"/>
          <w:sz w:val="24"/>
        </w:rPr>
        <w:t xml:space="preserve">Unfunded and Unsecured Plan. </w:t>
      </w:r>
      <w:r>
        <w:rPr>
          <w:rFonts w:ascii="Times New Roman;serif" w:hAnsi="Times New Roman;serif"/>
          <w:b w:val="false"/>
          <w:color w:val="000000"/>
          <w:sz w:val="24"/>
        </w:rPr>
        <w:t>The Participant acknowledges that the Plan is unfunded and the Company’s obligations under the Plan and this Award Agreement are unsecured and that, to the extent the Participant or his or her estate holds any rights by virtue of a grant of RSUs, such rights shall be no greater than the rights of an unsecured creditor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3.7</w:t>
      </w:r>
      <w:r>
        <w:rPr>
          <w:rFonts w:ascii="Times New Roman;serif" w:hAnsi="Times New Roman;serif"/>
          <w:b/>
          <w:color w:val="000000"/>
          <w:sz w:val="24"/>
        </w:rPr>
        <w:t xml:space="preserve">No Stockholder Rights. </w:t>
      </w:r>
      <w:r>
        <w:rPr>
          <w:rFonts w:ascii="Times New Roman;serif" w:hAnsi="Times New Roman;serif"/>
          <w:b w:val="false"/>
          <w:color w:val="000000"/>
          <w:sz w:val="24"/>
        </w:rPr>
        <w:t xml:space="preserve">Under no circumstances shall RSUs be considered Shares or other securities of the Company, nor shall they entitle the Participant to exercise voting rights, to receive dividends or other distributions or credit therefor, or to exercise or receive any other rights attaching to the ownership of Shares or other securities of the Company, nor shall the Participant be considered the owner of Shares by virtue of the award of RSUs. </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3.8</w:t>
      </w:r>
      <w:r>
        <w:rPr>
          <w:rFonts w:ascii="Times New Roman;serif" w:hAnsi="Times New Roman;serif"/>
          <w:b/>
          <w:color w:val="000000"/>
          <w:sz w:val="24"/>
        </w:rPr>
        <w:t>No Guarantee of Continued Employment.</w:t>
      </w:r>
      <w:r>
        <w:rPr>
          <w:color w:val="000000"/>
        </w:rPr>
        <w:t xml:space="preserve"> </w:t>
      </w:r>
      <w:r>
        <w:rPr>
          <w:rFonts w:ascii="Times New Roman;serif" w:hAnsi="Times New Roman;serif"/>
          <w:b/>
          <w:color w:val="000000"/>
          <w:sz w:val="24"/>
        </w:rPr>
        <w:t>THE</w:t>
      </w:r>
      <w:r>
        <w:rPr>
          <w:color w:val="000000"/>
        </w:rPr>
        <w:t xml:space="preserve"> </w:t>
      </w:r>
      <w:r>
        <w:rPr>
          <w:rFonts w:ascii="Times New Roman;serif" w:hAnsi="Times New Roman;serif"/>
          <w:b/>
          <w:color w:val="000000"/>
          <w:sz w:val="24"/>
        </w:rPr>
        <w:t>PARTICIPANT ACKNOWLEDGES AND AGREES THAT THE VESTING OF THE RESTRICTED STOCK UNITS PURSUANT TO THE VESTING SCHEDULE HEREOF IS EARNED ONLY BY CONTINUING AS AN EMPLOYEE OR SERVICE PROVIDER AT THE WILL OF THE COMPANY (OR, IF DIFFERENT, THE SERVICE RECIPIENT) AND NOT THROUGH THE ACT OF BEING HIRED, BEING GRANTED THIS AWARD OF RESTRICTED STOCK UNITS OR, AS APPLICABLE, ACQUIRING SHARES HEREUNDER. THE PARTICIPANT FURTHER ACKNOWLEDGES AND AGREES THAT THIS AWARD AGREEMENT, THE TRANSACTIONS CONTEMPLATED HEREUNDER AND THE VESTING SCHEDULE SET FORTH IN THE NOTICE OF GRANT OF AWARD DO NOT CONSTITUTE AN EXPRESS OR IMPLIED PROMISE OF CONTINUED ENGAGEMENT AS AN EMPLOYEE OR SERVICE PROVIDER FOR THE VESTING PERIOD, FOR ANY PERIOD, OR AT ALL, AND SHALL NOT INTERFERE IN ANY WAY WITH THE PARTICIPANT’S RIGHT OR THE RIGHT OF THE COMPANY (OR SUBSIDIARY EMPLOYING THE PARTICIPANT) TO TERMINATE THE PARTICIPANT’S EMPLOYMENT OR SERVICE RELATIONSHIP AT ANY TIME, WITH OR WITHOUT CAUSE.</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3.9</w:t>
      </w:r>
      <w:r>
        <w:rPr>
          <w:rFonts w:ascii="Times New Roman;serif" w:hAnsi="Times New Roman;serif"/>
          <w:b/>
          <w:color w:val="000000"/>
          <w:sz w:val="24"/>
        </w:rPr>
        <w:t xml:space="preserve">Notices. </w:t>
      </w:r>
      <w:r>
        <w:rPr>
          <w:rFonts w:ascii="Times New Roman;serif" w:hAnsi="Times New Roman;serif"/>
          <w:b w:val="false"/>
          <w:color w:val="000000"/>
          <w:sz w:val="24"/>
        </w:rPr>
        <w:t>Any notice to be given under the terms of this Award Agreement to the Company shall be addressed to the Company in care of its Secretary, and any notice to be given to the Participant shall be addressed to him at the address given beneath his signature hereto. By a notice given pursuant to this Section 3.9,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3.9. Any notice shall have been deemed duly given when enclosed in a properly sealed envelope or wrapper addressed as aforesaid, deposited (with postage prepaid) in a post office or branch post office regularly maintained by the U.S. Postal Service or</w:t>
      </w:r>
      <w:r>
        <w:rPr>
          <w:color w:val="000000"/>
        </w:rPr>
        <w:t xml:space="preserve"> </w:t>
      </w:r>
      <w:r>
        <w:rPr>
          <w:rFonts w:ascii="Times New Roman;serif" w:hAnsi="Times New Roman;serif"/>
          <w:b w:val="false"/>
          <w:color w:val="000000"/>
          <w:sz w:val="24"/>
        </w:rPr>
        <w:t>comparable foreign postal service.</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3.10</w:t>
      </w:r>
      <w:r>
        <w:rPr>
          <w:rFonts w:ascii="Times New Roman;serif" w:hAnsi="Times New Roman;serif"/>
          <w:b/>
          <w:color w:val="000000"/>
          <w:sz w:val="24"/>
        </w:rPr>
        <w:t xml:space="preserve">Compliance with Laws. </w:t>
      </w:r>
      <w:r>
        <w:rPr>
          <w:rFonts w:ascii="Times New Roman;serif" w:hAnsi="Times New Roman;serif"/>
          <w:b w:val="false"/>
          <w:color w:val="000000"/>
          <w:sz w:val="24"/>
        </w:rPr>
        <w:t>Notwithstanding any other provision of the Plan or this Award Agreement, unless there is an available exemption from any registration, qualification or other legal requirement applicable to the Shares, the Company shall not be required to permit the issuance and/or deliver any Shares prior to the completion of any registration or qualification of the Shares under any U.S. or non-U.S. local, state or federal securities or exchange control law or under rulings or regulations of the U.S. Securities and Exchange Commission (</w:t>
      </w:r>
      <w:r>
        <w:rPr>
          <w:color w:val="000000"/>
        </w:rPr>
        <w:t>“</w:t>
      </w:r>
      <w:r>
        <w:rPr>
          <w:rFonts w:ascii="Times New Roman;serif" w:hAnsi="Times New Roman;serif"/>
          <w:b/>
          <w:color w:val="000000"/>
          <w:sz w:val="24"/>
        </w:rPr>
        <w:t>SEC”</w:t>
      </w:r>
      <w:r>
        <w:rPr>
          <w:rFonts w:ascii="Times New Roman;serif" w:hAnsi="Times New Roman;serif"/>
          <w:b w:val="false"/>
          <w:color w:val="000000"/>
          <w:sz w:val="24"/>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subject to the RSUs. Further, the Participant agrees that the Company shall have unilateral authority to amend this Award Agreement without the Participant’s consent to the extent necessary to comply with securities or other laws applicable to issuance of the Shares subject to the RSUs.</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3.11</w:t>
      </w:r>
      <w:r>
        <w:rPr>
          <w:rFonts w:ascii="Times New Roman;serif" w:hAnsi="Times New Roman;serif"/>
          <w:b/>
          <w:color w:val="000000"/>
          <w:sz w:val="24"/>
        </w:rPr>
        <w:t xml:space="preserve">Modifications to the Award Agreement. </w:t>
      </w:r>
      <w:r>
        <w:rPr>
          <w:rFonts w:ascii="Times New Roman;serif" w:hAnsi="Times New Roman;serif"/>
          <w:b w:val="false"/>
          <w:color w:val="000000"/>
          <w:sz w:val="24"/>
        </w:rPr>
        <w:t>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the Participant, to comply with Section 409A of the Code or to otherwise avoid imposition of any additional tax or income recognition under Section 409A of the Code prior to the actual issuance of Shares pursuant to this award of RSUs.</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3.12</w:t>
      </w:r>
      <w:r>
        <w:rPr>
          <w:rFonts w:ascii="Times New Roman;serif" w:hAnsi="Times New Roman;serif"/>
          <w:b/>
          <w:color w:val="000000"/>
          <w:sz w:val="24"/>
        </w:rPr>
        <w:t xml:space="preserve">Amendment, Suspension or Termination of the Plan. </w:t>
      </w:r>
      <w:r>
        <w:rPr>
          <w:rFonts w:ascii="Times New Roman;serif" w:hAnsi="Times New Roman;serif"/>
          <w:b w:val="false"/>
          <w:color w:val="000000"/>
          <w:sz w:val="24"/>
        </w:rPr>
        <w:t>By accepting this Award Agreement or RSUs, the Participant expressly warrants that he or she has received an award of RSUs under the Plan, and has received, read and understood a description of the Plan. The Participant understands that the Plan is discretionary in nature and may be amended, suspended or terminated by the Company at any time.</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3.13</w:t>
      </w:r>
      <w:r>
        <w:rPr>
          <w:rFonts w:ascii="Times New Roman;serif" w:hAnsi="Times New Roman;serif"/>
          <w:b/>
          <w:color w:val="000000"/>
          <w:sz w:val="24"/>
        </w:rPr>
        <w:t xml:space="preserve">Governing Law and Venue. </w:t>
      </w:r>
      <w:r>
        <w:rPr>
          <w:rFonts w:ascii="Times New Roman;serif" w:hAnsi="Times New Roman;serif"/>
          <w:b w:val="false"/>
          <w:color w:val="000000"/>
          <w:sz w:val="24"/>
        </w:rPr>
        <w:t>The laws of the State of Delaware shall govern the interpretation, validity, administration, enforcement and performance of the terms of this Award Agreement regardless of the law that might be applied under principles of conflicts of laws. For purposes of litigating any dispute that arises under this grant or this Award Agreement, the parties hereby submit to and consent to the jurisdiction of the State of New Jersey and agree that such litigation shall be conducted in the state and/or federal courts located in New Jersey, where this grant is made and/or to be performed.</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3.14</w:t>
      </w:r>
      <w:r>
        <w:rPr>
          <w:rFonts w:ascii="Times New Roman;serif" w:hAnsi="Times New Roman;serif"/>
          <w:b/>
          <w:color w:val="000000"/>
          <w:sz w:val="24"/>
        </w:rPr>
        <w:t xml:space="preserve">Assignment. </w:t>
      </w:r>
      <w:r>
        <w:rPr>
          <w:rFonts w:ascii="Times New Roman;serif" w:hAnsi="Times New Roman;serif"/>
          <w:b w:val="false"/>
          <w:color w:val="000000"/>
          <w:sz w:val="24"/>
        </w:rPr>
        <w:t xml:space="preserve">Rights and obligations of the Company under this Award Agreement may be assigned by the Company to a successor in the business of the Company, any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company resulting from any amalgamation, reorganization, combination, merger or arrangement of the Company, or any company acquiring all or substantially all of the assets or business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3.15</w:t>
      </w:r>
      <w:r>
        <w:rPr>
          <w:rFonts w:ascii="Times New Roman;serif" w:hAnsi="Times New Roman;serif"/>
          <w:b/>
          <w:color w:val="000000"/>
          <w:sz w:val="24"/>
        </w:rPr>
        <w:t xml:space="preserve">Electronic Delivery and Acceptance. The Participant hereby consents to receive the Notice of Grant of Award and Award Agreement and any other documents related to this award or future awards by electronic delivery and to accept this or future awards through an on-line or electronic system established and maintained by the Company or another third-party designated by the Company. The Participant acknowledges that he/she has read, understands and agrees to the terms of the Notice of Grant of Award and Award Agreement. Further, if the Participant does not decline the Award by written notice to the Company no later than 60 days following the date of grant or such other date that may be communicated by the Company, the Company will automatically accept the Award, subject to all terms and conditions set forth in the Notice of Grant of Award and Award Agreement and the Plan, on the Participant’s behalf. If the Participant properly declines the Award, the Award will be cancelled and the Participant will not be entitled to any benefits from the Award nor any compensation or benefits in lieu of the cancelled Award. </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3.16</w:t>
      </w:r>
      <w:r>
        <w:rPr>
          <w:rFonts w:ascii="Times New Roman;serif" w:hAnsi="Times New Roman;serif"/>
          <w:b/>
          <w:color w:val="000000"/>
          <w:sz w:val="24"/>
        </w:rPr>
        <w:t xml:space="preserve">Waivers. </w:t>
      </w:r>
      <w:r>
        <w:rPr>
          <w:rFonts w:ascii="Times New Roman;serif" w:hAnsi="Times New Roman;serif"/>
          <w:b w:val="false"/>
          <w:color w:val="000000"/>
          <w:sz w:val="24"/>
        </w:rPr>
        <w:t>No waiver by either party of any breach of, or of compliance with, any condition or provision of this Award Agreement by the other party shall be considered a waiver of any other condition or provision or of the same condition or provision at another time.</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3.17</w:t>
      </w:r>
      <w:r>
        <w:rPr>
          <w:rFonts w:ascii="Times New Roman;serif" w:hAnsi="Times New Roman;serif"/>
          <w:b/>
          <w:color w:val="000000"/>
          <w:sz w:val="24"/>
        </w:rPr>
        <w:t xml:space="preserve">Entire Agreement. </w:t>
      </w:r>
      <w:r>
        <w:rPr>
          <w:rFonts w:ascii="Times New Roman;serif" w:hAnsi="Times New Roman;serif"/>
          <w:b w:val="false"/>
          <w:color w:val="000000"/>
          <w:sz w:val="24"/>
        </w:rPr>
        <w:t>The Notice of Grant of Award, this Award Agreement, the Covenants Agreement, and the Plan constitute the entire contract between the parties hereto with regard to the subject matter hereof. They supersede any other agreements, representations or understandings (whether oral or written and whether express or implied) which relate to the subject matter hereof. The Participant expressly warrants that he or she is not accepting this Award Agreement in reliance on any promises, representations, or inducements other than those contained herein.</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3.18</w:t>
      </w:r>
      <w:r>
        <w:rPr>
          <w:rFonts w:ascii="Times New Roman;serif" w:hAnsi="Times New Roman;serif"/>
          <w:b/>
          <w:color w:val="000000"/>
          <w:sz w:val="24"/>
        </w:rPr>
        <w:t xml:space="preserve">Severability. </w:t>
      </w:r>
      <w:r>
        <w:rPr>
          <w:rFonts w:ascii="Times New Roman;serif" w:hAnsi="Times New Roman;serif"/>
          <w:b w:val="false"/>
          <w:color w:val="000000"/>
          <w:sz w:val="24"/>
        </w:rPr>
        <w:t>The provisions of this Award Agreement are severable and if any one or more provisions are determined to be illegal or otherwise unenforceable, in whole or in part, the remaining provisions shall nevertheless be binding and enforceable.</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3.19</w:t>
      </w:r>
      <w:r>
        <w:rPr>
          <w:rFonts w:ascii="Times New Roman;serif" w:hAnsi="Times New Roman;serif"/>
          <w:b/>
          <w:color w:val="000000"/>
          <w:sz w:val="24"/>
        </w:rPr>
        <w:t xml:space="preserve">Language. </w:t>
      </w:r>
      <w:r>
        <w:rPr>
          <w:rFonts w:ascii="Times New Roman;serif" w:hAnsi="Times New Roman;serif"/>
          <w:b w:val="false"/>
          <w:color w:val="000000"/>
          <w:sz w:val="24"/>
        </w:rPr>
        <w:t>The Participant acknowledges that the Participant is sufficiently proficient in English or has consulted with an advisor who is sufficiently proficient in English so as to allow the Participant to understand the terms and conditions of this Award Agreement. If the Participant has received this Award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3.20</w:t>
      </w:r>
      <w:r>
        <w:rPr>
          <w:rFonts w:ascii="Times New Roman;serif" w:hAnsi="Times New Roman;serif"/>
          <w:b/>
          <w:color w:val="000000"/>
          <w:sz w:val="24"/>
        </w:rPr>
        <w:t xml:space="preserve">Insider Trading and Market-abuse Laws. </w:t>
      </w:r>
      <w:r>
        <w:rPr>
          <w:rFonts w:ascii="Times New Roman;serif" w:hAnsi="Times New Roman;serif"/>
          <w:b w:val="false"/>
          <w:color w:val="000000"/>
          <w:sz w:val="24"/>
        </w:rPr>
        <w:t xml:space="preserve">The Participant acknowledges that, depending on the Participant’s or his or her broker’s country of residence or where the Shares are listed, the Participant may be subject to insider-trading restrictions and/or market-abuse laws, which may affect the Participant’s ability to accept, acquire, sell or otherwise dispose of Shares, rights to Shares (e.g., the RSUs), or rights linked to the value of Shares (e.g., phantom awards, futures) during such times as the Participant is considered to have “inside information” regarding the Company (as defined by law or regulations in the Participant’s country).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(other than on a “need to know” basis) and (ii) “tipping” third parties,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fellow employees, or causing them otherwise to buy or sell securities. Any restrictions under these laws or regulations are separate from and in addition to any restrictions that may be imposed under the Company’s insider-trading policy. The Participant understands that it is the Participant’s responsibility to comply with any applicable restrictions as well as any Company insider trading policy, and the Participant should consult his or her personal legal advisor on this matter.</w:t>
      </w:r>
    </w:p>
    <w:p>
      <w:pPr>
        <w:pStyle w:val="TextBody"/>
        <w:bidi w:val="0"/>
        <w:spacing w:lineRule="auto" w:line="240" w:before="0" w:after="240"/>
        <w:ind w:left="0" w:right="0" w:firstLine="720"/>
        <w:jc w:val="both"/>
        <w:rPr/>
      </w:pPr>
      <w:r>
        <w:rPr>
          <w:rFonts w:ascii="Times New Roman;serif" w:hAnsi="Times New Roman;serif"/>
          <w:b w:val="false"/>
          <w:color w:val="000000"/>
          <w:sz w:val="24"/>
          <w:u w:val="single"/>
        </w:rPr>
        <w:t>Section 3.21</w:t>
      </w:r>
      <w:r>
        <w:rPr>
          <w:rFonts w:ascii="Times New Roman;serif" w:hAnsi="Times New Roman;serif"/>
          <w:b/>
          <w:color w:val="000000"/>
          <w:sz w:val="24"/>
        </w:rPr>
        <w:t xml:space="preserve">Imposition of Other Requirements. </w:t>
      </w:r>
      <w:r>
        <w:rPr>
          <w:rFonts w:ascii="Times New Roman;serif" w:hAnsi="Times New Roman;serif"/>
          <w:b w:val="false"/>
          <w:color w:val="000000"/>
          <w:sz w:val="24"/>
        </w:rPr>
        <w:t xml:space="preserve">The Company reserves the right to impose other requirements on the Participant’s participation in the Plan, on this award of RSUs and on any Shares received from the RSUs, to the extent the Company determines it is necessary or advisable for legal or administrative reasons, and to require the Participant to sign any additional agreements or undertakings that may be necessary to accomplish the foregoing. </w:t>
      </w:r>
    </w:p>
    <w:p>
      <w:pPr>
        <w:pStyle w:val="TextBody"/>
        <w:bidi w:val="0"/>
        <w:spacing w:before="0" w:after="24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center"/>
        <w:rPr>
          <w:rFonts w:ascii="Times New Roman;serif" w:hAnsi="Times New Roman;serif"/>
          <w:b/>
          <w:color w:val="000000"/>
          <w:sz w:val="24"/>
        </w:rPr>
      </w:pPr>
      <w:r>
        <w:rPr>
          <w:rFonts w:ascii="Times New Roman;serif" w:hAnsi="Times New Roman;serif"/>
          <w:b/>
          <w:color w:val="000000"/>
          <w:sz w:val="24"/>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IN WITNESS HEREOF</w:t>
      </w:r>
      <w:r>
        <w:rPr>
          <w:rFonts w:ascii="Times New Roman;serif" w:hAnsi="Times New Roman;serif"/>
          <w:b w:val="false"/>
          <w:color w:val="000000"/>
          <w:sz w:val="24"/>
        </w:rPr>
        <w:t>, this Award Agreement has been executed and delivered by the parties hereto.</w:t>
      </w:r>
    </w:p>
    <w:p>
      <w:pPr>
        <w:pStyle w:val="TextBody"/>
        <w:bidi w:val="0"/>
        <w:spacing w:before="0" w:after="0"/>
        <w:ind w:left="0" w:right="0" w:firstLine="1440"/>
        <w:jc w:val="left"/>
        <w:rPr/>
      </w:pPr>
      <w:r>
        <w:rPr/>
      </w:r>
    </w:p>
    <w:p>
      <w:pPr>
        <w:pStyle w:val="TextBody"/>
        <w:bidi w:val="0"/>
        <w:spacing w:before="0" w:after="0"/>
        <w:jc w:val="left"/>
        <w:rPr/>
      </w:pPr>
      <w:r>
        <w:rPr/>
      </w:r>
    </w:p>
    <w:tbl>
      <w:tblPr>
        <w:tblW w:w="7649" w:type="dxa"/>
        <w:jc w:val="left"/>
        <w:tblInd w:w="0" w:type="dxa"/>
        <w:tblLayout w:type="fixed"/>
        <w:tblCellMar>
          <w:top w:w="28" w:type="dxa"/>
          <w:left w:w="28" w:type="dxa"/>
          <w:bottom w:w="28" w:type="dxa"/>
          <w:right w:w="28" w:type="dxa"/>
        </w:tblCellMar>
      </w:tblPr>
      <w:tblGrid>
        <w:gridCol w:w="1500"/>
        <w:gridCol w:w="1318"/>
        <w:gridCol w:w="1322"/>
        <w:gridCol w:w="1027"/>
        <w:gridCol w:w="1027"/>
        <w:gridCol w:w="1455"/>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PARTICIPANT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Electronic signature to be provided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and recorded via online grant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acceptance process on www.etrade.com</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w:t>
            </w:r>
          </w:p>
        </w:tc>
        <w:tc>
          <w:tcPr>
            <w:tcW w:w="350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INTEGRA LIFESCIENCES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HOLDINGS CORPORATION</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r>
    </w:tbl>
    <w:p>
      <w:pPr>
        <w:pStyle w:val="TextBody"/>
        <w:bidi w:val="0"/>
        <w:spacing w:before="0" w:after="0"/>
        <w:ind w:left="0" w:right="0" w:firstLine="14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CONFIDENTIALITY AND INVENTION DISCLOSURE AND NON-COMPETE AGREEMENT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8"/>
        </w:rPr>
        <w:t>[</w:t>
      </w:r>
      <w:r>
        <w:rPr>
          <w:rFonts w:ascii="Times New Roman;serif" w:hAnsi="Times New Roman;serif"/>
          <w:b w:val="false"/>
          <w:i/>
          <w:color w:val="000000"/>
          <w:sz w:val="18"/>
        </w:rPr>
        <w:t>This appendix has been omitted pursuant to Item 601(a)(5) of Regulation S-K under the Securities Act of 1933, as amended. The registrant agrees to furnish supplementally a copy of the omitted annex to the Securities and Exchange Commission upon request.</w:t>
      </w:r>
      <w:r>
        <w:rPr>
          <w:rFonts w:ascii="Times New Roman;serif" w:hAnsi="Times New Roman;serif"/>
          <w:b w:val="false"/>
          <w:color w:val="000000"/>
          <w:sz w:val="18"/>
        </w:rPr>
        <w:t>]</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IART-2026.06.30-EX-10.7</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4"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348.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INTEGRA LIFESCIENCES HOLDINGS CORPORATION</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4"/>
        </w:rPr>
        <w:t>FIFTH AMENDED AND RESTATED 2003 EQUITY INCENTIVE PLAN</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4"/>
        </w:rPr>
        <w:t>NON-QUALIFIED STOCK OPTION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 xml:space="preserve">NON-QUALIFIED STOCK OPTION AGREEMENT </w:t>
      </w:r>
      <w:r>
        <w:rPr>
          <w:rFonts w:ascii="Times New Roman;serif" w:hAnsi="Times New Roman;serif"/>
          <w:b w:val="false"/>
          <w:color w:val="000000"/>
          <w:sz w:val="24"/>
        </w:rPr>
        <w:t>(together with the attached Notice of Grant of Stock Options and Option Agreement (“Notice of Grant”), the “Option Agreement”) made as of the date (the “Grant Date”) set forth in Notice of Grant, between Integra LifeSciences Holdings Corporation, a Delaware corporation (the “Company”), and the named Key Employee of the Company, a Related Corporation, or an affiliate (the “Employee”).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WHEREAS</w:t>
      </w:r>
      <w:r>
        <w:rPr>
          <w:rFonts w:ascii="Times New Roman;serif" w:hAnsi="Times New Roman;serif"/>
          <w:b w:val="false"/>
          <w:color w:val="000000"/>
          <w:sz w:val="24"/>
        </w:rPr>
        <w:t>, the Company, Integra LifeSciences Corporation and Employee entered into that certain Employment Agreement dated as of May 1, 2026 (the “Employment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WHEREAS</w:t>
      </w:r>
      <w:r>
        <w:rPr>
          <w:rFonts w:ascii="Times New Roman;serif" w:hAnsi="Times New Roman;serif"/>
          <w:b w:val="false"/>
          <w:color w:val="000000"/>
          <w:sz w:val="24"/>
        </w:rPr>
        <w:t>, in accordance with the Employment Agreement, the Company desires to afford the Employee an opportunity to purchase shares of common stock of the Company, par value $.01 per share (“Common Stock”), as hereinafter provided, in accordance with the provisions of the Integra LifeSciences Holdings Corporation Fifth Amended and Restated 2003 Equity Incentive Plan, as amended (the “Plan”). Requests for hardcopies of the “Plan” should be directed to Mythili Seshan at the New Jersey Corporate Office.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hereinafter set forth and for other good and valuable consideration the legal sufficiency of which is hereby acknowledged, the parties hereto, intending to be legally bound hereby, agree as follows: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Capitalized terms not otherwise defined below shall have the meaning set forth in the Plan. The masculine pronoun shall include the feminine and neuter, and the singular the plural, where the context so indicates.</w:t>
      </w:r>
    </w:p>
    <w:p>
      <w:pPr>
        <w:pStyle w:val="TextBody"/>
        <w:bidi w:val="0"/>
        <w:spacing w:before="0" w:after="0"/>
        <w:jc w:val="both"/>
        <w:rPr/>
      </w:pPr>
      <w:r>
        <w:rPr/>
      </w:r>
    </w:p>
    <w:p>
      <w:pPr>
        <w:pStyle w:val="TextBody"/>
        <w:bidi w:val="0"/>
        <w:spacing w:lineRule="auto" w:line="288" w:before="0" w:after="240"/>
        <w:ind w:left="0" w:right="0" w:firstLine="720"/>
        <w:jc w:val="left"/>
        <w:rPr/>
      </w:pPr>
      <w:r>
        <w:rPr>
          <w:rFonts w:ascii="Times New Roman;serif" w:hAnsi="Times New Roman;serif"/>
          <w:b/>
          <w:color w:val="000000"/>
          <w:sz w:val="24"/>
          <w:u w:val="single"/>
        </w:rPr>
        <w:t>Grant of Option</w:t>
      </w:r>
      <w:r>
        <w:rPr>
          <w:rFonts w:ascii="Times New Roman;serif" w:hAnsi="Times New Roman;serif"/>
          <w:b w:val="false"/>
          <w:color w:val="000000"/>
          <w:sz w:val="24"/>
        </w:rPr>
        <w:t>. Effective [             ], the Company hereby grants to the Employee a non-qualified stock option (the “Option”) to purchase all or any part of an aggregate of the number of shares of Common Stock as set forth in the attached Notice of Grant, subject to adjustment in accordance with Section 8 of the Plan.</w:t>
      </w:r>
    </w:p>
    <w:p>
      <w:pPr>
        <w:pStyle w:val="TextBody"/>
        <w:bidi w:val="0"/>
        <w:spacing w:lineRule="auto" w:line="288" w:before="0" w:after="240"/>
        <w:ind w:left="0" w:right="0" w:firstLine="720"/>
        <w:jc w:val="left"/>
        <w:rPr/>
      </w:pPr>
      <w:r>
        <w:rPr>
          <w:rFonts w:ascii="Times New Roman;serif" w:hAnsi="Times New Roman;serif"/>
          <w:b/>
          <w:color w:val="000000"/>
          <w:sz w:val="24"/>
          <w:u w:val="single"/>
        </w:rPr>
        <w:t>Purchase Price</w:t>
      </w:r>
      <w:r>
        <w:rPr>
          <w:rFonts w:ascii="Times New Roman;serif" w:hAnsi="Times New Roman;serif"/>
          <w:b w:val="false"/>
          <w:color w:val="000000"/>
          <w:sz w:val="24"/>
        </w:rPr>
        <w:t>. The purchase price per share of the shares of Common Stock covered by the Option shall be that set forth in the attached Notice of Grant, subject to adjustment in accordance with Section 8 of the Plan. It is the determination of the Company’s Compensation Committee (the “Committee”) that on the Grant Date the per share Option exercise price was not less than the greater of one hundred percent (100%) of the fair market value of the Common Stock, or the par value thereof.</w:t>
      </w:r>
    </w:p>
    <w:p>
      <w:pPr>
        <w:pStyle w:val="TextBody"/>
        <w:bidi w:val="0"/>
        <w:spacing w:lineRule="auto" w:line="288" w:before="0" w:after="240"/>
        <w:ind w:left="0" w:right="0" w:firstLine="720"/>
        <w:jc w:val="left"/>
        <w:rPr/>
      </w:pPr>
      <w:r>
        <w:rPr>
          <w:rFonts w:ascii="Times New Roman;serif" w:hAnsi="Times New Roman;serif"/>
          <w:b/>
          <w:color w:val="000000"/>
          <w:sz w:val="24"/>
          <w:u w:val="single"/>
        </w:rPr>
        <w:t>Term</w:t>
      </w:r>
      <w:r>
        <w:rPr>
          <w:rFonts w:ascii="Times New Roman;serif" w:hAnsi="Times New Roman;serif"/>
          <w:b w:val="false"/>
          <w:color w:val="000000"/>
          <w:sz w:val="24"/>
        </w:rPr>
        <w:t>. Unless earlier terminated pursuant to any provision of this Option Agreement, this Option shall expire on [          ] (the “Expiration Date”). Notwithstanding anything herein to the contrary, this Option shall not be exercisable after the Expiration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color w:val="000000"/>
          <w:sz w:val="24"/>
          <w:u w:val="single"/>
        </w:rPr>
        <w:t>Exercise of Option</w:t>
      </w:r>
      <w:r>
        <w:rPr>
          <w:rFonts w:ascii="Times New Roman;serif" w:hAnsi="Times New Roman;serif"/>
          <w:b w:val="false"/>
          <w:color w:val="000000"/>
          <w:sz w:val="24"/>
        </w:rPr>
        <w:t>. Thirty-three and one-third percent (33.3%) of the shares of Stock Options shall become vested and exercisable on the first anniversary of the “Effective Date” (as defined in the Employment Agreement). The remaining 66.7% of such shares of Stock Options shall vest and become exercisable in 24 monthly installments commencing on the first day of the month following the first anniversary of the Effective Date. Any portion of the Option that becomes exercisable in accordance with the foregoing shall remain exercisable, subject to the provisions contained in this Option Agreement, until the expiration of the term of this Option as set forth above or until other termination of the Option as set forth in this Option Agreement.</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Except as set forth herein, no portion of the Option which has not become vested and exercisable as of the Employee’s termination of employment or in connection with Employee’s termination of employment shall thereafter become vested or exercisable.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Notwithstanding anything contained herein or in the Plan to the contrary, the Option shall become fully vested and exercisable (to the extent not previously vested and exercisable) in the event Employee terminates employment with the Company: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    due to death, “Disability” (as defined in the Employment Agreement) or “Retirement” (as defined in the Employment Agreement); or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(ii)    under any of the circumstances set forth in Section 13(b) or (c) of the Employment Agreement, which for the avoidance of doubt is an involuntary termination without “Cause” (as defined in the Employment Agreement) or a resignation for “Good Reason” (as defined in the Employment Agreement), whether before, on or after a “Change in Control” (as defined in the Employment Agreement), subject to the Employee’s execution of a “Release” (as defined in the Employment Agreement) in the manner set forth in the Employment Agreement.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Any Option that is unvested (after giving effect to (i) and (ii) above, as applicable) at the time of Employee’s termination shall be forfeited immediately for no consideration upon such termination. Following Employee’s termination of employment, the Option, to the extent vested, may be exercised in whole or in part by the Executive (or by the Employee’s estate, personal representative or beneficiary who acquired the right to exercise such Option by bequest or inheritance or, in the event of the Employee’s legal disability, by the Employee’s legal representative) at any time prior to the earlier of (x) the fifth (5</w:t>
      </w:r>
      <w:r>
        <w:rPr>
          <w:rFonts w:ascii="Times New Roman;serif" w:hAnsi="Times New Roman;serif"/>
          <w:b w:val="false"/>
          <w:color w:val="000000"/>
          <w:sz w:val="16"/>
        </w:rPr>
        <w:t>th</w:t>
      </w:r>
      <w:r>
        <w:rPr>
          <w:rFonts w:ascii="Times New Roman;serif" w:hAnsi="Times New Roman;serif"/>
          <w:b w:val="false"/>
          <w:color w:val="000000"/>
          <w:sz w:val="24"/>
        </w:rPr>
        <w:t xml:space="preserve">) anniversary of Employee’s termination date and (y) the Expiration Date. </w:t>
      </w:r>
    </w:p>
    <w:p>
      <w:pPr>
        <w:pStyle w:val="TextBody"/>
        <w:bidi w:val="0"/>
        <w:spacing w:before="0" w:after="0"/>
        <w:jc w:val="both"/>
        <w:rPr/>
      </w:pPr>
      <w:r>
        <w:rPr/>
      </w:r>
    </w:p>
    <w:p>
      <w:pPr>
        <w:pStyle w:val="TextBody"/>
        <w:bidi w:val="0"/>
        <w:spacing w:lineRule="auto" w:line="288" w:before="0" w:after="240"/>
        <w:ind w:left="0" w:right="0" w:firstLine="720"/>
        <w:jc w:val="left"/>
        <w:rPr/>
      </w:pPr>
      <w:r>
        <w:rPr>
          <w:rFonts w:ascii="Times New Roman;serif" w:hAnsi="Times New Roman;serif"/>
          <w:b/>
          <w:color w:val="000000"/>
          <w:sz w:val="24"/>
          <w:u w:val="single"/>
        </w:rPr>
        <w:t>Method of Exercising Option</w:t>
      </w:r>
      <w:r>
        <w:rPr>
          <w:rFonts w:ascii="Times New Roman;serif" w:hAnsi="Times New Roman;serif"/>
          <w:b w:val="false"/>
          <w:color w:val="000000"/>
          <w:sz w:val="24"/>
        </w:rPr>
        <w:t>. Subject to the terms and conditions of this Option Agreement, the Option may be exercised in whole or in part by written notice to the Company, at its principal office, which currently is located at 1100 Campus Road, Princeton, New Jersey 08540. Such notice shall state the election to exercise the Option, and the number of shares with respect to which it is being exercised; shall be signed by the person or persons so exercising the Option; shall, unless the Company otherwise notifies the Employee, be accompanied by the investment certificate referred to below; and shall be accompanied by payment of the full Option price of such shares.</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 xml:space="preserve">The Option price shall be paid to the Company, as elected by the Employee: (i) in cash; (ii) in cash equivalent; (iii) in Common Stock of the Company, in accordance with Section 7.1(f)(ii) of the Plan (as in effect on the date of this Option Agreement); (iv) by delivering a properly executed notice of exercise of the Option, in accordance with Section 7.1(f)(iii) of the Plan (as in effect on the date of this Option Agreement); (v) in Common Stock of the Company issuable pursuant to the exercise of the Option or otherwise withheld in net settlement of the Option, in accordance with Section 7.1(f)(iv) of the Plan (as in effect on the date of this Option Agreement); or (vi) by any combination of (i)-(v).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Upon receipt of such notice and payment, the Company, as promptly as practicable, shall deliver or cause to be delivered a certificate or certificates representing the shares with respect to which the Option is so exercised. Such certificate(s) shall be registered in the name of the person or persons so exercising the Option (or, if the Option is exercised by the Employee and if the Employee so requests in the notice exercising the Option, shall be registered in the name of the Employee and the Employee’s spouse, jointly, with right of survivorship) and shall be delivered as provided above to or upon the written order of the person or persons exercising the Option. In the event the Option is exercised by any person or persons after the legal disability or death of the Employee, such notice shall be accompanied by appropriate proof of the right of such person or persons to exercise the Option. All shares that are purchased upon the exercise of the Option as provided herein shall be fully paid and not assessable by the Company.</w:t>
      </w:r>
    </w:p>
    <w:p>
      <w:pPr>
        <w:pStyle w:val="TextBody"/>
        <w:bidi w:val="0"/>
        <w:spacing w:lineRule="auto" w:line="288" w:before="0" w:after="240"/>
        <w:ind w:left="0" w:right="0" w:firstLine="720"/>
        <w:jc w:val="left"/>
        <w:rPr/>
      </w:pPr>
      <w:r>
        <w:rPr>
          <w:rFonts w:ascii="Times New Roman;serif" w:hAnsi="Times New Roman;serif"/>
          <w:b/>
          <w:color w:val="000000"/>
          <w:sz w:val="24"/>
          <w:u w:val="single"/>
        </w:rPr>
        <w:t>Shares to be Purchased for Investment</w:t>
      </w:r>
      <w:r>
        <w:rPr>
          <w:rFonts w:ascii="Times New Roman;serif" w:hAnsi="Times New Roman;serif"/>
          <w:b w:val="false"/>
          <w:color w:val="000000"/>
          <w:sz w:val="24"/>
        </w:rPr>
        <w:t>. Unless the Company has theretofore notified the Employee that a registration statement covering the shares to be acquired upon the exercise of the Option has become effective under the Securities Act of 1933 and the Company has not thereafter notified the Employee that such registration statement is no longer effective, it shall be a condition to any exercise of this Option that the shares acquired upon such exercise be acquired for investment and not with a view to distribution, and the person effecting such exercise shall submit to the Company a certificate of such investment intent, together with such other evidence supporting the same as the Company may request. The Company shall be entitled to delay the transferability of the shares issued upon any such exercise to the extent necessary to avoid a risk of violation of the Securities Act of 1933 (or of any rules or regulations promulgated thereunder) or of any state laws or regulations. Such restrictions may, at the option of the Company, be noted or set forth in full on the share certificates.</w:t>
      </w:r>
    </w:p>
    <w:p>
      <w:pPr>
        <w:pStyle w:val="TextBody"/>
        <w:bidi w:val="0"/>
        <w:spacing w:lineRule="auto" w:line="288" w:before="0" w:after="240"/>
        <w:ind w:left="0" w:right="0" w:firstLine="720"/>
        <w:jc w:val="left"/>
        <w:rPr/>
      </w:pPr>
      <w:r>
        <w:rPr>
          <w:rFonts w:ascii="Times New Roman;serif" w:hAnsi="Times New Roman;serif"/>
          <w:b/>
          <w:color w:val="000000"/>
          <w:sz w:val="24"/>
          <w:u w:val="single"/>
        </w:rPr>
        <w:t>Non-Transferability of Option</w:t>
      </w:r>
      <w:r>
        <w:rPr>
          <w:rFonts w:ascii="Times New Roman;serif" w:hAnsi="Times New Roman;serif"/>
          <w:b w:val="false"/>
          <w:color w:val="000000"/>
          <w:sz w:val="24"/>
        </w:rPr>
        <w:t>. This Option is not assignable or transferable, in whole or in part, by the Employee other than by will or by the laws of descent and distribution, and during the lifetime of the Employee the Option shall be exercisable only by the Employee or by his or her guardian or legal representative.</w:t>
      </w:r>
    </w:p>
    <w:p>
      <w:pPr>
        <w:pStyle w:val="TextBody"/>
        <w:bidi w:val="0"/>
        <w:spacing w:lineRule="auto" w:line="288" w:before="0" w:after="240"/>
        <w:ind w:left="0" w:right="0" w:firstLine="720"/>
        <w:jc w:val="left"/>
        <w:rPr/>
      </w:pPr>
      <w:r>
        <w:rPr>
          <w:rFonts w:ascii="Times New Roman;serif" w:hAnsi="Times New Roman;serif"/>
          <w:b/>
          <w:color w:val="000000"/>
          <w:sz w:val="24"/>
          <w:u w:val="single"/>
        </w:rPr>
        <w:t>Clawback</w:t>
      </w:r>
      <w:r>
        <w:rPr>
          <w:color w:val="000000"/>
        </w:rPr>
        <w:t xml:space="preserve"> </w:t>
      </w:r>
      <w:r>
        <w:rPr>
          <w:rFonts w:ascii="Times New Roman;serif" w:hAnsi="Times New Roman;serif"/>
          <w:b w:val="false"/>
          <w:color w:val="000000"/>
          <w:sz w:val="24"/>
        </w:rPr>
        <w:t xml:space="preserve">Notwithstanding anything contained in the Plan or the Option Agreement to the contrary, the Option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thereunder, to the extent set forth in such policy and/or in any notice or agreement relating to the Option under the Plan.</w:t>
      </w:r>
    </w:p>
    <w:p>
      <w:pPr>
        <w:pStyle w:val="TextBody"/>
        <w:bidi w:val="0"/>
        <w:spacing w:lineRule="auto" w:line="288" w:before="0" w:after="240"/>
        <w:ind w:left="0" w:right="0" w:firstLine="720"/>
        <w:jc w:val="left"/>
        <w:rPr/>
      </w:pPr>
      <w:r>
        <w:rPr>
          <w:rFonts w:ascii="Times New Roman;serif" w:hAnsi="Times New Roman;serif"/>
          <w:b/>
          <w:color w:val="000000"/>
          <w:sz w:val="24"/>
          <w:u w:val="single"/>
        </w:rPr>
        <w:t>Withholding of Taxes</w:t>
      </w:r>
      <w:r>
        <w:rPr>
          <w:rFonts w:ascii="Times New Roman;serif" w:hAnsi="Times New Roman;serif"/>
          <w:b w:val="false"/>
          <w:color w:val="000000"/>
          <w:sz w:val="24"/>
        </w:rPr>
        <w:t>. The obligation of the Company to deliver shares of Common Stock upon the exercise of the Option shall be subject to applicable federal, state and local tax withholding requirements. If the exercise of any Option is subject to the withholding requirements of applicable federal, state or local tax laws, the Committee shall permit the Employee, subject to the provisions of the Plan and such additional withholding rules (the “Withholding Rules”) as shall be adopted by the Committee, to satisfy the withholding tax, in whole or in part, by electing to have the Company withhold (or by returning to the Company) shares of Common Stock, which shares shall be valued, for this purpose, at their fair market value on the date of exercise of the Option (or, if later, the date on which the Employee recognizes ordinary income with respect to such exercise). An election to use shares of Common Stock to satisfy tax withholding requirements must be made in compliance with and subject to the Withholding Rules. The Committee may not withhold shares in excess of the number necessary to satisfy the minimum tax withholding requirements.</w:t>
      </w:r>
    </w:p>
    <w:p>
      <w:pPr>
        <w:pStyle w:val="TextBody"/>
        <w:bidi w:val="0"/>
        <w:spacing w:lineRule="auto" w:line="288" w:before="0" w:after="240"/>
        <w:ind w:left="0" w:right="0" w:firstLine="720"/>
        <w:jc w:val="left"/>
        <w:rPr/>
      </w:pPr>
      <w:r>
        <w:rPr>
          <w:rFonts w:ascii="Times New Roman;serif" w:hAnsi="Times New Roman;serif"/>
          <w:b/>
          <w:color w:val="000000"/>
          <w:sz w:val="24"/>
          <w:u w:val="single"/>
        </w:rPr>
        <w:t>Construction</w:t>
      </w:r>
      <w:r>
        <w:rPr>
          <w:rFonts w:ascii="Times New Roman;serif" w:hAnsi="Times New Roman;serif"/>
          <w:b w:val="false"/>
          <w:color w:val="000000"/>
          <w:sz w:val="24"/>
        </w:rPr>
        <w:t xml:space="preserve">. This Option Agreement is made under and subject to the provisions of the Plan as in effect on the Grant Date, and all of the provisions of the Plan as in effect on the Grant Date are hereby incorporated herein as provisions of this Option Agreement. </w:t>
      </w:r>
    </w:p>
    <w:p>
      <w:pPr>
        <w:pStyle w:val="TextBody"/>
        <w:bidi w:val="0"/>
        <w:spacing w:lineRule="auto" w:line="288" w:before="0" w:after="240"/>
        <w:ind w:left="0" w:right="0" w:firstLine="720"/>
        <w:jc w:val="left"/>
        <w:rPr/>
      </w:pPr>
      <w:r>
        <w:rPr>
          <w:rFonts w:ascii="Times New Roman;serif" w:hAnsi="Times New Roman;serif"/>
          <w:b/>
          <w:color w:val="000000"/>
          <w:sz w:val="24"/>
          <w:u w:val="single"/>
        </w:rPr>
        <w:t>Governing Law</w:t>
      </w:r>
      <w:r>
        <w:rPr>
          <w:rFonts w:ascii="Times New Roman;serif" w:hAnsi="Times New Roman;serif"/>
          <w:b w:val="false"/>
          <w:color w:val="000000"/>
          <w:sz w:val="24"/>
        </w:rPr>
        <w:t>. This Non-Qualified Stock Option Agreement shall be governed by applicable federal law and otherwise by the laws of the State of Delaware.</w:t>
      </w:r>
    </w:p>
    <w:p>
      <w:pPr>
        <w:pStyle w:val="TextBody"/>
        <w:bidi w:val="0"/>
        <w:spacing w:before="0" w:after="0"/>
        <w:jc w:val="left"/>
        <w:rPr/>
      </w:pPr>
      <w:r>
        <w:rPr/>
      </w:r>
    </w:p>
    <w:p>
      <w:pPr>
        <w:pStyle w:val="TextBody"/>
        <w:bidi w:val="0"/>
        <w:spacing w:lineRule="auto" w:line="288" w:before="0" w:after="240"/>
        <w:ind w:left="0" w:right="0" w:firstLine="720"/>
        <w:jc w:val="left"/>
        <w:rPr/>
      </w:pPr>
      <w:r>
        <w:rPr>
          <w:color w:val="000000"/>
        </w:rPr>
        <w:t>    </w:t>
      </w:r>
      <w:r>
        <w:rPr>
          <w:rFonts w:ascii="Times New Roman;serif" w:hAnsi="Times New Roman;serif"/>
          <w:b/>
          <w:color w:val="000000"/>
          <w:sz w:val="24"/>
        </w:rPr>
        <w:t xml:space="preserve">IN WITNESS WHEREOF, </w:t>
      </w:r>
      <w:r>
        <w:rPr>
          <w:rFonts w:ascii="Times New Roman;serif" w:hAnsi="Times New Roman;serif"/>
          <w:b w:val="false"/>
          <w:color w:val="000000"/>
          <w:sz w:val="24"/>
        </w:rPr>
        <w:t>this Option Agreement has been executed and delivered by the parties hereto.</w:t>
      </w:r>
    </w:p>
    <w:p>
      <w:pPr>
        <w:pStyle w:val="TextBody"/>
        <w:bidi w:val="0"/>
        <w:spacing w:before="0" w:after="240"/>
        <w:ind w:left="0" w:right="0" w:firstLine="720"/>
        <w:jc w:val="left"/>
        <w:rPr/>
      </w:pPr>
      <w:r>
        <w:rPr/>
      </w:r>
    </w:p>
    <w:tbl>
      <w:tblPr>
        <w:tblW w:w="7949" w:type="dxa"/>
        <w:jc w:val="left"/>
        <w:tblInd w:w="0" w:type="dxa"/>
        <w:tblLayout w:type="fixed"/>
        <w:tblCellMar>
          <w:top w:w="28" w:type="dxa"/>
          <w:left w:w="28" w:type="dxa"/>
          <w:bottom w:w="28" w:type="dxa"/>
          <w:right w:w="28" w:type="dxa"/>
        </w:tblCellMar>
      </w:tblPr>
      <w:tblGrid>
        <w:gridCol w:w="1500"/>
        <w:gridCol w:w="1318"/>
        <w:gridCol w:w="1322"/>
        <w:gridCol w:w="1115"/>
        <w:gridCol w:w="1115"/>
        <w:gridCol w:w="1579"/>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PARTICIPANT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Electronic signature to be provided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and recorded via online grant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acceptance process on www.etrade.com</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xml:space="preserve">                         </w:t>
            </w:r>
          </w:p>
        </w:tc>
        <w:tc>
          <w:tcPr>
            <w:tcW w:w="380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INTEGRA LIFESCIENCES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HOLDINGS CORPORATION</w:t>
            </w:r>
          </w:p>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______________________________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IART-2026.06.30-EX-10.8</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4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SEPARATION AND GENERAL RELEASE AGREEMENT</w:t>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Separation and General Release Agreement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May 1,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is entered into by and among Mojdeh Poul, an individual (the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Integra LifeSciences Holdings Corporation, a Delaware corporation (“</w:t>
      </w:r>
      <w:r>
        <w:rPr>
          <w:rFonts w:ascii="Times New Roman;serif" w:hAnsi="Times New Roman;serif"/>
          <w:b w:val="false"/>
          <w:color w:val="000000"/>
          <w:sz w:val="24"/>
          <w:u w:val="single"/>
        </w:rPr>
        <w:t>Holdings</w:t>
      </w:r>
      <w:r>
        <w:rPr>
          <w:color w:val="000000"/>
        </w:rPr>
        <w:t>”</w:t>
      </w:r>
      <w:r>
        <w:rPr>
          <w:rFonts w:ascii="Times New Roman;serif" w:hAnsi="Times New Roman;serif"/>
          <w:b w:val="false"/>
          <w:color w:val="000000"/>
          <w:sz w:val="24"/>
        </w:rPr>
        <w:t>) and Integra LifeSciences Corporation (“</w:t>
      </w:r>
      <w:r>
        <w:rPr>
          <w:rFonts w:ascii="Times New Roman;serif" w:hAnsi="Times New Roman;serif"/>
          <w:b w:val="false"/>
          <w:color w:val="000000"/>
          <w:sz w:val="24"/>
          <w:u w:val="single"/>
        </w:rPr>
        <w:t>Opco</w:t>
      </w:r>
      <w:r>
        <w:rPr>
          <w:color w:val="000000"/>
        </w:rPr>
        <w:t xml:space="preserve">” </w:t>
      </w:r>
      <w:r>
        <w:rPr>
          <w:rFonts w:ascii="Times New Roman;serif" w:hAnsi="Times New Roman;serif"/>
          <w:b w:val="false"/>
          <w:color w:val="000000"/>
          <w:sz w:val="24"/>
        </w:rPr>
        <w:t>and, together with Holdings,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xml:space="preserve">). In consideration of the payments and benefits described in </w:t>
      </w:r>
      <w:r>
        <w:rPr>
          <w:rFonts w:ascii="Times New Roman;serif" w:hAnsi="Times New Roman;serif"/>
          <w:b w:val="false"/>
          <w:color w:val="000000"/>
          <w:sz w:val="24"/>
          <w:u w:val="single"/>
        </w:rPr>
        <w:t>Section 2(a)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2(b)</w:t>
      </w:r>
      <w:r>
        <w:rPr>
          <w:color w:val="000000"/>
        </w:rPr>
        <w:t xml:space="preserve"> </w:t>
      </w:r>
      <w:r>
        <w:rPr>
          <w:rFonts w:ascii="Times New Roman;serif" w:hAnsi="Times New Roman;serif"/>
          <w:b w:val="false"/>
          <w:color w:val="000000"/>
          <w:sz w:val="24"/>
        </w:rPr>
        <w:t>below to be provided to Executive, the receipt and sufficiency of which are hereby acknowledged, the undersigned parties agree as follows:</w:t>
      </w:r>
    </w:p>
    <w:p>
      <w:pPr>
        <w:pStyle w:val="TextBody"/>
        <w:bidi w:val="0"/>
        <w:spacing w:lineRule="auto" w:line="240" w:before="0" w:after="240"/>
        <w:jc w:val="both"/>
        <w:rPr/>
      </w:pPr>
      <w:r>
        <w:rPr>
          <w:rFonts w:ascii="Times New Roman;serif" w:hAnsi="Times New Roman;serif"/>
          <w:b/>
          <w:color w:val="000000"/>
          <w:sz w:val="24"/>
        </w:rPr>
        <w:t>1.</w:t>
      </w:r>
      <w:r>
        <w:rPr>
          <w:rFonts w:ascii="Times New Roman;serif" w:hAnsi="Times New Roman;serif"/>
          <w:b/>
          <w:color w:val="000000"/>
          <w:sz w:val="24"/>
          <w:u w:val="single"/>
        </w:rPr>
        <w:t>Termination of Employment</w:t>
      </w:r>
      <w:r>
        <w:rPr>
          <w:rFonts w:ascii="Times New Roman;serif" w:hAnsi="Times New Roman;serif"/>
          <w:b/>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Executive’s last day of employment with the Company is April 30, 2026 (the “</w:t>
      </w:r>
      <w:r>
        <w:rPr>
          <w:rFonts w:ascii="Times New Roman;serif" w:hAnsi="Times New Roman;serif"/>
          <w:b w:val="false"/>
          <w:color w:val="000000"/>
          <w:sz w:val="24"/>
          <w:u w:val="single"/>
        </w:rPr>
        <w:t>Separation Date</w:t>
      </w:r>
      <w:r>
        <w:rPr>
          <w:color w:val="000000"/>
        </w:rPr>
        <w:t>”</w:t>
      </w:r>
      <w:r>
        <w:rPr>
          <w:rFonts w:ascii="Times New Roman;serif" w:hAnsi="Times New Roman;serif"/>
          <w:b w:val="false"/>
          <w:color w:val="000000"/>
          <w:sz w:val="24"/>
        </w:rPr>
        <w:t xml:space="preserve">). Effective as of the Separation Date, Executive will cease to be an employee, officer or director of the Company or any of its parents, subsidiaries or affiliates, and Executive resigns, effective as of the Separation Date, from all such positions that Executive holds with respect to the Company, or any of its parents, subsidiaries or affiliates, including, for the avoidance of doubt, from the board of directors of Holdings. Executive agrees to execute and deliver to the Company such documents to effect such resignations as may be reasonably requested by the Company or its affiliates.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and Executive acknowledge and agree that this Agreement constitutes written notice from the Company in accordance with Section 14(d) of that certain Employment Agreement among Executive, Holdings and Opco, dated as of November 4, 2024 (the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that the Company has elected to terminate Executive’s employment and that such termination was a termination without Cause pursuant to Section 14(b) of the Employment Agreement. Capitalized terms not otherwise defined herein shall have the meaning set forth in the Employment Agreement and the Equity Award Agreements (as defined below).</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Company will provide Executive with an opportunity to review and provide reasonable comments to internal and external communications regarding Executive’s separation from employment with the Company;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the final contents of any such communications shall be determined by the Company in its discretion. </w:t>
      </w:r>
    </w:p>
    <w:p>
      <w:pPr>
        <w:pStyle w:val="TextBody"/>
        <w:bidi w:val="0"/>
        <w:spacing w:lineRule="auto" w:line="240" w:before="0" w:after="240"/>
        <w:jc w:val="both"/>
        <w:rPr/>
      </w:pPr>
      <w:r>
        <w:rPr>
          <w:rFonts w:ascii="Times New Roman;serif" w:hAnsi="Times New Roman;serif"/>
          <w:b/>
          <w:color w:val="000000"/>
          <w:sz w:val="24"/>
        </w:rPr>
        <w:t>2.</w:t>
      </w:r>
      <w:r>
        <w:rPr>
          <w:rFonts w:ascii="Times New Roman;serif" w:hAnsi="Times New Roman;serif"/>
          <w:b/>
          <w:color w:val="000000"/>
          <w:sz w:val="24"/>
          <w:u w:val="single"/>
        </w:rPr>
        <w:t>Final Pay and Benefits; Severance</w:t>
      </w:r>
      <w:r>
        <w:rPr>
          <w:rFonts w:ascii="Times New Roman;serif" w:hAnsi="Times New Roman;serif"/>
          <w:b/>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Executive’s execution, delivery and non-revocation of a General Release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xml:space="preserve">) as required by Section 14(b) of the Employment Agreement and Executive’s continued compliance with Executive’s obligations set forth in </w:t>
      </w:r>
      <w:r>
        <w:rPr>
          <w:rFonts w:ascii="Times New Roman;serif" w:hAnsi="Times New Roman;serif"/>
          <w:b w:val="false"/>
          <w:color w:val="000000"/>
          <w:sz w:val="24"/>
          <w:u w:val="single"/>
        </w:rPr>
        <w:t>Sections 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w:t>
      </w:r>
      <w:r>
        <w:rPr>
          <w:color w:val="000000"/>
        </w:rPr>
        <w:t xml:space="preserve"> </w:t>
      </w:r>
      <w:r>
        <w:rPr>
          <w:rFonts w:ascii="Times New Roman;serif" w:hAnsi="Times New Roman;serif"/>
          <w:b w:val="false"/>
          <w:color w:val="000000"/>
          <w:sz w:val="24"/>
        </w:rPr>
        <w:t>hereof (such conditions, the “</w:t>
      </w:r>
      <w:r>
        <w:rPr>
          <w:rFonts w:ascii="Times New Roman;serif" w:hAnsi="Times New Roman;serif"/>
          <w:b w:val="false"/>
          <w:color w:val="000000"/>
          <w:sz w:val="24"/>
          <w:u w:val="single"/>
        </w:rPr>
        <w:t>Severance Conditions</w:t>
      </w:r>
      <w:r>
        <w:rPr>
          <w:color w:val="000000"/>
        </w:rPr>
        <w:t>”</w:t>
      </w:r>
      <w:r>
        <w:rPr>
          <w:rFonts w:ascii="Times New Roman;serif" w:hAnsi="Times New Roman;serif"/>
          <w:b w:val="false"/>
          <w:color w:val="000000"/>
          <w:sz w:val="24"/>
        </w:rPr>
        <w:t>), the Company, in full satisfaction of the payments and benefits owed to Executive pursuant to Section 14(b) of the Employment Agreement, shall pay or provide to Executive the following payments and benefits (collectively, the “</w:t>
      </w:r>
      <w:r>
        <w:rPr>
          <w:rFonts w:ascii="Times New Roman;serif" w:hAnsi="Times New Roman;serif"/>
          <w:b w:val="false"/>
          <w:color w:val="000000"/>
          <w:sz w:val="24"/>
          <w:u w:val="single"/>
        </w:rPr>
        <w:t>Severance Benefits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(i)An aggregate cash amount equal to 2.0 times Executive’s Base Salary in effect on the Separation Date, payable in substantially equal monthly installments over the two-year period following the Separation Date (the “</w:t>
      </w:r>
      <w:r>
        <w:rPr>
          <w:rFonts w:ascii="Times New Roman;serif" w:hAnsi="Times New Roman;serif"/>
          <w:b w:val="false"/>
          <w:color w:val="000000"/>
          <w:sz w:val="24"/>
          <w:u w:val="single"/>
        </w:rPr>
        <w:t>Severance Period</w:t>
      </w:r>
      <w:r>
        <w:rPr>
          <w:color w:val="000000"/>
        </w:rPr>
        <w:t>”</w:t>
      </w:r>
      <w:r>
        <w:rPr>
          <w:rFonts w:ascii="Times New Roman;serif" w:hAnsi="Times New Roman;serif"/>
          <w:b w:val="false"/>
          <w:color w:val="000000"/>
          <w:sz w:val="24"/>
        </w:rPr>
        <w:t>), in accordance with the Company’s regularly-scheduled payroll dates during the Severance Period. The first payment shall be made on the Company’s first normal payroll date following the 60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day following the Separation Date, and the amount otherwise payable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prior to such first payroll date shall be paid on such date without interest thereon; and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(ii)If Executive timely and properly elects continued healthcare coverage under COBRA, the Company shall pay to Executive for the period ending on the earliest of (A) 18 months following the Separation Date, (B) the date of Executive’s full time employment by another employer, (C) Executive’s death, or (D) the first month in which Executive does not pay to the Company the applicable monthly premium for COBRA insurance coverage under the Company’s group health plan, a monthly cash payment, payable on the first business day of each month that follows the Separation Date, in an amount equal to Executive’s monthly premium cost for COBRA family health coverage under the Company’s group health plan.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In addition, subject to satisfaction of the Severance Conditions, the Company shall (i) pay Executive a lump sum amount in cash equal to $254,151 on the Company’s first normal payroll date following the 60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following the Separation Date, (ii) pay Executive a lump sum amount in cash equal to $312,375, representing a pro-rata portion of the Annual Bonus for 2026 based on actual performance through the Separation Date, on the Company’s first normal payroll date following the 60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following the Separation Date, and (iii) reimburse Executive for up to $25,000 in documented legal fees and expenses actually incurred by Executive in connection with the drafting, review and negotiation of this Agreement (the “</w:t>
      </w:r>
      <w:r>
        <w:rPr>
          <w:rFonts w:ascii="Times New Roman;serif" w:hAnsi="Times New Roman;serif"/>
          <w:b w:val="false"/>
          <w:color w:val="000000"/>
          <w:sz w:val="24"/>
          <w:u w:val="single"/>
        </w:rPr>
        <w:t>Legal Fees</w:t>
      </w:r>
      <w:r>
        <w:rPr>
          <w:color w:val="000000"/>
        </w:rPr>
        <w:t>”</w:t>
      </w:r>
      <w:r>
        <w:rPr>
          <w:rFonts w:ascii="Times New Roman;serif" w:hAnsi="Times New Roman;serif"/>
          <w:b w:val="false"/>
          <w:color w:val="000000"/>
          <w:sz w:val="24"/>
        </w:rPr>
        <w:t xml:space="preserve">). The reimbursement of Legal Fees shall be made within 30 days after Executive delivers reasonably satisfactory documentation to the Company evidencing the Legal Fees;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Executive must submit such reasonably satisfactory documentation within 30 days following the Separation Date.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Executive acknowledges and agrees that the payments and other benefits provided pursuant to </w:t>
      </w:r>
      <w:r>
        <w:rPr>
          <w:rFonts w:ascii="Times New Roman;serif" w:hAnsi="Times New Roman;serif"/>
          <w:b w:val="false"/>
          <w:color w:val="000000"/>
          <w:sz w:val="24"/>
          <w:u w:val="single"/>
        </w:rPr>
        <w:t>Sections 2(a)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2(b)</w:t>
      </w:r>
      <w:r>
        <w:rPr>
          <w:color w:val="000000"/>
        </w:rPr>
        <w:t xml:space="preserve"> </w:t>
      </w:r>
      <w:r>
        <w:rPr>
          <w:rFonts w:ascii="Times New Roman;serif" w:hAnsi="Times New Roman;serif"/>
          <w:b w:val="false"/>
          <w:color w:val="000000"/>
          <w:sz w:val="24"/>
        </w:rPr>
        <w:t xml:space="preserve">are in full discharge of any and all liabilities and obligations of the Company and its affiliates to Executive, monetarily or with respect to employee benefits or otherwise, including but not limited to any and all obligations arising under any alleged written or oral employment agreement, policy, plan or procedure of the Company or its affiliates and/or any alleged understanding or arrangement between Executive and the Company or any of its affiliates, and for vested benefits under an employee welfare benefit, insurance, or pension plan of the Company or its affiliates (including any employee benefit plan, policy or arrangement providing severance or similar benefits), subject to the terms and conditions of such plan(s). </w:t>
      </w:r>
    </w:p>
    <w:p>
      <w:pPr>
        <w:pStyle w:val="TextBody"/>
        <w:bidi w:val="0"/>
        <w:spacing w:lineRule="auto" w:line="240" w:before="0" w:after="240"/>
        <w:jc w:val="both"/>
        <w:rPr/>
      </w:pPr>
      <w:r>
        <w:rPr>
          <w:rFonts w:ascii="Times New Roman;serif" w:hAnsi="Times New Roman;serif"/>
          <w:b/>
          <w:color w:val="000000"/>
          <w:sz w:val="24"/>
        </w:rPr>
        <w:t>3.</w:t>
      </w:r>
      <w:r>
        <w:rPr>
          <w:rFonts w:ascii="Times New Roman;serif" w:hAnsi="Times New Roman;serif"/>
          <w:b/>
          <w:color w:val="000000"/>
          <w:sz w:val="24"/>
          <w:u w:val="single"/>
        </w:rPr>
        <w:t>Treatment of Equity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Capitalized terms used but not defined in this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shall have the meanings given to such terms in that certain (i) Restricted Stock Unit Award Agreement, dated as of January 6, 2025 (the “</w:t>
      </w:r>
      <w:r>
        <w:rPr>
          <w:rFonts w:ascii="Times New Roman;serif" w:hAnsi="Times New Roman;serif"/>
          <w:b w:val="false"/>
          <w:color w:val="000000"/>
          <w:sz w:val="24"/>
          <w:u w:val="single"/>
        </w:rPr>
        <w:t>RSU Agreement</w:t>
      </w:r>
      <w:r>
        <w:rPr>
          <w:color w:val="000000"/>
        </w:rPr>
        <w:t>”</w:t>
      </w:r>
      <w:r>
        <w:rPr>
          <w:rFonts w:ascii="Times New Roman;serif" w:hAnsi="Times New Roman;serif"/>
          <w:b w:val="false"/>
          <w:color w:val="000000"/>
          <w:sz w:val="24"/>
        </w:rPr>
        <w:t>), (ii) Performance Stock Unit Agreement, dated as of March 11, 2025 (the “</w:t>
      </w:r>
      <w:r>
        <w:rPr>
          <w:rFonts w:ascii="Times New Roman;serif" w:hAnsi="Times New Roman;serif"/>
          <w:b w:val="false"/>
          <w:color w:val="000000"/>
          <w:sz w:val="24"/>
          <w:u w:val="single"/>
        </w:rPr>
        <w:t>PSU Agreement</w:t>
      </w:r>
      <w:r>
        <w:rPr>
          <w:color w:val="000000"/>
        </w:rPr>
        <w:t>”</w:t>
      </w:r>
      <w:r>
        <w:rPr>
          <w:rFonts w:ascii="Times New Roman;serif" w:hAnsi="Times New Roman;serif"/>
          <w:b w:val="false"/>
          <w:color w:val="000000"/>
          <w:sz w:val="24"/>
        </w:rPr>
        <w:t>) and (iii) Non-Qualified Stock Option Agreement, dated as of January 6, 2025 (the “</w:t>
      </w:r>
      <w:r>
        <w:rPr>
          <w:rFonts w:ascii="Times New Roman;serif" w:hAnsi="Times New Roman;serif"/>
          <w:b w:val="false"/>
          <w:color w:val="000000"/>
          <w:sz w:val="24"/>
          <w:u w:val="single"/>
        </w:rPr>
        <w:t>Option Agreement</w:t>
      </w:r>
      <w:r>
        <w:rPr>
          <w:color w:val="000000"/>
        </w:rPr>
        <w:t>”</w:t>
      </w:r>
      <w:r>
        <w:rPr>
          <w:rFonts w:ascii="Times New Roman;serif" w:hAnsi="Times New Roman;serif"/>
          <w:b w:val="false"/>
          <w:color w:val="000000"/>
          <w:sz w:val="24"/>
        </w:rPr>
        <w:t>, and together with the RSU Agreement and PSU Agreement, the “</w:t>
      </w:r>
      <w:r>
        <w:rPr>
          <w:rFonts w:ascii="Times New Roman;serif" w:hAnsi="Times New Roman;serif"/>
          <w:b w:val="false"/>
          <w:color w:val="000000"/>
          <w:sz w:val="24"/>
          <w:u w:val="single"/>
        </w:rPr>
        <w:t>Equity Award Agreements</w:t>
      </w:r>
      <w:r>
        <w:rPr>
          <w:color w:val="000000"/>
        </w:rPr>
        <w:t>”</w:t>
      </w:r>
      <w:r>
        <w:rPr>
          <w:rFonts w:ascii="Times New Roman;serif" w:hAnsi="Times New Roman;serif"/>
          <w:b w:val="false"/>
          <w:color w:val="000000"/>
          <w:sz w:val="24"/>
        </w:rPr>
        <w:t xml:space="preserve">). Except as expressly set forth in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from and after the Separation Date, Executive’s restricted stock units (“</w:t>
      </w:r>
      <w:r>
        <w:rPr>
          <w:rFonts w:ascii="Times New Roman;serif" w:hAnsi="Times New Roman;serif"/>
          <w:b w:val="false"/>
          <w:color w:val="000000"/>
          <w:sz w:val="24"/>
          <w:u w:val="single"/>
        </w:rPr>
        <w:t>RSUs</w:t>
      </w:r>
      <w:r>
        <w:rPr>
          <w:color w:val="000000"/>
        </w:rPr>
        <w:t>”</w:t>
      </w:r>
      <w:r>
        <w:rPr>
          <w:rFonts w:ascii="Times New Roman;serif" w:hAnsi="Times New Roman;serif"/>
          <w:b w:val="false"/>
          <w:color w:val="000000"/>
          <w:sz w:val="24"/>
        </w:rPr>
        <w:t>), performance stock units (“</w:t>
      </w:r>
      <w:r>
        <w:rPr>
          <w:rFonts w:ascii="Times New Roman;serif" w:hAnsi="Times New Roman;serif"/>
          <w:b w:val="false"/>
          <w:color w:val="000000"/>
          <w:sz w:val="24"/>
          <w:u w:val="single"/>
        </w:rPr>
        <w:t>PSUs</w:t>
      </w:r>
      <w:r>
        <w:rPr>
          <w:color w:val="000000"/>
        </w:rPr>
        <w:t>”</w:t>
      </w:r>
      <w:r>
        <w:rPr>
          <w:rFonts w:ascii="Times New Roman;serif" w:hAnsi="Times New Roman;serif"/>
          <w:b w:val="false"/>
          <w:color w:val="000000"/>
          <w:sz w:val="24"/>
        </w:rPr>
        <w:t>), and non-qualified stock options (“</w:t>
      </w:r>
      <w:r>
        <w:rPr>
          <w:rFonts w:ascii="Times New Roman;serif" w:hAnsi="Times New Roman;serif"/>
          <w:b w:val="false"/>
          <w:color w:val="000000"/>
          <w:sz w:val="24"/>
          <w:u w:val="single"/>
        </w:rPr>
        <w:t>Options</w:t>
      </w:r>
      <w:r>
        <w:rPr>
          <w:color w:val="000000"/>
        </w:rPr>
        <w:t>”</w:t>
      </w:r>
      <w:r>
        <w:rPr>
          <w:rFonts w:ascii="Times New Roman;serif" w:hAnsi="Times New Roman;serif"/>
          <w:b w:val="false"/>
          <w:color w:val="000000"/>
          <w:sz w:val="24"/>
        </w:rPr>
        <w:t>) shall remain, in all respects, subject to the terms, conditions and restrictions set forth in the applicable Equity Award Agreement and the Integra LifeSciences Holdings Corporation Fifth Amended and Restated 2003 Equity Incentive Plan (as amended and restated, effective May 14, 2021,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(collectively, the “</w:t>
      </w:r>
      <w:r>
        <w:rPr>
          <w:rFonts w:ascii="Times New Roman;serif" w:hAnsi="Times New Roman;serif"/>
          <w:b w:val="false"/>
          <w:color w:val="000000"/>
          <w:sz w:val="24"/>
          <w:u w:val="single"/>
        </w:rPr>
        <w:t>Equity Documents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Executive and the Company acknowledge and agree that Executive was granted 447,081 RSUs, 468,654 PSUs, and 217,961 Options.</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5445"/>
                <wp:effectExtent l="0" t="0" r="0" b="0"/>
                <wp:wrapNone/>
                <wp:docPr id="90"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Executive and the Company agree that: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(i)As of the Separation Date, 33,173 RSUs are vested and 412,518 RSUs are unvested, all 468,654 PSUs are unvested, and 54,490 Options are vested and 163,471 Options are unvested;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(ii)As set forth in Section 8.1(a) of the Plan, Executive’s vested Options will remain outstanding and will continue to be exercisable for six months following the Separation Date; and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(iii)As set forth in Sections 8.1(a) and (c) of the Plan, Section 2.3 of the RSU Agreement, and Section 3.2(b) of the PSU Agreement, any unvested RSUs, PSUs, and Options are automatically forfeited and terminated without payment therefor on the Separation Date. </w:t>
      </w:r>
    </w:p>
    <w:p>
      <w:pPr>
        <w:pStyle w:val="TextBody"/>
        <w:bidi w:val="0"/>
        <w:spacing w:lineRule="auto" w:line="240" w:before="0" w:after="240"/>
        <w:jc w:val="both"/>
        <w:rPr/>
      </w:pPr>
      <w:r>
        <w:rPr>
          <w:rFonts w:ascii="Times New Roman;serif" w:hAnsi="Times New Roman;serif"/>
          <w:b/>
          <w:color w:val="000000"/>
          <w:sz w:val="24"/>
        </w:rPr>
        <w:t>4.</w:t>
      </w:r>
      <w:r>
        <w:rPr>
          <w:rFonts w:ascii="Times New Roman;serif" w:hAnsi="Times New Roman;serif"/>
          <w:b/>
          <w:color w:val="000000"/>
          <w:sz w:val="24"/>
          <w:u w:val="single"/>
        </w:rPr>
        <w:t>Continuing Rights and Obligations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Executive acknowledges and reaffirms Executive’s obligations under (i) Section 18(a) of the Employment Agreement, (ii) the Confidentiality and Invention Disclosure and Non-Compete Agreement attached hereto as Exhibit B (the “</w:t>
      </w:r>
      <w:r>
        <w:rPr>
          <w:rFonts w:ascii="Times New Roman;serif" w:hAnsi="Times New Roman;serif"/>
          <w:b w:val="false"/>
          <w:color w:val="000000"/>
          <w:sz w:val="24"/>
          <w:u w:val="single"/>
        </w:rPr>
        <w:t>Restrictive Covenant Agreement</w:t>
      </w:r>
      <w:r>
        <w:rPr>
          <w:color w:val="000000"/>
        </w:rPr>
        <w:t>”</w:t>
      </w:r>
      <w:r>
        <w:rPr>
          <w:rFonts w:ascii="Times New Roman;serif" w:hAnsi="Times New Roman;serif"/>
          <w:b w:val="false"/>
          <w:color w:val="000000"/>
          <w:sz w:val="24"/>
        </w:rPr>
        <w:t>), which Executive shall enter into currently with the execution of this Agreement, and (iii) the restrictive covenant provisions set forth in the Equity Award Agreements and any supplemental restrictive covenant agreement entered into in connection with any equity grant (collectively, the “</w:t>
      </w:r>
      <w:r>
        <w:rPr>
          <w:rFonts w:ascii="Times New Roman;serif" w:hAnsi="Times New Roman;serif"/>
          <w:b w:val="false"/>
          <w:color w:val="000000"/>
          <w:sz w:val="24"/>
          <w:u w:val="single"/>
        </w:rPr>
        <w:t>Restrictive Covenants</w:t>
      </w:r>
      <w:r>
        <w:rPr>
          <w:color w:val="000000"/>
        </w:rPr>
        <w:t>”</w:t>
      </w:r>
      <w:r>
        <w:rPr>
          <w:rFonts w:ascii="Times New Roman;serif" w:hAnsi="Times New Roman;serif"/>
          <w:b w:val="false"/>
          <w:color w:val="000000"/>
          <w:sz w:val="24"/>
        </w:rPr>
        <w:t>), which are incorporated by reference and made a part hereof. The Company acknowledges and reaffirms the Company’s obligations under Section 18(a) of the Employment Agreement.</w:t>
      </w:r>
    </w:p>
    <w:p>
      <w:pPr>
        <w:pStyle w:val="TextBody"/>
        <w:bidi w:val="0"/>
        <w:spacing w:lineRule="auto" w:line="240" w:before="0" w:after="240"/>
        <w:jc w:val="both"/>
        <w:rPr/>
      </w:pPr>
      <w:r>
        <w:rPr>
          <w:rFonts w:ascii="Times New Roman;serif" w:hAnsi="Times New Roman;serif"/>
          <w:b/>
          <w:color w:val="000000"/>
          <w:sz w:val="24"/>
        </w:rPr>
        <w:t>5.</w:t>
      </w:r>
      <w:r>
        <w:rPr>
          <w:rFonts w:ascii="Times New Roman;serif" w:hAnsi="Times New Roman;serif"/>
          <w:b/>
          <w:color w:val="000000"/>
          <w:sz w:val="24"/>
          <w:u w:val="single"/>
        </w:rPr>
        <w:t>Cooperation</w:t>
      </w:r>
      <w:r>
        <w:rPr>
          <w:rFonts w:ascii="Times New Roman;serif" w:hAnsi="Times New Roman;serif"/>
          <w:b w:val="false"/>
          <w:color w:val="000000"/>
          <w:sz w:val="24"/>
        </w:rPr>
        <w:t>. Upon the receipt of reasonable notice from the Company (including outside counsel), Executive agrees that, while employed by the Company and thereafter, Executive will respond and provide information, as promptly as reasonably practicable, with regard to matters in which Executive has knowledge as a result of Executive’s employment with the Company, and will provide reasonable assistance to the Company and its representatives, at the Company’s expense (including, without limitation, expenses reasonably incurred by Executive in cooperating and assisting hereunder), in defense of any claims that may be made against the Company (other than by Executive), and will reasonably assist the Company in the prosecution of any claims that may be made by the Company (other than against Executive), to the extent that such claims may relate to the period of Executive’s employment with the Company (collectively, the “</w:t>
      </w:r>
      <w:r>
        <w:rPr>
          <w:rFonts w:ascii="Times New Roman;serif" w:hAnsi="Times New Roman;serif"/>
          <w:b w:val="false"/>
          <w:color w:val="000000"/>
          <w:sz w:val="24"/>
          <w:u w:val="single"/>
        </w:rPr>
        <w:t>Claims</w:t>
      </w:r>
      <w:r>
        <w:rPr>
          <w:color w:val="000000"/>
        </w:rPr>
        <w:t>”</w:t>
      </w:r>
      <w:r>
        <w:rPr>
          <w:rFonts w:ascii="Times New Roman;serif" w:hAnsi="Times New Roman;serif"/>
          <w:b w:val="false"/>
          <w:color w:val="000000"/>
          <w:sz w:val="24"/>
        </w:rPr>
        <w:t>). For the avoidance of doubt, the cooperation referenced herein shall not unreasonably interfere with Executive’s then-current work responsibilities. Executive agrees to promptly inform the Company if Executive becomes aware of any lawsuits involving Claims that may be filed or threatened against the Company. Executive also agrees to promptly inform the Company (to the extent that Executive is legally permitted to do so) if Executive is asked to assist in any investigation of the Company (or its actions) or another party attempts to obtain information or documents from Executive (other than in connection with any litigation or other proceeding in which Executive is a party-in-opposition) with respect to matters Executive believes in good faith to relate to any investigation of the Company, in each case, regardless of whether a lawsuit or other proceeding has then been filed against the Company with respect to such investigation, and shall not do so unless legally required. During the pendency of any litigation or other proceeding involving Claims, Executive shall not communicate with anyone (other than Executive’s attorneys and tax and/or financial advisors and except to the extent that Executive determines in good faith is necessary in connection with the performance of Executive’s duties hereunder) with respect to the facts or subject matter of any pending or potential litigation or regulatory or administrative proceeding involving the Company without giving prior written notice to the Company or the Company’s counsel. For the avoidance of doubt, nothing herein shall be construed as requiring Executive to provide testimony (written or oral) that is untruthful or factually incorrect.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91"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4"/>
        </w:rPr>
        <w:t>6.</w:t>
      </w:r>
      <w:r>
        <w:rPr>
          <w:rFonts w:ascii="Times New Roman;serif" w:hAnsi="Times New Roman;serif"/>
          <w:b/>
          <w:color w:val="000000"/>
          <w:sz w:val="24"/>
          <w:u w:val="single"/>
        </w:rPr>
        <w:t>Consideration and Voluntary Signature</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Notwithstanding any other provision to the contrary in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Executive agrees and acknowledges that Executive: (i) has carefully read and fully understands all of the provisions of this Agreement, (ii) has been provided the opportunity to consult with an attorney of Executive’s choosing prior to executing this Agreement, and (iii) is knowingly and voluntarily intending to be legally bound by this Agreement;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Executive’s execution and delivery of the Release on or following the period set forth in the Release, and subject to such Release becoming effective in accordance with its terms, is only in exchange for consideration in addition to anything of value to which Executive is already entitled.</w:t>
      </w:r>
    </w:p>
    <w:p>
      <w:pPr>
        <w:pStyle w:val="TextBody"/>
        <w:bidi w:val="0"/>
        <w:spacing w:lineRule="auto" w:line="240" w:before="0" w:after="240"/>
        <w:jc w:val="both"/>
        <w:rPr/>
      </w:pPr>
      <w:r>
        <w:rPr>
          <w:rFonts w:ascii="Times New Roman;serif" w:hAnsi="Times New Roman;serif"/>
          <w:b/>
          <w:color w:val="000000"/>
          <w:sz w:val="24"/>
        </w:rPr>
        <w:t>7.</w:t>
      </w:r>
      <w:r>
        <w:rPr>
          <w:rFonts w:ascii="Times New Roman;serif" w:hAnsi="Times New Roman;serif"/>
          <w:b/>
          <w:color w:val="000000"/>
          <w:sz w:val="24"/>
          <w:u w:val="single"/>
        </w:rPr>
        <w:t>Successors and Assigns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This Agreement shall be binding upon and inure to the benefit of the parties hereto and their respective successors and assigns;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this Agreement, and all of Executive’s rights and duties hereunder, shall not be assignable or delegable by Executive. Any purported assignment or delegation by Executive in violation of the foregoing shall be null and void ab initio and of no force and effect.</w:t>
      </w:r>
    </w:p>
    <w:p>
      <w:pPr>
        <w:pStyle w:val="TextBody"/>
        <w:bidi w:val="0"/>
        <w:spacing w:lineRule="auto" w:line="240" w:before="0" w:after="240"/>
        <w:jc w:val="both"/>
        <w:rPr/>
      </w:pPr>
      <w:r>
        <w:rPr>
          <w:rFonts w:ascii="Times New Roman;serif" w:hAnsi="Times New Roman;serif"/>
          <w:b/>
          <w:color w:val="000000"/>
          <w:sz w:val="24"/>
        </w:rPr>
        <w:t>8.</w:t>
      </w:r>
      <w:r>
        <w:rPr>
          <w:rFonts w:ascii="Times New Roman;serif" w:hAnsi="Times New Roman;serif"/>
          <w:b/>
          <w:color w:val="000000"/>
          <w:sz w:val="24"/>
          <w:u w:val="single"/>
        </w:rPr>
        <w:t>Severability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If any provision of this Agreement shall be held by any court of competent jurisdiction to be illegal, void or unenforceable, such provision shall be of no force and effect. The illegality or unenforceability of such provision, however, shall have no effect upon and shall not impair the enforceability of any other provision of this Agreement.</w:t>
      </w:r>
    </w:p>
    <w:p>
      <w:pPr>
        <w:pStyle w:val="TextBody"/>
        <w:bidi w:val="0"/>
        <w:spacing w:lineRule="auto" w:line="240" w:before="0" w:after="240"/>
        <w:jc w:val="both"/>
        <w:rPr/>
      </w:pPr>
      <w:r>
        <w:rPr>
          <w:rFonts w:ascii="Times New Roman;serif" w:hAnsi="Times New Roman;serif"/>
          <w:b/>
          <w:color w:val="000000"/>
          <w:sz w:val="24"/>
        </w:rPr>
        <w:t>9.</w:t>
      </w:r>
      <w:r>
        <w:rPr>
          <w:rFonts w:ascii="Times New Roman;serif" w:hAnsi="Times New Roman;serif"/>
          <w:b/>
          <w:color w:val="000000"/>
          <w:sz w:val="24"/>
          <w:u w:val="single"/>
        </w:rPr>
        <w:t>Protected Activities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Nothing in this Agreement shall prohibit or impede Executive from communicating, cooperating or filing a complaint with any U.S. federal, state or local governmental or law enforcement branch, agency or entity (collectively, a “</w:t>
      </w:r>
      <w:r>
        <w:rPr>
          <w:rFonts w:ascii="Times New Roman;serif" w:hAnsi="Times New Roman;serif"/>
          <w:b w:val="false"/>
          <w:color w:val="000000"/>
          <w:sz w:val="24"/>
          <w:u w:val="single"/>
        </w:rPr>
        <w:t>Governmental Entity</w:t>
      </w:r>
      <w:r>
        <w:rPr>
          <w:color w:val="000000"/>
        </w:rPr>
        <w:t>”</w:t>
      </w:r>
      <w:r>
        <w:rPr>
          <w:rFonts w:ascii="Times New Roman;serif" w:hAnsi="Times New Roman;serif"/>
          <w:b w:val="false"/>
          <w:color w:val="000000"/>
          <w:sz w:val="24"/>
        </w:rPr>
        <w:t xml:space="preserve">) with respect to possible violations of any U.S. federal, state or local law or regulation, or otherwise making disclosures to any Governmental Entity, in each case, that are protected under the whistleblower provisions of any such law or regulation;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in each case such communications and disclosures are consistent with applicable law. Executive understands and acknowledges that an individual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Executive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Executive does not need the prior authorization of (or to give notice to) the Company regarding any such communication or disclosure. Except as provided in this paragraph or under applicable law, under no circumstance is Executive authorized to disclose any information covered by (or to waive in any respect) the Company’s attorney-client privilege or attorney work product, or trade secrets, without prior written consent of the Company. </w:t>
      </w:r>
    </w:p>
    <w:p>
      <w:pPr>
        <w:pStyle w:val="TextBody"/>
        <w:bidi w:val="0"/>
        <w:spacing w:lineRule="auto" w:line="240" w:before="0" w:after="240"/>
        <w:jc w:val="both"/>
        <w:rPr/>
      </w:pPr>
      <w:r>
        <w:rPr>
          <w:rFonts w:ascii="Times New Roman;serif" w:hAnsi="Times New Roman;serif"/>
          <w:b/>
          <w:color w:val="000000"/>
          <w:sz w:val="24"/>
        </w:rPr>
        <w:t>10.</w:t>
      </w:r>
      <w:r>
        <w:rPr>
          <w:rFonts w:ascii="Times New Roman;serif" w:hAnsi="Times New Roman;serif"/>
          <w:b/>
          <w:color w:val="000000"/>
          <w:sz w:val="24"/>
          <w:u w:val="single"/>
        </w:rPr>
        <w:t>Confidentiality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The terms and conditions of this Agreement are and shall be deemed to be confidential, and shall not be disclosed by Executive to any person or entity without the prior written consent of the Company, except if required by law, and to Executive’s accountants, attorneys and/or immediate family;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to the maximum extent permitted by applicable law, rule, code or regulation, they agree to maintain the confidentiality of the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following the Separation Date, Executive shall disclose the fact that she is subject to, and the general terms of, post-employment confidentiality, non-competition, and non-solicitation provisions to any subsequent employer or other entity to which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5445"/>
                <wp:effectExtent l="0" t="0" r="0" b="0"/>
                <wp:wrapNone/>
                <wp:docPr id="92" name="Frame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Executive provides services to the extent such provisions are still in effect at the time Executive commences such employment or service.</w:t>
      </w:r>
    </w:p>
    <w:p>
      <w:pPr>
        <w:pStyle w:val="TextBody"/>
        <w:bidi w:val="0"/>
        <w:spacing w:lineRule="auto" w:line="240" w:before="0" w:after="240"/>
        <w:jc w:val="both"/>
        <w:rPr/>
      </w:pPr>
      <w:r>
        <w:rPr>
          <w:rFonts w:ascii="Times New Roman;serif" w:hAnsi="Times New Roman;serif"/>
          <w:b/>
          <w:color w:val="000000"/>
          <w:sz w:val="24"/>
        </w:rPr>
        <w:t>11.</w:t>
      </w:r>
      <w:r>
        <w:rPr>
          <w:rFonts w:ascii="Times New Roman;serif" w:hAnsi="Times New Roman;serif"/>
          <w:b/>
          <w:color w:val="000000"/>
          <w:sz w:val="24"/>
          <w:u w:val="single"/>
        </w:rPr>
        <w:t>Return of Company Property</w:t>
      </w:r>
      <w:r>
        <w:rPr>
          <w:rFonts w:ascii="Times New Roman;serif" w:hAnsi="Times New Roman;serif"/>
          <w:b w:val="false"/>
          <w:color w:val="000000"/>
          <w:sz w:val="24"/>
        </w:rPr>
        <w:t xml:space="preserve">. Executive shall deliver to the Company on the Separation Date, or at any other time the Company may request, all memoranda, notes, plans, records, reports, printouts and software and other documents and data (and copies thereof) embodying or relating to the Confidential Information, Work Product or the business of the Company (including, without limitation, any of the foregoing that are in computer-readable form), and all other property relating or belonging to the Company, which she may then possess or have under her control. Notwithstanding the foregoing, Executive will be provided with a copy of her contact list and calendar (in each case, to the extent such contact list and calendar do not contain any Confidential Information), and may retain the Equity Documents (subject to the confidentiality obligations regarding Confidential Information therein); </w:t>
      </w:r>
      <w:r>
        <w:rPr>
          <w:rFonts w:ascii="Times New Roman;serif" w:hAnsi="Times New Roman;serif"/>
          <w:b w:val="false"/>
          <w:color w:val="000000"/>
          <w:sz w:val="24"/>
          <w:u w:val="single"/>
        </w:rPr>
        <w:t>provided</w:t>
      </w:r>
      <w:r>
        <w:rPr>
          <w:rFonts w:ascii="Times New Roman;serif" w:hAnsi="Times New Roman;serif"/>
          <w:b w:val="false"/>
          <w:color w:val="000000"/>
          <w:sz w:val="24"/>
        </w:rPr>
        <w:t>, that Executive must either (A) promptly deliver the Equity Documents to the Company or (B) promptly destroy the Equity Documents and provide written certification confirming Executive’s destruction of the Equity Documents, in either case, at such time when Executive no longer holds any equity interests in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For purposes of this </w:t>
      </w: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w:t>
      </w:r>
    </w:p>
    <w:p>
      <w:pPr>
        <w:pStyle w:val="TextBody"/>
        <w:bidi w:val="0"/>
        <w:spacing w:lineRule="auto" w:line="240" w:before="0" w:after="240"/>
        <w:ind w:left="0" w:right="0" w:hanging="720"/>
        <w:jc w:val="both"/>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means all data, information, ideas, concepts, discoveries, trade secrets, inventions (regardless of whether patentable or reduced to practice), innovations, improvements, know-how, developments, techniques, methods, processes, treatments, drawings, sketches, specifications, designs, plans, patterns, models and strategies, and all other confidential or proprietary information or trade secrets in any form or medium (whether merely remembered or embodied in a tangible or intangible form or medium) whether now or hereafter existing, relating to or arising from the past, current or potential business, activities and/or operations of the Company, including, any such information relating to or concerning finances, sales, marketing, advertising, transition, promotions, pricing, personnel, customers, suppliers, vendors, partners and/or competitors.</w:t>
      </w:r>
    </w:p>
    <w:p>
      <w:pPr>
        <w:pStyle w:val="TextBody"/>
        <w:bidi w:val="0"/>
        <w:spacing w:lineRule="auto" w:line="240" w:before="0" w:after="240"/>
        <w:ind w:left="0" w:right="0" w:hanging="720"/>
        <w:jc w:val="both"/>
        <w:rPr/>
      </w:pPr>
      <w:r>
        <w:rPr>
          <w:rFonts w:ascii="Times New Roman;serif" w:hAnsi="Times New Roman;serif"/>
          <w:b w:val="false"/>
          <w:color w:val="000000"/>
          <w:sz w:val="24"/>
        </w:rPr>
        <w:t>(ii)</w:t>
      </w:r>
      <w:r>
        <w:rPr>
          <w:color w:val="000000"/>
        </w:rPr>
        <w:t>“</w:t>
      </w:r>
      <w:r>
        <w:rPr>
          <w:rFonts w:ascii="Times New Roman;serif" w:hAnsi="Times New Roman;serif"/>
          <w:b w:val="false"/>
          <w:color w:val="000000"/>
          <w:sz w:val="24"/>
          <w:u w:val="single"/>
        </w:rPr>
        <w:t>Work Product</w:t>
      </w:r>
      <w:r>
        <w:rPr>
          <w:color w:val="000000"/>
        </w:rPr>
        <w:t xml:space="preserve">” </w:t>
      </w:r>
      <w:r>
        <w:rPr>
          <w:rFonts w:ascii="Times New Roman;serif" w:hAnsi="Times New Roman;serif"/>
          <w:b w:val="false"/>
          <w:color w:val="000000"/>
          <w:sz w:val="24"/>
        </w:rPr>
        <w:t>means all inventions, innovations, improvements, developments, methods, designs, analyses, drawings, reports and all similar or related information (whether or not patentable) which relate to the actual or reasonably anticipated business, research and development or existing or future products or services of the Company and which are conceived, developed or made by Executive while employed by the Company, whether before or after the date of this Agreement.</w:t>
      </w:r>
    </w:p>
    <w:p>
      <w:pPr>
        <w:pStyle w:val="TextBody"/>
        <w:bidi w:val="0"/>
        <w:spacing w:lineRule="auto" w:line="240" w:before="0" w:after="240"/>
        <w:jc w:val="both"/>
        <w:rPr/>
      </w:pPr>
      <w:r>
        <w:rPr>
          <w:rFonts w:ascii="Times New Roman;serif" w:hAnsi="Times New Roman;serif"/>
          <w:b/>
          <w:color w:val="000000"/>
          <w:sz w:val="24"/>
        </w:rPr>
        <w:t>12.</w:t>
      </w:r>
      <w:r>
        <w:rPr>
          <w:rFonts w:ascii="Times New Roman;serif" w:hAnsi="Times New Roman;serif"/>
          <w:b/>
          <w:color w:val="000000"/>
          <w:sz w:val="24"/>
          <w:u w:val="single"/>
        </w:rPr>
        <w:t>Indemnification.</w:t>
      </w:r>
      <w:r>
        <w:rPr>
          <w:color w:val="000000"/>
        </w:rPr>
        <w:t xml:space="preserve"> </w:t>
      </w:r>
      <w:r>
        <w:rPr>
          <w:rFonts w:ascii="Times New Roman;serif" w:hAnsi="Times New Roman;serif"/>
          <w:b w:val="false"/>
          <w:color w:val="000000"/>
          <w:sz w:val="24"/>
        </w:rPr>
        <w:t>Following the Separation Date, Executive shall be indemnified in accordance with the Company’s organizational documents and covered under any applicable directors’ and officers’ liability insurance policies maintained by the Company in respect of Executive’s service as a director and/or officer of the Company and any of its subsidiaries.</w:t>
      </w:r>
    </w:p>
    <w:p>
      <w:pPr>
        <w:pStyle w:val="TextBody"/>
        <w:bidi w:val="0"/>
        <w:spacing w:lineRule="auto" w:line="240" w:before="0" w:after="240"/>
        <w:jc w:val="both"/>
        <w:rPr/>
      </w:pPr>
      <w:r>
        <w:rPr>
          <w:rFonts w:ascii="Times New Roman;serif" w:hAnsi="Times New Roman;serif"/>
          <w:b/>
          <w:color w:val="000000"/>
          <w:sz w:val="24"/>
        </w:rPr>
        <w:t>13.</w:t>
      </w:r>
      <w:r>
        <w:rPr>
          <w:rFonts w:ascii="Times New Roman;serif" w:hAnsi="Times New Roman;serif"/>
          <w:b/>
          <w:color w:val="000000"/>
          <w:sz w:val="24"/>
          <w:u w:val="single"/>
        </w:rPr>
        <w:t>Section 409A</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This Agreement is intended to be exempt from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xml:space="preserve">) and will be interpreted in a manner intended to be exempt from Section 409A of the Code (and any related regulations or other pronouncements). Amounts payable under this Agreement shall be deemed not to be a “deferral of compensation” subject to Section 409A of the Code to the extent provided in the exceptions set forth in Treas. Reg. Section 1.409A-1(b)(4) (“short-term deferrals”) and Treas. Reg. Section 1.409A-1(b)(9) (“separation pay plans”) and other applicable provisions of Treas. Reg. Section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93" name="Frame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1.409A-1 through A-6. References under this Agreement to a termination of Executive’s employment shall be deemed to refer to the date upon which Executive has experienced a “separation from service” within the meaning of Section 409A of the Code. Each payment made under this Agreement shall be designated as a “separate payment” within the meaning of Section 409A of the Code. For the avoidance of doubt, any continued health benefit plan coverage that Executive is entitled to receive following Executive’s termination of employment is expected to be exempt from Section 409A of the Code and, as such, shall not be subject to delay pursuant to this paragraph. To the extent that any reimbursement, fringe benefit, or other similar arrangement provided herein provides for a “deferral of compensation” within the meaning of Section 409A of the Code, (i) the right to reimbursement or in-kind benefits shall not be subject to liquidation or exchange for another benefit, (ii) the amount eligible for reimbursement or payment in one calendar year may not affect the amount eligible for reimbursement or payment in any other calendar year (except that a plan providing medical or health benefits may impose a generally applicable limit on the amount that may be reimbursed or paid), (iii) subject to any shorter time periods provided in any expense reimbursement policy of the Company, any reimbursement or payment of an expense under such plan or arrangement must be made on or before the last day of the calendar year following the calendar year in which the expense was incurred, and (iv) the reimbursements shall be made pursuant to objectively determinable and nondiscretionary Company policies and procedures regarding such reimbursement of expenses. While the payments and benefits provided hereunder are intended to be structured in a manner to avoid the implication of any penalty taxes under Section 409A of the Code, in no event whatsoever shall the Company, its affiliates or its subsidiaries be liable for any additional tax, interest or penalties that may be imposed on Executive as a result of Section 409A of the Code or any damages for failing to comply with Section 409A of the Code (other than for withholding obligations or other obligations applicable to employers, if any, under Section 409A of the Code).</w:t>
      </w:r>
    </w:p>
    <w:p>
      <w:pPr>
        <w:pStyle w:val="TextBody"/>
        <w:bidi w:val="0"/>
        <w:spacing w:lineRule="auto" w:line="240" w:before="0" w:after="240"/>
        <w:jc w:val="both"/>
        <w:rPr/>
      </w:pPr>
      <w:r>
        <w:rPr>
          <w:rFonts w:ascii="Times New Roman;serif" w:hAnsi="Times New Roman;serif"/>
          <w:b/>
          <w:color w:val="000000"/>
          <w:sz w:val="24"/>
        </w:rPr>
        <w:t>14.</w:t>
      </w:r>
      <w:r>
        <w:rPr>
          <w:rFonts w:ascii="Times New Roman;serif" w:hAnsi="Times New Roman;serif"/>
          <w:b/>
          <w:color w:val="000000"/>
          <w:sz w:val="24"/>
          <w:u w:val="single"/>
        </w:rPr>
        <w:t>Non-Admission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Nothing in this Agreement will be deemed or construed as an admission of wrongdoing or liability on the part of Executive or the Company or any of its respective affiliates.</w:t>
      </w:r>
    </w:p>
    <w:p>
      <w:pPr>
        <w:pStyle w:val="TextBody"/>
        <w:bidi w:val="0"/>
        <w:spacing w:lineRule="auto" w:line="240" w:before="0" w:after="240"/>
        <w:jc w:val="both"/>
        <w:rPr/>
      </w:pPr>
      <w:r>
        <w:rPr>
          <w:rFonts w:ascii="Times New Roman;serif" w:hAnsi="Times New Roman;serif"/>
          <w:b/>
          <w:color w:val="000000"/>
          <w:sz w:val="24"/>
        </w:rPr>
        <w:t>15.</w:t>
      </w:r>
      <w:r>
        <w:rPr>
          <w:rFonts w:ascii="Times New Roman;serif" w:hAnsi="Times New Roman;serif"/>
          <w:b/>
          <w:color w:val="000000"/>
          <w:sz w:val="24"/>
          <w:u w:val="single"/>
        </w:rPr>
        <w:t>Entire Agreement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This Agreement, together with the Release and the Restrictive Covenant Agreement, constitutes the entire understanding and agreement of the parties hereto regarding the termination of Executive’s employment with the Company, and supersedes all prior negotiations, discussions, correspondence, communications, understandings and agreements between the parties relating to the subject matter of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that, except as otherwise expressly modified herein, the terms of the Employment Agreement and the Equity Documents shall continue to apply to Executive.</w:t>
      </w:r>
    </w:p>
    <w:p>
      <w:pPr>
        <w:pStyle w:val="TextBody"/>
        <w:bidi w:val="0"/>
        <w:spacing w:lineRule="auto" w:line="240" w:before="0" w:after="240"/>
        <w:jc w:val="both"/>
        <w:rPr/>
      </w:pPr>
      <w:r>
        <w:rPr>
          <w:rFonts w:ascii="Times New Roman;serif" w:hAnsi="Times New Roman;serif"/>
          <w:b/>
          <w:color w:val="000000"/>
          <w:sz w:val="24"/>
        </w:rPr>
        <w:t>16.</w:t>
      </w:r>
      <w:r>
        <w:rPr>
          <w:rFonts w:ascii="Times New Roman;serif" w:hAnsi="Times New Roman;serif"/>
          <w:b/>
          <w:color w:val="000000"/>
          <w:sz w:val="24"/>
          <w:u w:val="single"/>
        </w:rPr>
        <w:t>Withholding Taxes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Company may withhold from any payments made under this Agreement all applicable taxes (other than with regard to the legal fee reimbursement described in Section 2(b) above), including but not limited to income, employment, and social insurance taxes, as shall be required by law. Executive acknowledges and represents that the Company has not provided any tax advice to Executive in connection with this Agreement, the Employment Agreement, and the Equity Award Agreements and Executive has been advised by the Company to seek tax advice from Executive’s own tax advisors regarding this Agreement and payments and benefits that may be made to Executive pursuant to this Agreement.</w:t>
      </w:r>
    </w:p>
    <w:p>
      <w:pPr>
        <w:pStyle w:val="TextBody"/>
        <w:bidi w:val="0"/>
        <w:spacing w:lineRule="auto" w:line="240" w:before="0" w:after="240"/>
        <w:jc w:val="both"/>
        <w:rPr/>
      </w:pPr>
      <w:r>
        <w:rPr>
          <w:rFonts w:ascii="Times New Roman;serif" w:hAnsi="Times New Roman;serif"/>
          <w:b/>
          <w:color w:val="000000"/>
          <w:sz w:val="24"/>
        </w:rPr>
        <w:t>17.</w:t>
      </w:r>
      <w:r>
        <w:rPr>
          <w:rFonts w:ascii="Times New Roman;serif" w:hAnsi="Times New Roman;serif"/>
          <w:b/>
          <w:color w:val="000000"/>
          <w:sz w:val="24"/>
          <w:u w:val="single"/>
        </w:rPr>
        <w:t>Choice of Law and Venue</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This Agreement will be deemed to have been executed and delivered within the State of New Jersey, and the rights and obligations of the parties hereunder will be construed and enforced in accordance with, and governed by, the laws of the State of New Jersey without regard to principles of conflict of laws.</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94"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4"/>
        </w:rPr>
        <w:t>18.</w:t>
      </w:r>
      <w:r>
        <w:rPr>
          <w:rFonts w:ascii="Times New Roman;serif" w:hAnsi="Times New Roman;serif"/>
          <w:b/>
          <w:color w:val="000000"/>
          <w:sz w:val="24"/>
          <w:u w:val="single"/>
        </w:rPr>
        <w:t>Counterparts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This Agreement may be executed in multiple original counterparts, each of which shall be deemed an original and all of which together shall constitute but one and the same document.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5445"/>
                <wp:effectExtent l="0" t="0" r="0" b="0"/>
                <wp:wrapNone/>
                <wp:docPr id="95" name="Frame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color w:val="000000"/>
        </w:rPr>
        <w:t>        </w:t>
      </w:r>
      <w:r>
        <w:rPr>
          <w:rFonts w:ascii="Times New Roman;serif" w:hAnsi="Times New Roman;serif"/>
          <w:b/>
          <w:color w:val="000000"/>
          <w:sz w:val="24"/>
        </w:rPr>
        <w:t>IN WITNESS WHEREOF</w:t>
      </w:r>
      <w:r>
        <w:rPr>
          <w:rFonts w:ascii="Times New Roman;serif" w:hAnsi="Times New Roman;serif"/>
          <w:b w:val="false"/>
          <w:color w:val="000000"/>
          <w:sz w:val="24"/>
        </w:rPr>
        <w:t>, the undersigned has executed this Agreement as of the Effective Date.</w:t>
      </w:r>
    </w:p>
    <w:p>
      <w:pPr>
        <w:pStyle w:val="TextBody"/>
        <w:bidi w:val="0"/>
        <w:spacing w:before="0" w:after="240"/>
        <w:jc w:val="both"/>
        <w:rPr/>
      </w:pPr>
      <w:r>
        <w:rPr/>
      </w:r>
    </w:p>
    <w:p>
      <w:pPr>
        <w:pStyle w:val="TextBody"/>
        <w:bidi w:val="0"/>
        <w:spacing w:lineRule="auto" w:line="288" w:before="0" w:after="240"/>
        <w:jc w:val="both"/>
        <w:rPr/>
      </w:pPr>
      <w:r>
        <w:rPr>
          <w:color w:val="000000"/>
        </w:rPr>
        <w:t>    </w:t>
      </w:r>
      <w:r>
        <w:rPr>
          <w:rFonts w:ascii="Times New Roman;serif" w:hAnsi="Times New Roman;serif"/>
          <w:b/>
          <w:color w:val="000000"/>
          <w:sz w:val="24"/>
        </w:rPr>
        <w:t>COMPANY:</w:t>
      </w:r>
      <w:r>
        <w:rPr>
          <w:color w:val="000000"/>
        </w:rPr>
        <w:t>            </w:t>
      </w:r>
      <w:r>
        <w:rPr>
          <w:rFonts w:ascii="Times New Roman;serif" w:hAnsi="Times New Roman;serif"/>
          <w:b/>
          <w:color w:val="000000"/>
          <w:sz w:val="24"/>
        </w:rPr>
        <w:t>INTEGRA LIFESCIENCES HOLDINGS CORPORATION</w:t>
      </w:r>
    </w:p>
    <w:p>
      <w:pPr>
        <w:pStyle w:val="TextBody"/>
        <w:bidi w:val="0"/>
        <w:spacing w:before="0" w:after="0"/>
        <w:ind w:left="0" w:right="0" w:firstLine="2880"/>
        <w:jc w:val="both"/>
        <w:rPr/>
      </w:pPr>
      <w:r>
        <w:rPr/>
      </w:r>
    </w:p>
    <w:p>
      <w:pPr>
        <w:pStyle w:val="TextBody"/>
        <w:bidi w:val="0"/>
        <w:spacing w:before="0" w:after="0"/>
        <w:ind w:left="0" w:right="0" w:firstLine="2880"/>
        <w:jc w:val="both"/>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4"/>
        </w:rPr>
        <w:t>_</w:t>
      </w:r>
      <w:r>
        <w:rPr>
          <w:rFonts w:ascii="Times New Roman;serif" w:hAnsi="Times New Roman;serif"/>
          <w:b w:val="false"/>
          <w:color w:val="000000"/>
          <w:sz w:val="24"/>
          <w:u w:val="single"/>
        </w:rPr>
        <w:t xml:space="preserve">/s/ Renee Lo </w:t>
      </w:r>
      <w:r>
        <w:rPr>
          <w:rFonts w:ascii="Times New Roman;serif" w:hAnsi="Times New Roman;serif"/>
          <w:b w:val="false"/>
          <w:color w:val="000000"/>
          <w:sz w:val="24"/>
        </w:rPr>
        <w:t>_____________________________________                        By: Renee Lo</w:t>
      </w:r>
    </w:p>
    <w:p>
      <w:pPr>
        <w:pStyle w:val="TextBody"/>
        <w:bidi w:val="0"/>
        <w:spacing w:lineRule="auto" w:line="288" w:before="0" w:after="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before="0" w:after="0"/>
        <w:ind w:left="0" w:right="0" w:firstLine="2880"/>
        <w:jc w:val="both"/>
        <w:rPr/>
      </w:pPr>
      <w:r>
        <w:rPr/>
      </w:r>
    </w:p>
    <w:p>
      <w:pPr>
        <w:pStyle w:val="TextBody"/>
        <w:bidi w:val="0"/>
        <w:spacing w:before="0" w:after="0"/>
        <w:ind w:left="0" w:right="0" w:firstLine="288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color w:val="000000"/>
          <w:sz w:val="24"/>
        </w:rPr>
        <w:t>INTEGRA LIFESCIENCES CORPORATION</w:t>
      </w:r>
    </w:p>
    <w:p>
      <w:pPr>
        <w:pStyle w:val="TextBody"/>
        <w:bidi w:val="0"/>
        <w:spacing w:before="0" w:after="0"/>
        <w:ind w:left="0" w:right="0" w:firstLine="2880"/>
        <w:jc w:val="both"/>
        <w:rPr/>
      </w:pPr>
      <w:r>
        <w:rPr/>
      </w:r>
    </w:p>
    <w:p>
      <w:pPr>
        <w:pStyle w:val="TextBody"/>
        <w:bidi w:val="0"/>
        <w:spacing w:lineRule="auto" w:line="288" w:before="0" w:after="0"/>
        <w:ind w:left="0" w:right="0" w:firstLine="2880"/>
        <w:jc w:val="both"/>
        <w:rPr>
          <w:color w:val="000000"/>
        </w:rPr>
      </w:pPr>
      <w:r>
        <w:rPr>
          <w:color w:val="000000"/>
        </w:rPr>
        <w:t>        </w:t>
      </w:r>
    </w:p>
    <w:p>
      <w:pPr>
        <w:pStyle w:val="TextBody"/>
        <w:bidi w:val="0"/>
        <w:spacing w:lineRule="auto" w:line="288" w:before="0" w:after="0"/>
        <w:ind w:left="0" w:right="0" w:firstLine="2880"/>
        <w:jc w:val="both"/>
        <w:rPr/>
      </w:pPr>
      <w:r>
        <w:rPr>
          <w:rFonts w:ascii="Times New Roman;serif" w:hAnsi="Times New Roman;serif"/>
          <w:b w:val="false"/>
          <w:color w:val="000000"/>
          <w:sz w:val="24"/>
          <w:u w:val="single"/>
        </w:rPr>
        <w:t>__/s/ Michael Hutchinson</w:t>
      </w:r>
      <w:r>
        <w:rPr>
          <w:rFonts w:ascii="Times New Roman;serif" w:hAnsi="Times New Roman;serif"/>
          <w:b w:val="false"/>
          <w:color w:val="000000"/>
          <w:sz w:val="24"/>
        </w:rPr>
        <w:t>_____________________________                        By: Michael Hutchinson</w:t>
      </w:r>
    </w:p>
    <w:p>
      <w:pPr>
        <w:pStyle w:val="TextBody"/>
        <w:bidi w:val="0"/>
        <w:spacing w:lineRule="auto" w:line="288" w:before="0" w:after="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Title: Chief Legal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w:t>
                            </w:r>
                            <w:r>
                              <w:rPr>
                                <w:rFonts w:ascii="Times New Roman;serif" w:hAnsi="Times New Roman;serif"/>
                                <w:b w:val="false"/>
                                <w:i/>
                                <w:color w:val="000000"/>
                                <w:sz w:val="20"/>
                              </w:rPr>
                              <w:t>Company Signature Page to Separation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w:t>
                      </w:r>
                      <w:r>
                        <w:rPr>
                          <w:rFonts w:ascii="Times New Roman;serif" w:hAnsi="Times New Roman;serif"/>
                          <w:b w:val="false"/>
                          <w:i/>
                          <w:color w:val="000000"/>
                          <w:sz w:val="20"/>
                        </w:rPr>
                        <w:t>Company Signature Page to Separation Agreement</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240"/>
        <w:jc w:val="both"/>
        <w:rPr/>
      </w:pPr>
      <w:r>
        <w:rPr>
          <w:color w:val="000000"/>
        </w:rPr>
        <w:t>        </w:t>
      </w:r>
      <w:r>
        <w:rPr>
          <w:rFonts w:ascii="Times New Roman;serif" w:hAnsi="Times New Roman;serif"/>
          <w:b/>
          <w:color w:val="000000"/>
          <w:sz w:val="24"/>
        </w:rPr>
        <w:t>IN WITNESS WHEREOF</w:t>
      </w:r>
      <w:r>
        <w:rPr>
          <w:rFonts w:ascii="Times New Roman;serif" w:hAnsi="Times New Roman;serif"/>
          <w:b w:val="false"/>
          <w:color w:val="000000"/>
          <w:sz w:val="24"/>
        </w:rPr>
        <w:t>, the undersigned has executed this Agreement as of the Effective Date.</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0"/>
        <w:jc w:val="both"/>
        <w:rPr/>
      </w:pPr>
      <w:r>
        <w:rPr>
          <w:rFonts w:ascii="Times New Roman;serif" w:hAnsi="Times New Roman;serif"/>
          <w:b/>
          <w:color w:val="000000"/>
          <w:sz w:val="24"/>
        </w:rPr>
        <w:t>EXECUTIVE</w:t>
      </w:r>
      <w:r>
        <w:rPr>
          <w:rFonts w:ascii="Times New Roman;serif" w:hAnsi="Times New Roman;serif"/>
          <w:b w:val="false"/>
          <w:color w:val="000000"/>
          <w:sz w:val="24"/>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4"/>
        </w:rPr>
        <w:t>__</w:t>
      </w:r>
      <w:r>
        <w:rPr>
          <w:rFonts w:ascii="Times New Roman;serif" w:hAnsi="Times New Roman;serif"/>
          <w:b w:val="false"/>
          <w:color w:val="000000"/>
          <w:sz w:val="24"/>
          <w:u w:val="single"/>
        </w:rPr>
        <w:t>/s/ Mojdeh Poul</w:t>
      </w:r>
      <w:r>
        <w:rPr>
          <w:rFonts w:ascii="Times New Roman;serif" w:hAnsi="Times New Roman;serif"/>
          <w:b w:val="false"/>
          <w:color w:val="000000"/>
          <w:sz w:val="24"/>
        </w:rPr>
        <w:t>__________________________________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Mojdeh Poul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w:t>
                            </w:r>
                            <w:r>
                              <w:rPr>
                                <w:rFonts w:ascii="Times New Roman;serif" w:hAnsi="Times New Roman;serif"/>
                                <w:b w:val="false"/>
                                <w:i/>
                                <w:color w:val="000000"/>
                                <w:sz w:val="20"/>
                              </w:rPr>
                              <w:t>Executive Signature Page to Separation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w:t>
                      </w:r>
                      <w:r>
                        <w:rPr>
                          <w:rFonts w:ascii="Times New Roman;serif" w:hAnsi="Times New Roman;serif"/>
                          <w:b w:val="false"/>
                          <w:i/>
                          <w:color w:val="000000"/>
                          <w:sz w:val="20"/>
                        </w:rPr>
                        <w:t>Executive Signature Page to Separation Agreement</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GENERAL RELEASE</w:t>
      </w:r>
    </w:p>
    <w:p>
      <w:pPr>
        <w:pStyle w:val="TextBody"/>
        <w:bidi w:val="0"/>
        <w:spacing w:before="0" w:after="240"/>
        <w:jc w:val="center"/>
        <w:rPr/>
      </w:pPr>
      <w:r>
        <w:rPr/>
      </w:r>
    </w:p>
    <w:p>
      <w:pPr>
        <w:pStyle w:val="TextBody"/>
        <w:bidi w:val="0"/>
        <w:spacing w:lineRule="auto" w:line="288" w:before="0" w:after="240"/>
        <w:jc w:val="center"/>
        <w:rPr/>
      </w:pPr>
      <w:r>
        <w:rPr>
          <w:rFonts w:ascii="Times New Roman;serif" w:hAnsi="Times New Roman;serif"/>
          <w:b w:val="false"/>
          <w:color w:val="000000"/>
          <w:sz w:val="18"/>
        </w:rPr>
        <w:t>[</w:t>
      </w:r>
      <w:r>
        <w:rPr>
          <w:rFonts w:ascii="Times New Roman;serif" w:hAnsi="Times New Roman;serif"/>
          <w:b w:val="false"/>
          <w:i/>
          <w:color w:val="000000"/>
          <w:sz w:val="18"/>
        </w:rPr>
        <w:t>These materials have been omitted pursuant to Item 601(a)(5) of Regulation S-K under the Securities Act of 1933, as amended. The registrant agrees to furnish supplementally a copy of the omitted materials to the Securities and Exchange Commission upon request.</w:t>
      </w:r>
      <w:r>
        <w:rPr>
          <w:rFonts w:ascii="Times New Roman;serif" w:hAnsi="Times New Roman;serif"/>
          <w:b w:val="false"/>
          <w:color w:val="000000"/>
          <w:sz w:val="18"/>
        </w:rPr>
        <w:t>]</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hanging="360"/>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CONFIDENTIALITY AND INVENTION DISCLOSURE AND NON-COMPETE AGREEMENT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jc w:val="center"/>
        <w:rPr/>
      </w:pPr>
      <w:r>
        <w:rPr>
          <w:rFonts w:ascii="Times New Roman;serif" w:hAnsi="Times New Roman;serif"/>
          <w:b w:val="false"/>
          <w:color w:val="000000"/>
          <w:sz w:val="18"/>
        </w:rPr>
        <w:t>[</w:t>
      </w:r>
      <w:r>
        <w:rPr>
          <w:rFonts w:ascii="Times New Roman;serif" w:hAnsi="Times New Roman;serif"/>
          <w:b w:val="false"/>
          <w:i/>
          <w:color w:val="000000"/>
          <w:sz w:val="18"/>
        </w:rPr>
        <w:t>These materials have been omitted pursuant to Item 601(a)(5) of Regulation S-K under the Securities Act of 1933, as amended. The registrant agrees to furnish supplementally a copy of the omitted materials to the Securities and Exchange Commission upon request.</w:t>
      </w:r>
      <w:r>
        <w:rPr>
          <w:rFonts w:ascii="Times New Roman;serif" w:hAnsi="Times New Roman;serif"/>
          <w:b w:val="false"/>
          <w:color w:val="000000"/>
          <w:sz w:val="18"/>
        </w:rPr>
        <w: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0520"/>
                <wp:effectExtent l="0" t="0" r="0" b="0"/>
                <wp:wrapNone/>
                <wp:docPr id="99" name="Frame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302 of the Sarbanes-Oxley Act of 2002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Stuart M. Essig,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Integra LifeSciences Holdings Corporation;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5924"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211"/>
        <w:gridCol w:w="1211"/>
        <w:gridCol w:w="17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Stuart M. Essig,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M. Essig,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Chairman,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302 of the Sarbanes-Oxley Act of 2002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Lea Knight,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Integra LifeSciences Holdings Corporation;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269"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17"/>
        <w:gridCol w:w="1317"/>
        <w:gridCol w:w="18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Integra LifeSciences Holdings Corporation (the “Company”) on Form 10-Q for the quarter ended June 30, 2026 as filed with the Securities Exchange Commission on the date hereof (the “Report”), I, Stuart M. Essig, Chairman, President and Chief Executive Officer of the Company, hereby certify, pursuant to 18 U.S.C. §1350, as adopted pursuant to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 of Section 13(a) or Section 15(d), as applicable, of the Securities Exchange Act of 1934, as amended;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924"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211"/>
        <w:gridCol w:w="1211"/>
        <w:gridCol w:w="17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Stuart M. Essig,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M. Essig,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Chairman,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Integra LifeSciences Holdings Corporation (the “Company”) on Form 10-Q for the quarter ended June 30, 2026 as filed with the Securities Exchange Commission on the date hereof (the “Report”), I, Lea Knight, Executive Vice President and Chief Financial Officer of the Company, hereby certify, pursuant to 18 U.S.C. §1350, as adopted pursuant to §906 of the Sarbanes-Oxley Act of 2002, that to the best of my knowledge: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 of Section 13(a) or Section 15(d), as applicable, of the Securities Exchange Act of 1934, as amended;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6269"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17"/>
        <w:gridCol w:w="1317"/>
        <w:gridCol w:w="18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17520/000091752006000066/ex3-1aform10k031406.txt" TargetMode="External"/><Relationship Id="rId3" Type="http://schemas.openxmlformats.org/officeDocument/2006/relationships/hyperlink" Target="https://www.sec.gov/Archives/edgar/data/917520/0000889812-99-001063.txt" TargetMode="External"/><Relationship Id="rId4" Type="http://schemas.openxmlformats.org/officeDocument/2006/relationships/hyperlink" Target="https://www.sec.gov/Archives/edgar/data/917520/000095012305003217/y06769exv3w1wc.txt" TargetMode="External"/><Relationship Id="rId5" Type="http://schemas.openxmlformats.org/officeDocument/2006/relationships/hyperlink" Target="https://www.sec.gov/Archives/edgar/data/917520/000091752016000107/ex_3x1xfileddecember22x2016.htm" TargetMode="External"/><Relationship Id="rId6" Type="http://schemas.openxmlformats.org/officeDocument/2006/relationships/hyperlink" Target="https://www.sec.gov/Archives/edgar/data/917520/000091752024000108/iart-20240930xexx31e.htm" TargetMode="External"/><Relationship Id="rId7" Type="http://schemas.openxmlformats.org/officeDocument/2006/relationships/hyperlink" Target="https://www.sec.gov/Archives/edgar/data/917520/000091752023000015/iart-20221231xexx33.htm" TargetMode="External"/><Relationship Id="rId8" Type="http://schemas.openxmlformats.org/officeDocument/2006/relationships/hyperlink" Target="https://www.sec.gov/Archives/edgar/data/917520/000091752026000041/iart-20260331xexx103.htm" TargetMode="External"/><Relationship Id="rId9" Type="http://schemas.openxmlformats.org/officeDocument/2006/relationships/hyperlink" Target="https://www.sec.gov/Archives/edgar/data/917520/000091752026000041/iart-20260331xexx103.htm" TargetMode="External"/><Relationship Id="rId10" Type="http://schemas.openxmlformats.org/officeDocument/2006/relationships/hyperlink" Target="https://www.sec.gov/Archives/edgar/data/917520/000091752026000041/iart-20260331xexx103.htm" TargetMode="External"/><Relationship Id="rId11" Type="http://schemas.openxmlformats.org/officeDocument/2006/relationships/hyperlink" Target="https://www.sec.gov/Archives/edgar/data/917520/000091752026000041/iart-20260331xexx103.htm" TargetMode="External"/><Relationship Id="rId12" Type="http://schemas.openxmlformats.org/officeDocument/2006/relationships/hyperlink" Target="https://www.sec.gov/Archives/edgar/data/917520/000091752026000041/iart-20260331xexx103.htm" TargetMode="External"/><Relationship Id="rId13" Type="http://schemas.openxmlformats.org/officeDocument/2006/relationships/hyperlink" Target="https://www.sec.gov/Archives/edgar/data/917520/000091752026000041/iart-20260331xexx104.htm" TargetMode="External"/><Relationship Id="rId14" Type="http://schemas.openxmlformats.org/officeDocument/2006/relationships/hyperlink" Target="https://www.sec.gov/Archives/edgar/data/917520/000091752026000041/iart-20260331xexx104.htm" TargetMode="External"/><Relationship Id="rId15" Type="http://schemas.openxmlformats.org/officeDocument/2006/relationships/hyperlink" Target="https://www.sec.gov/Archives/edgar/data/917520/000091752026000041/iart-20260331xexx104.htm" TargetMode="External"/><Relationship Id="rId16" Type="http://schemas.openxmlformats.org/officeDocument/2006/relationships/hyperlink" Target="https://www.sec.gov/Archives/edgar/data/917520/000091752026000041/iart-20260331xexx104.htm" TargetMode="External"/><Relationship Id="rId17" Type="http://schemas.openxmlformats.org/officeDocument/2006/relationships/hyperlink" Target="https://www.sec.gov/Archives/edgar/data/917520/000091752026000041/iart-20260331xexx104.htm" TargetMode="External"/><Relationship Id="rId18" Type="http://schemas.openxmlformats.org/officeDocument/2006/relationships/hyperlink" Target="https://www.sec.gov/Archives/edgar/data/917520/000091752026000041/iart-20260331xexx104.htm" TargetMode="External"/><Relationship Id="rId19" Type="http://schemas.openxmlformats.org/officeDocument/2006/relationships/hyperlink" Target="https://www.sec.gov/Archives/edgar/data/917520/000091752026000044/ex101_amendequityplanxapri.htm" TargetMode="External"/><Relationship Id="rId20" Type="http://schemas.openxmlformats.org/officeDocument/2006/relationships/hyperlink" Target="https://www.sec.gov/Archives/edgar/data/917520/000091752026000011/iart-20251231xexx1013.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50396</Words>
  <Characters>280344</Characters>
  <CharactersWithSpaces>328995</CharactersWithSpaces>
  <Paragraphs>3652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