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00" w:type="dxa"/>
        <w:tblCellMar>
          <w:top w:w="0" w:type="dxa"/>
          <w:left w:w="0" w:type="dxa"/>
          <w:bottom w:w="0" w:type="dxa"/>
          <w:right w:w="0" w:type="dxa"/>
        </w:tblCellMar>
      </w:tblPr>
      <w:tr>
        <w:trPr>
          <w:trHeight w:val="218"/>
        </w:trPr>
        <w:tc>
          <w:tcPr>
            <w:tcW w:w="4900" w:type="dxa"/>
            <w:vAlign w:val="bottom"/>
          </w:tcPr>
          <w:p>
            <w:pPr>
              <w:jc w:val="center"/>
              <w:ind w:right="1642"/>
              <w:spacing w:after="0"/>
              <w:rPr>
                <w:sz w:val="20"/>
                <w:szCs w:val="20"/>
                <w:color w:val="auto"/>
              </w:rPr>
            </w:pPr>
            <w:r>
              <w:rPr>
                <w:rFonts w:ascii="Arial" w:cs="Arial" w:eastAsia="Arial" w:hAnsi="Arial"/>
                <w:sz w:val="18"/>
                <w:szCs w:val="18"/>
                <w:b w:val="1"/>
                <w:bCs w:val="1"/>
                <w:color w:val="auto"/>
                <w:w w:val="94"/>
              </w:rPr>
              <w:t>DELAWARE</w:t>
            </w:r>
          </w:p>
        </w:tc>
        <w:tc>
          <w:tcPr>
            <w:tcW w:w="3180" w:type="dxa"/>
            <w:vAlign w:val="bottom"/>
          </w:tcPr>
          <w:p>
            <w:pPr>
              <w:jc w:val="right"/>
              <w:ind w:right="224"/>
              <w:spacing w:after="0"/>
              <w:rPr>
                <w:sz w:val="20"/>
                <w:szCs w:val="20"/>
                <w:color w:val="auto"/>
              </w:rPr>
            </w:pPr>
            <w:r>
              <w:rPr>
                <w:rFonts w:ascii="Arial" w:cs="Arial" w:eastAsia="Arial" w:hAnsi="Arial"/>
                <w:sz w:val="18"/>
                <w:szCs w:val="18"/>
                <w:b w:val="1"/>
                <w:bCs w:val="1"/>
                <w:color w:val="auto"/>
              </w:rPr>
              <w:t>51-0317849</w:t>
            </w:r>
          </w:p>
        </w:tc>
      </w:tr>
      <w:tr>
        <w:trPr>
          <w:trHeight w:val="149"/>
        </w:trPr>
        <w:tc>
          <w:tcPr>
            <w:tcW w:w="4900" w:type="dxa"/>
            <w:vAlign w:val="bottom"/>
          </w:tcPr>
          <w:p>
            <w:pPr>
              <w:jc w:val="center"/>
              <w:ind w:right="164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180" w:type="dxa"/>
            <w:vAlign w:val="bottom"/>
          </w:tcPr>
          <w:p>
            <w:pPr>
              <w:jc w:val="center"/>
              <w:ind w:left="164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4"/>
        </w:trPr>
        <w:tc>
          <w:tcPr>
            <w:tcW w:w="4900" w:type="dxa"/>
            <w:vAlign w:val="bottom"/>
          </w:tcPr>
          <w:p>
            <w:pPr>
              <w:jc w:val="center"/>
              <w:ind w:right="1622"/>
              <w:spacing w:after="0"/>
              <w:rPr>
                <w:sz w:val="20"/>
                <w:szCs w:val="20"/>
                <w:color w:val="auto"/>
              </w:rPr>
            </w:pPr>
            <w:r>
              <w:rPr>
                <w:rFonts w:ascii="Arial" w:cs="Arial" w:eastAsia="Arial" w:hAnsi="Arial"/>
                <w:sz w:val="14"/>
                <w:szCs w:val="14"/>
                <w:b w:val="1"/>
                <w:bCs w:val="1"/>
                <w:color w:val="auto"/>
                <w:w w:val="98"/>
              </w:rPr>
              <w:t>INCORPORATION OR ORGANIZATION)</w:t>
            </w:r>
          </w:p>
        </w:tc>
        <w:tc>
          <w:tcPr>
            <w:tcW w:w="3180" w:type="dxa"/>
            <w:vAlign w:val="bottom"/>
          </w:tcPr>
          <w:p>
            <w:pPr>
              <w:jc w:val="center"/>
              <w:ind w:left="1644"/>
              <w:spacing w:after="0"/>
              <w:rPr>
                <w:sz w:val="20"/>
                <w:szCs w:val="20"/>
                <w:color w:val="auto"/>
              </w:rPr>
            </w:pPr>
            <w:r>
              <w:rPr>
                <w:rFonts w:ascii="Arial" w:cs="Arial" w:eastAsia="Arial" w:hAnsi="Arial"/>
                <w:sz w:val="14"/>
                <w:szCs w:val="14"/>
                <w:b w:val="1"/>
                <w:bCs w:val="1"/>
                <w:color w:val="auto"/>
              </w:rPr>
              <w:t>IDENTIFICATION NO.)</w:t>
            </w:r>
          </w:p>
        </w:tc>
      </w:tr>
      <w:tr>
        <w:trPr>
          <w:trHeight w:val="418"/>
        </w:trPr>
        <w:tc>
          <w:tcPr>
            <w:tcW w:w="4900" w:type="dxa"/>
            <w:vAlign w:val="bottom"/>
          </w:tcPr>
          <w:p>
            <w:pPr>
              <w:jc w:val="center"/>
              <w:ind w:right="1642"/>
              <w:spacing w:after="0"/>
              <w:rPr>
                <w:sz w:val="20"/>
                <w:szCs w:val="20"/>
                <w:color w:val="auto"/>
              </w:rPr>
            </w:pPr>
            <w:r>
              <w:rPr>
                <w:rFonts w:ascii="Arial" w:cs="Arial" w:eastAsia="Arial" w:hAnsi="Arial"/>
                <w:sz w:val="18"/>
                <w:szCs w:val="18"/>
                <w:b w:val="1"/>
                <w:bCs w:val="1"/>
                <w:color w:val="auto"/>
                <w:w w:val="96"/>
              </w:rPr>
              <w:t>311 ENTERPRISE DRIVE</w:t>
            </w:r>
          </w:p>
        </w:tc>
        <w:tc>
          <w:tcPr>
            <w:tcW w:w="3180" w:type="dxa"/>
            <w:vAlign w:val="bottom"/>
          </w:tcPr>
          <w:p>
            <w:pPr>
              <w:spacing w:after="0"/>
              <w:rPr>
                <w:sz w:val="24"/>
                <w:szCs w:val="24"/>
                <w:color w:val="auto"/>
              </w:rPr>
            </w:pPr>
          </w:p>
        </w:tc>
      </w:tr>
      <w:tr>
        <w:trPr>
          <w:trHeight w:val="231"/>
        </w:trPr>
        <w:tc>
          <w:tcPr>
            <w:tcW w:w="4900" w:type="dxa"/>
            <w:vAlign w:val="bottom"/>
          </w:tcPr>
          <w:p>
            <w:pPr>
              <w:jc w:val="center"/>
              <w:ind w:right="1642"/>
              <w:spacing w:after="0"/>
              <w:rPr>
                <w:sz w:val="20"/>
                <w:szCs w:val="20"/>
                <w:color w:val="auto"/>
              </w:rPr>
            </w:pPr>
            <w:r>
              <w:rPr>
                <w:rFonts w:ascii="Arial" w:cs="Arial" w:eastAsia="Arial" w:hAnsi="Arial"/>
                <w:sz w:val="18"/>
                <w:szCs w:val="18"/>
                <w:b w:val="1"/>
                <w:bCs w:val="1"/>
                <w:color w:val="auto"/>
                <w:w w:val="95"/>
              </w:rPr>
              <w:t>PLAINSBORO, NEW JERSEY</w:t>
            </w:r>
          </w:p>
        </w:tc>
        <w:tc>
          <w:tcPr>
            <w:tcW w:w="3180" w:type="dxa"/>
            <w:vAlign w:val="bottom"/>
          </w:tcPr>
          <w:p>
            <w:pPr>
              <w:jc w:val="right"/>
              <w:ind w:right="424"/>
              <w:spacing w:after="0"/>
              <w:rPr>
                <w:sz w:val="20"/>
                <w:szCs w:val="20"/>
                <w:color w:val="auto"/>
              </w:rPr>
            </w:pPr>
            <w:r>
              <w:rPr>
                <w:rFonts w:ascii="Arial" w:cs="Arial" w:eastAsia="Arial" w:hAnsi="Arial"/>
                <w:sz w:val="18"/>
                <w:szCs w:val="18"/>
                <w:b w:val="1"/>
                <w:bCs w:val="1"/>
                <w:color w:val="auto"/>
              </w:rPr>
              <w:t>08536</w:t>
            </w:r>
          </w:p>
        </w:tc>
      </w:tr>
      <w:tr>
        <w:trPr>
          <w:trHeight w:val="174"/>
        </w:trPr>
        <w:tc>
          <w:tcPr>
            <w:tcW w:w="4900" w:type="dxa"/>
            <w:vAlign w:val="bottom"/>
          </w:tcPr>
          <w:p>
            <w:pPr>
              <w:jc w:val="center"/>
              <w:ind w:right="1642"/>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180" w:type="dxa"/>
            <w:vAlign w:val="bottom"/>
          </w:tcPr>
          <w:p>
            <w:pPr>
              <w:jc w:val="center"/>
              <w:ind w:left="1644"/>
              <w:spacing w:after="0"/>
              <w:rPr>
                <w:sz w:val="20"/>
                <w:szCs w:val="20"/>
                <w:color w:val="auto"/>
              </w:rPr>
            </w:pPr>
            <w:r>
              <w:rPr>
                <w:rFonts w:ascii="Arial" w:cs="Arial" w:eastAsia="Arial" w:hAnsi="Arial"/>
                <w:sz w:val="14"/>
                <w:szCs w:val="14"/>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275-0500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9"/>
              </w:rPr>
              <w:t>The number of shares of the registrant’s Common Stock, $0.01 par value, outstanding as of July 27, 2012 was 27,033,216.</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8"/>
              </w:rPr>
              <w:t>INTEGRA LIFESCIENCES HOLDINGS CORPORATION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20" w:type="dxa"/>
            <w:vAlign w:val="bottom"/>
            <w:gridSpan w:val="10"/>
            <w:vMerge w:val="restart"/>
          </w:tcPr>
          <w:p>
            <w:pPr>
              <w:spacing w:after="0"/>
              <w:rPr>
                <w:sz w:val="20"/>
                <w:szCs w:val="20"/>
                <w:color w:val="auto"/>
              </w:rPr>
            </w:pPr>
            <w:r>
              <w:rPr>
                <w:rFonts w:ascii="Arial" w:cs="Arial" w:eastAsia="Arial" w:hAnsi="Arial"/>
                <w:sz w:val="18"/>
                <w:szCs w:val="18"/>
                <w:color w:val="auto"/>
                <w:w w:val="98"/>
              </w:rPr>
              <w:t>PART I. FINANCIAL INFORMATION</w:t>
            </w:r>
          </w:p>
        </w:tc>
        <w:tc>
          <w:tcPr>
            <w:tcW w:w="7920" w:type="dxa"/>
            <w:vAlign w:val="bottom"/>
            <w:gridSpan w:val="7"/>
            <w:vMerge w:val="restart"/>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200"/>
        </w:trPr>
        <w:tc>
          <w:tcPr>
            <w:tcW w:w="2920" w:type="dxa"/>
            <w:vAlign w:val="bottom"/>
            <w:tcBorders>
              <w:bottom w:val="single" w:sz="8" w:color="auto"/>
            </w:tcBorders>
            <w:gridSpan w:val="10"/>
            <w:vMerge w:val="continue"/>
          </w:tcPr>
          <w:p>
            <w:pPr>
              <w:spacing w:after="0"/>
              <w:rPr>
                <w:sz w:val="16"/>
                <w:szCs w:val="16"/>
                <w:color w:val="auto"/>
              </w:rPr>
            </w:pPr>
          </w:p>
        </w:tc>
        <w:tc>
          <w:tcPr>
            <w:tcW w:w="7920" w:type="dxa"/>
            <w:vAlign w:val="bottom"/>
            <w:gridSpan w:val="7"/>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82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97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 and Comprehensive Income for the three and six months ended June 30, 2012 and 2011</w:t>
              </w:r>
            </w:hyperlink>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w:t>
              </w:r>
            </w:hyperlink>
          </w:p>
        </w:tc>
        <w:tc>
          <w:tcPr>
            <w:tcW w:w="976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2012 and December 31, 2011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June 30, 2012 and 2011 (Unaudited)</w:t>
              </w:r>
            </w:hyperlink>
          </w:p>
        </w:tc>
        <w:tc>
          <w:tcPr>
            <w:tcW w:w="27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6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Condensed Consolidated Financial Statements</w:t>
              </w:r>
            </w:hyperlink>
          </w:p>
        </w:tc>
        <w:tc>
          <w:tcPr>
            <w:tcW w:w="61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84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48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9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23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4. Controls and Procedures</w:t>
              </w:r>
            </w:hyperlink>
          </w:p>
        </w:tc>
        <w:tc>
          <w:tcPr>
            <w:tcW w:w="854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44"/>
        </w:trPr>
        <w:tc>
          <w:tcPr>
            <w:tcW w:w="26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PART II. OTHER INFORMATION</w:t>
            </w:r>
          </w:p>
        </w:tc>
        <w:tc>
          <w:tcPr>
            <w:tcW w:w="82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89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1A. Risk Factors</w:t>
              </w:r>
            </w:hyperlink>
          </w:p>
        </w:tc>
        <w:tc>
          <w:tcPr>
            <w:tcW w:w="92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8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2. Unregistered Sales of Equity Securities and Use of Proceeds</w:t>
              </w:r>
            </w:hyperlink>
          </w:p>
        </w:tc>
        <w:tc>
          <w:tcPr>
            <w:tcW w:w="604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4. Mine Safety Disclosures</w:t>
              </w:r>
            </w:hyperlink>
          </w:p>
        </w:tc>
        <w:tc>
          <w:tcPr>
            <w:tcW w:w="856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 Exhibits</w:t>
              </w:r>
            </w:hyperlink>
          </w:p>
        </w:tc>
        <w:tc>
          <w:tcPr>
            <w:tcW w:w="970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08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3.2</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4.1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18.1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99.1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INSTANCE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SCHEMA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CALCULATION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DEFINITION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LABELS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EX-101 PRESENTATION LINKBASE DOCUMENT</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193,329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72,838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95,732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175,816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185,329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370,867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11,569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15,207</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 (See Note 12):</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29,556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30,154</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income (loss) (See Note 13)</w:t>
            </w:r>
          </w:p>
        </w:tc>
        <w:tc>
          <w:tcPr>
            <w:tcW w:w="2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10,911</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540" w:type="dxa"/>
            <w:vAlign w:val="bottom"/>
            <w:gridSpan w:val="10"/>
          </w:tcPr>
          <w:p>
            <w:pPr>
              <w:jc w:val="right"/>
              <w:ind w:right="3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40" w:type="dxa"/>
            <w:vAlign w:val="bottom"/>
          </w:tcPr>
          <w:p>
            <w:pPr>
              <w:jc w:val="right"/>
              <w:ind w:right="149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39,315</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receivable, net of allowances of $7,013 and $6,978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115,571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172,541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477,323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146,928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224,308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292,085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1,161,817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1,148,347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 trade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43,190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28,664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112,247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101,868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 under senior credit facility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321,875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Long-term convertible securities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194,072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654,605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655,709</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$0.01 par value; 60,000 authorized shares 35,902 and 35,734 issued at June 30, 2012 and December 31,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respectively</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611,337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8,903 shares at June 30, 2012 and December 31, 2011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(367,121)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(13,389)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507,212</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1,161,817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15,207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12,186</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24,451</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(5,209)</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Payment of accreted interest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15,863</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(9,550)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(24,642)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(13,138)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business acquisition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(80,799)</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(67,907)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Sales of 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(69,358)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(93,937)</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senior credit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(188,750)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Proceeds from liability component of convertible notes issuance</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186,830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equity component of convertible notes issuance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Proceeds from sale of stock purchase warrants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28,451</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(134,383)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 of option hedge on convertible notes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(42,895)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(8,005)</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(57,009)</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50,867</w:t>
            </w:r>
          </w:p>
        </w:tc>
        <w:tc>
          <w:tcPr>
            <w:tcW w:w="100" w:type="dxa"/>
            <w:vAlign w:val="bottom"/>
            <w:shd w:val="clear" w:color="auto" w:fill="CCEEFF"/>
          </w:tcPr>
          <w:p>
            <w:pPr>
              <w:spacing w:after="0"/>
              <w:rPr>
                <w:sz w:val="18"/>
                <w:szCs w:val="18"/>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100,808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128,763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137,279</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ind w:right="90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opinion of management, the June 30, 2012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2011 included in the Company’s Annual Report on Form 10-K. The December 31, 2011 condensed consolidated balance sheet was derived from audited financial statements but does not include all disclosures required by accounting principles generally accepted in the United States. Operating results for the three- and six-month periods ended June 30, 2012 are not necessarily indicative of the results to be expected for the entire year.</w:t>
      </w:r>
    </w:p>
    <w:p>
      <w:pPr>
        <w:spacing w:after="0" w:line="11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the Company’s financial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98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i w:val="1"/>
          <w:iCs w:val="1"/>
          <w:u w:val="single" w:color="auto"/>
          <w:color w:val="auto"/>
        </w:rPr>
        <w:t>Ascension Orthopedics, Inc.</w:t>
      </w:r>
    </w:p>
    <w:p>
      <w:pPr>
        <w:spacing w:after="0" w:line="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September 23, 2011, the Company acquired Ascension Orthopedics, Inc. (“Ascension”) for $66.5 million, plus amounts paid for working capital adjustments of $0.2 million. Ascension, based in Austin, Texas, develops and distributes a range of implants for the shoulder, elbow, wrist, hand, foot and ankle.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Final</w:t>
            </w:r>
          </w:p>
        </w:tc>
        <w:tc>
          <w:tcPr>
            <w:tcW w:w="19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19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Allocation</w:t>
            </w:r>
          </w:p>
        </w:tc>
        <w:tc>
          <w:tcPr>
            <w:tcW w:w="19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9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12,760</w:t>
            </w: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2,398</w:t>
            </w: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long term</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Intangible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w w:val="93"/>
              </w:rPr>
              <w:t>Wtd. Avg. Life:</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5,750</w:t>
            </w:r>
          </w:p>
        </w:tc>
        <w:tc>
          <w:tcPr>
            <w:tcW w:w="1900" w:type="dxa"/>
            <w:vAlign w:val="bottom"/>
          </w:tcPr>
          <w:p>
            <w:pPr>
              <w:ind w:left="780"/>
              <w:spacing w:after="0"/>
              <w:rPr>
                <w:sz w:val="20"/>
                <w:szCs w:val="20"/>
                <w:color w:val="auto"/>
              </w:rPr>
            </w:pPr>
            <w:r>
              <w:rPr>
                <w:rFonts w:ascii="Arial" w:cs="Arial" w:eastAsia="Arial" w:hAnsi="Arial"/>
                <w:sz w:val="18"/>
                <w:szCs w:val="18"/>
                <w:color w:val="auto"/>
              </w:rPr>
              <w:t>12 years</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Indefinite</w:t>
            </w: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Supplier relationship</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4,510</w:t>
            </w:r>
          </w:p>
        </w:tc>
        <w:tc>
          <w:tcPr>
            <w:tcW w:w="1900" w:type="dxa"/>
            <w:vAlign w:val="bottom"/>
          </w:tcPr>
          <w:p>
            <w:pPr>
              <w:ind w:left="7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 year</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16,150</w:t>
            </w:r>
          </w:p>
        </w:tc>
        <w:tc>
          <w:tcPr>
            <w:tcW w:w="1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72,558</w:t>
            </w:r>
          </w:p>
        </w:tc>
        <w:tc>
          <w:tcPr>
            <w:tcW w:w="19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66,731</w:t>
            </w:r>
          </w:p>
        </w:tc>
        <w:tc>
          <w:tcPr>
            <w:tcW w:w="19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 determined the preliminary fair value of net assets acquired during the third quarter of 2011 and finalized the working capital adjustment in the second quarter of 2012. Measurement period adjustments included above reflected a decrease in the total fair value of inventory acquired and a decrease in the value of long term deferred tax assets acquired which was recorded in the fourth quarter of 2011. The measurement period adjustments were made to reflect facts and circumstances existing as of the acquisition date, and did not result from intervening events subsequent to the acquisition date. These adjustments did not have a significant impact on the Company’s previously reported consolidated financial statements and, therefore, the Company has not retrospectively adjusted those financial statements.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SeaSpine, Inc.</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May 23, 2011, the Company acquired all of the outstanding common stock of SeaSpine, Inc. (“SeaSpine”) for $89.0 million, less working capital adjustments of $0.3 million and indemnification holdbacks totaling $7.4 million of which $5 million remains accrued at June 30, 2012. SeaSpine is based in Vista, California and designs, develops and manufactures spinal fixation products and synthetic bone substitute products.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Final</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8"/>
              </w:rPr>
              <w:t>Allocation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Inventory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14,900</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current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tax asset—long term</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ind w:left="820"/>
              <w:spacing w:after="0" w:line="176" w:lineRule="exact"/>
              <w:rPr>
                <w:sz w:val="20"/>
                <w:szCs w:val="20"/>
                <w:color w:val="auto"/>
              </w:rPr>
            </w:pPr>
            <w:r>
              <w:rPr>
                <w:rFonts w:ascii="Arial" w:cs="Arial" w:eastAsia="Arial" w:hAnsi="Arial"/>
                <w:sz w:val="18"/>
                <w:szCs w:val="18"/>
                <w:color w:val="auto"/>
              </w:rPr>
              <w:t>Wtd. Avg. Life:</w:t>
            </w:r>
          </w:p>
        </w:tc>
      </w:tr>
      <w:tr>
        <w:trPr>
          <w:trHeight w:val="21"/>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Technology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2020" w:type="dxa"/>
            <w:vAlign w:val="bottom"/>
            <w:gridSpan w:val="3"/>
          </w:tcPr>
          <w:p>
            <w:pPr>
              <w:ind w:left="800"/>
              <w:spacing w:after="0"/>
              <w:rPr>
                <w:sz w:val="20"/>
                <w:szCs w:val="20"/>
                <w:color w:val="auto"/>
              </w:rPr>
            </w:pPr>
            <w:r>
              <w:rPr>
                <w:rFonts w:ascii="Arial" w:cs="Arial" w:eastAsia="Arial" w:hAnsi="Arial"/>
                <w:sz w:val="18"/>
                <w:szCs w:val="18"/>
                <w:color w:val="auto"/>
              </w:rPr>
              <w:t>8 years</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20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13 years</w:t>
            </w: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w:t>
            </w:r>
          </w:p>
        </w:tc>
        <w:tc>
          <w:tcPr>
            <w:tcW w:w="2020" w:type="dxa"/>
            <w:vAlign w:val="bottom"/>
            <w:gridSpan w:val="3"/>
          </w:tcPr>
          <w:p>
            <w:pPr>
              <w:ind w:left="800"/>
              <w:spacing w:after="0"/>
              <w:rPr>
                <w:sz w:val="20"/>
                <w:szCs w:val="20"/>
                <w:color w:val="auto"/>
              </w:rPr>
            </w:pPr>
            <w:r>
              <w:rPr>
                <w:rFonts w:ascii="Arial" w:cs="Arial" w:eastAsia="Arial" w:hAnsi="Arial"/>
                <w:sz w:val="18"/>
                <w:szCs w:val="18"/>
                <w:color w:val="auto"/>
              </w:rPr>
              <w:t>4 years</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1 year</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93,783</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88,675</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finalized the working capital adjustment in the first quarter of 2012. Measurement period adjustments included above reflect a decrease in the total fair value of consideration to be transferred pursuant to the final working capital adjustment. These measurement period adjustments were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1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goodwill recorded in connection with this acquisition is based on the benefits the Company expects to generate from SeaSpine’s future cash flows. For tax purposes, the Company is treating the acquisition as an asset acquisition; therefore, the goodwill will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Results</w:t>
      </w:r>
    </w:p>
    <w:p>
      <w:pPr>
        <w:spacing w:after="0" w:line="90"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The following unaudited pro forma financial information summarizes the results of operations for the three and six months ended June 30, 2011 as if the acquisitions completed by the Company during 2011 had been completed as of January 1, 2010.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w:t>
      </w:r>
    </w:p>
    <w:p>
      <w:pPr>
        <w:spacing w:after="0" w:line="3" w:lineRule="exact"/>
        <w:rPr>
          <w:sz w:val="20"/>
          <w:szCs w:val="20"/>
          <w:color w:val="auto"/>
        </w:rPr>
      </w:pPr>
    </w:p>
    <w:p>
      <w:pPr>
        <w:ind w:firstLine="8"/>
        <w:spacing w:after="0" w:line="255"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462"/>
              <w:spacing w:after="0"/>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2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482"/>
              <w:spacing w:after="0" w:line="149" w:lineRule="exact"/>
              <w:rPr>
                <w:sz w:val="20"/>
                <w:szCs w:val="20"/>
                <w:color w:val="auto"/>
              </w:rPr>
            </w:pPr>
            <w:r>
              <w:rPr>
                <w:rFonts w:ascii="Arial" w:cs="Arial" w:eastAsia="Arial" w:hAnsi="Arial"/>
                <w:sz w:val="14"/>
                <w:szCs w:val="14"/>
                <w:b w:val="1"/>
                <w:bCs w:val="1"/>
                <w:color w:val="auto"/>
                <w:w w:val="85"/>
              </w:rPr>
              <w:t>Ended June 30,</w:t>
            </w:r>
          </w:p>
        </w:tc>
        <w:tc>
          <w:tcPr>
            <w:tcW w:w="4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Ended June 30,</w:t>
            </w:r>
          </w:p>
        </w:tc>
      </w:tr>
      <w:tr>
        <w:trPr>
          <w:trHeight w:val="161"/>
        </w:trPr>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46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3"/>
          </w:tcPr>
          <w:p>
            <w:pPr>
              <w:jc w:val="right"/>
              <w:ind w:right="281"/>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0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203,919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402,328</w:t>
            </w: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2"/>
              <w:spacing w:after="0"/>
              <w:rPr>
                <w:sz w:val="20"/>
                <w:szCs w:val="20"/>
                <w:color w:val="auto"/>
              </w:rPr>
            </w:pPr>
            <w:r>
              <w:rPr>
                <w:rFonts w:ascii="Arial" w:cs="Arial" w:eastAsia="Arial" w:hAnsi="Arial"/>
                <w:sz w:val="18"/>
                <w:szCs w:val="18"/>
                <w:color w:val="auto"/>
              </w:rPr>
              <w:t>(1,326)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Basic</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2"/>
              <w:spacing w:after="0"/>
              <w:rPr>
                <w:sz w:val="20"/>
                <w:szCs w:val="20"/>
                <w:color w:val="auto"/>
              </w:rPr>
            </w:pPr>
            <w:r>
              <w:rPr>
                <w:rFonts w:ascii="Arial" w:cs="Arial" w:eastAsia="Arial" w:hAnsi="Arial"/>
                <w:sz w:val="18"/>
                <w:szCs w:val="18"/>
                <w:color w:val="auto"/>
              </w:rPr>
              <w:t>(0.04)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r>
      <w:tr>
        <w:trPr>
          <w:trHeight w:val="363"/>
        </w:trPr>
        <w:tc>
          <w:tcPr>
            <w:tcW w:w="2900" w:type="dxa"/>
            <w:vAlign w:val="bottom"/>
          </w:tcPr>
          <w:p>
            <w:pPr>
              <w:spacing w:after="0"/>
              <w:rPr>
                <w:sz w:val="24"/>
                <w:szCs w:val="24"/>
                <w:color w:val="auto"/>
              </w:rPr>
            </w:pPr>
          </w:p>
        </w:tc>
        <w:tc>
          <w:tcPr>
            <w:tcW w:w="2660" w:type="dxa"/>
            <w:vAlign w:val="bottom"/>
          </w:tcPr>
          <w:p>
            <w:pPr>
              <w:jc w:val="right"/>
              <w:ind w:right="109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80" w:type="dxa"/>
            <w:vAlign w:val="bottom"/>
          </w:tcPr>
          <w:p>
            <w:pPr>
              <w:jc w:val="right"/>
              <w:ind w:right="21"/>
              <w:spacing w:after="0"/>
              <w:rPr>
                <w:sz w:val="20"/>
                <w:szCs w:val="20"/>
                <w:color w:val="auto"/>
              </w:rPr>
            </w:pPr>
            <w:r>
              <w:rPr>
                <w:rFonts w:ascii="Arial" w:cs="Arial" w:eastAsia="Arial" w:hAnsi="Arial"/>
                <w:sz w:val="14"/>
                <w:szCs w:val="14"/>
                <w:b w:val="1"/>
                <w:bCs w:val="1"/>
                <w:color w:val="auto"/>
                <w:w w:val="9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520" w:type="dxa"/>
            <w:vAlign w:val="bottom"/>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46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$ 107,116</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106,972</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Work-in process</w:t>
            </w:r>
          </w:p>
        </w:tc>
        <w:tc>
          <w:tcPr>
            <w:tcW w:w="680" w:type="dxa"/>
            <w:vAlign w:val="bottom"/>
          </w:tcPr>
          <w:p>
            <w:pPr>
              <w:jc w:val="right"/>
              <w:spacing w:after="0"/>
              <w:rPr>
                <w:sz w:val="20"/>
                <w:szCs w:val="20"/>
                <w:color w:val="auto"/>
              </w:rPr>
            </w:pPr>
            <w:r>
              <w:rPr>
                <w:rFonts w:ascii="Arial" w:cs="Arial" w:eastAsia="Arial" w:hAnsi="Arial"/>
                <w:sz w:val="18"/>
                <w:szCs w:val="18"/>
                <w:color w:val="auto"/>
              </w:rPr>
              <w:t>37,024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172,541</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171,261</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short-term investments consist entirely of time-deposits held by investment grade banks. These investments have maturity dates ranging from approximately three months to six months from the original date of purchase. The carrying value of these short-term investments is a reasonable estimate of their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9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The Company revised its operating segments and reporting segments in connection with the change in the Company’s Chief Executive Officer (who serves as the Company’s chief operating decision maker) effective January 3, 2012. As a result, the Company reassigned the goodwill to these new reportable segments based on the relative-fair-value of the Company’s eight underlying reporting units as of January 1, 2012. The Company estimated the fair value of the reporting units using a discounted cash flow model. The assumptions supporting the estimated future cash flows of the reporting units, including profit margins, long-term forecasts, discount rates and terminal growth rates, reflects the Company’s best estimates. For seven of the eight reporting units, given the significant excess of their estimated fair value over their carrying value, any future goodwill impairment is not likely. However, at January 1, 2012, the estimated fair value of the U.S. Spine business, which is a component of the U.S. Spine and Other reportable segment, exceeded its book value by approximately 15%. This component has $31.7 million of allocated goodwill. In the event that the estimated fair value declines and no longer exceeds its carrying value of this component, an impairment charge may be recorded to reduce the amount of goodwill associated with this component. Refer to Note 14 for more information on the change in reportable segments.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2012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Neurosurgery</w:t>
            </w:r>
          </w:p>
        </w:tc>
        <w:tc>
          <w:tcPr>
            <w:tcW w:w="3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Instruments</w:t>
            </w: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Extremities</w:t>
            </w:r>
          </w:p>
        </w:tc>
        <w:tc>
          <w:tcPr>
            <w:tcW w:w="3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57,270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60,544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$55,693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57,270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60,544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55,693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SeaSpine, Inc. working capital adjustment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Ascension Orthopedics, Inc. working capital adjustment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57,270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60,785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55,982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Historically, goodwill was tested annually for impairment as of June 30 of each fiscal year. Effective in the quarter ended June 30, 2012 the Company adopted a new accounting principle whereby the annual impairment review of goodwill will be performed as of July 31 of each year. The change in the annual goodwill impairment testing date was made to better align the annual goodwill impairment test with the timing of the Company’s annual strategic planning process. The company most recently performed an assessment of the goodwill in each of its reporting units during the first quarter of 2012. This change in accounting principle does not delay, accelerate or avoid an impairment charge. Accordingly, the Company believes that the change described above is preferable under the circumstances.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8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60" w:type="dxa"/>
            <w:vAlign w:val="bottom"/>
          </w:tcPr>
          <w:p>
            <w:pPr>
              <w:spacing w:after="0"/>
              <w:rPr>
                <w:sz w:val="11"/>
                <w:szCs w:val="11"/>
                <w:color w:val="auto"/>
              </w:rPr>
            </w:pPr>
          </w:p>
        </w:tc>
        <w:tc>
          <w:tcPr>
            <w:tcW w:w="88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60" w:type="dxa"/>
            <w:vAlign w:val="bottom"/>
          </w:tcPr>
          <w:p>
            <w:pPr>
              <w:spacing w:after="0"/>
              <w:rPr>
                <w:sz w:val="14"/>
                <w:szCs w:val="14"/>
                <w:color w:val="auto"/>
              </w:rPr>
            </w:pPr>
          </w:p>
        </w:tc>
        <w:tc>
          <w:tcPr>
            <w:tcW w:w="8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r>
      <w:tr>
        <w:trPr>
          <w:trHeight w:val="142"/>
        </w:trPr>
        <w:tc>
          <w:tcPr>
            <w:tcW w:w="46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11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(34,995)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75,990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jc w:val="center"/>
              <w:ind w:right="119"/>
              <w:spacing w:after="0"/>
              <w:rPr>
                <w:sz w:val="20"/>
                <w:szCs w:val="20"/>
                <w:color w:val="auto"/>
              </w:rPr>
            </w:pPr>
            <w:r>
              <w:rPr>
                <w:rFonts w:ascii="Arial" w:cs="Arial" w:eastAsia="Arial" w:hAnsi="Arial"/>
                <w:sz w:val="18"/>
                <w:szCs w:val="18"/>
                <w:color w:val="auto"/>
                <w:w w:val="86"/>
              </w:rPr>
              <w:t>11 years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147,139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(63,456)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147,230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(57,348)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89,882</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32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(10,897)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Trademarks/brand names</w:t>
            </w:r>
          </w:p>
        </w:tc>
        <w:tc>
          <w:tcPr>
            <w:tcW w:w="880" w:type="dxa"/>
            <w:vAlign w:val="bottom"/>
          </w:tcPr>
          <w:p>
            <w:pPr>
              <w:jc w:val="center"/>
              <w:ind w:right="119"/>
              <w:spacing w:after="0"/>
              <w:rPr>
                <w:sz w:val="20"/>
                <w:szCs w:val="20"/>
                <w:color w:val="auto"/>
              </w:rPr>
            </w:pPr>
            <w:r>
              <w:rPr>
                <w:rFonts w:ascii="Arial" w:cs="Arial" w:eastAsia="Arial" w:hAnsi="Arial"/>
                <w:sz w:val="18"/>
                <w:szCs w:val="18"/>
                <w:color w:val="auto"/>
                <w:w w:val="93"/>
              </w:rPr>
              <w:t>Indefinite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26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All other (1)</w:t>
            </w:r>
          </w:p>
        </w:tc>
        <w:tc>
          <w:tcPr>
            <w:tcW w:w="880" w:type="dxa"/>
            <w:vAlign w:val="bottom"/>
          </w:tcPr>
          <w:p>
            <w:pPr>
              <w:jc w:val="center"/>
              <w:ind w:right="139"/>
              <w:spacing w:after="0"/>
              <w:rPr>
                <w:sz w:val="20"/>
                <w:szCs w:val="20"/>
                <w:color w:val="auto"/>
              </w:rPr>
            </w:pPr>
            <w:r>
              <w:rPr>
                <w:rFonts w:ascii="Arial" w:cs="Arial" w:eastAsia="Arial" w:hAnsi="Arial"/>
                <w:sz w:val="18"/>
                <w:szCs w:val="18"/>
                <w:color w:val="auto"/>
                <w:w w:val="84"/>
              </w:rPr>
              <w:t>6 years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(2,625)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(7,704)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344,024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0"/>
              </w:rPr>
              <w:t>(119,716)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224,308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350,617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(113,495)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237,122</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June 30, 2012 and December 31, 2011, all other included in-process research and development of $1.7 million, which was indefinite lived.</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the six months ended June 30, 2012, the Company recorded impairment charges of $0.1 million in cost of goods sold related to technology assets whose related products are being discontinued.</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quarter-end exchange rates, annual amortization expense is expected to approximate $25.0 million in 2012, $18.9 million in 2013, $18.0 million in 2014, $16.2 million in 2015 and $14.0 million in 2016. Identifiable intangible assets are initially recorded at fair market value at the time of acquisition using an income or cost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it amended the Senior Credit Facility on June 8, 2011, and further amended it on May 11,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90" w:lineRule="exact"/>
        <w:rPr>
          <w:sz w:val="20"/>
          <w:szCs w:val="20"/>
          <w:color w:val="auto"/>
        </w:rPr>
      </w:pPr>
    </w:p>
    <w:p>
      <w:pPr>
        <w:ind w:left="460" w:right="1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the revolving credit component from $450.0 million to $600.0 million and eliminated the $150.0 million term loan component that existed under the original amended and restated credit agreement;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allows the Company to further increase the size of the revolving credit component by an aggregate of $200.0 million with additional commitments;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provides the Company with decreased borrowing rates and annual commitment fees, and provides more favorable financial covenants;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June 30, 2012, and the Company was in compliance with all such covenants.</w:t>
      </w:r>
    </w:p>
    <w:p>
      <w:pPr>
        <w:spacing w:after="0" w:line="8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At June 30, 2012 and December 31, 2011, there was $321.9 million and $179.7 million outstanding, respectively, under the Senior Credit Facility at a weighted average interest rate of 1.8% and 2.0%, respectively. At June 30, 2012, there was approximately $278.1 million available for borrowing under the Senior Credit Facility. The fair value of outstanding borrowings under the Senior Credit Facility at June 30, 2012 was approximately $306.7 million. The fair value of the Senior Credit Facility was determined by using a discounted cash flow model based on current market interest rates available to the Company; these inputs are not directly observable but corroborated by observable market data for similar liabilities and therefore classified within Level 2 of the fair value hierarchy. The Company considers the balance to be long-term in nature based on its current intent and ability to repay the borrowing outside of the next twelve-month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 The fair value of the liability of the 2016 Notes was determined using a discounted cash flow model based on current market interest rates available to the Company; these inputs are not directly observable but corroborated by observable market data for similar liabilities and therefore classified within Level 2.</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June 30, 2012, the carrying amount of the liability component was $194.1 million, the remaining unamortized discount was $35.9 million, and the principal amount outstanding was $230.0 million. The fair value of the 2016 Notes at June 30, 2012 was approximately $223.8 million. At December 31, 2011, the carrying amount of the liability component was $190.6 million, the remaining unamortized discount was $39.4 million and the principal amount outstanding was $230.0 million.</w:t>
      </w:r>
    </w:p>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June 30, 2012, none of these conditions existed with respect to the 2016 Notes and as a result, the 2016 Notes are classified as long term.</w:t>
      </w:r>
    </w:p>
    <w:p>
      <w:pPr>
        <w:spacing w:after="0" w:line="12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June 11, 2007, the Company issued $165.0 million aggregate principal amount of its 2012 Notes (the “2012 Note”). In June 2012, the Company repaid the 2012 Notes at maturity with long-term borrowings from its Senior Credit Facility and cash on hand. The related bond hedge contracts will terminate in components over 100 trading day periods commencing 90 days after the maturity of the 2012 Note.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2012 Notes bore interest at a rate of 2.375% per annum payable semi-annually in arrears on December 1 and June 1 of each year.</w:t>
      </w:r>
    </w:p>
    <w:p>
      <w:pPr>
        <w:spacing w:after="0" w:line="17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accordance with the accounting guidance for debt with conversion and other options, the Company accounted for the liability and equity components of the Notes separately. The portion of the debt proceeds that the Company had classified as equity at the time of the offering, and recognized as a debt discount, was determined based on the fair value of similar debt instruments that did not include a conversion feature and amounted to $30.6 million. The Company was amortizing the debt discount to interest expense using the effective interest method through June 2012. The effective interest rate implicit in the liability component was based on the Company’s estimated non-convertible borrowing rate at the date the 2012 Notes were issued and was 6.8%.</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such notes (the “hedge participants”). The total cost of the call transactions to the Company was approximately $30.4 million and the Company received approximately $12.2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jc w:val="right"/>
              <w:ind w:right="237"/>
              <w:spacing w:after="0" w:line="142" w:lineRule="exact"/>
              <w:rPr>
                <w:sz w:val="20"/>
                <w:szCs w:val="20"/>
                <w:color w:val="auto"/>
              </w:rPr>
            </w:pPr>
            <w:r>
              <w:rPr>
                <w:rFonts w:ascii="Arial" w:cs="Arial" w:eastAsia="Arial" w:hAnsi="Arial"/>
                <w:sz w:val="14"/>
                <w:szCs w:val="14"/>
                <w:b w:val="1"/>
                <w:bCs w:val="1"/>
                <w:color w:val="auto"/>
                <w:w w:val="88"/>
              </w:rPr>
              <w:t>(amounts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interest related to the contractual interest coupon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2,697</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interest related to the contractual interest coupon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2,678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800" w:firstLine="8"/>
        <w:spacing w:after="0" w:line="391" w:lineRule="auto"/>
        <w:tabs>
          <w:tab w:leader="none" w:pos="17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u w:val="single" w:color="auto"/>
          <w:color w:val="auto"/>
        </w:rPr>
        <w:t>Interest Rate Hedging</w:t>
      </w:r>
    </w:p>
    <w:p>
      <w:pPr>
        <w:spacing w:after="0" w:line="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expects that approximately $1.8 million of pre-tax losses recorded as net in AOCI related to the interest rate hedge could be reclassified to earnings within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depend upon the Company’s credit ratings from any credit rating agency.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June 30, 2012 and December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Fair Value as of</w:t>
            </w: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29"/>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on Balance Sheet (1):</w:t>
            </w:r>
          </w:p>
        </w:tc>
        <w:tc>
          <w:tcPr>
            <w:tcW w:w="660" w:type="dxa"/>
            <w:vAlign w:val="bottom"/>
          </w:tcPr>
          <w:p>
            <w:pPr>
              <w:spacing w:after="0"/>
              <w:rPr>
                <w:sz w:val="11"/>
                <w:szCs w:val="11"/>
                <w:color w:val="auto"/>
              </w:rPr>
            </w:pPr>
          </w:p>
        </w:tc>
        <w:tc>
          <w:tcPr>
            <w:tcW w:w="9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7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04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20" w:type="dxa"/>
            <w:vAlign w:val="bottom"/>
            <w:gridSpan w:val="3"/>
            <w:vMerge w:val="continue"/>
          </w:tcPr>
          <w:p>
            <w:pPr>
              <w:spacing w:after="0"/>
              <w:rPr>
                <w:sz w:val="13"/>
                <w:szCs w:val="13"/>
                <w:color w:val="auto"/>
              </w:rPr>
            </w:pPr>
          </w:p>
        </w:tc>
        <w:tc>
          <w:tcPr>
            <w:tcW w:w="116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3"/>
                <w:szCs w:val="13"/>
                <w:color w:val="auto"/>
              </w:rPr>
            </w:pPr>
          </w:p>
        </w:tc>
        <w:tc>
          <w:tcPr>
            <w:tcW w:w="740" w:type="dxa"/>
            <w:vAlign w:val="bottom"/>
          </w:tcPr>
          <w:p>
            <w:pPr>
              <w:jc w:val="right"/>
              <w:ind w:right="287"/>
              <w:spacing w:after="0" w:line="148"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3"/>
                <w:szCs w:val="13"/>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4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440"/>
              <w:spacing w:after="0" w:line="149"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Liabilities: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Interest rate swap — Accrued expenses and other current liabilities (2)</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1,634</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Foreign currency forward contracts — Accrued expenses and other current liabilities</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740" w:type="dxa"/>
            <w:vAlign w:val="bottom"/>
            <w:shd w:val="clear" w:color="auto" w:fill="CCEEFF"/>
          </w:tcPr>
          <w:p>
            <w:pPr>
              <w:jc w:val="right"/>
              <w:ind w:right="167"/>
              <w:spacing w:after="0"/>
              <w:rPr>
                <w:sz w:val="20"/>
                <w:szCs w:val="20"/>
                <w:color w:val="auto"/>
              </w:rPr>
            </w:pPr>
            <w:r>
              <w:rPr>
                <w:rFonts w:ascii="Arial" w:cs="Arial" w:eastAsia="Arial" w:hAnsi="Arial"/>
                <w:sz w:val="18"/>
                <w:szCs w:val="18"/>
                <w:color w:val="auto"/>
                <w:w w:val="87"/>
              </w:rPr>
              <w:t>$1,680</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Interest rate swap — Other liabilities (2)</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38"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June 30, 2012 and December 31, 2011, the notional amount related to the Company’s sole interest rate swap was $134.1 million and $139.7 million, respectively. In the next twelve months, the Company expects to reduce the notional amount by $14.1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six months ended June 30,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Amount of</w:t>
            </w: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Amount of Gain (Loss)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Gain (Loss)</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Balance in AOCI</w:t>
            </w:r>
          </w:p>
        </w:tc>
        <w:tc>
          <w:tcPr>
            <w:tcW w:w="14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4"/>
              </w:rPr>
              <w:t>Recognized in</w:t>
            </w:r>
          </w:p>
        </w:tc>
        <w:tc>
          <w:tcPr>
            <w:tcW w:w="18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AOCI into</w:t>
            </w: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AOCI-</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Earnings-Effective</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 in AOCI</w:t>
            </w:r>
          </w:p>
        </w:tc>
        <w:tc>
          <w:tcPr>
            <w:tcW w:w="22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4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8"/>
              </w:rPr>
              <w:t>Effective Portion</w:t>
            </w:r>
          </w:p>
        </w:tc>
        <w:tc>
          <w:tcPr>
            <w:tcW w:w="18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9"/>
              </w:rPr>
              <w:t>Portion</w:t>
            </w: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End of Quarter</w:t>
            </w:r>
          </w:p>
        </w:tc>
        <w:tc>
          <w:tcPr>
            <w:tcW w:w="22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2012</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Forward currency forward contracts</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(338)</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(171)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220" w:type="dxa"/>
            <w:vAlign w:val="bottom"/>
          </w:tcPr>
          <w:p>
            <w:pPr>
              <w:ind w:left="20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(4,092)</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w:t>
            </w: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6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(4,101)</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(648)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(4,550)</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2011</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4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(2,958)</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(570)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(1,908)</w:t>
            </w:r>
          </w:p>
        </w:tc>
        <w:tc>
          <w:tcPr>
            <w:tcW w:w="2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Amount of</w:t>
            </w: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Amount of Gain (Loss)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Gain (Loss)</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Balance in AOCI</w:t>
            </w:r>
          </w:p>
        </w:tc>
        <w:tc>
          <w:tcPr>
            <w:tcW w:w="14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4"/>
              </w:rPr>
              <w:t>Recognized in</w:t>
            </w:r>
          </w:p>
        </w:tc>
        <w:tc>
          <w:tcPr>
            <w:tcW w:w="18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AOCI into</w:t>
            </w: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Balance in</w:t>
            </w: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AOCI-</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Earnings-Effective</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AOCI</w:t>
            </w:r>
          </w:p>
        </w:tc>
        <w:tc>
          <w:tcPr>
            <w:tcW w:w="22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4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8"/>
              </w:rPr>
              <w:t>Effective Portion</w:t>
            </w:r>
          </w:p>
        </w:tc>
        <w:tc>
          <w:tcPr>
            <w:tcW w:w="18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9"/>
              </w:rPr>
              <w:t>Portion</w:t>
            </w: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End of Quarter</w:t>
            </w:r>
          </w:p>
        </w:tc>
        <w:tc>
          <w:tcPr>
            <w:tcW w:w="22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2012</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Forward currency forward contracts</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(216)</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(171)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2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(4,092)</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(1,208)</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w:t>
            </w: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6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(4,308)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(1,339)</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(4,550)</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2011</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(2,781)</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(1,143)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(1,908)</w:t>
            </w:r>
          </w:p>
        </w:tc>
        <w:tc>
          <w:tcPr>
            <w:tcW w:w="2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and six months ended June 30, 2012 and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June 30, 2012,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or the 1999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approximately 254,363 and 34,000 stock options during the six months ended June 30, 2012 and June 30, 2011, respectively. As of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June 30, 2012, there were approximately $2.7 million of total unrecognized compensation costs related to unvested stock options. These costs are expected to be recognized over a weighted-average period of approximately 2 years. The Company received net proceeds of $0.3 million and $3.3 million from stock option exercises for the six months ended June 30,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The Company granted approximately 231,822 and 219,158 restricted stock awards/stock units during the six months ended June 30, 2012 and June 30, 2011, respectively. As of June 30, 2012, there were approximately $14.7 million of total unrecognized compensation costs related to unvested awards. The Company expects to recognize these costs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 As of June 30, 2012, there remained $29.1 million available for repurchases under this authorization. In addition to the authorization above, on June 3, 2011, the Company’s Board of Directors separately authorized the Company to repurchase shares of common stock from the proceeds of the 2016 Notes in connection with that offering. The following table sets forth the Company’s treasury stock activity:</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83"/>
              </w:rPr>
              <w:t>June 30, 2012</w:t>
            </w:r>
          </w:p>
        </w:tc>
        <w:tc>
          <w:tcPr>
            <w:tcW w:w="46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 of Shares</w:t>
            </w:r>
          </w:p>
        </w:tc>
        <w:tc>
          <w:tcPr>
            <w:tcW w:w="4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repurchased in the open market in connection with the Board approved buyback</w:t>
            </w: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w:t>
            </w:r>
          </w:p>
        </w:tc>
        <w:tc>
          <w:tcPr>
            <w:tcW w:w="38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2"/>
              </w:rPr>
              <w:t>$—</w:t>
            </w: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$19,439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Shares repurchased in connection with the issuance of the 2016 Notes</w:t>
            </w: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37,570</w:t>
            </w: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9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condensed consolidated statements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0"/>
              </w:rPr>
              <w:t>Three Months Ended June 30,</w:t>
            </w:r>
          </w:p>
        </w:tc>
        <w:tc>
          <w:tcPr>
            <w:tcW w:w="14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ind w:right="43"/>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period benefit cost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$0.4 million of contributions to its defined benefit pension plans during the six months ended June 30,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Reported tax rate</w:t>
            </w:r>
          </w:p>
        </w:tc>
        <w:tc>
          <w:tcPr>
            <w:tcW w:w="13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r>
      <w:tr>
        <w:trPr>
          <w:trHeight w:val="352"/>
        </w:trPr>
        <w:tc>
          <w:tcPr>
            <w:tcW w:w="6600" w:type="dxa"/>
            <w:vAlign w:val="bottom"/>
          </w:tcPr>
          <w:p>
            <w:pPr>
              <w:spacing w:after="0"/>
              <w:rPr>
                <w:sz w:val="24"/>
                <w:szCs w:val="24"/>
                <w:color w:val="auto"/>
              </w:rPr>
            </w:pPr>
          </w:p>
        </w:tc>
        <w:tc>
          <w:tcPr>
            <w:tcW w:w="148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87"/>
              </w:rPr>
              <w:t>Six Months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1"/>
        </w:trPr>
        <w:tc>
          <w:tcPr>
            <w:tcW w:w="6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Reported tax rate</w:t>
            </w:r>
          </w:p>
        </w:tc>
        <w:tc>
          <w:tcPr>
            <w:tcW w:w="13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15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 Company’s effective income tax rate for the three months ended June 30, 2012 and 2011 was 26.4% and 65.0%, respectively. Income tax expense for the three months ended June 30, 2011 included a $1.7 million correction to a deferred tax asset relating to 2009, and a $0.7 million income tax expense for a tax law change in the State of New Jersey, which became effective in the quarter ended June 30, 2011. Further, the Company projected a significant decrease in full year income, especially in the United States because of certain costs and expenses recorded in the second quarter of 2011 and the projection of similar costs and expenses for the remainder of the 2011 year. All of these items resulted in the reported effective tax rate for the three months ended June 30, 2011 to be 65.0%.</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Income tax expense for the three months ended June 30, 2012 included a $0.8 million accrual for income tax expense due to lost manufacturing tax deductions related to a reduction in US taxable income. The Company’s effective income tax rates for the six months ended June 30, 2012 and 2011 were 28.1% and 27.6%, respectively. Income tax expense for the six months ended June 30, 2012 also included a $0.6 million accrual for tax contingencies related to uncertain tax positions in connection with ongoing U.S. Federal tax audits.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The Company considers these factors and others, including its history of generating taxable earnings, in assessing its ability to realize deferred tax assets on a quarterly basis.</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the Company believes that its reserves reflect the most probable outcome of known tax contingencies. Settlement of any particular issue would usually require the use of cash. Favorable resolution would be recognized as a reduction to the Company’s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 expects its effective income tax rate for the full year to be approximately 21.3% as a result of a number of uncertain tax positions expected to reverse in the third quarter of 2012. This estimate could be revised in future quarters as additional information is presented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Certain of the Company’s restricted unvested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2011 periods presented; therefore, the Company does not present the full calculation below.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15,207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28,382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15,207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28,382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28,609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28,549</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June 30, 2012 and 2011 the Company had 1.7 million and 1.5 million of outstanding stock options, respectively. The Company also has warrants outstanding relating to its 2016 Notes at June 30, 2012 and 2011. Stock options, restricted stock and warrants are included in the diluted earnings per share calculation using the treasury stock method, unless the effect of including the stock options would be anti-dilutive. For the three months ended June 30, 2012 and 2011, 1.2 million and 0.1 million anti-dilutive stock options, respectively, were excluded from the diluted earnings per share calculation. For the six months ended June 30, 2012 and 2011, 1.3 million and 0.2 million anti-dilutive stock options, respectively, were excluded from the diluted earnings per share calculation. As the strike price of the warrants exceeded the Company’s average stock price for the period, the warrants are anti-dilutive and the entire number of warrants was also excluded from the diluted earnings per share calculation.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(LOSS)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income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7"/>
              </w:rPr>
              <w:t>Three 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15,207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derivatives, net of tax</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liability adjustment, net of tax</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10,911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9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Starting in the first quarter of 2012, due to changes in how the Company internally manages and reports the results of its businesses to its chief operating decision maker, the Company is disclosing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products and lighting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(ii) the U.S. Orthobiologics business, which focuses on bone graft substitutes, and other related medical devices that are used to enhance the repair and regeneration of bone in various types of orthopedic surgical procedures, and</w:t>
      </w:r>
    </w:p>
    <w:p>
      <w:pPr>
        <w:spacing w:after="0" w:line="4" w:lineRule="exact"/>
        <w:rPr>
          <w:sz w:val="20"/>
          <w:szCs w:val="20"/>
          <w:color w:val="auto"/>
        </w:rPr>
      </w:pPr>
    </w:p>
    <w:p>
      <w:pPr>
        <w:jc w:val="both"/>
        <w:ind w:right="20" w:firstLine="8"/>
        <w:spacing w:after="0" w:line="300" w:lineRule="auto"/>
        <w:tabs>
          <w:tab w:leader="none" w:pos="3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Private Label business, which sells the Company’s regenerative medicine and other products to strategic partners. The International segment sells similar products to those discussed above, but are managed through the following geographies: (i) Europe, Middle East and Africa, and (ii) Central/South America, Asia-Pacific and Canada. The Corporate and other category includes (i) various legal, finance, executive, and human resource functions, (ii) brand management,</w:t>
      </w:r>
    </w:p>
    <w:p>
      <w:pPr>
        <w:spacing w:after="0" w:line="1" w:lineRule="exact"/>
        <w:rPr>
          <w:rFonts w:ascii="Arial" w:cs="Arial" w:eastAsia="Arial" w:hAnsi="Arial"/>
          <w:sz w:val="15"/>
          <w:szCs w:val="15"/>
          <w:color w:val="auto"/>
        </w:rPr>
      </w:pPr>
    </w:p>
    <w:p>
      <w:pPr>
        <w:ind w:right="620" w:firstLine="8"/>
        <w:spacing w:after="0" w:line="361" w:lineRule="auto"/>
        <w:tabs>
          <w:tab w:leader="none" w:pos="3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 based compensation costs, and (iv) costs related to procurement, manufacturing operations and logistics for the Company’s entire organization. Accordingly, the segment information for the prior years has been restated in accordance with authoritative guidance on segment reporting.</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operating results of the various reportable segments as presented are not comparable to one another because (i) certain operating segments are more dependent than others on Corporate for unallocated general and administrative and/or operational manufacturing functions, and (ii) the Company does not allocate certain manufacturing costs and general and administrative costs to the operating segment results.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Net sales and profit by reportable segment for the three and six months ended June 30, 2012 and 2011 and March 31, 2012 and 2011 are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Segment Net Sales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U.S. Neurosurgery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40,183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38,130</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41,316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82,507</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Instruments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U.S. Extremities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26,587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21,306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23,210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Spine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46,611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47,700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196,185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181,041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193,329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406,355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374,370</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Segment Profit</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Neurosurgery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19,157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U.S. Instruments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7,452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Extremities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U.S. Spine and 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12,461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Segment profit</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68,863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63,274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67,252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140,801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130,526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Corporate and 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(46,676)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(49,270)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(55,202)</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(95,946)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(94,593)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20,872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segment profits for the U.S. Instruments and U.S. Extremities segments for the three months ended March 31, 2012 and 2011, have been revised.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9"/>
              </w:rPr>
              <w:t>Three Months Ended</w:t>
            </w:r>
          </w:p>
        </w:tc>
        <w:tc>
          <w:tcPr>
            <w:tcW w:w="38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$181,847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$153,731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Neurosurgery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68,174</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133,832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133,361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90,676</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87,278</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210,170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193,329</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406,355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374,370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above that are generated from non-U.S. customers and therefore included in Europe and the Rest of World revenues below. Total revenue by major geographic area consisted of the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$163,483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$144,494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$312,157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$277,794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22,884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25,277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46,552</w:t>
            </w:r>
          </w:p>
        </w:tc>
        <w:tc>
          <w:tcPr>
            <w:tcW w:w="660" w:type="dxa"/>
            <w:vAlign w:val="bottom"/>
          </w:tcPr>
          <w:p>
            <w:pPr>
              <w:jc w:val="right"/>
              <w:spacing w:after="0"/>
              <w:rPr>
                <w:sz w:val="20"/>
                <w:szCs w:val="20"/>
                <w:color w:val="auto"/>
              </w:rPr>
            </w:pPr>
            <w:r>
              <w:rPr>
                <w:rFonts w:ascii="Arial" w:cs="Arial" w:eastAsia="Arial" w:hAnsi="Arial"/>
                <w:sz w:val="18"/>
                <w:szCs w:val="18"/>
                <w:color w:val="auto"/>
              </w:rPr>
              <w:t>50,364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23,803</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47,646</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Revenues</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210,170</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193,329</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406,355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374,370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11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Company has settled, or has pending against it, various lawsuits, claims and proceedings. 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2011 included in our Annual Report on Form 10-K.</w:t>
      </w:r>
    </w:p>
    <w:p>
      <w:pPr>
        <w:spacing w:after="0" w:line="14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2011. We undertake no obligation to publicly update or revise any forward-looking statements, whether as a result of new information, future events or otherwise.</w:t>
      </w:r>
    </w:p>
    <w:p>
      <w:pPr>
        <w:spacing w:after="0" w:line="10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We manage our business through a combination of product groups and geography, and accordingly, we report our financial results under five reportable segments</w:t>
      </w:r>
    </w:p>
    <w:p>
      <w:pPr>
        <w:spacing w:after="0" w:line="5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 U.S. Instruments, U.S. Neurosurgery, U.S. Extremities, U.S. Spine and Other (which consists of our U.S. Spine, U.S. Orthobiologics and Private Label businesses) and International.</w:t>
      </w:r>
    </w:p>
    <w:p>
      <w:pPr>
        <w:spacing w:after="0" w:line="1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present revenues in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the United Kingdom and Mexico. We also source most of our handheld surgical instruments and specialty metal implants through specialized third-party vendors.</w:t>
      </w:r>
    </w:p>
    <w:p>
      <w:pPr>
        <w:spacing w:after="0" w:line="132"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In the United States, we have several sales channels. Orthopedics products are sold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specialty distributors.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objective is to become a diversified global medical device company that helps patients by limiting uncertainty for medical professionals, and to be a high quality investment for shareholders. We will achieve these goals by delivering on our Brand Promises to our customers worldwide and by becoming a top player in all markets in which we compete. Our strategy includes the following key elements: geographic expansion, margin expansion, leveraging platform synergies, disciplined focus and execution, global quality assurance and acquiring or in-licensing products that fit existing sales channels.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90"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Diversification and Platform Synergies</w:t>
      </w:r>
      <w:r>
        <w:rPr>
          <w:rFonts w:ascii="Arial" w:cs="Arial" w:eastAsia="Arial" w:hAnsi="Arial"/>
          <w:sz w:val="16"/>
          <w:szCs w:val="16"/>
          <w:color w:val="auto"/>
        </w:rPr>
        <w:t>. Each of our three selling platforms contributes a different strength to our core business. Orthopedics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us to grow our top line and increase marginal gross profit. Neurosurgery provides stable growth as a market with few elective procedures. Instruments has a strong capacity to generate cash flows. We have unique synergies among these platforms, such as our regenerative medicine technology, instrument sourcing capabilities, and Group Purchasing Organization (“GPO”) contract management.</w:t>
      </w:r>
    </w:p>
    <w:p>
      <w:pPr>
        <w:spacing w:after="0" w:line="31"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 leading products among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61"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Net income for the three months ended June 30, 2012 was $8.5 million, or $0.30 per diluted share as compared with net income of $0.7 million or $0.02 per diluted share for the three months ended June 30, 2011.</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for the six months ended June 30, 2012 was $15.2 million, or $0.53 per diluted share as compared with net income of $12.2 million or $0.40 per diluted share for the six months ended June 30, 2011.</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both of these periods, the increase in net income over the same period last year resulted primarily from a decrease in selling, general and administrative costs, which in prior-year quarter and year-to-date periods included $8.4 million of incremental stock based compensation charges related to our former chief executive officer’s employment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costs and expenses include the following charges: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4"/>
              <w:spacing w:after="0"/>
              <w:rPr>
                <w:sz w:val="20"/>
                <w:szCs w:val="20"/>
                <w:color w:val="auto"/>
              </w:rPr>
            </w:pPr>
            <w:r>
              <w:rPr>
                <w:rFonts w:ascii="Arial" w:cs="Arial" w:eastAsia="Arial" w:hAnsi="Arial"/>
                <w:sz w:val="14"/>
                <w:szCs w:val="14"/>
                <w:b w:val="1"/>
                <w:bCs w:val="1"/>
                <w:color w:val="auto"/>
                <w:w w:val="88"/>
              </w:rPr>
              <w:t>Three Months Ended June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76"/>
              </w:rPr>
              <w:t>2011</w:t>
            </w: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left="35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5"/>
              </w:rPr>
              <w:t>Plainsboro, New Jersey manufacturing facility remediation costs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Global ERP implementation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7,276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Facility optimization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Certain employee termination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Discontinued product lines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European entity restructuring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non-cash interest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Certain executive compensation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Financing charges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12,349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22,397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24,996</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vMerge w:val="restart"/>
          </w:tcPr>
          <w:p>
            <w:pPr>
              <w:jc w:val="right"/>
              <w:ind w:right="89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86"/>
              </w:rPr>
              <w:t>Three Months Ended June 30,</w:t>
            </w:r>
          </w:p>
        </w:tc>
        <w:tc>
          <w:tcPr>
            <w:tcW w:w="360" w:type="dxa"/>
            <w:vAlign w:val="bottom"/>
          </w:tcPr>
          <w:p>
            <w:pPr>
              <w:spacing w:after="0"/>
              <w:rPr>
                <w:sz w:val="14"/>
                <w:szCs w:val="14"/>
                <w:color w:val="auto"/>
              </w:rPr>
            </w:pPr>
          </w:p>
        </w:tc>
        <w:tc>
          <w:tcPr>
            <w:tcW w:w="1780" w:type="dxa"/>
            <w:vAlign w:val="bottom"/>
            <w:gridSpan w:val="6"/>
          </w:tcPr>
          <w:p>
            <w:pPr>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6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right"/>
              <w:ind w:right="295"/>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19,370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1,148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8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12,349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22,397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24,996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30,094</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period-to-period,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in 2011, and as other aspects of the project reach the application development stage, we will capitalize those expenditures as well.</w:t>
      </w:r>
    </w:p>
    <w:p>
      <w:pPr>
        <w:spacing w:after="0" w:line="118"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88"/>
              </w:rPr>
              <w:t>Three Months Ended June 30,</w:t>
            </w:r>
          </w:p>
        </w:tc>
        <w:tc>
          <w:tcPr>
            <w:tcW w:w="19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81,479</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$181,847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$153,731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Neurosurgery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67,775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68,174</w:t>
            </w:r>
          </w:p>
        </w:tc>
        <w:tc>
          <w:tcPr>
            <w:tcW w:w="5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133,832</w:t>
            </w:r>
          </w:p>
        </w:tc>
        <w:tc>
          <w:tcPr>
            <w:tcW w:w="680" w:type="dxa"/>
            <w:vAlign w:val="bottom"/>
          </w:tcPr>
          <w:p>
            <w:pPr>
              <w:jc w:val="right"/>
              <w:spacing w:after="0"/>
              <w:rPr>
                <w:sz w:val="20"/>
                <w:szCs w:val="20"/>
                <w:color w:val="auto"/>
              </w:rPr>
            </w:pPr>
            <w:r>
              <w:rPr>
                <w:rFonts w:ascii="Arial" w:cs="Arial" w:eastAsia="Arial" w:hAnsi="Arial"/>
                <w:sz w:val="18"/>
                <w:szCs w:val="18"/>
                <w:color w:val="auto"/>
              </w:rPr>
              <w:t>133,361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43,676</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90,676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210,170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193,329</w:t>
            </w:r>
          </w:p>
        </w:tc>
        <w:tc>
          <w:tcPr>
            <w:tcW w:w="5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406,355</w:t>
            </w:r>
          </w:p>
        </w:tc>
        <w:tc>
          <w:tcPr>
            <w:tcW w:w="680" w:type="dxa"/>
            <w:vAlign w:val="bottom"/>
          </w:tcPr>
          <w:p>
            <w:pPr>
              <w:jc w:val="right"/>
              <w:spacing w:after="0"/>
              <w:rPr>
                <w:sz w:val="20"/>
                <w:szCs w:val="20"/>
                <w:color w:val="auto"/>
              </w:rPr>
            </w:pPr>
            <w:r>
              <w:rPr>
                <w:rFonts w:ascii="Arial" w:cs="Arial" w:eastAsia="Arial" w:hAnsi="Arial"/>
                <w:sz w:val="18"/>
                <w:szCs w:val="18"/>
                <w:color w:val="auto"/>
              </w:rPr>
              <w:t>374,370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152,949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Gross margin on total revenues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131,896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120,491</w:t>
            </w:r>
          </w:p>
        </w:tc>
        <w:tc>
          <w:tcPr>
            <w:tcW w:w="5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253,406</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$ 236,611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Regenerative Medicine Facility Update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Revenues and gross margin in the second quarter and six months of 2012 were affected by remediation activities in our regenerative medicine facility in Plainsboro, New Jersey.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does not restrict our ability to manufacture or ship products, nor does it require the recall of any product. In June and July 2012, the FDA again inspected the regenerative medicine facility. The FDA was on site for 20 days of inspection, during which the agency both specifically reviewed the progress of the facility’s warning letter remediation program and comprehensively reviewed its quality systems. At the end of the inspection, the FDA issued a new Form 483 with seven observations, relating to Corrective and Preventative Action (“CAPA”), non-conforming products, production and process controls, certain software validations, certain document control procedures, control of storage areas and stock rooms and delays in the filing of supplemental Medical Device Reports. Of these, the FDA designated the first observation, related to CAPA, as a repeat observation. The FDA did not issue repeat observations about the suitability of the building for manufacturing, preventative maintenance, cleaning validations, root-cause analysis of non-conforming products or filing initial Medical Device Reports within the required 30 days. A copy of the FDA Form 483 is filed as an exhibit to this quarterly report. Since August 2011, we have undertaken significant efforts to remediate the observations that the FDA has made and continue to do so, including both capital investment for new equipment and leasehold improvements and incremental spending to improve or revise quality systems. We expensed approximately $1.8 million and $3.4 million in the second quarter and six months of 2012, respectively, on such initiatives,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anticipate spending another $0.7 million, which includes unplanned idle time and underutilization at the plant, over the remainder of the year. We expect to make capital investments in additional leasehold improvements designed to address the FDA’s observations totaling $2.5 million to $3.0 million over the remainder of the year.</w:t>
      </w:r>
    </w:p>
    <w:p>
      <w:pPr>
        <w:spacing w:after="0" w:line="134" w:lineRule="exact"/>
        <w:rPr>
          <w:sz w:val="20"/>
          <w:szCs w:val="20"/>
          <w:color w:val="auto"/>
        </w:rPr>
      </w:pPr>
    </w:p>
    <w:p>
      <w:pPr>
        <w:ind w:right="3220"/>
        <w:spacing w:after="0" w:line="347" w:lineRule="auto"/>
        <w:rPr>
          <w:sz w:val="20"/>
          <w:szCs w:val="20"/>
          <w:color w:val="auto"/>
        </w:rPr>
      </w:pPr>
      <w:r>
        <w:rPr>
          <w:rFonts w:ascii="Arial" w:cs="Arial" w:eastAsia="Arial" w:hAnsi="Arial"/>
          <w:sz w:val="18"/>
          <w:szCs w:val="18"/>
          <w:b w:val="1"/>
          <w:bCs w:val="1"/>
          <w:color w:val="auto"/>
        </w:rPr>
        <w:t>THREE MONTHS ENDED JUNE 30, 2012 AS COMPARED TO THREE MONTHS ENDED JUNE 30, 2011 Revenues and Gross Margin</w:t>
      </w:r>
    </w:p>
    <w:p>
      <w:pPr>
        <w:spacing w:after="0" w:line="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the three months ended June 30, 2012, total revenues increased by $16.8 million, or 9%, to $210.2 million from $193.3 million for the same period during 2011. Domestic revenues increased 13% to $163.5 million, or 78% of total revenues, for the three months ended June 30, 2012 from $144.5 million, or 75% of total revenues, for the three months ended June 30, 2011. International revenues decreased to $46.7 million from $48.8 million in the prior-year period, a decrease of 4%, driven in part by foreign exchange fluctuations from a weaker euro versus the U.S. dollar compared to the second quarter of 2011. Overall foreign exchange rate fluctuations accounted for a $3.0 million decrease in revenues during the second quarter of 2012 as compared to the same period last year.</w:t>
      </w:r>
    </w:p>
    <w:p>
      <w:pPr>
        <w:spacing w:after="0" w:line="10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U.S. Neurosurgery revenues were $42.3 million, an increase of 2% from the prior year. This increase, in both our capital equipment and disposables, resulted primarily from growing demand for our market-leading duraplasty products, as well as increases in sales of our ultrasonic tissue ablation systems and cranial stabilization products.</w:t>
      </w:r>
    </w:p>
    <w:p>
      <w:pPr>
        <w:spacing w:after="0" w:line="14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U.S. Instruments revenues were $41.3 million, up 9% from the prior year. The strong sales growth within instruments was largely driven by strength in our acute care sales channel, including some large orders that we do not expect to recur, and continued growth of our LED surgical headlamp product which was launched in late 2011. In the alternate site channel, we noted a return to normalized ordering patterns following distributors purchasing fewer instruments in the last couple quarters in an effort to reduce their inventories to more desirable levels. We believe that our distributors have largely achieved their inventory targets.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U.S. Extremities revenues were $32.0 million, an increase of 38% from the prior year. The growth was primarily the result of significant increases in sales of our dermal and wound care products and Ascension acquisition. We cleared most but not all of the backorders caused by shortages of our regenerative medicine products that resulted from remediation work in our Plainsboro, New Jersey manufacturing facility.</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Spine and Other revenues, which include our Spine hardware, orthobiologics and private label products, were $48.8 million, up 13% from the prior year. The increase is primarily because of the incremental revenue as a result of the SeaSpine, Inc. acquisition on May 23, 2011, in addition to the continued double digit growth for our orthobiologics with a strong demand for our EVO3 and Mozaik products. This is due to higher demands for these new products from our new and existing core distributors. Our sales team has been focused on signing up new distributors and we have seen increases in sales of our products as a result of it. Sales of our private label products decreased from prior year.</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International segment revenues were $45.7 million, a decrease of 4% from the prior year. We experienced a negative foreign currency impact of $3.0 million, which primarily affected our sales in Europe. With constant currency rates, Europe would have increased approximately 1%. In that region we saw increases in our skin and wound sales, primarily in Germany and the United Kingdom, as we began clearing our backorders caused by shortages of our regenerative medicine products as discussed above. We also saw increases in the Asia-Pacific and Latin America markets across all product categories.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Gross margin increased 10% to $131.9 million for the three-month period ended June 30, 2012. Gross margin as a percentage of total revenue increased slightly to 62.8% for the second quarter 2012 from 62.3% for the same period last year. The increase in gross margin percentage was primarily because of improved sales mix offset by additional costs related to the amortization of the fair value inventory step-up on the acquired SeaSpine and Ascension inventories from 2011and expenses for quality systems improvements and the remediation of our regenerative medicine facility.</w:t>
      </w:r>
    </w:p>
    <w:p>
      <w:pPr>
        <w:spacing w:after="0" w:line="11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2012, we expect our consolidated gross margin percentage to be flat to up slightly compared to 2011. We expect to complete the remediation work at our Plainsboro, New Jersey regenerative medicine manufacturing facility and accordingly, expect to return to normal levels of production during Q4 2012. However, higher costs resulting from the amortization of the Ascension and SeaSpine inventory to cost of goods sold at acquisition value, costs related to the expansion of our regenerative medicine activities, and continued downward pressure on our private-label sales volumes will negatively affect our consolidated gross margin.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1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45.7%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54.1%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in the second quarter of 2012 remained relatively flat, compared to the same period last year. Product development efforts for our spine, and extremity reconstruction product lines, were offset by lower spending in neurosurgery and instrument product development activities. We target 2012 spending on research and development to be between 6% and 7% of total revenues.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general and administrative expenses in the second quarter of 2012 increased by $0.4 million to $96.1 million compared to $95.7 million in the same period last year. Selling and marketing expenses increased by $10.0 million primarily due to a higher proportion of sales through distributors during the quarter, which generally have a higher cost than the direct selling model. Our SeaSpine and Ascension acquisitions also impacted the increase. Additionally, increases in revenue drove the corresponding commission costs up. We also incurred $1.1 million of expenses to terminate an exclusive product distribution agreement with a former distributor in China, which includes a transfer of certain product registration rights back to us. General and administrative costs decreased $9.7 million primarily due to prior year incremental charges of $8.4 million of stock based compensation related to the renewal of our former chief executive officer’s employment agreement and $1.1 million of acquisition related costs that did not repeat in the current period.</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Amortization expense in the second quarter of 2012 was $4.6 million compared to $4.0 million in the same period last year. The increase is primarily due to amortization of the significant intangible assets added as part of our SeaSpine and Ascension acquisitions that occurred during the second and third quarters of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Three Months Ended June 30,</w:t>
            </w:r>
          </w:p>
        </w:tc>
      </w:tr>
      <w:tr>
        <w:trPr>
          <w:trHeight w:val="142"/>
        </w:trPr>
        <w:tc>
          <w:tcPr>
            <w:tcW w:w="3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415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rPr>
              <w:t>(7,103)</w:t>
            </w:r>
          </w:p>
        </w:tc>
        <w:tc>
          <w:tcPr>
            <w:tcW w:w="5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(6,722)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236</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Interest expense in the three months ended June 30, 2012 increased primarily as a result of interest on our 2016 Notes that we issued in June 2011 and the impact of the interest rate swap which increased our interest expense by $0.7 million offset by $0.3 million decrease in interest on our 2012 Notes. Our reported interest expense for the three-month periods ended June 30, 2012 and 2011 includes non-cash interest related to the accounting for convertible securities of $2.9 million and $2.0 million, respectively. Furthermore, the three month period ended June 30, 2011 includes approximately $0.8 million of debt issuance costs that were immediately expensed upon the refinancing of our Senior Credit Facility on June 8,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Other expense for the second quarter of 2012 of $0.2 million was primarily attributable to foreign exchange gains and losses on intercompany balances.</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Other income for the second quarter of 2011 of $0.6 million consists primarily of income from credits for research and development activities performed in foreign jurisdictions partially offset by foreign exchange losses on intercompany balances.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Three Months Ended June 30,</w:t>
            </w: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92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11,569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82"/>
              <w:spacing w:after="0"/>
              <w:rPr>
                <w:sz w:val="20"/>
                <w:szCs w:val="20"/>
                <w:color w:val="auto"/>
              </w:rPr>
            </w:pPr>
            <w:r>
              <w:rPr>
                <w:rFonts w:ascii="Arial" w:cs="Arial" w:eastAsia="Arial" w:hAnsi="Arial"/>
                <w:sz w:val="18"/>
                <w:szCs w:val="18"/>
                <w:color w:val="auto"/>
              </w:rPr>
              <w:t>3,055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r>
    </w:tbl>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effective income tax rate for the three months ended June 30, 2012 and 2011 was 26.4% and 65.0%, respectively. Income tax expense for the three months ended June 30, 2011 included a $1.7 million correction to a deferred tax asset relating to 2009, and a $0.7 million income tax expense for a tax law change in the State of New Jersey, which became effective in the quarter ended June 30, 2011. Further, we projected a significant decrease in our full year income, especially in the United States because of certain costs and expenses recorded in the second quarter of 2011 and the projection of similar costs and expenses for the remainder of the 2011 year. All of these items resulted in the reported effective tax rate for the three months ended June 30, 2011 to be 65.0%. Income tax expense for the three months ended June 30, 2012 included a $0.8 million accrual for income tax expense due to lost manufacturing tax deductions related to a reduction in U.S. taxable income.</w:t>
      </w:r>
    </w:p>
    <w:p>
      <w:pPr>
        <w:spacing w:after="0" w:line="14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are classified as current income taxes payable.</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expect our effective income tax rate for the full year to be approximately 21.3% as a result of a number of uncertain tax positions that we expect to reverse in the third quarter of 2012. This estimate could be revised in future quarters as additional information is presented to us.</w:t>
      </w:r>
    </w:p>
    <w:p>
      <w:pPr>
        <w:spacing w:after="0" w:line="207" w:lineRule="exact"/>
        <w:rPr>
          <w:sz w:val="20"/>
          <w:szCs w:val="20"/>
          <w:color w:val="auto"/>
        </w:rPr>
      </w:pPr>
    </w:p>
    <w:p>
      <w:pPr>
        <w:ind w:right="3880"/>
        <w:spacing w:after="0" w:line="347" w:lineRule="auto"/>
        <w:rPr>
          <w:sz w:val="20"/>
          <w:szCs w:val="20"/>
          <w:color w:val="auto"/>
        </w:rPr>
      </w:pPr>
      <w:r>
        <w:rPr>
          <w:rFonts w:ascii="Arial" w:cs="Arial" w:eastAsia="Arial" w:hAnsi="Arial"/>
          <w:sz w:val="18"/>
          <w:szCs w:val="18"/>
          <w:b w:val="1"/>
          <w:bCs w:val="1"/>
          <w:color w:val="auto"/>
        </w:rPr>
        <w:t>SIX MONTHS ENDED JUNE 30, 2012 AS COMPARED TO SIX MONTHS ENDED JUNE 30, 2011 Revenues and Gross Margin</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six-month period ended June 30, 2012, total revenues increased by $32.0 million or 9%, to $406.3 million from $374.4 million during the prior-year period. Domestic revenues increased by 12% to $312.2 million, and were 77% and 74% of total revenues for the six months ended June 30, 2012 and 2011, respectively. International revenues decreased by 2% to $94.2 million driven by foreign exchange fluctuation from a weaker euro versus the U.S. dollar compared to the same period last year. Overall foreign exchange rate fluctuations accounted for a $3.6 million decrease in revenues during the second quarter of 2012 as compared to the same period last year.</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U.S. Neurosurgery revenues were $82.5 million, an increase of 4% from the prior year. Continued and growing demand for our market-leading duraplasty products, increases in sales of our ultrasonic tissue ablation systems, as well as strength in our critical care and stereotaxy product lines and cranial stabilization products, drove most of the increase. We experienced a strong performance in both our capital equipment and disposable products.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U.S. Instruments revenues were $79.3 million, up 5% from the prior year period. We believe that distributors have largely achieved their lower inventory targets and their buying patterns are returning to normal levels. The strong sales growth within instruments was largely driven by strength in our acute care sales channel, including some large orders that we do not expect to recur. Strong growth of our LED surgical headlamp product, which was launched in late 2011, as well as growth in our market share and solid new facility openings, are also contributing to the growth.</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Extremities revenues were $58.6 million, an increase of 32% from the prior year. Significant increase in revenue was from the impact of our Ascension acquisition in the third quarter of 2011. Our direct sales force began selling the full line of Ascension’s portfolio of products in early 2012, moving us away from the legacy distributor network. Increases were also noted in dermal and wound care products as the demand for the product continues to be strong. We cleared most but not all of the backorders caused by shortages of our regenerative medicine products that resulted from remediation work in our Plainsboro, New Jersey facility.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 Spine and Other revenues, which include our spine hardware, orthobiologics and private label products, were $93.6 million, up 16% from the prior year. The increase is primarily because of the addition of SeaSpine’s revenue and strong growth in our orthobiologics portfolio. Our EVO3 and Mozaik products continue to see high demand, through both our existing base and newly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added distributors driving double-digit growth for orthobiologics during the period. While the new product launches, new distribution on-boarding and cross-pollination of the two spine hardware lines is progressing well, the spine hardware market remains challenging, both in price and volume. Private label decreased versus the prior-year period.</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International segment revenues were $92.3 million, a decrease by 2% from prior year. The current financial situation in Europe put budget constraints on hospitals and we saw decreases in neurosurgery capital spending and extremities purchases. These declines were partially offset by our spine and orthobiologics sales, which have increased off a relatively small base in 2011. The shortages of our regenerative medicine products discussed above were also experienced outside of the United States and during the second quarter we began our delivery of backordered skin products. We noted slight increases in the Asia-Pacific and Latin America markets across all product categories.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margin increased 7% to $253.4 million for the six-month period ended June 30, 2012. Gross margin as a percentage of total revenue decreased to 62.4% for the first half of 2012 from 63.2% for the same period last year. The decrease in gross margin percentage was primarily because of ongoing remediation efforts in our Plainsboro, New Jersey manufacturing facility as discussed above. Also, we discontinued our radiosurgery and radiotherapy product lines and wrote-off the related technology intangible assets and inventory resulting in $1.0 million of incremental costs during the 2012 period as we continue to optimize our portfolio. Finally, we incurred additional costs related to the amortization of the fair value inventory step-up on the acquired SeaSpine and Ascension inventories from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45.2%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53.7%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$10.2 million, or 5%, to $217.9 million in the first half of 2012, compared to $207.7 million in the same period last year.</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Research and development expenses in the first half of 2012 remained flat, compared to the same period last year. Product development efforts for our spine, and extremity reconstruction product lines, were offset by lower spending in neurosurgery and instrument product development activities.</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Selling, general and administrative expenses in the first half of 2012 increased by $7.7 million to $183.5 million compared to $175.8 million in the same period last year. Selling and marketing expenses increased by $16.1 million primarily due to a higher proportion of sales to distributors during the period which inherently have a higher cost than the direct selling model together with increases in revenue and corresponding commission costs, as well as the impact of our SeaSpine and Ascension acquisitions. Additionally, we incurred $1.1 million of expenses to terminate an exclusive product distribution agreement with a former distributor in China, which includes the transfer of certain product registration rights back to us. General and administrative costs decreased $8.4 million primarily due to prior year incremental charges of $8.4 million of stock based compensation related to the renewal of our former chief executive officer’s employment agreement and $1.1 million of acquisition related costs that did not repeat in the current period offset by charges related to the implementation of our global enterprise resource planning system.</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Amortization expense in the first six months of 2012 increased by $2.3 million to $9.4 million compared to $7.1 million in the same period last year. The increase was primarily related to amortization of the significant intangible assets added as part of our SeaSpine and Ascension acquisitions that occurred during the second and third quarter of 2011,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42"/>
        </w:trPr>
        <w:tc>
          <w:tcPr>
            <w:tcW w:w="4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42"/>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left="38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793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w w:val="92"/>
              </w:rPr>
              <w:t>(15,032)</w:t>
            </w:r>
          </w:p>
        </w:tc>
        <w:tc>
          <w:tcPr>
            <w:tcW w:w="4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(12,191)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Interest income increased in the six-month period ended June 30, 2012, compared to the same period last year, primarily from short-term investments in time deposit accounts held outside the United States.</w:t>
      </w:r>
    </w:p>
    <w:p>
      <w:pPr>
        <w:spacing w:after="0" w:line="132"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Interest expense in the six-month period ended June 30, 2012, increased primarily as a result of interest on our 2016 Notes that were issued in June 2011 and the impact of our interest rate swap resulted in additional interest expense of $0.9 million during the period. Our reported interest expense for the six-month periods ended June 30, 2012 and 2011 includes non-cash interest related to the accounting for convertible securities of $6.5 million and $3.7 million, respectively.</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Furthermore, the six-month period ended June 30, 2011 includes approximately $0.8 million of debt issuance costs that were immediately expensed upon the refinancing of our Senior Credit Facility on June 8,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of $0.1 million in 2012 were primarily attributable to foreign exchange gain and losses on intercompany balances.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4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90"/>
              </w:rPr>
              <w:t>21,162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16,831</w:t>
            </w:r>
          </w:p>
        </w:tc>
        <w:tc>
          <w:tcPr>
            <w:tcW w:w="2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Income tax expense</w:t>
            </w: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2"/>
              <w:spacing w:after="0"/>
              <w:rPr>
                <w:sz w:val="20"/>
                <w:szCs w:val="20"/>
                <w:color w:val="auto"/>
              </w:rPr>
            </w:pPr>
            <w:r>
              <w:rPr>
                <w:rFonts w:ascii="Arial" w:cs="Arial" w:eastAsia="Arial" w:hAnsi="Arial"/>
                <w:sz w:val="18"/>
                <w:szCs w:val="18"/>
                <w:color w:val="auto"/>
              </w:rPr>
              <w:t>5,955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4,645</w:t>
            </w:r>
          </w:p>
        </w:tc>
        <w:tc>
          <w:tcPr>
            <w:tcW w:w="2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15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Our effective income tax rate for the six months ended June 30, 2012 and 2011 was 28.1% and 27.6%, respectively. Income tax expense for the six months ended June 30, 2012 included a $0.6 million accrual for tax contingencies related to uncertain tax positions in connection with ongoing U.S. Federal tax audits and $0.8 million accrual for income tax expense due to lost manufacturing tax deductions related to a reduction in U.S. taxable income.</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expect our effective income tax rate for the full year to be approximately 21.3% as a result of a number of uncertain tax positions that we expect to reverse in the third quarter of 2012. This estimate could be revised in future quarters as additional information is presented to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managed by the various U.S. segments noted above that are made to non-U.S. customers and are therefore included in Europe or Rest of World revenues below – these revenues are not significant. Total revenue by major geographic area consisted of the following: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144,494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$ 312,157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$ 277,794</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22,884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25,277</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46,552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50,364</w:t>
            </w: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23,803</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20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210,170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193,329</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$ 406,355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$ 374,370</w:t>
            </w:r>
          </w:p>
        </w:tc>
        <w:tc>
          <w:tcPr>
            <w:tcW w:w="2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our discussion of international revenues under the Item 2 section titled Results of Operations – “Revenues and Gross Margins.”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had cash and cash equivalents totaling approximately $75.5 million and $100.8 million at June 30, 2012 and December 31, 2011, respectively. We had short-term investments totaling $39.3 million at June 30, 2012, all of which were held by our non-U.S. subsidiaries. There were no short-term investments at December 31, 2011. At June 30, 2012, our non-U.S. subsidiaries held approximately $61.9 million of cash and cash equivalents that are available for use by all of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ind w:left="4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(69,358)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(93,937)</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50,867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(25,338)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Overall use of cash is due to purchases of our short-term investments which were offset by their maturities. Additionally, in the second quarter of 2012, we borrowed $155 million from our senior credit facility to fund the June repayment of our convertible 2012 Notes of $165 million, of which $134 million was classified as a financing use of cash for the repayment of the debt component, and $31 million as an operating use of cash for the repayment of accreted interest. We plan to spend between $30 million and $40 million on capital expenditures in the second half of 2012, primarily for the expansion of regenerative medicine manufacturing capacity, our enterprise resource planning system implementation, and additions to our instrument sets used in sales of orthopedic products.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June 7, 2012, our executive chairman ceased to be an employee of the Company. Mr. Essig continues to serve as Chairman and as a member of the Board of Directors. As a result of the termination of his employment, he will be distributed approximately 1.67 million deferred stock units (“SUs”) that he accumulated over the past eight years. These SUs will be distributed to him in the form of shares of our common stock within approximately six months after the date he ceased to be an employee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The Company will use cash to pay withheld federal and state taxes in connection with the release of such SUs, and most of the payments will be classified as an operating use of cash. Accordingly, the SUs will be distributed and taxes will be withheld in the fourth quarter of 2012. The Company will retain shares equal in value to the required withholding taxes, which may exceed 44% of the then aggregate fair market value of the SUs. The Company will be able to deduct the total amount of such deferred compensation from its federal and state corporation taxes, but will not receive the cash benefits of such deductions in the same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$34.6 million and $45.8 million for the six months ended June 30, 2012 and 2011, respectively.</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cash flows were lower than the same period in 2011 largely because of the repayment of our convertible 2012 Notes of $165 million, of which $31.0 million was classified as an operating use of cash for the repayment of accreted interest. Net income for the six months ended June 30, 2012, plus items included in those earnings that did not result in a change to our cash balance, amounted to approximately $50.8 million. Changes in working capital increased cash flows by approximately $14.8 million. Among the changes in working capital, accounts receivable provided $2.3 million of cash, inventory used $2.2 million of cash, prepaid expenses and other current assets provided $7.7 million of cash, and accounts payable, accrued expenses and other current liabilities provided $7.0 million of cash.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During the six months ended June 30, 2012, we paid $24.6 million in cash for capital expenditures, most of which was directed to the expansion of our regenerative medicine production capacity and global enterprise system implementation. We had net purchases of $41.8 million in short-term time deposit accounts, which are held outside of the United States. During the six months ended June 30, 2011, we paid $80.8 million ($81.0 million net of $0.2 million of cash acquired) related to our acquisition of SeaSpine, Inc. and incurred $13.1 million in capital expenditures related primarily to expanding our regenerative medicine manufacturing capacity.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Our principal uses of cash for financing activities in the six months ended June 30, 2012 were $155.0 million of borrowings under our Senior Credit Facility offset by the repayment of the liability component of our 2012 Notes of $134.4 million and $12.8 million of repayments under our Senior Credit Facility.</w:t>
      </w:r>
    </w:p>
    <w:p>
      <w:pPr>
        <w:spacing w:after="0" w:line="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principal sources of cash from financing activities in the six months ended June 30, 2011 were from $230.0 million in borrowings under the 2016 Notes issued in June 2011, proceeds from the related warrant sale of $28.5 million, and $85.0 million in additional borrowings under our Senior Credit Facility. These amounts were offset by $188.8 million in repayments under our Senior Credit Facility, $42.9 million for the call option on our 2016 Notes, debt issuance costs of $8.0 million, treasury stock purchases of $57.0 million and proceeds from stock option exercises and the tax impact of stock based compensation of $4.1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June 30, 2012 and December 31, 2011, working capital was $365.1 million and $350.4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The Senior Credit Facility is subject to various financial and negative covenants and at June 30, 2012, the Company was in compliance with all such covenants.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May 11, 2012, the Company entered into a first amendment to the Senior Credit Facility. The amendment modified certain financial and negative covenants as disclosed in Note 6, the effect of which was to increase the Company’s capacity to borrow.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May 11, 2012 amendment, the Company capitalized $0.4 million in incremental financing costs.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June 30, 2012 and December 31, 2011, there was $321.9 million and $179.7 million outstanding, respectively, under the Senior Credit Facility at a weighted average interest rate of 1.8% and 2.0%, respectively. The Company considers the balance to be long-term in nature based on its current intent and ability to repay the borrowing outside of the next twelve-month period. At June 30, 2012, there was approximately $278.1 million available for borrowing under the Senior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pay interest each June 1 and December 1 on our $165.0 million senior convertible notes due June 2012 (“2012 Notes”) at an annual rate of 2.375%, and each June 15 and December 15 on our $230.0 million senior convertible notes due December 2016 (“2016 Notes”) at an annual interest rate of 1.625%.</w:t>
      </w:r>
    </w:p>
    <w:p>
      <w:pPr>
        <w:spacing w:after="0" w:line="8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June 2012, the Company repaid the 2012 Notes at maturity with long-term borrowings from its Senior Credit Facility and cash on hand. The related bond hedge contracts will terminate in components over 100 trading day periods commencing 90 days after the maturity of the 2012 Notes.</w:t>
      </w:r>
    </w:p>
    <w:p>
      <w:pPr>
        <w:spacing w:after="0" w:line="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2012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2016 Notes, under the terms of the applicable private placement agreement, are guaranteed fully by Integra LifeSciences Corporation, a subsidiary of Integra. The 2016 Notes are Integra’s direct senior unsecured obligations and will rank equal in right of payment to all of our existing and future unsecured and unsubordinated indebtedness.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substantially similar to those in the 2016 Notes. The initial strike price of the warrant transactions is approximately $70.05 for the 2016 Notes, in each case subject to customary anti-dilution adjustments.</w:t>
      </w:r>
    </w:p>
    <w:p>
      <w:pPr>
        <w:spacing w:after="0" w:line="120"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29, 2010, our Board of Directors authorized us to repurchase shares of our common stock for an aggregate purchase price not to exceed $75.0 million through December 31, 2012. Shares may be purchased either in the open market or in privately negotiated transactions. We repurchased no shares under this program during the first six months of 2012 and $29.1 million remains available under the authorization.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and potential acquisition-related payments in the near term based on our current plans. The Company considers all such outstanding amounts to be long-term in nature based on its current intent and ability to repay the borrowings outside of the next twelve 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2011 have not materially changed.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our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June 30, 2012 would increase interest income by approximately $0.8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$134.1 million outstanding as of June 30, 2012. We recognized $0.9 million of additional interest expense related to this derivative during the first half of 2012. The fair value of our interest rate derivative instrument was a net liability of $4.4 million at June 30, 2012.</w:t>
      </w:r>
    </w:p>
    <w:p>
      <w:pPr>
        <w:spacing w:after="0" w:line="14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Based on our outstanding borrowings at June 30, 2012, a one-percentage point change in interest rates would have impacted interest expense on the unhedged portion of the debt by $28 thousand on an annualized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2012. Based upon this evaluation, our principal executive officer and principal financial officer concluded that our disclosure controls and procedures were effective as of June 30, 2012 to provide such reasonable assurance.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June 30, 2012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two sales representatives in a single region within our Extremities Reconstruction division pertaining to the alleged creation of invoices for products that were not sold or surgeries that did not take place for extremities indications. The Company is cooperating with the United States Attorney’s office on a voluntary basis and is not a subject or target of an investigation at this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2011 have not materially changed other than the modifications to the risk factors as set forth below.</w:t>
      </w:r>
    </w:p>
    <w:p>
      <w:pPr>
        <w:spacing w:after="0" w:line="2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5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cannot predict the consolidated effects of exchange rate fluctuations upon our future operating results because of the number of currencies involved, the variability of currency exposure and the potential volatility of currency exchange rates.Our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12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1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12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largest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Synthes, Inc., Stryker Corporation, Zimmer, Inc., NuVasive, Inc., Globus Medical, Inc., Alphatec Spine, Inc., Orthofix and several smaller, biologically focused companies. In surgical instruments, we compete with V. Mueller, as well as the Aesculap division of B. Braun Medical, Inc. In addition, we compete with Symmetry Medical Inc.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20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implemented changes to the 510(k) premarket notification process. The FDA has issued a new Draft Guidance, “The 510(k) Program: Evaluating Substantial Equivalence in Premarket Notifications 510(k).” These changes to the 510(k) process may result in more extensive testing, clinical trial data, more extensive manufacturing information and postmarket surveillance requirements.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payors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now dependent on the class of product. Any of our Class III devices (those categorized 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reports or clinical trial data which can be costly.</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FDA Safety and Innovation Act (FDASIA) which includes the Medical Device User Fee Amendments of 2012 (MDUFA III), as well as other medical device provisions, goes into effect October 1, 2012. This includes performance goals and user fees paid to FDA by medical device companies when they register and list with FDA and when they submit an application to market a device in the US. This will affect the fees paid to the FDA over the 5 year period that FDASIA is in effect.</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1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FDA inspected our Plainsboro, New Jersey regenerative medicine manufacturing facility during the third quarter of 2011, at the conclusion of which it issued FDA Form 483 inspectional observations that described violations of quality system regulations. We subsequently received a warning letter from the FDA dated December 21, 2011 pertaining to that facility. We filed the warning letter as an exhibit to a Current Report on Form 8-K filed January 5, 2012. The effect of the warning letter is to require regular reports to the FDA of progress made on remediation of issues identified in the warning letter. Further, the FDA will not approve Premarket Approval Applications ( PMA ) manufactured in that facility until the warning letter has been remediated.</w:t>
      </w:r>
    </w:p>
    <w:p>
      <w:pPr>
        <w:spacing w:after="0" w:line="1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June and July 2012, the FDA again inspected the regenerative medicine facility. The FDA was on site for 20 days of inspection, during which the agency both specifically reviewed the progress of the facility’s warning letter remediation program and comprehensively reviewed its quality systems. At the end of the inspection, the FDA issued a new Form 483 with seven observations, relating to Corrective and Preventative Action (“CAPA”), non-conforming products, production and process controls, certain software validations, certain document control procedures, control of storage areas and stock rooms and delays in the filing of supplemental Medical Device Reports. Of these, the FDA designated the first observation, related to CAPA, as a repeat observation. The FDA did not issue repeat observations about the suitability of the building for manufacturing, preventative maintenance, cleaning validations, root-cause analysis of non-conforming products or filing initial Medical Device Reports within the required 30 days.</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incurred, and will incur, substantial expenses to remediate those observations and others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Our products have been modified to meet the new standards and we are substantially in compliance with these standards. We do not anticipate any delays in selling our products in the markets that have adopted the IEC updated standards.</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also subject to other regulatory requirements of countries outside the United States where we do business. For example, under the European Union Medical Device Directive (MDD),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 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1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October 2010, our Board of Directors adopted a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six months ended June 30, 2012 under this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spacing w:after="0"/>
              <w:rPr>
                <w:sz w:val="19"/>
                <w:szCs w:val="19"/>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300" w:type="dxa"/>
            <w:vAlign w:val="bottom"/>
          </w:tcPr>
          <w:p>
            <w:pPr>
              <w:spacing w:after="0"/>
              <w:rPr>
                <w:sz w:val="24"/>
                <w:szCs w:val="24"/>
                <w:color w:val="auto"/>
              </w:rPr>
            </w:pPr>
          </w:p>
        </w:tc>
      </w:tr>
      <w:tr>
        <w:trPr>
          <w:trHeight w:val="426"/>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300" w:type="dxa"/>
            <w:vAlign w:val="bottom"/>
          </w:tcPr>
          <w:p>
            <w:pPr>
              <w:ind w:left="280"/>
              <w:spacing w:after="0"/>
              <w:rPr>
                <w:sz w:val="20"/>
                <w:szCs w:val="20"/>
                <w:color w:val="auto"/>
              </w:rPr>
            </w:pPr>
            <w:r>
              <w:rPr>
                <w:rFonts w:ascii="Arial" w:cs="Arial" w:eastAsia="Arial" w:hAnsi="Arial"/>
                <w:sz w:val="18"/>
                <w:szCs w:val="18"/>
                <w:color w:val="auto"/>
                <w:w w:val="91"/>
              </w:rPr>
              <w:t>Amended and Restated By laws of Integra LifeSciences Holdings Corporation, effective as of May 17, 2012 (Incorporated by reference to</w:t>
            </w:r>
          </w:p>
        </w:tc>
      </w:tr>
      <w:tr>
        <w:trPr>
          <w:trHeight w:val="222"/>
        </w:trPr>
        <w:tc>
          <w:tcPr>
            <w:tcW w:w="112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rPr>
              <w:t>Exhibit 3.2 to the Company’s Current Report on Form 8-K filed on April 13, 2012)</w:t>
            </w:r>
          </w:p>
        </w:tc>
      </w:tr>
      <w:tr>
        <w:trPr>
          <w:trHeight w:val="318"/>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300" w:type="dxa"/>
            <w:vAlign w:val="bottom"/>
          </w:tcPr>
          <w:p>
            <w:pPr>
              <w:ind w:left="280"/>
              <w:spacing w:after="0"/>
              <w:rPr>
                <w:sz w:val="20"/>
                <w:szCs w:val="20"/>
                <w:color w:val="auto"/>
              </w:rPr>
            </w:pPr>
            <w:r>
              <w:rPr>
                <w:rFonts w:ascii="Arial" w:cs="Arial" w:eastAsia="Arial" w:hAnsi="Arial"/>
                <w:sz w:val="18"/>
                <w:szCs w:val="18"/>
                <w:color w:val="auto"/>
                <w:w w:val="90"/>
              </w:rPr>
              <w:t>First Amendment, dated as of May 11, 2012, among Integra LifeSciences Holdings Corporation, the lenders party thereto, Bank of America,</w:t>
            </w:r>
          </w:p>
        </w:tc>
      </w:tr>
      <w:tr>
        <w:trPr>
          <w:trHeight w:val="216"/>
        </w:trPr>
        <w:tc>
          <w:tcPr>
            <w:tcW w:w="112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w w:val="89"/>
              </w:rPr>
              <w:t>N.A., as Administrative Agent, Swing Line Lender and L/C Issuer, JPMorgan Chase Bank, N.A., as Syndication Agent, and HSBC Bank, NA,</w:t>
            </w:r>
          </w:p>
        </w:tc>
      </w:tr>
      <w:tr>
        <w:trPr>
          <w:trHeight w:val="216"/>
        </w:trPr>
        <w:tc>
          <w:tcPr>
            <w:tcW w:w="1120" w:type="dxa"/>
            <w:vAlign w:val="bottom"/>
          </w:tcPr>
          <w:p>
            <w:pPr>
              <w:spacing w:after="0"/>
              <w:rPr>
                <w:sz w:val="18"/>
                <w:szCs w:val="18"/>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w w:val="93"/>
              </w:rPr>
              <w:t>Royal Bank of Canada, Wells Fargo Bank, NA, Fifth Third Bank, DNB Nor Bank ASA and TD Bank, N.A., as Co-Documentation Agents</w:t>
            </w:r>
          </w:p>
        </w:tc>
      </w:tr>
      <w:tr>
        <w:trPr>
          <w:trHeight w:val="222"/>
        </w:trPr>
        <w:tc>
          <w:tcPr>
            <w:tcW w:w="112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 May 14, 2012)</w:t>
            </w:r>
          </w:p>
        </w:tc>
      </w:tr>
      <w:tr>
        <w:trPr>
          <w:trHeight w:val="318"/>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10.1</w:t>
            </w:r>
          </w:p>
        </w:tc>
        <w:tc>
          <w:tcPr>
            <w:tcW w:w="10300" w:type="dxa"/>
            <w:vAlign w:val="bottom"/>
          </w:tcPr>
          <w:p>
            <w:pPr>
              <w:ind w:left="280"/>
              <w:spacing w:after="0"/>
              <w:rPr>
                <w:sz w:val="20"/>
                <w:szCs w:val="20"/>
                <w:color w:val="auto"/>
              </w:rPr>
            </w:pPr>
            <w:r>
              <w:rPr>
                <w:rFonts w:ascii="Arial" w:cs="Arial" w:eastAsia="Arial" w:hAnsi="Arial"/>
                <w:sz w:val="18"/>
                <w:szCs w:val="18"/>
                <w:color w:val="auto"/>
                <w:w w:val="92"/>
              </w:rPr>
              <w:t>Compensation of Non-Employee Directors of Integra LifeSciences Holdings Corporation (Incorporated by reference to Exhibit 10.1 to the</w:t>
            </w:r>
          </w:p>
        </w:tc>
      </w:tr>
      <w:tr>
        <w:trPr>
          <w:trHeight w:val="222"/>
        </w:trPr>
        <w:tc>
          <w:tcPr>
            <w:tcW w:w="112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318"/>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10.2</w:t>
            </w:r>
          </w:p>
        </w:tc>
        <w:tc>
          <w:tcPr>
            <w:tcW w:w="10300" w:type="dxa"/>
            <w:vAlign w:val="bottom"/>
          </w:tcPr>
          <w:p>
            <w:pPr>
              <w:ind w:left="280"/>
              <w:spacing w:after="0"/>
              <w:rPr>
                <w:sz w:val="20"/>
                <w:szCs w:val="20"/>
                <w:color w:val="auto"/>
              </w:rPr>
            </w:pPr>
            <w:r>
              <w:rPr>
                <w:rFonts w:ascii="Arial" w:cs="Arial" w:eastAsia="Arial" w:hAnsi="Arial"/>
                <w:sz w:val="18"/>
                <w:szCs w:val="18"/>
                <w:color w:val="auto"/>
                <w:w w:val="91"/>
              </w:rPr>
              <w:t>Termination of Amendment to Lease Contract, dated as of April 2, 2012, between Integra CI, Inc. and Puerto Rico Industrial Development</w:t>
            </w:r>
          </w:p>
        </w:tc>
      </w:tr>
      <w:tr>
        <w:trPr>
          <w:trHeight w:val="222"/>
        </w:trPr>
        <w:tc>
          <w:tcPr>
            <w:tcW w:w="112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rPr>
              <w:t>Company (Incorporated by reference to Exhibit 10.2 to the Company Quarterly Report on Form 10-Q filed on April 26, 2012)</w:t>
            </w:r>
          </w:p>
        </w:tc>
      </w:tr>
      <w:tr>
        <w:trPr>
          <w:trHeight w:val="318"/>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10.3</w:t>
            </w:r>
          </w:p>
        </w:tc>
        <w:tc>
          <w:tcPr>
            <w:tcW w:w="10300" w:type="dxa"/>
            <w:vAlign w:val="bottom"/>
          </w:tcPr>
          <w:p>
            <w:pPr>
              <w:ind w:left="280"/>
              <w:spacing w:after="0"/>
              <w:rPr>
                <w:sz w:val="20"/>
                <w:szCs w:val="20"/>
                <w:color w:val="auto"/>
              </w:rPr>
            </w:pPr>
            <w:r>
              <w:rPr>
                <w:rFonts w:ascii="Arial" w:cs="Arial" w:eastAsia="Arial" w:hAnsi="Arial"/>
                <w:sz w:val="18"/>
                <w:szCs w:val="18"/>
                <w:color w:val="auto"/>
                <w:w w:val="90"/>
              </w:rPr>
              <w:t>Letter agreement dated June 7, 2012 between Stuart M. Essig and Integra LifeSciences Holdings Corporation (Incorporated by reference to</w:t>
            </w:r>
          </w:p>
        </w:tc>
      </w:tr>
      <w:tr>
        <w:trPr>
          <w:trHeight w:val="222"/>
        </w:trPr>
        <w:tc>
          <w:tcPr>
            <w:tcW w:w="1120" w:type="dxa"/>
            <w:vAlign w:val="bottom"/>
          </w:tcPr>
          <w:p>
            <w:pPr>
              <w:spacing w:after="0"/>
              <w:rPr>
                <w:sz w:val="19"/>
                <w:szCs w:val="19"/>
                <w:color w:val="auto"/>
              </w:rPr>
            </w:pPr>
          </w:p>
        </w:tc>
        <w:tc>
          <w:tcPr>
            <w:tcW w:w="1030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June 7, 2012)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*10.4</w:t>
            </w:r>
          </w:p>
        </w:tc>
        <w:tc>
          <w:tcPr>
            <w:tcW w:w="10300" w:type="dxa"/>
            <w:vAlign w:val="bottom"/>
          </w:tcPr>
          <w:p>
            <w:pPr>
              <w:ind w:left="280"/>
              <w:spacing w:after="0"/>
              <w:rPr>
                <w:sz w:val="20"/>
                <w:szCs w:val="20"/>
                <w:color w:val="auto"/>
              </w:rPr>
            </w:pPr>
            <w:r>
              <w:rPr>
                <w:rFonts w:ascii="Arial" w:cs="Arial" w:eastAsia="Arial" w:hAnsi="Arial"/>
                <w:sz w:val="18"/>
                <w:szCs w:val="18"/>
                <w:color w:val="auto"/>
              </w:rPr>
              <w:t>New Form of Restricted Stock Agreement for Non-Employee Directors</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*10.5</w:t>
            </w:r>
          </w:p>
        </w:tc>
        <w:tc>
          <w:tcPr>
            <w:tcW w:w="10300" w:type="dxa"/>
            <w:vAlign w:val="bottom"/>
          </w:tcPr>
          <w:p>
            <w:pPr>
              <w:ind w:left="280"/>
              <w:spacing w:after="0"/>
              <w:rPr>
                <w:sz w:val="20"/>
                <w:szCs w:val="20"/>
                <w:color w:val="auto"/>
              </w:rPr>
            </w:pPr>
            <w:r>
              <w:rPr>
                <w:rFonts w:ascii="Arial" w:cs="Arial" w:eastAsia="Arial" w:hAnsi="Arial"/>
                <w:sz w:val="18"/>
                <w:szCs w:val="18"/>
                <w:color w:val="auto"/>
              </w:rPr>
              <w:t>New Form of Restricted Stock Agreement for Executive officers - Annual Vesting</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*10.6</w:t>
            </w:r>
          </w:p>
        </w:tc>
        <w:tc>
          <w:tcPr>
            <w:tcW w:w="10300" w:type="dxa"/>
            <w:vAlign w:val="bottom"/>
          </w:tcPr>
          <w:p>
            <w:pPr>
              <w:ind w:left="280"/>
              <w:spacing w:after="0"/>
              <w:rPr>
                <w:sz w:val="20"/>
                <w:szCs w:val="20"/>
                <w:color w:val="auto"/>
              </w:rPr>
            </w:pPr>
            <w:r>
              <w:rPr>
                <w:rFonts w:ascii="Arial" w:cs="Arial" w:eastAsia="Arial" w:hAnsi="Arial"/>
                <w:sz w:val="18"/>
                <w:szCs w:val="18"/>
                <w:color w:val="auto"/>
              </w:rPr>
              <w:t>New Form of Restricted Stock Agreement for Executive Officers - Cliff Vesting</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*10.7</w:t>
            </w:r>
          </w:p>
        </w:tc>
        <w:tc>
          <w:tcPr>
            <w:tcW w:w="10300" w:type="dxa"/>
            <w:vAlign w:val="bottom"/>
          </w:tcPr>
          <w:p>
            <w:pPr>
              <w:ind w:left="280"/>
              <w:spacing w:after="0"/>
              <w:rPr>
                <w:sz w:val="20"/>
                <w:szCs w:val="20"/>
                <w:color w:val="auto"/>
              </w:rPr>
            </w:pPr>
            <w:r>
              <w:rPr>
                <w:rFonts w:ascii="Arial" w:cs="Arial" w:eastAsia="Arial" w:hAnsi="Arial"/>
                <w:sz w:val="18"/>
                <w:szCs w:val="18"/>
                <w:color w:val="auto"/>
              </w:rPr>
              <w:t>Amendment to Integra LifeSciences Holdings Corporation 2000 Equity Incentive Plan effective as of May 17, 2012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*10.8</w:t>
            </w:r>
          </w:p>
        </w:tc>
        <w:tc>
          <w:tcPr>
            <w:tcW w:w="10300" w:type="dxa"/>
            <w:vAlign w:val="bottom"/>
          </w:tcPr>
          <w:p>
            <w:pPr>
              <w:ind w:left="280"/>
              <w:spacing w:after="0"/>
              <w:rPr>
                <w:sz w:val="20"/>
                <w:szCs w:val="20"/>
                <w:color w:val="auto"/>
              </w:rPr>
            </w:pPr>
            <w:r>
              <w:rPr>
                <w:rFonts w:ascii="Arial" w:cs="Arial" w:eastAsia="Arial" w:hAnsi="Arial"/>
                <w:sz w:val="18"/>
                <w:szCs w:val="18"/>
                <w:color w:val="auto"/>
              </w:rPr>
              <w:t>Amendment to the Integra LifeSciences Holdings Corporation 2001 Equity Incentive Plan effective as of May 17, 2012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*10.9</w:t>
            </w:r>
          </w:p>
        </w:tc>
        <w:tc>
          <w:tcPr>
            <w:tcW w:w="10300" w:type="dxa"/>
            <w:vAlign w:val="bottom"/>
          </w:tcPr>
          <w:p>
            <w:pPr>
              <w:ind w:left="280"/>
              <w:spacing w:after="0"/>
              <w:rPr>
                <w:sz w:val="20"/>
                <w:szCs w:val="20"/>
                <w:color w:val="auto"/>
              </w:rPr>
            </w:pPr>
            <w:r>
              <w:rPr>
                <w:rFonts w:ascii="Arial" w:cs="Arial" w:eastAsia="Arial" w:hAnsi="Arial"/>
                <w:sz w:val="18"/>
                <w:szCs w:val="18"/>
                <w:color w:val="auto"/>
              </w:rPr>
              <w:t>Amendment to the Integra LifeSciences Holdings Corporation 2003 Equity Incentive Plan effective as of May 17, 2012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*18.1</w:t>
            </w:r>
          </w:p>
        </w:tc>
        <w:tc>
          <w:tcPr>
            <w:tcW w:w="10300" w:type="dxa"/>
            <w:vAlign w:val="bottom"/>
          </w:tcPr>
          <w:p>
            <w:pPr>
              <w:ind w:left="280"/>
              <w:spacing w:after="0"/>
              <w:rPr>
                <w:sz w:val="20"/>
                <w:szCs w:val="20"/>
                <w:color w:val="auto"/>
              </w:rPr>
            </w:pPr>
            <w:r>
              <w:rPr>
                <w:rFonts w:ascii="Arial" w:cs="Arial" w:eastAsia="Arial" w:hAnsi="Arial"/>
                <w:sz w:val="18"/>
                <w:szCs w:val="18"/>
                <w:color w:val="auto"/>
              </w:rPr>
              <w:t>Preferability letter of Independent Public Accounting Firm dated July 31, 2012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*31.1</w:t>
            </w:r>
          </w:p>
        </w:tc>
        <w:tc>
          <w:tcPr>
            <w:tcW w:w="1030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*31.2</w:t>
            </w:r>
          </w:p>
        </w:tc>
        <w:tc>
          <w:tcPr>
            <w:tcW w:w="1030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*32.1</w:t>
            </w:r>
          </w:p>
        </w:tc>
        <w:tc>
          <w:tcPr>
            <w:tcW w:w="1030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*32.2</w:t>
            </w:r>
          </w:p>
        </w:tc>
        <w:tc>
          <w:tcPr>
            <w:tcW w:w="1030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1120" w:type="dxa"/>
            <w:vAlign w:val="bottom"/>
          </w:tcPr>
          <w:p>
            <w:pPr>
              <w:jc w:val="right"/>
              <w:ind w:right="452"/>
              <w:spacing w:after="0"/>
              <w:rPr>
                <w:sz w:val="20"/>
                <w:szCs w:val="20"/>
                <w:color w:val="auto"/>
              </w:rPr>
            </w:pPr>
            <w:r>
              <w:rPr>
                <w:rFonts w:ascii="Arial" w:cs="Arial" w:eastAsia="Arial" w:hAnsi="Arial"/>
                <w:sz w:val="18"/>
                <w:szCs w:val="18"/>
                <w:color w:val="auto"/>
              </w:rPr>
              <w:t>*99.1</w:t>
            </w:r>
          </w:p>
        </w:tc>
        <w:tc>
          <w:tcPr>
            <w:tcW w:w="10300" w:type="dxa"/>
            <w:vAlign w:val="bottom"/>
          </w:tcPr>
          <w:p>
            <w:pPr>
              <w:ind w:left="28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9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2012 filed on July 31,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10795</wp:posOffset>
            </wp:positionV>
            <wp:extent cx="3533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5"/>
          <w:szCs w:val="15"/>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10795</wp:posOffset>
            </wp:positionV>
            <wp:extent cx="3533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240" w:top="459" w:right="7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Exhibits</w:t>
            </w:r>
          </w:p>
        </w:tc>
        <w:tc>
          <w:tcPr>
            <w:tcW w:w="10280" w:type="dxa"/>
            <w:vAlign w:val="bottom"/>
          </w:tcPr>
          <w:p>
            <w:pPr>
              <w:spacing w:after="0"/>
              <w:rPr>
                <w:sz w:val="15"/>
                <w:szCs w:val="15"/>
                <w:color w:val="auto"/>
              </w:rPr>
            </w:pPr>
          </w:p>
        </w:tc>
      </w:tr>
      <w:tr>
        <w:trPr>
          <w:trHeight w:val="303"/>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3.2</w:t>
            </w:r>
          </w:p>
        </w:tc>
        <w:tc>
          <w:tcPr>
            <w:tcW w:w="10280" w:type="dxa"/>
            <w:vAlign w:val="bottom"/>
          </w:tcPr>
          <w:p>
            <w:pPr>
              <w:ind w:left="260"/>
              <w:spacing w:after="0"/>
              <w:rPr>
                <w:sz w:val="20"/>
                <w:szCs w:val="20"/>
                <w:color w:val="auto"/>
              </w:rPr>
            </w:pPr>
            <w:r>
              <w:rPr>
                <w:rFonts w:ascii="Arial" w:cs="Arial" w:eastAsia="Arial" w:hAnsi="Arial"/>
                <w:sz w:val="18"/>
                <w:szCs w:val="18"/>
                <w:color w:val="auto"/>
                <w:w w:val="91"/>
              </w:rPr>
              <w:t>Amended and Restated By laws of Integra LifeSciences Holdings Corporation, effective as of May 17, 2012 (Incorporated by reference to</w:t>
            </w:r>
          </w:p>
        </w:tc>
      </w:tr>
      <w:tr>
        <w:trPr>
          <w:trHeight w:val="222"/>
        </w:trPr>
        <w:tc>
          <w:tcPr>
            <w:tcW w:w="112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Exhibit 3.2 to the Company’s Current Report on Form 8-K filed on April 13, 2012)</w:t>
            </w:r>
          </w:p>
        </w:tc>
      </w:tr>
      <w:tr>
        <w:trPr>
          <w:trHeight w:val="318"/>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4.1</w:t>
            </w:r>
          </w:p>
        </w:tc>
        <w:tc>
          <w:tcPr>
            <w:tcW w:w="10280" w:type="dxa"/>
            <w:vAlign w:val="bottom"/>
          </w:tcPr>
          <w:p>
            <w:pPr>
              <w:ind w:left="260"/>
              <w:spacing w:after="0"/>
              <w:rPr>
                <w:sz w:val="20"/>
                <w:szCs w:val="20"/>
                <w:color w:val="auto"/>
              </w:rPr>
            </w:pPr>
            <w:r>
              <w:rPr>
                <w:rFonts w:ascii="Arial" w:cs="Arial" w:eastAsia="Arial" w:hAnsi="Arial"/>
                <w:sz w:val="18"/>
                <w:szCs w:val="18"/>
                <w:color w:val="auto"/>
                <w:w w:val="90"/>
              </w:rPr>
              <w:t>First Amendment, dated as of May 11, 2012, among Integra LifeSciences Holdings Corporation, the lenders party thereto, Bank of America,</w:t>
            </w:r>
          </w:p>
        </w:tc>
      </w:tr>
      <w:tr>
        <w:trPr>
          <w:trHeight w:val="216"/>
        </w:trPr>
        <w:tc>
          <w:tcPr>
            <w:tcW w:w="1120" w:type="dxa"/>
            <w:vAlign w:val="bottom"/>
          </w:tcPr>
          <w:p>
            <w:pPr>
              <w:spacing w:after="0"/>
              <w:rPr>
                <w:sz w:val="18"/>
                <w:szCs w:val="18"/>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89"/>
              </w:rPr>
              <w:t>N.A., as Administrative Agent, Swing Line Lender and L/C Issuer, JPMorgan Chase Bank, N.A., as Syndication Agent, and HSBC Bank, NA,</w:t>
            </w:r>
          </w:p>
        </w:tc>
      </w:tr>
      <w:tr>
        <w:trPr>
          <w:trHeight w:val="216"/>
        </w:trPr>
        <w:tc>
          <w:tcPr>
            <w:tcW w:w="1120" w:type="dxa"/>
            <w:vAlign w:val="bottom"/>
          </w:tcPr>
          <w:p>
            <w:pPr>
              <w:spacing w:after="0"/>
              <w:rPr>
                <w:sz w:val="18"/>
                <w:szCs w:val="18"/>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3"/>
              </w:rPr>
              <w:t>Royal Bank of Canada, Wells Fargo Bank, NA, Fifth Third Bank, DNB Nor Bank ASA and TD Bank, N.A., as Co-Documentation Agents</w:t>
            </w:r>
          </w:p>
        </w:tc>
      </w:tr>
      <w:tr>
        <w:trPr>
          <w:trHeight w:val="222"/>
        </w:trPr>
        <w:tc>
          <w:tcPr>
            <w:tcW w:w="112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the Company’s Current Report on Form 8-K filed on May 14, 2012)</w:t>
            </w:r>
          </w:p>
        </w:tc>
      </w:tr>
      <w:tr>
        <w:trPr>
          <w:trHeight w:val="318"/>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10.1</w:t>
            </w:r>
          </w:p>
        </w:tc>
        <w:tc>
          <w:tcPr>
            <w:tcW w:w="10280" w:type="dxa"/>
            <w:vAlign w:val="bottom"/>
          </w:tcPr>
          <w:p>
            <w:pPr>
              <w:ind w:left="260"/>
              <w:spacing w:after="0"/>
              <w:rPr>
                <w:sz w:val="20"/>
                <w:szCs w:val="20"/>
                <w:color w:val="auto"/>
              </w:rPr>
            </w:pPr>
            <w:r>
              <w:rPr>
                <w:rFonts w:ascii="Arial" w:cs="Arial" w:eastAsia="Arial" w:hAnsi="Arial"/>
                <w:sz w:val="18"/>
                <w:szCs w:val="18"/>
                <w:color w:val="auto"/>
                <w:w w:val="92"/>
              </w:rPr>
              <w:t>Compensation of Non-Employee Directors of Integra LifeSciences Holdings Corporation (Incorporated by reference to Exhibit 10.1 to the</w:t>
            </w:r>
          </w:p>
        </w:tc>
      </w:tr>
      <w:tr>
        <w:trPr>
          <w:trHeight w:val="222"/>
        </w:trPr>
        <w:tc>
          <w:tcPr>
            <w:tcW w:w="112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318"/>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10.2</w:t>
            </w:r>
          </w:p>
        </w:tc>
        <w:tc>
          <w:tcPr>
            <w:tcW w:w="10280" w:type="dxa"/>
            <w:vAlign w:val="bottom"/>
          </w:tcPr>
          <w:p>
            <w:pPr>
              <w:ind w:left="260"/>
              <w:spacing w:after="0"/>
              <w:rPr>
                <w:sz w:val="20"/>
                <w:szCs w:val="20"/>
                <w:color w:val="auto"/>
              </w:rPr>
            </w:pPr>
            <w:r>
              <w:rPr>
                <w:rFonts w:ascii="Arial" w:cs="Arial" w:eastAsia="Arial" w:hAnsi="Arial"/>
                <w:sz w:val="18"/>
                <w:szCs w:val="18"/>
                <w:color w:val="auto"/>
                <w:w w:val="91"/>
              </w:rPr>
              <w:t>Termination of Amendment to Lease Contract, dated as of April 2, 2012, between Integra CI, Inc. and Puerto Rico Industrial Development</w:t>
            </w:r>
          </w:p>
        </w:tc>
      </w:tr>
      <w:tr>
        <w:trPr>
          <w:trHeight w:val="222"/>
        </w:trPr>
        <w:tc>
          <w:tcPr>
            <w:tcW w:w="112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 (Incorporated by reference to Exhibit 10.2 to the Company Quarterly Report on Form 10-Q filed on April 26, 2012)</w:t>
            </w:r>
          </w:p>
        </w:tc>
      </w:tr>
      <w:tr>
        <w:trPr>
          <w:trHeight w:val="318"/>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10.3</w:t>
            </w:r>
          </w:p>
        </w:tc>
        <w:tc>
          <w:tcPr>
            <w:tcW w:w="10280" w:type="dxa"/>
            <w:vAlign w:val="bottom"/>
          </w:tcPr>
          <w:p>
            <w:pPr>
              <w:ind w:left="260"/>
              <w:spacing w:after="0"/>
              <w:rPr>
                <w:sz w:val="20"/>
                <w:szCs w:val="20"/>
                <w:color w:val="auto"/>
              </w:rPr>
            </w:pPr>
            <w:r>
              <w:rPr>
                <w:rFonts w:ascii="Arial" w:cs="Arial" w:eastAsia="Arial" w:hAnsi="Arial"/>
                <w:sz w:val="18"/>
                <w:szCs w:val="18"/>
                <w:color w:val="auto"/>
                <w:w w:val="90"/>
              </w:rPr>
              <w:t>Letter agreement dated June 7, 2012 between Stuart M. Essig and Integra LifeSciences Holdings Corporation (Incorporated by reference to</w:t>
            </w:r>
          </w:p>
        </w:tc>
      </w:tr>
      <w:tr>
        <w:trPr>
          <w:trHeight w:val="222"/>
        </w:trPr>
        <w:tc>
          <w:tcPr>
            <w:tcW w:w="112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Exhibit 10.1 to the Company’s Current Report on Form 8-K filed on June 7, 2012)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*10.4</w:t>
            </w:r>
          </w:p>
        </w:tc>
        <w:tc>
          <w:tcPr>
            <w:tcW w:w="1028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Non-Employee Directors</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*10.5</w:t>
            </w:r>
          </w:p>
        </w:tc>
        <w:tc>
          <w:tcPr>
            <w:tcW w:w="1028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Executive officers - Annual Vesting</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*10.6</w:t>
            </w:r>
          </w:p>
        </w:tc>
        <w:tc>
          <w:tcPr>
            <w:tcW w:w="1028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Executive Officers - Cliff Vesting</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*10.7</w:t>
            </w:r>
          </w:p>
        </w:tc>
        <w:tc>
          <w:tcPr>
            <w:tcW w:w="10280" w:type="dxa"/>
            <w:vAlign w:val="bottom"/>
          </w:tcPr>
          <w:p>
            <w:pPr>
              <w:ind w:left="260"/>
              <w:spacing w:after="0"/>
              <w:rPr>
                <w:sz w:val="20"/>
                <w:szCs w:val="20"/>
                <w:color w:val="auto"/>
              </w:rPr>
            </w:pPr>
            <w:r>
              <w:rPr>
                <w:rFonts w:ascii="Arial" w:cs="Arial" w:eastAsia="Arial" w:hAnsi="Arial"/>
                <w:sz w:val="18"/>
                <w:szCs w:val="18"/>
                <w:color w:val="auto"/>
              </w:rPr>
              <w:t>Amendment to Integra LifeSciences Holdings Corporation 2000 Equity Incentive Plan effective as of May 17, 2012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*10.8</w:t>
            </w:r>
          </w:p>
        </w:tc>
        <w:tc>
          <w:tcPr>
            <w:tcW w:w="10280" w:type="dxa"/>
            <w:vAlign w:val="bottom"/>
          </w:tcPr>
          <w:p>
            <w:pPr>
              <w:ind w:left="260"/>
              <w:spacing w:after="0"/>
              <w:rPr>
                <w:sz w:val="20"/>
                <w:szCs w:val="20"/>
                <w:color w:val="auto"/>
              </w:rPr>
            </w:pPr>
            <w:r>
              <w:rPr>
                <w:rFonts w:ascii="Arial" w:cs="Arial" w:eastAsia="Arial" w:hAnsi="Arial"/>
                <w:sz w:val="18"/>
                <w:szCs w:val="18"/>
                <w:color w:val="auto"/>
              </w:rPr>
              <w:t>Amendment to the Integra LifeSciences Holdings Corporation 2001 Equity Incentive Plan effective as of May 17, 2012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*10.9</w:t>
            </w:r>
          </w:p>
        </w:tc>
        <w:tc>
          <w:tcPr>
            <w:tcW w:w="10280" w:type="dxa"/>
            <w:vAlign w:val="bottom"/>
          </w:tcPr>
          <w:p>
            <w:pPr>
              <w:ind w:left="260"/>
              <w:spacing w:after="0"/>
              <w:rPr>
                <w:sz w:val="20"/>
                <w:szCs w:val="20"/>
                <w:color w:val="auto"/>
              </w:rPr>
            </w:pPr>
            <w:r>
              <w:rPr>
                <w:rFonts w:ascii="Arial" w:cs="Arial" w:eastAsia="Arial" w:hAnsi="Arial"/>
                <w:sz w:val="18"/>
                <w:szCs w:val="18"/>
                <w:color w:val="auto"/>
              </w:rPr>
              <w:t>Amendment to the Integra LifeSciences Holdings Corporation 2003 Equity Incentive Plan effective as of May 17, 2012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*18.1</w:t>
            </w:r>
          </w:p>
        </w:tc>
        <w:tc>
          <w:tcPr>
            <w:tcW w:w="10280" w:type="dxa"/>
            <w:vAlign w:val="bottom"/>
          </w:tcPr>
          <w:p>
            <w:pPr>
              <w:ind w:left="260"/>
              <w:spacing w:after="0"/>
              <w:rPr>
                <w:sz w:val="20"/>
                <w:szCs w:val="20"/>
                <w:color w:val="auto"/>
              </w:rPr>
            </w:pPr>
            <w:r>
              <w:rPr>
                <w:rFonts w:ascii="Arial" w:cs="Arial" w:eastAsia="Arial" w:hAnsi="Arial"/>
                <w:sz w:val="18"/>
                <w:szCs w:val="18"/>
                <w:color w:val="auto"/>
              </w:rPr>
              <w:t>Preferability letter of Independent Public Accounting Firm dated July 31, 2012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*31.1</w:t>
            </w:r>
          </w:p>
        </w:tc>
        <w:tc>
          <w:tcPr>
            <w:tcW w:w="102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*31.2</w:t>
            </w:r>
          </w:p>
        </w:tc>
        <w:tc>
          <w:tcPr>
            <w:tcW w:w="102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*32.1</w:t>
            </w:r>
          </w:p>
        </w:tc>
        <w:tc>
          <w:tcPr>
            <w:tcW w:w="102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*32.2</w:t>
            </w:r>
          </w:p>
        </w:tc>
        <w:tc>
          <w:tcPr>
            <w:tcW w:w="102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1120" w:type="dxa"/>
            <w:vAlign w:val="bottom"/>
          </w:tcPr>
          <w:p>
            <w:pPr>
              <w:jc w:val="right"/>
              <w:ind w:right="453"/>
              <w:spacing w:after="0"/>
              <w:rPr>
                <w:sz w:val="20"/>
                <w:szCs w:val="20"/>
                <w:color w:val="auto"/>
              </w:rPr>
            </w:pPr>
            <w:r>
              <w:rPr>
                <w:rFonts w:ascii="Arial" w:cs="Arial" w:eastAsia="Arial" w:hAnsi="Arial"/>
                <w:sz w:val="18"/>
                <w:szCs w:val="18"/>
                <w:color w:val="auto"/>
              </w:rPr>
              <w:t>*99.1</w:t>
            </w:r>
          </w:p>
        </w:tc>
        <w:tc>
          <w:tcPr>
            <w:tcW w:w="10280" w:type="dxa"/>
            <w:vAlign w:val="bottom"/>
          </w:tcPr>
          <w:p>
            <w:pPr>
              <w:ind w:left="26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18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2012 filed on July 31,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RESTRICTED STOCK AGREEMENT</w:t>
      </w:r>
    </w:p>
    <w:p>
      <w:pPr>
        <w:sectPr>
          <w:pgSz w:w="11900" w:h="16838" w:orient="portrait"/>
          <w:cols w:equalWidth="0" w:num="1">
            <w:col w:w="11380"/>
          </w:cols>
          <w:pgMar w:left="240" w:top="125" w:right="279" w:bottom="1440" w:gutter="0" w:footer="0" w:header="0"/>
        </w:sectPr>
      </w:pPr>
    </w:p>
    <w:p>
      <w:pPr>
        <w:spacing w:after="0" w:line="194"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THIS RESTRICTED STOCK AGREEMENT </w:t>
      </w:r>
      <w:r>
        <w:rPr>
          <w:rFonts w:ascii="Arial" w:cs="Arial" w:eastAsia="Arial" w:hAnsi="Arial"/>
          <w:sz w:val="18"/>
          <w:szCs w:val="18"/>
          <w:color w:val="auto"/>
        </w:rPr>
        <w:t>(the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Integra LifeSciences Holdings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“Company”), and referred to as the “Participant”: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60" w:firstLine="759"/>
        <w:spacing w:after="0" w:line="370" w:lineRule="auto"/>
        <w:rPr>
          <w:sz w:val="20"/>
          <w:szCs w:val="20"/>
          <w:color w:val="auto"/>
        </w:rPr>
      </w:pPr>
      <w:r>
        <w:rPr>
          <w:rFonts w:ascii="Arial" w:cs="Arial" w:eastAsia="Arial" w:hAnsi="Arial"/>
          <w:sz w:val="15"/>
          <w:szCs w:val="15"/>
          <w:color w:val="auto"/>
        </w:rPr>
        <w:t xml:space="preserve">(the “Award Date”), is made by and between , </w:t>
      </w:r>
      <w:r>
        <w:rPr>
          <w:rFonts w:ascii="Arial" w:cs="Arial" w:eastAsia="Arial" w:hAnsi="Arial"/>
          <w:sz w:val="15"/>
          <w:szCs w:val="15"/>
          <w:b w:val="1"/>
          <w:bCs w:val="1"/>
          <w:color w:val="auto"/>
        </w:rPr>
        <w:t>a non-employee director</w:t>
      </w:r>
      <w:r>
        <w:rPr>
          <w:rFonts w:ascii="Arial" w:cs="Arial" w:eastAsia="Arial" w:hAnsi="Arial"/>
          <w:sz w:val="15"/>
          <w:szCs w:val="15"/>
          <w:color w:val="auto"/>
        </w:rPr>
        <w:t xml:space="preserve"> of the Company, hereinafter</w:t>
      </w:r>
    </w:p>
    <w:p>
      <w:pPr>
        <w:spacing w:after="0" w:line="272" w:lineRule="exact"/>
        <w:rPr>
          <w:sz w:val="20"/>
          <w:szCs w:val="20"/>
          <w:color w:val="auto"/>
        </w:rPr>
      </w:pPr>
    </w:p>
    <w:p>
      <w:pPr>
        <w:sectPr>
          <w:pgSz w:w="11900" w:h="16838" w:orient="portrait"/>
          <w:cols w:equalWidth="0" w:num="2">
            <w:col w:w="7080" w:space="220"/>
            <w:col w:w="4080"/>
          </w:cols>
          <w:pgMar w:left="240" w:top="125" w:right="279" w:bottom="1440" w:gutter="0" w:footer="0" w:header="0"/>
          <w:type w:val="continuous"/>
        </w:sectPr>
      </w:pPr>
    </w:p>
    <w:p>
      <w:pPr>
        <w:ind w:right="380" w:firstLine="913"/>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maintains the Integra LifeSciences Holdings Corporation 2003 Equity Incentive Plan, as amended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wishes to carry out the Plan, the terms of which are hereby incorporated by reference and made part of this Award Agreement; and</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various covenants herein contained, and intending to be legally bound hereby, the parties hereto agree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2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w w:val="94"/>
              </w:rPr>
              <w:t xml:space="preserve">Section 1.1 Restricted Stock. </w:t>
            </w:r>
            <w:r>
              <w:rPr>
                <w:rFonts w:ascii="Arial" w:cs="Arial" w:eastAsia="Arial" w:hAnsi="Arial"/>
                <w:sz w:val="18"/>
                <w:szCs w:val="18"/>
                <w:color w:val="auto"/>
                <w:w w:val="94"/>
              </w:rPr>
              <w:t>“Restricted Stock” shall mean [</w:t>
            </w:r>
          </w:p>
        </w:tc>
        <w:tc>
          <w:tcPr>
            <w:tcW w:w="5120" w:type="dxa"/>
            <w:vAlign w:val="bottom"/>
          </w:tcPr>
          <w:p>
            <w:pPr>
              <w:ind w:left="360"/>
              <w:spacing w:after="0"/>
              <w:rPr>
                <w:sz w:val="20"/>
                <w:szCs w:val="20"/>
                <w:color w:val="auto"/>
              </w:rPr>
            </w:pPr>
            <w:r>
              <w:rPr>
                <w:rFonts w:ascii="Arial" w:cs="Arial" w:eastAsia="Arial" w:hAnsi="Arial"/>
                <w:sz w:val="18"/>
                <w:szCs w:val="18"/>
                <w:color w:val="auto"/>
                <w:w w:val="87"/>
              </w:rPr>
              <w:t>] shares of Common Stock of the Company issued under this Award</w:t>
            </w: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35"/>
        </w:trPr>
        <w:tc>
          <w:tcPr>
            <w:tcW w:w="5620" w:type="dxa"/>
            <w:vAlign w:val="bottom"/>
            <w:gridSpan w:val="3"/>
          </w:tcPr>
          <w:p>
            <w:pPr>
              <w:spacing w:after="0"/>
              <w:rPr>
                <w:sz w:val="20"/>
                <w:szCs w:val="20"/>
                <w:color w:val="auto"/>
              </w:rPr>
            </w:pPr>
            <w:r>
              <w:rPr>
                <w:rFonts w:ascii="Arial" w:cs="Arial" w:eastAsia="Arial" w:hAnsi="Arial"/>
                <w:sz w:val="18"/>
                <w:szCs w:val="18"/>
                <w:color w:val="auto"/>
              </w:rPr>
              <w:t>Agreement and subject to the Restrictions imposed hereunder.</w:t>
            </w:r>
          </w:p>
        </w:tc>
        <w:tc>
          <w:tcPr>
            <w:tcW w:w="5120" w:type="dxa"/>
            <w:vAlign w:val="bottom"/>
          </w:tcPr>
          <w:p>
            <w:pPr>
              <w:spacing w:after="0"/>
              <w:rPr>
                <w:sz w:val="20"/>
                <w:szCs w:val="20"/>
                <w:color w:val="auto"/>
              </w:rPr>
            </w:pPr>
          </w:p>
        </w:tc>
      </w:tr>
    </w:tbl>
    <w:p>
      <w:pPr>
        <w:spacing w:after="0" w:line="69" w:lineRule="exact"/>
        <w:rPr>
          <w:sz w:val="20"/>
          <w:szCs w:val="20"/>
          <w:color w:val="auto"/>
        </w:rPr>
      </w:pPr>
    </w:p>
    <w:p>
      <w:pPr>
        <w:ind w:left="460" w:firstLine="876"/>
        <w:spacing w:after="0" w:line="275"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Award Agreement.</w:t>
      </w:r>
    </w:p>
    <w:p>
      <w:pPr>
        <w:spacing w:after="0" w:line="39" w:lineRule="exact"/>
        <w:rPr>
          <w:sz w:val="20"/>
          <w:szCs w:val="20"/>
          <w:color w:val="auto"/>
        </w:rPr>
      </w:pPr>
    </w:p>
    <w:p>
      <w:pPr>
        <w:ind w:left="1340"/>
        <w:spacing w:after="0"/>
        <w:rPr>
          <w:sz w:val="20"/>
          <w:szCs w:val="20"/>
          <w:color w:val="auto"/>
        </w:rPr>
      </w:pPr>
      <w:r>
        <w:rPr>
          <w:rFonts w:ascii="Arial" w:cs="Arial" w:eastAsia="Arial" w:hAnsi="Arial"/>
          <w:sz w:val="15"/>
          <w:szCs w:val="15"/>
          <w:b w:val="1"/>
          <w:bCs w:val="1"/>
          <w:u w:val="single" w:color="auto"/>
          <w:color w:val="auto"/>
        </w:rPr>
        <w:t>Section 1.3</w:t>
      </w:r>
      <w:r>
        <w:rPr>
          <w:rFonts w:ascii="Arial" w:cs="Arial" w:eastAsia="Arial" w:hAnsi="Arial"/>
          <w:sz w:val="15"/>
          <w:szCs w:val="15"/>
          <w:b w:val="1"/>
          <w:bCs w:val="1"/>
          <w:color w:val="auto"/>
        </w:rPr>
        <w:t xml:space="preserve"> Rule 16b-3. </w:t>
      </w:r>
      <w:r>
        <w:rPr>
          <w:rFonts w:ascii="Arial" w:cs="Arial" w:eastAsia="Arial" w:hAnsi="Arial"/>
          <w:sz w:val="15"/>
          <w:szCs w:val="15"/>
          <w:color w:val="auto"/>
        </w:rPr>
        <w:t>“Rule 16b-3” shall mean that certain Rule 16b-3 under the Exchange Act, as such Rule may be amended from time to</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90" w:lineRule="exact"/>
        <w:rPr>
          <w:sz w:val="20"/>
          <w:szCs w:val="20"/>
          <w:color w:val="auto"/>
        </w:rPr>
      </w:pPr>
    </w:p>
    <w:p>
      <w:pPr>
        <w:ind w:left="460" w:right="40" w:firstLine="876"/>
        <w:spacing w:after="0" w:line="256" w:lineRule="auto"/>
        <w:rPr>
          <w:sz w:val="20"/>
          <w:szCs w:val="20"/>
          <w:color w:val="auto"/>
        </w:rPr>
      </w:pPr>
      <w:r>
        <w:rPr>
          <w:rFonts w:ascii="Arial" w:cs="Arial" w:eastAsia="Arial" w:hAnsi="Arial"/>
          <w:sz w:val="18"/>
          <w:szCs w:val="18"/>
          <w:b w:val="1"/>
          <w:bCs w:val="1"/>
          <w:u w:val="single" w:color="auto"/>
          <w:color w:val="auto"/>
        </w:rPr>
        <w:t>Section 1.5</w:t>
      </w:r>
      <w:r>
        <w:rPr>
          <w:rFonts w:ascii="Arial" w:cs="Arial" w:eastAsia="Arial" w:hAnsi="Arial"/>
          <w:sz w:val="18"/>
          <w:szCs w:val="18"/>
          <w:b w:val="1"/>
          <w:bCs w:val="1"/>
          <w:color w:val="auto"/>
        </w:rPr>
        <w:t xml:space="preserve"> Termination of Service. </w:t>
      </w:r>
      <w:r>
        <w:rPr>
          <w:rFonts w:ascii="Arial" w:cs="Arial" w:eastAsia="Arial" w:hAnsi="Arial"/>
          <w:sz w:val="18"/>
          <w:szCs w:val="18"/>
          <w:color w:val="auto"/>
        </w:rPr>
        <w:t>“Termination of Service” shall mean the time when the Participant ceases to provide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5" w:right="279" w:bottom="1440" w:gutter="0" w:footer="0" w:header="0"/>
          <w:type w:val="continuous"/>
        </w:sectPr>
      </w:pPr>
    </w:p>
    <w:bookmarkStart w:id="40" w:name="page41"/>
    <w:bookmarkEnd w:id="40"/>
    <w:p>
      <w:pPr>
        <w:ind w:firstLine="876"/>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w:t>
      </w:r>
      <w:r>
        <w:rPr>
          <w:rFonts w:ascii="Arial" w:cs="Arial" w:eastAsia="Arial" w:hAnsi="Arial"/>
          <w:sz w:val="18"/>
          <w:szCs w:val="18"/>
          <w:b w:val="1"/>
          <w:bCs w:val="1"/>
          <w:color w:val="auto"/>
        </w:rPr>
        <w:t xml:space="preserve"> Vested Shares. </w:t>
      </w:r>
      <w:r>
        <w:rPr>
          <w:rFonts w:ascii="Arial" w:cs="Arial" w:eastAsia="Arial" w:hAnsi="Arial"/>
          <w:sz w:val="18"/>
          <w:szCs w:val="18"/>
          <w:color w:val="auto"/>
        </w:rPr>
        <w:t>“Vested Shares” shall mean the shares of Restricted Stock which are no longer subject to the Restrictions by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3.2.</w:t>
      </w:r>
    </w:p>
    <w:p>
      <w:pPr>
        <w:spacing w:after="0" w:line="39" w:lineRule="exact"/>
        <w:rPr>
          <w:sz w:val="20"/>
          <w:szCs w:val="20"/>
          <w:color w:val="auto"/>
        </w:rPr>
      </w:pPr>
    </w:p>
    <w:p>
      <w:pPr>
        <w:ind w:right="100" w:firstLine="876"/>
        <w:spacing w:after="0" w:line="275" w:lineRule="auto"/>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each of the three-month, six- month, nine-month and twelve-month anniversary dates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Date.</w:t>
      </w:r>
    </w:p>
    <w:p>
      <w:pPr>
        <w:spacing w:after="0" w:line="28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159" w:lineRule="exact"/>
        <w:rPr>
          <w:sz w:val="20"/>
          <w:szCs w:val="20"/>
          <w:color w:val="auto"/>
        </w:rPr>
      </w:pPr>
    </w:p>
    <w:p>
      <w:pPr>
        <w:ind w:right="180" w:firstLine="876"/>
        <w:spacing w:after="0" w:line="296"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Issuance of Restricted Stock. </w:t>
      </w:r>
      <w:r>
        <w:rPr>
          <w:rFonts w:ascii="Arial" w:cs="Arial" w:eastAsia="Arial" w:hAnsi="Arial"/>
          <w:sz w:val="16"/>
          <w:szCs w:val="16"/>
          <w:color w:val="auto"/>
        </w:rPr>
        <w:t>On the date hereof the Company issues to the Participant the Restricted Stock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7" w:lineRule="exact"/>
        <w:rPr>
          <w:sz w:val="20"/>
          <w:szCs w:val="20"/>
          <w:color w:val="auto"/>
        </w:rPr>
      </w:pPr>
    </w:p>
    <w:p>
      <w:pPr>
        <w:ind w:right="40" w:firstLine="876"/>
        <w:spacing w:after="0" w:line="275"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Until vested pursuant to Section 3.2, the Restricted Stock shall be subject to forfeiture as provided in Section 3.1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sold, assigned, transferred, pledged, or otherwise encumbered or disposed of.</w:t>
      </w:r>
    </w:p>
    <w:p>
      <w:pPr>
        <w:spacing w:after="0" w:line="39" w:lineRule="exact"/>
        <w:rPr>
          <w:sz w:val="20"/>
          <w:szCs w:val="20"/>
          <w:color w:val="auto"/>
        </w:rPr>
      </w:pPr>
    </w:p>
    <w:p>
      <w:pPr>
        <w:ind w:right="220" w:firstLine="876"/>
        <w:spacing w:after="0" w:line="262"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Voting and Dividend Rights. </w:t>
      </w:r>
      <w:r>
        <w:rPr>
          <w:rFonts w:ascii="Arial" w:cs="Arial" w:eastAsia="Arial" w:hAnsi="Arial"/>
          <w:sz w:val="18"/>
          <w:szCs w:val="18"/>
          <w:color w:val="auto"/>
        </w:rPr>
        <w:t>The Participant, shall have all the rights of a stockholder with respect to his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right to vote the Restricted Stock, except that the Participant shall have the right to receive all dividends or other distributions paid or made with respect to only those outstanding vested shares of Common Stock.</w:t>
      </w:r>
    </w:p>
    <w:p>
      <w:pPr>
        <w:spacing w:after="0" w:line="29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159" w:lineRule="exact"/>
        <w:rPr>
          <w:sz w:val="20"/>
          <w:szCs w:val="20"/>
          <w:color w:val="auto"/>
        </w:rPr>
      </w:pPr>
    </w:p>
    <w:p>
      <w:pPr>
        <w:ind w:right="260" w:firstLine="876"/>
        <w:spacing w:after="0" w:line="258" w:lineRule="auto"/>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Forfeiture. </w:t>
      </w:r>
      <w:r>
        <w:rPr>
          <w:rFonts w:ascii="Arial" w:cs="Arial" w:eastAsia="Arial" w:hAnsi="Arial"/>
          <w:sz w:val="18"/>
          <w:szCs w:val="18"/>
          <w:color w:val="auto"/>
        </w:rPr>
        <w:t>Upon the Participant’s Termination of Service other than by reason of death or Disability, the Participant’s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55" w:lineRule="exact"/>
        <w:rPr>
          <w:sz w:val="20"/>
          <w:szCs w:val="20"/>
          <w:color w:val="auto"/>
        </w:rPr>
      </w:pPr>
    </w:p>
    <w:p>
      <w:pPr>
        <w:ind w:right="120" w:firstLine="876"/>
        <w:spacing w:after="0" w:line="301" w:lineRule="auto"/>
        <w:rPr>
          <w:sz w:val="20"/>
          <w:szCs w:val="20"/>
          <w:color w:val="auto"/>
        </w:rPr>
      </w:pPr>
      <w:r>
        <w:rPr>
          <w:rFonts w:ascii="Arial" w:cs="Arial" w:eastAsia="Arial" w:hAnsi="Arial"/>
          <w:sz w:val="16"/>
          <w:szCs w:val="16"/>
          <w:b w:val="1"/>
          <w:bCs w:val="1"/>
          <w:u w:val="single" w:color="auto"/>
          <w:color w:val="auto"/>
        </w:rPr>
        <w:t>Section 3.2</w:t>
      </w:r>
      <w:r>
        <w:rPr>
          <w:rFonts w:ascii="Arial" w:cs="Arial" w:eastAsia="Arial" w:hAnsi="Arial"/>
          <w:sz w:val="16"/>
          <w:szCs w:val="16"/>
          <w:b w:val="1"/>
          <w:bCs w:val="1"/>
          <w:color w:val="auto"/>
        </w:rPr>
        <w:t xml:space="preserve"> Termination of Restrictions. </w:t>
      </w:r>
      <w:r>
        <w:rPr>
          <w:rFonts w:ascii="Arial" w:cs="Arial" w:eastAsia="Arial" w:hAnsi="Arial"/>
          <w:sz w:val="16"/>
          <w:szCs w:val="16"/>
          <w:color w:val="auto"/>
        </w:rPr>
        <w:t>The Restrictions shall terminate and lapse, and such shares shall vest in the Participant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Vested Shares on each Vesting Date as provided in Section 3.3, provided that the Participant has continued to serve as an employee or an Associate from the Award Date to and including such Vesting Date. Notwithstanding the foregoing, upon a Change in Control or in the event of the Participant’s death or Disability, all Restrictions shall lapse and all Restricted Stock shall become Vested Shares.</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41" w:name="page42"/>
    <w:bookmarkEnd w:id="41"/>
    <w:p>
      <w:pPr>
        <w:ind w:left="460" w:right="80" w:firstLine="876"/>
        <w:spacing w:after="0" w:line="290"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w:t>
      </w:r>
      <w:r>
        <w:rPr>
          <w:rFonts w:ascii="Arial" w:cs="Arial" w:eastAsia="Arial" w:hAnsi="Arial"/>
          <w:sz w:val="16"/>
          <w:szCs w:val="16"/>
          <w:b w:val="1"/>
          <w:bCs w:val="1"/>
          <w:color w:val="auto"/>
        </w:rPr>
        <w:t xml:space="preserve"> Lapse of Restrictions. </w:t>
      </w:r>
      <w:r>
        <w:rPr>
          <w:rFonts w:ascii="Arial" w:cs="Arial" w:eastAsia="Arial" w:hAnsi="Arial"/>
          <w:sz w:val="16"/>
          <w:szCs w:val="16"/>
          <w:color w:val="auto"/>
        </w:rPr>
        <w:t>One-fourth of the shares of Restricted Stock shall become Vested Shares on each Vesting Date. On each</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Date, the Company shall issue new certificates evidencing such Vested Shares and deliver such certificates to the 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paid to the Company in cash or by check the full amount of all federal, state and local withholding or other employment taxes applicable to the taxable income of the Participant resulting from the lapse of the Restrictions.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9" w:lineRule="exact"/>
        <w:rPr>
          <w:sz w:val="20"/>
          <w:szCs w:val="20"/>
          <w:color w:val="auto"/>
        </w:rPr>
      </w:pPr>
    </w:p>
    <w:p>
      <w:pPr>
        <w:jc w:val="both"/>
        <w:ind w:left="460" w:right="120" w:firstLine="876"/>
        <w:spacing w:after="0" w:line="262"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 position as an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 or continued employment by the Company or any of its Related Corporations or Affiliates or affect in any way the right of any of the foregoing to terminate the services of an individual at any time.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b w:val="1"/>
          <w:bCs w:val="1"/>
          <w:u w:val="single" w:color="auto"/>
          <w:color w:val="auto"/>
        </w:rPr>
        <w:t>Section 4.2</w:t>
      </w:r>
      <w:r>
        <w:rPr>
          <w:rFonts w:ascii="Arial" w:cs="Arial" w:eastAsia="Arial" w:hAnsi="Arial"/>
          <w:sz w:val="16"/>
          <w:szCs w:val="16"/>
          <w:b w:val="1"/>
          <w:bCs w:val="1"/>
          <w:color w:val="auto"/>
        </w:rPr>
        <w:t xml:space="preserve"> Legend. </w:t>
      </w:r>
      <w:r>
        <w:rPr>
          <w:rFonts w:ascii="Arial" w:cs="Arial" w:eastAsia="Arial" w:hAnsi="Arial"/>
          <w:sz w:val="16"/>
          <w:szCs w:val="16"/>
          <w:color w:val="auto"/>
        </w:rPr>
        <w:t>Any certificates representing shares of Restricted Stock issued pursuant to this Award Agreement shall, until all</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Restrictions lapse and new certificates are issued pursuant to Section 3.3, bear the following legend:</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57" w:lineRule="exact"/>
        <w:rPr>
          <w:sz w:val="20"/>
          <w:szCs w:val="20"/>
          <w:color w:val="auto"/>
        </w:rPr>
      </w:pPr>
    </w:p>
    <w:p>
      <w:pPr>
        <w:ind w:left="460" w:firstLine="876"/>
        <w:spacing w:after="0" w:line="258"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each Vesting Date, the Company shall notify the Participant of the amount of tax which must be withheld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under all applicable federal, state and local tax laws. Subject to any applicable legal conditions or restrictions, the Company shall withhold from the shares of Restricted Stock a number of whole shares of common stock having a fair market value, determined as of each Vesting Date, not in excess of the minimum tax required to be withheld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2" w:name="page43"/>
    <w:bookmarkEnd w:id="42"/>
    <w:p>
      <w:pPr>
        <w:ind w:right="60" w:firstLine="876"/>
        <w:spacing w:after="0" w:line="291"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4.4</w:t>
      </w:r>
      <w:r>
        <w:rPr>
          <w:rFonts w:ascii="Arial" w:cs="Arial" w:eastAsia="Arial" w:hAnsi="Arial"/>
          <w:sz w:val="16"/>
          <w:szCs w:val="16"/>
          <w:b w:val="1"/>
          <w:bCs w:val="1"/>
          <w:color w:val="auto"/>
        </w:rPr>
        <w:t xml:space="preserve"> Notices. </w:t>
      </w:r>
      <w:r>
        <w:rPr>
          <w:rFonts w:ascii="Arial" w:cs="Arial" w:eastAsia="Arial" w:hAnsi="Arial"/>
          <w:sz w:val="16"/>
          <w:szCs w:val="16"/>
          <w:color w:val="auto"/>
        </w:rPr>
        <w:t>Any notice to be given under the terms of this Award Agreement to the Company shall be addressed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32" w:lineRule="exact"/>
        <w:rPr>
          <w:sz w:val="20"/>
          <w:szCs w:val="20"/>
          <w:color w:val="auto"/>
        </w:rPr>
      </w:pPr>
    </w:p>
    <w:p>
      <w:pPr>
        <w:ind w:right="420" w:firstLine="876"/>
        <w:spacing w:after="0" w:line="275"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Titles. </w:t>
      </w:r>
      <w:r>
        <w:rPr>
          <w:rFonts w:ascii="Arial" w:cs="Arial" w:eastAsia="Arial" w:hAnsi="Arial"/>
          <w:sz w:val="18"/>
          <w:szCs w:val="18"/>
          <w:color w:val="auto"/>
        </w:rPr>
        <w:t>Titles are provided herein for convenience only and are not to serve as a basis for interpretation or construction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39" w:lineRule="exact"/>
        <w:rPr>
          <w:sz w:val="20"/>
          <w:szCs w:val="20"/>
          <w:color w:val="auto"/>
        </w:rPr>
      </w:pPr>
    </w:p>
    <w:p>
      <w:pPr>
        <w:ind w:firstLine="876"/>
        <w:spacing w:after="0" w:line="296"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 necessary with all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27" w:lineRule="exact"/>
        <w:rPr>
          <w:sz w:val="20"/>
          <w:szCs w:val="20"/>
          <w:color w:val="auto"/>
        </w:rPr>
      </w:pPr>
    </w:p>
    <w:p>
      <w:pPr>
        <w:ind w:right="160" w:firstLine="876"/>
        <w:spacing w:after="0" w:line="275"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 </w:t>
      </w:r>
      <w:r>
        <w:rPr>
          <w:rFonts w:ascii="Arial" w:cs="Arial" w:eastAsia="Arial" w:hAnsi="Arial"/>
          <w:sz w:val="18"/>
          <w:szCs w:val="18"/>
          <w:color w:val="auto"/>
        </w:rPr>
        <w:t>This Award Agreement may be amended only by a writing executed by the parties hereto which specifically states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is amending this Award Agreement.</w:t>
      </w:r>
    </w:p>
    <w:p>
      <w:pPr>
        <w:spacing w:after="0" w:line="39" w:lineRule="exact"/>
        <w:rPr>
          <w:sz w:val="20"/>
          <w:szCs w:val="20"/>
          <w:color w:val="auto"/>
        </w:rPr>
      </w:pPr>
    </w:p>
    <w:p>
      <w:pPr>
        <w:ind w:right="440" w:firstLine="876"/>
        <w:spacing w:after="0" w:line="339" w:lineRule="auto"/>
        <w:rPr>
          <w:sz w:val="20"/>
          <w:szCs w:val="20"/>
          <w:color w:val="auto"/>
        </w:rPr>
      </w:pPr>
      <w:r>
        <w:rPr>
          <w:rFonts w:ascii="Arial" w:cs="Arial" w:eastAsia="Arial" w:hAnsi="Arial"/>
          <w:sz w:val="16"/>
          <w:szCs w:val="16"/>
          <w:b w:val="1"/>
          <w:bCs w:val="1"/>
          <w:u w:val="single" w:color="auto"/>
          <w:color w:val="auto"/>
        </w:rPr>
        <w:t>Section 4.8</w:t>
      </w:r>
      <w:r>
        <w:rPr>
          <w:rFonts w:ascii="Arial" w:cs="Arial" w:eastAsia="Arial" w:hAnsi="Arial"/>
          <w:sz w:val="16"/>
          <w:szCs w:val="16"/>
          <w:b w:val="1"/>
          <w:bCs w:val="1"/>
          <w:color w:val="auto"/>
        </w:rPr>
        <w:t xml:space="preserve"> Governing Law. </w:t>
      </w:r>
      <w:r>
        <w:rPr>
          <w:rFonts w:ascii="Arial" w:cs="Arial" w:eastAsia="Arial" w:hAnsi="Arial"/>
          <w:sz w:val="16"/>
          <w:szCs w:val="16"/>
          <w:color w:val="auto"/>
        </w:rPr>
        <w:t>The laws of the State of Delaware shall govern the interpretation, validity, administration, enforcement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terms of this Award Agreement regardless of the law that might be applied under principles of conflicts of laws.</w:t>
      </w:r>
    </w:p>
    <w:p>
      <w:pPr>
        <w:spacing w:after="0" w:line="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43" w:name="page44"/>
    <w:bookmarkEnd w:id="4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HEREOF</w:t>
      </w:r>
      <w:r>
        <w:rPr>
          <w:rFonts w:ascii="Arial" w:cs="Arial" w:eastAsia="Arial" w:hAnsi="Arial"/>
          <w:sz w:val="18"/>
          <w:szCs w:val="18"/>
          <w:color w:val="auto"/>
        </w:rPr>
        <w:t>, this Award Agreement has been executed and delivered by the parties hereto.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INTEGRA LIFESCIENCES</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THE PARTICIPANT</w:t>
            </w: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HOLDINGS CORPORATION</w:t>
            </w:r>
          </w:p>
        </w:tc>
      </w:tr>
      <w:tr>
        <w:trPr>
          <w:trHeight w:val="441"/>
        </w:trPr>
        <w:tc>
          <w:tcPr>
            <w:tcW w:w="5160" w:type="dxa"/>
            <w:vAlign w:val="bottom"/>
            <w:tcBorders>
              <w:bottom w:val="single" w:sz="8" w:color="auto"/>
            </w:tcBorders>
          </w:tcPr>
          <w:p>
            <w:pPr>
              <w:spacing w:after="0"/>
              <w:rPr>
                <w:sz w:val="24"/>
                <w:szCs w:val="24"/>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Name</w:t>
            </w: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Name:  Peter Arduini</w:t>
            </w:r>
          </w:p>
        </w:tc>
      </w:tr>
      <w:tr>
        <w:trPr>
          <w:trHeight w:val="222"/>
        </w:trPr>
        <w:tc>
          <w:tcPr>
            <w:tcW w:w="5160" w:type="dxa"/>
            <w:vAlign w:val="bottom"/>
          </w:tcPr>
          <w:p>
            <w:pPr>
              <w:spacing w:after="0"/>
              <w:rPr>
                <w:sz w:val="19"/>
                <w:szCs w:val="19"/>
                <w:color w:val="auto"/>
              </w:rPr>
            </w:pP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Title:   President and CEO</w:t>
            </w:r>
          </w:p>
        </w:tc>
      </w:tr>
      <w:tr>
        <w:trPr>
          <w:trHeight w:val="326"/>
        </w:trPr>
        <w:tc>
          <w:tcPr>
            <w:tcW w:w="51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Address</w:t>
            </w: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65"/>
        </w:trPr>
        <w:tc>
          <w:tcPr>
            <w:tcW w:w="5160" w:type="dxa"/>
            <w:vAlign w:val="bottom"/>
          </w:tcPr>
          <w:p>
            <w:pPr>
              <w:spacing w:after="0"/>
              <w:rPr>
                <w:sz w:val="24"/>
                <w:szCs w:val="24"/>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5</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77" w:lineRule="exact"/>
        <w:rPr>
          <w:sz w:val="20"/>
          <w:szCs w:val="20"/>
          <w:color w:val="auto"/>
        </w:rPr>
      </w:pPr>
    </w:p>
    <w:p>
      <w:pPr>
        <w:ind w:left="460"/>
        <w:spacing w:after="0"/>
        <w:tabs>
          <w:tab w:leader="none" w:pos="1460" w:val="left"/>
          <w:tab w:leader="none" w:pos="3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spouse of</w:t>
      </w:r>
      <w:r>
        <w:rPr>
          <w:sz w:val="20"/>
          <w:szCs w:val="20"/>
          <w:color w:val="auto"/>
        </w:rPr>
        <w:tab/>
      </w:r>
      <w:r>
        <w:rPr>
          <w:rFonts w:ascii="Arial" w:cs="Arial" w:eastAsia="Arial" w:hAnsi="Arial"/>
          <w:sz w:val="15"/>
          <w:szCs w:val="15"/>
          <w:color w:val="auto"/>
        </w:rPr>
        <w:t>, have read and approve the foregoing Award Agreement. In consideration of granting of the right to my spouse to</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[Spouse’s Name]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2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ind w:left="4220" w:firstLine="2397"/>
        <w:spacing w:after="0" w:line="438" w:lineRule="auto"/>
        <w:rPr>
          <w:sz w:val="20"/>
          <w:szCs w:val="20"/>
          <w:color w:val="auto"/>
        </w:rPr>
      </w:pPr>
      <w:r>
        <w:rPr>
          <w:rFonts w:ascii="Arial" w:cs="Arial" w:eastAsia="Arial" w:hAnsi="Arial"/>
          <w:sz w:val="18"/>
          <w:szCs w:val="18"/>
          <w:b w:val="1"/>
          <w:bCs w:val="1"/>
          <w:color w:val="auto"/>
        </w:rPr>
        <w:t>Restricted Stock Agreement – Annual Vesting Over Three Years RESTRICTED STOCK AGREEMENT</w:t>
      </w:r>
    </w:p>
    <w:p>
      <w:pPr>
        <w:sectPr>
          <w:pgSz w:w="11900" w:h="16838" w:orient="portrait"/>
          <w:cols w:equalWidth="0" w:num="1">
            <w:col w:w="11420"/>
          </w:cols>
          <w:pgMar w:left="240" w:top="125" w:right="239" w:bottom="1440" w:gutter="0" w:footer="0" w:header="0"/>
        </w:sectPr>
      </w:pPr>
    </w:p>
    <w:p>
      <w:pPr>
        <w:spacing w:after="0" w:line="1"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color w:val="auto"/>
        </w:rPr>
        <w:t xml:space="preserve">THIS RESTRICTED STOCK AGREEMENT </w:t>
      </w:r>
      <w:r>
        <w:rPr>
          <w:rFonts w:ascii="Arial" w:cs="Arial" w:eastAsia="Arial" w:hAnsi="Arial"/>
          <w:sz w:val="16"/>
          <w:szCs w:val="16"/>
          <w:color w:val="auto"/>
        </w:rPr>
        <w:t>(the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Integra LifeSciences Holdings Corporation</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corporation (the “Company”), and Related Corporations or Affiliates), hereinafter referred to as the “Participant”: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color w:val="auto"/>
        </w:rPr>
        <w:t>(the “Award Date”), is made by and between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an employee of the Company (or one or more of its</w:t>
      </w:r>
    </w:p>
    <w:p>
      <w:pPr>
        <w:spacing w:after="0" w:line="409" w:lineRule="exact"/>
        <w:rPr>
          <w:sz w:val="20"/>
          <w:szCs w:val="20"/>
          <w:color w:val="auto"/>
        </w:rPr>
      </w:pPr>
    </w:p>
    <w:p>
      <w:pPr>
        <w:sectPr>
          <w:pgSz w:w="11900" w:h="16838" w:orient="portrait"/>
          <w:cols w:equalWidth="0" w:num="2">
            <w:col w:w="7080" w:space="560"/>
            <w:col w:w="3780"/>
          </w:cols>
          <w:pgMar w:left="240" w:top="125" w:right="239" w:bottom="1440" w:gutter="0" w:footer="0" w:header="0"/>
          <w:type w:val="continuous"/>
        </w:sectPr>
      </w:pPr>
    </w:p>
    <w:p>
      <w:pPr>
        <w:ind w:right="480" w:firstLine="913"/>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maintains the Integra LifeSciences Holdings Corporation</w:t>
      </w:r>
      <w:r>
        <w:rPr>
          <w:rFonts w:ascii="Arial" w:cs="Arial" w:eastAsia="Arial" w:hAnsi="Arial"/>
          <w:sz w:val="16"/>
          <w:szCs w:val="16"/>
          <w:b w:val="1"/>
          <w:bCs w:val="1"/>
          <w:color w:val="auto"/>
        </w:rPr>
        <w:t xml:space="preserve"> [2003] or [2001] </w:t>
      </w:r>
      <w:r>
        <w:rPr>
          <w:rFonts w:ascii="Arial" w:cs="Arial" w:eastAsia="Arial" w:hAnsi="Arial"/>
          <w:sz w:val="16"/>
          <w:szCs w:val="16"/>
          <w:color w:val="auto"/>
        </w:rPr>
        <w:t>Equity Incentive Plan,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wishes to carry out the Plan, the terms of which are hereby incorporated by reference and made part of this Award Agreement; and</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various covenants herein contained, and intending to be legally bound hereby, the parties hereto agree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Section 1.1 Restricted Stock. </w:t>
            </w:r>
            <w:r>
              <w:rPr>
                <w:rFonts w:ascii="Arial" w:cs="Arial" w:eastAsia="Arial" w:hAnsi="Arial"/>
                <w:sz w:val="18"/>
                <w:szCs w:val="18"/>
                <w:color w:val="auto"/>
                <w:w w:val="95"/>
              </w:rPr>
              <w:t>“Restricted Stock” shall mean</w:t>
            </w:r>
          </w:p>
        </w:tc>
        <w:tc>
          <w:tcPr>
            <w:tcW w:w="6180" w:type="dxa"/>
            <w:vAlign w:val="bottom"/>
          </w:tcPr>
          <w:p>
            <w:pPr>
              <w:ind w:left="380"/>
              <w:spacing w:after="0"/>
              <w:rPr>
                <w:sz w:val="20"/>
                <w:szCs w:val="20"/>
                <w:color w:val="auto"/>
              </w:rPr>
            </w:pPr>
            <w:r>
              <w:rPr>
                <w:rFonts w:ascii="Arial" w:cs="Arial" w:eastAsia="Arial" w:hAnsi="Arial"/>
                <w:sz w:val="18"/>
                <w:szCs w:val="18"/>
                <w:color w:val="auto"/>
                <w:w w:val="87"/>
              </w:rPr>
              <w:t>shares of Common Stock of the Company issued under this Award Agreement and</w:t>
            </w:r>
          </w:p>
        </w:tc>
      </w:tr>
      <w:tr>
        <w:trPr>
          <w:trHeight w:val="20"/>
        </w:trPr>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35"/>
        </w:trPr>
        <w:tc>
          <w:tcPr>
            <w:tcW w:w="5120" w:type="dxa"/>
            <w:vAlign w:val="bottom"/>
            <w:gridSpan w:val="3"/>
          </w:tcPr>
          <w:p>
            <w:pPr>
              <w:spacing w:after="0"/>
              <w:rPr>
                <w:sz w:val="20"/>
                <w:szCs w:val="20"/>
                <w:color w:val="auto"/>
              </w:rPr>
            </w:pPr>
            <w:r>
              <w:rPr>
                <w:rFonts w:ascii="Arial" w:cs="Arial" w:eastAsia="Arial" w:hAnsi="Arial"/>
                <w:sz w:val="18"/>
                <w:szCs w:val="18"/>
                <w:color w:val="auto"/>
              </w:rPr>
              <w:t>subject to the Restrictions imposed hereunder.</w:t>
            </w:r>
          </w:p>
        </w:tc>
        <w:tc>
          <w:tcPr>
            <w:tcW w:w="6180" w:type="dxa"/>
            <w:vAlign w:val="bottom"/>
          </w:tcPr>
          <w:p>
            <w:pPr>
              <w:spacing w:after="0"/>
              <w:rPr>
                <w:sz w:val="20"/>
                <w:szCs w:val="20"/>
                <w:color w:val="auto"/>
              </w:rPr>
            </w:pPr>
          </w:p>
        </w:tc>
      </w:tr>
    </w:tbl>
    <w:p>
      <w:pPr>
        <w:spacing w:after="0" w:line="15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 under the Plan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Rule 16b-3. </w:t>
      </w:r>
      <w:r>
        <w:rPr>
          <w:rFonts w:ascii="Arial" w:cs="Arial" w:eastAsia="Arial" w:hAnsi="Arial"/>
          <w:sz w:val="16"/>
          <w:szCs w:val="16"/>
          <w:color w:val="auto"/>
        </w:rPr>
        <w:t>“Rule 16b-3” shall mean that certain Rule 16b-3 under the Exchange Act, as such Rule may be amended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7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“Termination of Service” shall mean the time when the Participant ceases to provide services to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03"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u w:val="single" w:color="auto"/>
          <w:color w:val="auto"/>
        </w:rPr>
        <w:t>Section 1.6</w:t>
      </w:r>
      <w:r>
        <w:rPr>
          <w:rFonts w:ascii="Arial" w:cs="Arial" w:eastAsia="Arial" w:hAnsi="Arial"/>
          <w:sz w:val="18"/>
          <w:szCs w:val="18"/>
          <w:b w:val="1"/>
          <w:bCs w:val="1"/>
          <w:color w:val="auto"/>
        </w:rPr>
        <w:t xml:space="preserve"> Vested Shares. </w:t>
      </w:r>
      <w:r>
        <w:rPr>
          <w:rFonts w:ascii="Arial" w:cs="Arial" w:eastAsia="Arial" w:hAnsi="Arial"/>
          <w:sz w:val="18"/>
          <w:szCs w:val="18"/>
          <w:color w:val="auto"/>
        </w:rPr>
        <w:t>“Vested Shares” shall mean the shares of Restricted Stock which are no longer subject to the Restrictions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46" w:name="page47"/>
    <w:bookmarkEnd w:id="46"/>
    <w:p>
      <w:pPr>
        <w:ind w:left="66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Agreement – Annual Vesting Over Three Years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each of the first, second and third anniversaries of the Award 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159"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Issuance of Restricted Stock. </w:t>
      </w:r>
      <w:r>
        <w:rPr>
          <w:rFonts w:ascii="Arial" w:cs="Arial" w:eastAsia="Arial" w:hAnsi="Arial"/>
          <w:sz w:val="16"/>
          <w:szCs w:val="16"/>
          <w:color w:val="auto"/>
        </w:rPr>
        <w:t>On the date hereof the Company issues to the Participant the Restricted Stock subject to the Restrictions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08" w:lineRule="exact"/>
        <w:rPr>
          <w:sz w:val="20"/>
          <w:szCs w:val="20"/>
          <w:color w:val="auto"/>
        </w:rPr>
      </w:pPr>
    </w:p>
    <w:p>
      <w:pPr>
        <w:jc w:val="both"/>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Until vested pursuant to Section 3.2, the Restricted Stock shall be subject to forfeiture as provided in Section 3.1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sold, assigned, transferred, pledged, or otherwise encumbered or disposed of.</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Voting and Dividend Rights. </w:t>
      </w:r>
      <w:r>
        <w:rPr>
          <w:rFonts w:ascii="Arial" w:cs="Arial" w:eastAsia="Arial" w:hAnsi="Arial"/>
          <w:sz w:val="18"/>
          <w:szCs w:val="18"/>
          <w:color w:val="auto"/>
        </w:rPr>
        <w:t>The Participant shall have all the rights of a stockholder with respect to his Restricted Stock,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the Restricted Stock, except that the Participant shall have the right to receive all dividends or other distributions paid or made with respect to only those outstanding vested shares of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15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Forfeiture. </w:t>
      </w:r>
      <w:r>
        <w:rPr>
          <w:rFonts w:ascii="Arial" w:cs="Arial" w:eastAsia="Arial" w:hAnsi="Arial"/>
          <w:sz w:val="18"/>
          <w:szCs w:val="18"/>
          <w:color w:val="auto"/>
        </w:rPr>
        <w:t>Upon the Participant’s Termination of Service other than by reason of death or Disability, the Participant’s rights in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13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Termination of Restrictions. </w:t>
      </w:r>
      <w:r>
        <w:rPr>
          <w:rFonts w:ascii="Arial" w:cs="Arial" w:eastAsia="Arial" w:hAnsi="Arial"/>
          <w:sz w:val="18"/>
          <w:szCs w:val="18"/>
          <w:color w:val="auto"/>
        </w:rPr>
        <w:t>The Restrictions shall terminate and lapse, and such shares shall vest in the Participant and become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each Vesting Date as provided in Section 3.3, provided that the Participant has continued to serve as an employee or an Associate from the Award Date to and including such Vesting Date. Notwithstanding the foregoing, upon a Change in Control or in the event of the Participant’s death or Disability, all Restrictions shall lapse and all Restricted Stock shall become Vested Shares.</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u w:val="single" w:color="auto"/>
          <w:color w:val="auto"/>
        </w:rPr>
        <w:t>Section 3.3</w:t>
      </w:r>
      <w:r>
        <w:rPr>
          <w:rFonts w:ascii="Arial" w:cs="Arial" w:eastAsia="Arial" w:hAnsi="Arial"/>
          <w:sz w:val="16"/>
          <w:szCs w:val="16"/>
          <w:b w:val="1"/>
          <w:bCs w:val="1"/>
          <w:color w:val="auto"/>
        </w:rPr>
        <w:t xml:space="preserve"> Lapse of Restrictions. </w:t>
      </w:r>
      <w:r>
        <w:rPr>
          <w:rFonts w:ascii="Arial" w:cs="Arial" w:eastAsia="Arial" w:hAnsi="Arial"/>
          <w:sz w:val="16"/>
          <w:szCs w:val="16"/>
          <w:color w:val="auto"/>
        </w:rPr>
        <w:t>Thirty-three percent (33%) of the shares of Restricted Stock shall become Vested Shares on each of the first two</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Dates, and thirty-four percent (34%) of the shares of Restricted Stock shall become Vested Shares on the third Vesting Date. On each Vesting Date, the Company shall issue new certificates evidencing the Vested Shares or record such Vested Shares in book entry form, free from the legend provided for in Section 4.2 and any of the other Restrictions; provided, however, such certificates shall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7" w:name="page48"/>
    <w:bookmarkEnd w:id="47"/>
    <w:p>
      <w:pPr>
        <w:ind w:left="66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Agreement – Annual Vesting Over Three Years</w:t>
      </w:r>
    </w:p>
    <w:p>
      <w:pPr>
        <w:spacing w:after="0" w:line="19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 position as an Associate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employment by the Company or any of its Related Corporations or Affiliates or affect in any way the right of any of the foregoing to terminate the services of an individual at any time.</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Legend. </w:t>
      </w:r>
      <w:r>
        <w:rPr>
          <w:rFonts w:ascii="Arial" w:cs="Arial" w:eastAsia="Arial" w:hAnsi="Arial"/>
          <w:sz w:val="18"/>
          <w:szCs w:val="18"/>
          <w:color w:val="auto"/>
        </w:rPr>
        <w:t>Any certificates representing shares of Restricted Stock issued pursuant to this Award Agreement shall, until all Restrictions lapse and</w:t>
      </w:r>
      <w:r>
        <w:rPr>
          <w:rFonts w:ascii="Arial" w:cs="Arial" w:eastAsia="Arial" w:hAnsi="Arial"/>
          <w:sz w:val="18"/>
          <w:szCs w:val="18"/>
          <w:b w:val="1"/>
          <w:bCs w:val="1"/>
          <w:color w:val="auto"/>
        </w:rPr>
        <w:t xml:space="preserve"> </w:t>
      </w:r>
      <w:r>
        <w:rPr>
          <w:rFonts w:ascii="Arial" w:cs="Arial" w:eastAsia="Arial" w:hAnsi="Arial"/>
          <w:sz w:val="18"/>
          <w:szCs w:val="18"/>
          <w:color w:val="auto"/>
        </w:rPr>
        <w:t>new certificates are issued pursuant to Section 3.3, bear the following legend:</w:t>
      </w:r>
    </w:p>
    <w:p>
      <w:pPr>
        <w:spacing w:after="0" w:line="126" w:lineRule="exact"/>
        <w:rPr>
          <w:sz w:val="20"/>
          <w:szCs w:val="20"/>
          <w:color w:val="auto"/>
        </w:rPr>
      </w:pPr>
    </w:p>
    <w:p>
      <w:pPr>
        <w:ind w:left="240" w:right="100" w:firstLine="223"/>
        <w:spacing w:after="0" w:line="254"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38"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each Vesting Date, the Company shall notify the Participant of the amount of tax which must be withheld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all applicable federal, state and local tax laws. Subject to any applicable legal conditions or restrictions, the Company shall withhold from the shares of Restricted Stock a number of whole shares of common stock having a fair market value, determined as of each Vesting Date, not in excess of the minimum of tax required to be withheld by law.</w:t>
      </w:r>
    </w:p>
    <w:p>
      <w:pPr>
        <w:spacing w:after="0" w:line="13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b w:val="1"/>
          <w:bCs w:val="1"/>
          <w:u w:val="single" w:color="auto"/>
          <w:color w:val="auto"/>
        </w:rPr>
        <w:t>Section 4.4</w:t>
      </w:r>
      <w:r>
        <w:rPr>
          <w:rFonts w:ascii="Arial" w:cs="Arial" w:eastAsia="Arial" w:hAnsi="Arial"/>
          <w:sz w:val="18"/>
          <w:szCs w:val="18"/>
          <w:b w:val="1"/>
          <w:bCs w:val="1"/>
          <w:color w:val="auto"/>
        </w:rPr>
        <w:t xml:space="preserve"> Notices. </w:t>
      </w:r>
      <w:r>
        <w:rPr>
          <w:rFonts w:ascii="Arial" w:cs="Arial" w:eastAsia="Arial" w:hAnsi="Arial"/>
          <w:sz w:val="18"/>
          <w:szCs w:val="18"/>
          <w:color w:val="auto"/>
        </w:rPr>
        <w:t>Any notice to be given under the terms of this Award Agreement to the Company shall be addressed to the Company in care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 w:name="page49"/>
    <w:bookmarkEnd w:id="48"/>
    <w:p>
      <w:pPr>
        <w:ind w:left="66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Agreement – Annual Vesting Over Three Years</w:t>
      </w:r>
    </w:p>
    <w:p>
      <w:pPr>
        <w:spacing w:after="0" w:line="192" w:lineRule="exact"/>
        <w:rPr>
          <w:sz w:val="20"/>
          <w:szCs w:val="20"/>
          <w:color w:val="auto"/>
        </w:rPr>
      </w:pPr>
    </w:p>
    <w:p>
      <w:pPr>
        <w:ind w:right="820" w:firstLine="456"/>
        <w:spacing w:after="0" w:line="275"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Titles. </w:t>
      </w:r>
      <w:r>
        <w:rPr>
          <w:rFonts w:ascii="Arial" w:cs="Arial" w:eastAsia="Arial" w:hAnsi="Arial"/>
          <w:sz w:val="18"/>
          <w:szCs w:val="18"/>
          <w:color w:val="auto"/>
        </w:rPr>
        <w:t>Titles are provided herein for convenience only and are not to serve as a basis for interpretation or construction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 necessary with all provisions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0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Award Agreement may be amended only by a writing executed by the parties hereto which specifically states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this Award Agreement.</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Governing Law. </w:t>
      </w:r>
      <w:r>
        <w:rPr>
          <w:rFonts w:ascii="Arial" w:cs="Arial" w:eastAsia="Arial" w:hAnsi="Arial"/>
          <w:sz w:val="18"/>
          <w:szCs w:val="18"/>
          <w:color w:val="auto"/>
        </w:rPr>
        <w:t>The laws of the State of Delaware shall govern the interpretation, validity, administration, enforcement and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Award Agreement regardless of the law that might be applied under principles of conflicts of laws.</w:t>
      </w:r>
    </w:p>
    <w:p>
      <w:pPr>
        <w:spacing w:after="0" w:line="1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Award Agreement has been executed and delivered by the parties hereto.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INTEGRA LIFESCIENCES</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THE PARTICIPANT</w:t>
            </w:r>
          </w:p>
        </w:tc>
        <w:tc>
          <w:tcPr>
            <w:tcW w:w="12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HOLDINGS CORPORATION</w:t>
            </w:r>
          </w:p>
        </w:tc>
      </w:tr>
      <w:tr>
        <w:trPr>
          <w:trHeight w:val="441"/>
        </w:trPr>
        <w:tc>
          <w:tcPr>
            <w:tcW w:w="5160" w:type="dxa"/>
            <w:vAlign w:val="bottom"/>
            <w:tcBorders>
              <w:bottom w:val="single" w:sz="8" w:color="auto"/>
            </w:tcBorders>
          </w:tcPr>
          <w:p>
            <w:pPr>
              <w:spacing w:after="0"/>
              <w:rPr>
                <w:sz w:val="24"/>
                <w:szCs w:val="24"/>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222"/>
        </w:trPr>
        <w:tc>
          <w:tcPr>
            <w:tcW w:w="5160" w:type="dxa"/>
            <w:vAlign w:val="bottom"/>
          </w:tcPr>
          <w:p>
            <w:pPr>
              <w:spacing w:after="0"/>
              <w:rPr>
                <w:sz w:val="19"/>
                <w:szCs w:val="19"/>
                <w:color w:val="auto"/>
              </w:rPr>
            </w:pP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326"/>
        </w:trPr>
        <w:tc>
          <w:tcPr>
            <w:tcW w:w="51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Address</w:t>
            </w: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65"/>
        </w:trPr>
        <w:tc>
          <w:tcPr>
            <w:tcW w:w="516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Arial" w:cs="Arial" w:eastAsia="Arial" w:hAnsi="Arial"/>
                <w:sz w:val="18"/>
                <w:szCs w:val="18"/>
                <w:color w:val="auto"/>
              </w:rPr>
              <w:t>4</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w w:val="87"/>
              </w:rPr>
              <w:t>Restricted Stock Agreement – Annual Vesting Over Three Years</w:t>
            </w:r>
          </w:p>
        </w:tc>
      </w:tr>
      <w:tr>
        <w:trPr>
          <w:trHeight w:val="326"/>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240" w:type="dxa"/>
            <w:vAlign w:val="bottom"/>
            <w:gridSpan w:val="2"/>
          </w:tcPr>
          <w:p>
            <w:pPr>
              <w:spacing w:after="0"/>
              <w:rPr>
                <w:sz w:val="24"/>
                <w:szCs w:val="24"/>
                <w:color w:val="auto"/>
              </w:rPr>
            </w:pPr>
          </w:p>
        </w:tc>
      </w:tr>
      <w:tr>
        <w:trPr>
          <w:trHeight w:val="358"/>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40" w:type="dxa"/>
            <w:vAlign w:val="bottom"/>
            <w:gridSpan w:val="4"/>
          </w:tcPr>
          <w:p>
            <w:pPr>
              <w:jc w:val="center"/>
              <w:ind w:right="4780"/>
              <w:spacing w:after="0"/>
              <w:rPr>
                <w:sz w:val="20"/>
                <w:szCs w:val="20"/>
                <w:color w:val="auto"/>
              </w:rPr>
            </w:pPr>
            <w:r>
              <w:rPr>
                <w:rFonts w:ascii="Arial" w:cs="Arial" w:eastAsia="Arial" w:hAnsi="Arial"/>
                <w:sz w:val="18"/>
                <w:szCs w:val="18"/>
                <w:b w:val="1"/>
                <w:bCs w:val="1"/>
                <w:color w:val="auto"/>
                <w:w w:val="93"/>
              </w:rPr>
              <w:t>CONSENT OF SPOUSE</w:t>
            </w: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97"/>
        </w:trPr>
        <w:tc>
          <w:tcPr>
            <w:tcW w:w="560" w:type="dxa"/>
            <w:vAlign w:val="bottom"/>
          </w:tcPr>
          <w:p>
            <w:pPr>
              <w:spacing w:after="0"/>
              <w:rPr>
                <w:sz w:val="20"/>
                <w:szCs w:val="20"/>
                <w:color w:val="auto"/>
              </w:rPr>
            </w:pPr>
            <w:r>
              <w:rPr>
                <w:rFonts w:ascii="Arial" w:cs="Arial" w:eastAsia="Arial" w:hAnsi="Arial"/>
                <w:sz w:val="18"/>
                <w:szCs w:val="18"/>
                <w:color w:val="auto"/>
              </w:rPr>
              <w:t>I,</w:t>
            </w:r>
          </w:p>
        </w:tc>
        <w:tc>
          <w:tcPr>
            <w:tcW w:w="1680" w:type="dxa"/>
            <w:vAlign w:val="bottom"/>
          </w:tcPr>
          <w:p>
            <w:pPr>
              <w:ind w:left="460"/>
              <w:spacing w:after="0"/>
              <w:rPr>
                <w:sz w:val="20"/>
                <w:szCs w:val="20"/>
                <w:color w:val="auto"/>
              </w:rPr>
            </w:pPr>
            <w:r>
              <w:rPr>
                <w:rFonts w:ascii="Arial" w:cs="Arial" w:eastAsia="Arial" w:hAnsi="Arial"/>
                <w:sz w:val="18"/>
                <w:szCs w:val="18"/>
                <w:color w:val="auto"/>
              </w:rPr>
              <w:t>, spouse of</w:t>
            </w:r>
          </w:p>
        </w:tc>
        <w:tc>
          <w:tcPr>
            <w:tcW w:w="8720" w:type="dxa"/>
            <w:vAlign w:val="bottom"/>
            <w:gridSpan w:val="5"/>
          </w:tcPr>
          <w:p>
            <w:pPr>
              <w:ind w:left="460"/>
              <w:spacing w:after="0"/>
              <w:rPr>
                <w:sz w:val="20"/>
                <w:szCs w:val="20"/>
                <w:color w:val="auto"/>
              </w:rPr>
            </w:pPr>
            <w:r>
              <w:rPr>
                <w:rFonts w:ascii="Arial" w:cs="Arial" w:eastAsia="Arial" w:hAnsi="Arial"/>
                <w:sz w:val="18"/>
                <w:szCs w:val="18"/>
                <w:color w:val="auto"/>
                <w:w w:val="91"/>
              </w:rPr>
              <w:t>, have read and approve the foregoing Award Agreement. In consideration of granting of the right to my spouse to</w:t>
            </w:r>
          </w:p>
        </w:tc>
      </w:tr>
    </w:tbl>
    <w:p>
      <w:pPr>
        <w:ind w:right="20"/>
        <w:spacing w:after="0" w:line="295" w:lineRule="auto"/>
        <w:rPr>
          <w:sz w:val="20"/>
          <w:szCs w:val="20"/>
          <w:color w:val="auto"/>
        </w:rPr>
      </w:pPr>
      <w:r>
        <w:rPr>
          <w:rFonts w:ascii="Arial" w:cs="Arial" w:eastAsia="Arial" w:hAnsi="Arial"/>
          <w:sz w:val="16"/>
          <w:szCs w:val="16"/>
          <w:color w:val="auto"/>
        </w:rPr>
        <w:t>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Restricted Stock Agreement for Executive Officers and Employees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Three Year Cliff Vesting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color w:val="auto"/>
        </w:rPr>
        <w:t xml:space="preserve">THIS RESTRICTED STOCK AGREEMENT </w:t>
      </w:r>
      <w:r>
        <w:rPr>
          <w:rFonts w:ascii="Arial" w:cs="Arial" w:eastAsia="Arial" w:hAnsi="Arial"/>
          <w:sz w:val="16"/>
          <w:szCs w:val="16"/>
          <w:color w:val="auto"/>
        </w:rPr>
        <w:t>(the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Integra LifeSciences Holdings Corporation</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corporation (the “Company”), and Related Corporations or Affiliates), hereinafter referred to as the “Participant”: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“Award Date”), is made by and between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an employee of the Company (or one or more of its</w:t>
      </w:r>
    </w:p>
    <w:p>
      <w:pPr>
        <w:spacing w:after="0" w:line="409" w:lineRule="exact"/>
        <w:rPr>
          <w:sz w:val="20"/>
          <w:szCs w:val="20"/>
          <w:color w:val="auto"/>
        </w:rPr>
      </w:pPr>
    </w:p>
    <w:p>
      <w:pPr>
        <w:sectPr>
          <w:pgSz w:w="11900" w:h="16838" w:orient="portrait"/>
          <w:cols w:equalWidth="0" w:num="2">
            <w:col w:w="7080" w:space="560"/>
            <w:col w:w="3780"/>
          </w:cols>
          <w:pgMar w:left="240" w:top="125" w:right="239" w:bottom="1440" w:gutter="0" w:footer="0" w:header="0"/>
          <w:type w:val="continuous"/>
        </w:sectPr>
      </w:pPr>
    </w:p>
    <w:p>
      <w:pPr>
        <w:ind w:right="480" w:firstLine="913"/>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maintains the Integra LifeSciences Holdings Corporation</w:t>
      </w:r>
      <w:r>
        <w:rPr>
          <w:rFonts w:ascii="Arial" w:cs="Arial" w:eastAsia="Arial" w:hAnsi="Arial"/>
          <w:sz w:val="16"/>
          <w:szCs w:val="16"/>
          <w:b w:val="1"/>
          <w:bCs w:val="1"/>
          <w:color w:val="auto"/>
        </w:rPr>
        <w:t xml:space="preserve"> [2003] or [2001] </w:t>
      </w:r>
      <w:r>
        <w:rPr>
          <w:rFonts w:ascii="Arial" w:cs="Arial" w:eastAsia="Arial" w:hAnsi="Arial"/>
          <w:sz w:val="16"/>
          <w:szCs w:val="16"/>
          <w:color w:val="auto"/>
        </w:rPr>
        <w:t>Equity Incentive Plan,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wishes to carry out the Plan, the terms of which are hereby incorporated by reference and made part of this Award Agreement; and</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various covenants herein contained, and intending to be legally bound hereby, the parties hereto agree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Section 1.1 Restricted Stock. </w:t>
            </w:r>
            <w:r>
              <w:rPr>
                <w:rFonts w:ascii="Arial" w:cs="Arial" w:eastAsia="Arial" w:hAnsi="Arial"/>
                <w:sz w:val="18"/>
                <w:szCs w:val="18"/>
                <w:color w:val="auto"/>
                <w:w w:val="95"/>
              </w:rPr>
              <w:t>“Restricted Stock” shall mean</w:t>
            </w:r>
          </w:p>
        </w:tc>
        <w:tc>
          <w:tcPr>
            <w:tcW w:w="5040" w:type="dxa"/>
            <w:vAlign w:val="bottom"/>
          </w:tcPr>
          <w:p>
            <w:pPr>
              <w:ind w:left="380"/>
              <w:spacing w:after="0"/>
              <w:rPr>
                <w:sz w:val="20"/>
                <w:szCs w:val="20"/>
                <w:color w:val="auto"/>
              </w:rPr>
            </w:pPr>
            <w:r>
              <w:rPr>
                <w:rFonts w:ascii="Arial" w:cs="Arial" w:eastAsia="Arial" w:hAnsi="Arial"/>
                <w:sz w:val="18"/>
                <w:szCs w:val="18"/>
                <w:color w:val="auto"/>
                <w:w w:val="87"/>
              </w:rPr>
              <w:t>shares of Common Stock of the Company issued under this Award</w:t>
            </w: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35"/>
        </w:trPr>
        <w:tc>
          <w:tcPr>
            <w:tcW w:w="5580" w:type="dxa"/>
            <w:vAlign w:val="bottom"/>
            <w:gridSpan w:val="3"/>
          </w:tcPr>
          <w:p>
            <w:pPr>
              <w:spacing w:after="0"/>
              <w:rPr>
                <w:sz w:val="20"/>
                <w:szCs w:val="20"/>
                <w:color w:val="auto"/>
              </w:rPr>
            </w:pPr>
            <w:r>
              <w:rPr>
                <w:rFonts w:ascii="Arial" w:cs="Arial" w:eastAsia="Arial" w:hAnsi="Arial"/>
                <w:sz w:val="18"/>
                <w:szCs w:val="18"/>
                <w:color w:val="auto"/>
              </w:rPr>
              <w:t>Agreement and subject to the Restrictions imposed hereunder.</w:t>
            </w:r>
          </w:p>
        </w:tc>
        <w:tc>
          <w:tcPr>
            <w:tcW w:w="5040" w:type="dxa"/>
            <w:vAlign w:val="bottom"/>
          </w:tcPr>
          <w:p>
            <w:pPr>
              <w:spacing w:after="0"/>
              <w:rPr>
                <w:sz w:val="20"/>
                <w:szCs w:val="20"/>
                <w:color w:val="auto"/>
              </w:rPr>
            </w:pPr>
          </w:p>
        </w:tc>
      </w:tr>
    </w:tbl>
    <w:p>
      <w:pPr>
        <w:spacing w:after="0" w:line="150"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 under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b w:val="1"/>
          <w:bCs w:val="1"/>
          <w:u w:val="single" w:color="auto"/>
          <w:color w:val="auto"/>
        </w:rPr>
        <w:t>Section 1.3</w:t>
      </w:r>
      <w:r>
        <w:rPr>
          <w:rFonts w:ascii="Arial" w:cs="Arial" w:eastAsia="Arial" w:hAnsi="Arial"/>
          <w:sz w:val="15"/>
          <w:szCs w:val="15"/>
          <w:b w:val="1"/>
          <w:bCs w:val="1"/>
          <w:color w:val="auto"/>
        </w:rPr>
        <w:t xml:space="preserve"> Rule 16b-3. </w:t>
      </w:r>
      <w:r>
        <w:rPr>
          <w:rFonts w:ascii="Arial" w:cs="Arial" w:eastAsia="Arial" w:hAnsi="Arial"/>
          <w:sz w:val="15"/>
          <w:szCs w:val="15"/>
          <w:color w:val="auto"/>
        </w:rPr>
        <w:t>“Rule 16b-3” shall mean that certain Rule 16b-3 under the Exchange Act, as such Rule may be amended from time to time.</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71" w:lineRule="exact"/>
        <w:rPr>
          <w:sz w:val="20"/>
          <w:szCs w:val="20"/>
          <w:color w:val="auto"/>
        </w:rPr>
      </w:pPr>
    </w:p>
    <w:p>
      <w:pPr>
        <w:ind w:right="140" w:firstLine="913"/>
        <w:spacing w:after="0" w:line="301"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“Termination of Service” shall mean the time when the Participant ceases to provide services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Restricted Stock Agreement for Executive Officers and Employees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Three Year Cliff Vesting</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Vested Shares. </w:t>
      </w:r>
      <w:r>
        <w:rPr>
          <w:rFonts w:ascii="Arial" w:cs="Arial" w:eastAsia="Arial" w:hAnsi="Arial"/>
          <w:sz w:val="16"/>
          <w:szCs w:val="16"/>
          <w:color w:val="auto"/>
        </w:rPr>
        <w:t>“Vested Shares” shall mean the shares of Restricted Stock which are no longer subject to the Restrictions by reason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the three year anniversary of the Award 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159" w:lineRule="exact"/>
        <w:rPr>
          <w:sz w:val="20"/>
          <w:szCs w:val="20"/>
          <w:color w:val="auto"/>
        </w:rPr>
      </w:pPr>
    </w:p>
    <w:p>
      <w:pPr>
        <w:ind w:right="100" w:firstLine="913"/>
        <w:spacing w:after="0" w:line="296"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Issuance of Restricted Stock. </w:t>
      </w:r>
      <w:r>
        <w:rPr>
          <w:rFonts w:ascii="Arial" w:cs="Arial" w:eastAsia="Arial" w:hAnsi="Arial"/>
          <w:sz w:val="16"/>
          <w:szCs w:val="16"/>
          <w:color w:val="auto"/>
        </w:rPr>
        <w:t>On the date hereof the Company issues to the Participant the Restricted Stock subject to the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08"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Until vested pursuant to Section 3.2, the Restricted Stock shall be subject to forfeiture as provided in Section 3.1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sold, assigned, transferred, pledged, or otherwise encumbered or disposed of.</w:t>
      </w:r>
    </w:p>
    <w:p>
      <w:pPr>
        <w:spacing w:after="0" w:line="120" w:lineRule="exact"/>
        <w:rPr>
          <w:sz w:val="20"/>
          <w:szCs w:val="20"/>
          <w:color w:val="auto"/>
        </w:rPr>
      </w:pPr>
    </w:p>
    <w:p>
      <w:pPr>
        <w:jc w:val="both"/>
        <w:ind w:right="240" w:firstLine="913"/>
        <w:spacing w:after="0" w:line="262"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Voting and Dividend Rights. </w:t>
      </w:r>
      <w:r>
        <w:rPr>
          <w:rFonts w:ascii="Arial" w:cs="Arial" w:eastAsia="Arial" w:hAnsi="Arial"/>
          <w:sz w:val="18"/>
          <w:szCs w:val="18"/>
          <w:color w:val="auto"/>
        </w:rPr>
        <w:t>The Participant, shall have all the rights of a stockholder with respect to his Restricted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vote the Restricted Stock, except that the Participant shall have the right to receive all dividends or other distributions paid or made with respect to only those outstanding vested shares of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159"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Forfeiture. </w:t>
      </w:r>
      <w:r>
        <w:rPr>
          <w:rFonts w:ascii="Arial" w:cs="Arial" w:eastAsia="Arial" w:hAnsi="Arial"/>
          <w:sz w:val="18"/>
          <w:szCs w:val="18"/>
          <w:color w:val="auto"/>
        </w:rPr>
        <w:t>Upon the Participant’s Termination of Service other than by reason of death or Disability, the Participant’s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13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Termination of Restrictions. </w:t>
      </w:r>
      <w:r>
        <w:rPr>
          <w:rFonts w:ascii="Arial" w:cs="Arial" w:eastAsia="Arial" w:hAnsi="Arial"/>
          <w:sz w:val="18"/>
          <w:szCs w:val="18"/>
          <w:color w:val="auto"/>
        </w:rPr>
        <w:t>The Restrictions shall terminate and lapse, and such shares shall vest in the Participant and become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the Vesting Date as provided in Section 3.3, provided that the Participant has continued to serve as an employee or an Associate from the Award Date to and including the Vesting Date. Notwithstanding the foregoing, upon a Change in Control or in the event of the Participant’s death or Disability, all Restrictions shall lapse and all Restricted Stock shall become Vested Shares.</w:t>
      </w:r>
    </w:p>
    <w:p>
      <w:pPr>
        <w:spacing w:after="0" w:line="136"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b w:val="1"/>
          <w:bCs w:val="1"/>
          <w:u w:val="single" w:color="auto"/>
          <w:color w:val="auto"/>
        </w:rPr>
        <w:t>Section 3.3</w:t>
      </w:r>
      <w:r>
        <w:rPr>
          <w:rFonts w:ascii="Arial" w:cs="Arial" w:eastAsia="Arial" w:hAnsi="Arial"/>
          <w:sz w:val="18"/>
          <w:szCs w:val="18"/>
          <w:b w:val="1"/>
          <w:bCs w:val="1"/>
          <w:color w:val="auto"/>
        </w:rPr>
        <w:t xml:space="preserve"> Lapse of Restrictions. </w:t>
      </w:r>
      <w:r>
        <w:rPr>
          <w:rFonts w:ascii="Arial" w:cs="Arial" w:eastAsia="Arial" w:hAnsi="Arial"/>
          <w:sz w:val="18"/>
          <w:szCs w:val="18"/>
          <w:color w:val="auto"/>
        </w:rPr>
        <w:t>Upon the Vesting Date, the Company shall issue new certificates evidencing the Vested Shares and deliver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Restricted Stock Agreement for Executive Officers and Employees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Three Year Cliff Vesting</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9" w:lineRule="exact"/>
        <w:rPr>
          <w:sz w:val="20"/>
          <w:szCs w:val="20"/>
          <w:color w:val="auto"/>
        </w:rPr>
      </w:pPr>
    </w:p>
    <w:p>
      <w:pPr>
        <w:ind w:right="440" w:firstLine="913"/>
        <w:spacing w:after="0" w:line="262"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 position as an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 or continued employment by the Company or any of its Related Corporations or Affiliates or affect in any way the right of any of the foregoing to terminate the services of an individual at any time.</w:t>
      </w:r>
    </w:p>
    <w:p>
      <w:pPr>
        <w:spacing w:after="0" w:line="132" w:lineRule="exact"/>
        <w:rPr>
          <w:sz w:val="20"/>
          <w:szCs w:val="20"/>
          <w:color w:val="auto"/>
        </w:rPr>
      </w:pPr>
    </w:p>
    <w:p>
      <w:pPr>
        <w:ind w:right="280" w:firstLine="913"/>
        <w:spacing w:after="0" w:line="275"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Legend. </w:t>
      </w:r>
      <w:r>
        <w:rPr>
          <w:rFonts w:ascii="Arial" w:cs="Arial" w:eastAsia="Arial" w:hAnsi="Arial"/>
          <w:sz w:val="18"/>
          <w:szCs w:val="18"/>
          <w:color w:val="auto"/>
        </w:rPr>
        <w:t>Any certificates representing shares of Restricted Stock issued pursuant to this Award Agreement shall, until all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lapse and new certificates are issued pursuant to Section 3.3, bear the following legend:</w:t>
      </w:r>
    </w:p>
    <w:p>
      <w:pPr>
        <w:spacing w:after="0" w:line="45" w:lineRule="exact"/>
        <w:rPr>
          <w:sz w:val="20"/>
          <w:szCs w:val="20"/>
          <w:color w:val="auto"/>
        </w:rPr>
      </w:pPr>
    </w:p>
    <w:p>
      <w:pPr>
        <w:ind w:left="240" w:right="100" w:firstLine="223"/>
        <w:spacing w:after="0" w:line="254"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38" w:lineRule="exact"/>
        <w:rPr>
          <w:sz w:val="20"/>
          <w:szCs w:val="20"/>
          <w:color w:val="auto"/>
        </w:rPr>
      </w:pPr>
    </w:p>
    <w:p>
      <w:pPr>
        <w:ind w:right="280" w:firstLine="913"/>
        <w:spacing w:after="0" w:line="258"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the Vesting Date, the Company shall notify the Participant of the amount of tax which must be withheld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all applicable federal, state and local tax laws. Subject to any applicable legal conditions or restrictions, the Company shall withhold from the shares of Restricted Stock a number of whole shares of common stock having a fair market value, determined as of the Vesting Date, not in excess of the minimum of tax required to be withheld by law.</w:t>
      </w:r>
    </w:p>
    <w:p>
      <w:pPr>
        <w:spacing w:after="0" w:line="136" w:lineRule="exact"/>
        <w:rPr>
          <w:sz w:val="20"/>
          <w:szCs w:val="20"/>
          <w:color w:val="auto"/>
        </w:rPr>
      </w:pPr>
    </w:p>
    <w:p>
      <w:pPr>
        <w:ind w:right="100" w:firstLine="913"/>
        <w:spacing w:after="0" w:line="301" w:lineRule="auto"/>
        <w:rPr>
          <w:sz w:val="20"/>
          <w:szCs w:val="20"/>
          <w:color w:val="auto"/>
        </w:rPr>
      </w:pPr>
      <w:r>
        <w:rPr>
          <w:rFonts w:ascii="Arial" w:cs="Arial" w:eastAsia="Arial" w:hAnsi="Arial"/>
          <w:sz w:val="16"/>
          <w:szCs w:val="16"/>
          <w:b w:val="1"/>
          <w:bCs w:val="1"/>
          <w:u w:val="single" w:color="auto"/>
          <w:color w:val="auto"/>
        </w:rPr>
        <w:t>Section 4.4</w:t>
      </w:r>
      <w:r>
        <w:rPr>
          <w:rFonts w:ascii="Arial" w:cs="Arial" w:eastAsia="Arial" w:hAnsi="Arial"/>
          <w:sz w:val="16"/>
          <w:szCs w:val="16"/>
          <w:b w:val="1"/>
          <w:bCs w:val="1"/>
          <w:color w:val="auto"/>
        </w:rPr>
        <w:t xml:space="preserve"> Notices. </w:t>
      </w:r>
      <w:r>
        <w:rPr>
          <w:rFonts w:ascii="Arial" w:cs="Arial" w:eastAsia="Arial" w:hAnsi="Arial"/>
          <w:sz w:val="16"/>
          <w:szCs w:val="16"/>
          <w:color w:val="auto"/>
        </w:rPr>
        <w:t>Any notice to be given under the terms of this Award Agreement to the Company shall be addressed to the Company in care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Restricted Stock Agreement for Executive Officers and Employees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Three Year Cliff Vesting</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Section 4.5</w:t>
      </w:r>
      <w:r>
        <w:rPr>
          <w:rFonts w:ascii="Arial" w:cs="Arial" w:eastAsia="Arial" w:hAnsi="Arial"/>
          <w:sz w:val="16"/>
          <w:szCs w:val="16"/>
          <w:b w:val="1"/>
          <w:bCs w:val="1"/>
          <w:color w:val="auto"/>
        </w:rPr>
        <w:t xml:space="preserve"> Titles. </w:t>
      </w:r>
      <w:r>
        <w:rPr>
          <w:rFonts w:ascii="Arial" w:cs="Arial" w:eastAsia="Arial" w:hAnsi="Arial"/>
          <w:sz w:val="16"/>
          <w:szCs w:val="16"/>
          <w:color w:val="auto"/>
        </w:rPr>
        <w:t>Titles are provided herein for convenience only and are not to serve as a basis for interpretation or construction of this Award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9" w:lineRule="exact"/>
        <w:rPr>
          <w:sz w:val="20"/>
          <w:szCs w:val="20"/>
          <w:color w:val="auto"/>
        </w:rPr>
      </w:pPr>
    </w:p>
    <w:p>
      <w:pPr>
        <w:ind w:right="280" w:firstLine="913"/>
        <w:spacing w:after="0" w:line="296"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 necessary with all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08"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 </w:t>
      </w:r>
      <w:r>
        <w:rPr>
          <w:rFonts w:ascii="Arial" w:cs="Arial" w:eastAsia="Arial" w:hAnsi="Arial"/>
          <w:sz w:val="18"/>
          <w:szCs w:val="18"/>
          <w:color w:val="auto"/>
        </w:rPr>
        <w:t>This Award Agreement may be amended only by a writing executed by the parties hereto which specifically states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is amending this Award Agreement.</w:t>
      </w:r>
    </w:p>
    <w:p>
      <w:pPr>
        <w:spacing w:after="0" w:line="120" w:lineRule="exact"/>
        <w:rPr>
          <w:sz w:val="20"/>
          <w:szCs w:val="20"/>
          <w:color w:val="auto"/>
        </w:rPr>
      </w:pPr>
    </w:p>
    <w:p>
      <w:pPr>
        <w:ind w:right="880" w:firstLine="913"/>
        <w:spacing w:after="0" w:line="339" w:lineRule="auto"/>
        <w:rPr>
          <w:sz w:val="20"/>
          <w:szCs w:val="20"/>
          <w:color w:val="auto"/>
        </w:rPr>
      </w:pPr>
      <w:r>
        <w:rPr>
          <w:rFonts w:ascii="Arial" w:cs="Arial" w:eastAsia="Arial" w:hAnsi="Arial"/>
          <w:sz w:val="16"/>
          <w:szCs w:val="16"/>
          <w:b w:val="1"/>
          <w:bCs w:val="1"/>
          <w:u w:val="single" w:color="auto"/>
          <w:color w:val="auto"/>
        </w:rPr>
        <w:t>Section 4.8</w:t>
      </w:r>
      <w:r>
        <w:rPr>
          <w:rFonts w:ascii="Arial" w:cs="Arial" w:eastAsia="Arial" w:hAnsi="Arial"/>
          <w:sz w:val="16"/>
          <w:szCs w:val="16"/>
          <w:b w:val="1"/>
          <w:bCs w:val="1"/>
          <w:color w:val="auto"/>
        </w:rPr>
        <w:t xml:space="preserve"> Governing Law. </w:t>
      </w:r>
      <w:r>
        <w:rPr>
          <w:rFonts w:ascii="Arial" w:cs="Arial" w:eastAsia="Arial" w:hAnsi="Arial"/>
          <w:sz w:val="16"/>
          <w:szCs w:val="16"/>
          <w:color w:val="auto"/>
        </w:rPr>
        <w:t>The laws of the State of Delaware shall govern the interpretation, validity, administration, enforcement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terms of this Award Agreement regardless of the law that might be applied under principles of conflicts of laws.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Award Agreement has been executed and delivered by the parties hereto.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INTEGRA LIFESCIENCES</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THE PARTICIPANT</w:t>
            </w: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HOLDINGS CORPORATION</w:t>
            </w:r>
          </w:p>
        </w:tc>
      </w:tr>
      <w:tr>
        <w:trPr>
          <w:trHeight w:val="394"/>
        </w:trPr>
        <w:tc>
          <w:tcPr>
            <w:tcW w:w="5160" w:type="dxa"/>
            <w:vAlign w:val="bottom"/>
            <w:tcBorders>
              <w:bottom w:val="single" w:sz="8" w:color="auto"/>
            </w:tcBorders>
          </w:tcPr>
          <w:p>
            <w:pPr>
              <w:spacing w:after="0"/>
              <w:rPr>
                <w:sz w:val="24"/>
                <w:szCs w:val="24"/>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222"/>
        </w:trPr>
        <w:tc>
          <w:tcPr>
            <w:tcW w:w="5160" w:type="dxa"/>
            <w:vAlign w:val="bottom"/>
          </w:tcPr>
          <w:p>
            <w:pPr>
              <w:spacing w:after="0"/>
              <w:rPr>
                <w:sz w:val="19"/>
                <w:szCs w:val="19"/>
                <w:color w:val="auto"/>
              </w:rPr>
            </w:pPr>
          </w:p>
        </w:tc>
        <w:tc>
          <w:tcPr>
            <w:tcW w:w="626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326"/>
        </w:trPr>
        <w:tc>
          <w:tcPr>
            <w:tcW w:w="51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Address</w:t>
            </w: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65"/>
        </w:trPr>
        <w:tc>
          <w:tcPr>
            <w:tcW w:w="5160" w:type="dxa"/>
            <w:vAlign w:val="bottom"/>
          </w:tcPr>
          <w:p>
            <w:pPr>
              <w:spacing w:after="0"/>
              <w:rPr>
                <w:sz w:val="24"/>
                <w:szCs w:val="24"/>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4</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Form of Restricted Stock Agreement for Executive Officers and Employees</w:t>
            </w:r>
          </w:p>
        </w:tc>
      </w:tr>
      <w:tr>
        <w:trPr>
          <w:trHeight w:val="228"/>
        </w:trPr>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Three Year Cliff Vesting</w:t>
            </w:r>
          </w:p>
        </w:tc>
      </w:tr>
      <w:tr>
        <w:trPr>
          <w:trHeight w:val="326"/>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240" w:type="dxa"/>
            <w:vAlign w:val="bottom"/>
            <w:gridSpan w:val="2"/>
          </w:tcPr>
          <w:p>
            <w:pPr>
              <w:spacing w:after="0"/>
              <w:rPr>
                <w:sz w:val="24"/>
                <w:szCs w:val="24"/>
                <w:color w:val="auto"/>
              </w:rPr>
            </w:pPr>
          </w:p>
        </w:tc>
      </w:tr>
      <w:tr>
        <w:trPr>
          <w:trHeight w:val="358"/>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40" w:type="dxa"/>
            <w:vAlign w:val="bottom"/>
            <w:gridSpan w:val="4"/>
          </w:tcPr>
          <w:p>
            <w:pPr>
              <w:jc w:val="center"/>
              <w:ind w:right="4692"/>
              <w:spacing w:after="0"/>
              <w:rPr>
                <w:sz w:val="20"/>
                <w:szCs w:val="20"/>
                <w:color w:val="auto"/>
              </w:rPr>
            </w:pPr>
            <w:r>
              <w:rPr>
                <w:rFonts w:ascii="Arial" w:cs="Arial" w:eastAsia="Arial" w:hAnsi="Arial"/>
                <w:sz w:val="18"/>
                <w:szCs w:val="18"/>
                <w:b w:val="1"/>
                <w:bCs w:val="1"/>
                <w:color w:val="auto"/>
                <w:w w:val="93"/>
              </w:rPr>
              <w:t>CONSENT OF SPOUSE</w:t>
            </w:r>
          </w:p>
        </w:tc>
      </w:tr>
      <w:tr>
        <w:trPr>
          <w:trHeight w:val="20"/>
        </w:trPr>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97"/>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1580" w:type="dxa"/>
            <w:vAlign w:val="bottom"/>
          </w:tcPr>
          <w:p>
            <w:pPr>
              <w:ind w:left="380"/>
              <w:spacing w:after="0"/>
              <w:rPr>
                <w:sz w:val="20"/>
                <w:szCs w:val="20"/>
                <w:color w:val="auto"/>
              </w:rPr>
            </w:pPr>
            <w:r>
              <w:rPr>
                <w:rFonts w:ascii="Arial" w:cs="Arial" w:eastAsia="Arial" w:hAnsi="Arial"/>
                <w:sz w:val="18"/>
                <w:szCs w:val="18"/>
                <w:color w:val="auto"/>
              </w:rPr>
              <w:t>, spouse of</w:t>
            </w:r>
          </w:p>
        </w:tc>
        <w:tc>
          <w:tcPr>
            <w:tcW w:w="8900" w:type="dxa"/>
            <w:vAlign w:val="bottom"/>
            <w:gridSpan w:val="5"/>
          </w:tcPr>
          <w:p>
            <w:pPr>
              <w:jc w:val="right"/>
              <w:ind w:right="332"/>
              <w:spacing w:after="0"/>
              <w:rPr>
                <w:sz w:val="20"/>
                <w:szCs w:val="20"/>
                <w:color w:val="auto"/>
              </w:rPr>
            </w:pPr>
            <w:r>
              <w:rPr>
                <w:rFonts w:ascii="Arial" w:cs="Arial" w:eastAsia="Arial" w:hAnsi="Arial"/>
                <w:sz w:val="18"/>
                <w:szCs w:val="18"/>
                <w:color w:val="auto"/>
                <w:w w:val="93"/>
              </w:rPr>
              <w:t>, have read and approve the foregoing Award Agreement. In consideration of granting of the right to my spouse to</w:t>
            </w:r>
          </w:p>
        </w:tc>
      </w:tr>
    </w:tbl>
    <w:p>
      <w:pPr>
        <w:ind w:right="20"/>
        <w:spacing w:after="0" w:line="295" w:lineRule="auto"/>
        <w:rPr>
          <w:sz w:val="20"/>
          <w:szCs w:val="20"/>
          <w:color w:val="auto"/>
        </w:rPr>
      </w:pPr>
      <w:r>
        <w:rPr>
          <w:rFonts w:ascii="Arial" w:cs="Arial" w:eastAsia="Arial" w:hAnsi="Arial"/>
          <w:sz w:val="16"/>
          <w:szCs w:val="16"/>
          <w:color w:val="auto"/>
        </w:rPr>
        <w:t>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165735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as of May 17, 2012)</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(the “Amendment”) to the Integra LifeSciences Holdings Corporation 2000 Equity Incentive Plan, as amended and restated as of July 26, 2005 (the “Plan”), amends the Plan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(b) of Section 8.2 is hereby amended by adding the following sentence to the end thereof:</w:t>
      </w:r>
    </w:p>
    <w:p>
      <w:pPr>
        <w:spacing w:after="0" w:line="90"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“Notwithstanding the foregoing, except as otherwise determined by the Committee, in the event of a Participant’s death or Disability, all restrictions on such Participant’s Restricted Stock granted on or after May 17, 2012 shall lapse and such Restricted Stock shall become vested Shares.”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17</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INTEGRA LIFESCIENCES HOLDINGS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ectPr>
          <w:pgSz w:w="11900" w:h="16838" w:orient="portrait"/>
          <w:cols w:equalWidth="0" w:num="1">
            <w:col w:w="11380"/>
          </w:cols>
          <w:pgMar w:left="240" w:top="125" w:right="279" w:bottom="1440" w:gutter="0" w:footer="0" w:header="0"/>
        </w:sect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860"/>
        <w:spacing w:after="0" w:line="294" w:lineRule="auto"/>
        <w:rPr>
          <w:sz w:val="20"/>
          <w:szCs w:val="20"/>
          <w:color w:val="auto"/>
        </w:rPr>
      </w:pPr>
      <w:r>
        <w:rPr>
          <w:rFonts w:ascii="Arial" w:cs="Arial" w:eastAsia="Arial" w:hAnsi="Arial"/>
          <w:sz w:val="16"/>
          <w:szCs w:val="16"/>
          <w:color w:val="auto"/>
        </w:rPr>
        <w:t>/s/ Richard D. Gorelick Richard D. Gorelick Senior Vice President, General Counsel, Administration and Secretary</w:t>
      </w:r>
    </w:p>
    <w:p>
      <w:pPr>
        <w:sectPr>
          <w:pgSz w:w="11900" w:h="16838" w:orient="portrait"/>
          <w:cols w:equalWidth="0" w:num="2">
            <w:col w:w="7320" w:space="120"/>
            <w:col w:w="3940"/>
          </w:cols>
          <w:pgMar w:left="240" w:top="125" w:right="27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2001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as of May 17, 2012)</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(the “Amendment”) to the Integra LifeSciences Holdings Corporation 2001 Equity Incentive Plan, as amended and restated as of July 26, 2005 (the “Plan”), amends the Plan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(b) of Section 8.2 is hereby amended by adding the following sentence to the end thereof:</w:t>
      </w:r>
    </w:p>
    <w:p>
      <w:pPr>
        <w:spacing w:after="0" w:line="90"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“Notwithstanding the foregoing, except as otherwise determined by the Committee, in the event of a Participant’s death or Disability, all restrictions on such Participant’s Restricted Stock granted on or after May 17, 2012 shall lapse and such Restricted Stock shall become vested Shares.”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17</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INTEGRA LIFESCIENCES HOLDINGS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-13970</wp:posOffset>
            </wp:positionV>
            <wp:extent cx="2521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Richard D. Gorelick</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 and Secretary</w:t>
      </w:r>
    </w:p>
    <w:p>
      <w:pPr>
        <w:sectPr>
          <w:pgSz w:w="11900" w:h="16838" w:orient="portrait"/>
          <w:cols w:equalWidth="0" w:num="1">
            <w:col w:w="11380"/>
          </w:cols>
          <w:pgMar w:left="240" w:top="125"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SECOND AMENDED AND RESTATED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(Effective as of May 17, 2012)</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(the “Amendment”) to the Integra LifeSciences Holdings Corporation Second Amended and Restated 2003 Equity Incentive Plan (the “Plan”) amends the Plan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(b) of Section 8.2 is hereby amended by adding the following sentence to the end thereof:</w:t>
      </w:r>
    </w:p>
    <w:p>
      <w:pPr>
        <w:spacing w:after="0" w:line="90"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“Notwithstanding the foregoing, except as otherwise determined by the Committee, in the event of a Participant’s death or Disability, all restrictions on such Participant’s Restricted Stock granted on or after May 17, 2012 (other than Restricted Stock granted to Participants in France) shall lapse and such Restricted Stock shall become vested Shares.”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17</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INTEGRA LIFESCIENCES HOLDINGS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-13970</wp:posOffset>
            </wp:positionV>
            <wp:extent cx="2521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Richard D. Gorelick</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 and Secretary</w:t>
      </w:r>
    </w:p>
    <w:p>
      <w:pPr>
        <w:sectPr>
          <w:pgSz w:w="11900" w:h="16838" w:orient="portrait"/>
          <w:cols w:equalWidth="0" w:num="1">
            <w:col w:w="11160"/>
          </w:cols>
          <w:pgMar w:left="240" w:top="125"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18.1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PREFERABILITY LETTER OF INDEPENDENT REGISTERED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Plainsboro, NJ 08536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this letter to you for inclusion as an exhibit to your Form 10-Q filing pursuant to Item 601 of Regulation S-K.</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been provided a copy of the Company’s Quarterly Report on Form 10-Q for the period ended June 30, 2012. Note 5 therein describes a change in accounting principle related to the timing of the Company’s annual goodwill impairment test date from June 30 to July 31 of each year. It should be understood that the preferability of one acceptable method of accounting over another for a change in the annual goodwill impairment test date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the adoption of a preferable accounting principle in conformity with Accounting Standards Codification 250, Accounting Changes and Error Corrections.</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have not audited any financial statements of the Company as of any date or for any period subsequent to December 31, 2011. Accordingly, our comments are subject to change upon completion of an audit of the financial statements covering the period of the accounting 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Florham Park, NJ</w:t>
      </w:r>
    </w:p>
    <w:p>
      <w:pPr>
        <w:sectPr>
          <w:pgSz w:w="11900" w:h="16838" w:orient="portrait"/>
          <w:cols w:equalWidth="0" w:num="1">
            <w:col w:w="11360"/>
          </w:cols>
          <w:pgMar w:left="240" w:top="125"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Peter J. Arduini, President and Chief Executive Officer and Director of Integra LifeSciences Holdings Corporation (the “Company”), hereby certify that, to my knowledge:</w:t>
      </w:r>
    </w:p>
    <w:p>
      <w:pPr>
        <w:spacing w:after="0" w:line="51" w:lineRule="exact"/>
        <w:rPr>
          <w:sz w:val="20"/>
          <w:szCs w:val="20"/>
          <w:color w:val="auto"/>
        </w:rPr>
      </w:pPr>
    </w:p>
    <w:p>
      <w:pPr>
        <w:ind w:left="460" w:right="9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2012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51" w:lineRule="exact"/>
        <w:rPr>
          <w:sz w:val="20"/>
          <w:szCs w:val="20"/>
          <w:color w:val="auto"/>
        </w:rPr>
      </w:pPr>
    </w:p>
    <w:p>
      <w:pPr>
        <w:ind w:left="460" w:right="9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2012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31,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5" w:right="239" w:bottom="1440" w:gutter="0" w:footer="0" w:header="0"/>
        </w:sectPr>
      </w:pPr>
    </w:p>
    <w:bookmarkStart w:id="63" w:name="page64"/>
    <w:bookmarkEnd w:id="6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260985</wp:posOffset>
            </wp:positionV>
            <wp:extent cx="5059680" cy="6946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59680" cy="69462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spacing w:after="0"/>
              <w:rPr>
                <w:sz w:val="20"/>
                <w:szCs w:val="20"/>
                <w:color w:val="auto"/>
              </w:rPr>
            </w:pPr>
            <w:r>
              <w:rPr>
                <w:rFonts w:ascii="Arial" w:cs="Arial" w:eastAsia="Arial" w:hAnsi="Arial"/>
                <w:sz w:val="14"/>
                <w:szCs w:val="14"/>
                <w:color w:val="FFFFFF"/>
              </w:rPr>
              <w:t>DEPARTMENT OF HEALTH AND HUMAN SERVICES</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FOOD AND DRUG ADMINISTRATION</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3"/>
          </w:tcPr>
          <w:p>
            <w:pPr>
              <w:ind w:left="100"/>
              <w:spacing w:after="0"/>
              <w:rPr>
                <w:sz w:val="20"/>
                <w:szCs w:val="20"/>
                <w:color w:val="auto"/>
              </w:rPr>
            </w:pPr>
            <w:r>
              <w:rPr>
                <w:rFonts w:ascii="Arial" w:cs="Arial" w:eastAsia="Arial" w:hAnsi="Arial"/>
                <w:sz w:val="3"/>
                <w:szCs w:val="3"/>
                <w:color w:val="FFFFFF"/>
              </w:rPr>
              <w:t>ISTRICT ADDRESS AND PHONE NUMBER</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DATE(S) OF INSPECTION</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06/12/2012 - 07/30/2012*</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10 Waterview Blvd., 3rd Floor Parsippany, NJ 07054</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(973) 331-4900 Fax: (973) 331-4969</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Industry Information: www.fda.gov/oc/industry</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FEI NUMBER</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1121308</w:t>
            </w:r>
          </w:p>
        </w:tc>
        <w:tc>
          <w:tcPr>
            <w:tcW w:w="4760" w:type="dxa"/>
            <w:vAlign w:val="bottom"/>
            <w:gridSpan w:val="2"/>
            <w:vMerge w:val="restart"/>
          </w:tcPr>
          <w:p>
            <w:pPr>
              <w:ind w:left="540"/>
              <w:spacing w:after="0" w:line="81" w:lineRule="exact"/>
              <w:rPr>
                <w:sz w:val="20"/>
                <w:szCs w:val="20"/>
                <w:color w:val="auto"/>
              </w:rPr>
            </w:pPr>
            <w:r>
              <w:rPr>
                <w:rFonts w:ascii="Arial" w:cs="Arial" w:eastAsia="Arial" w:hAnsi="Arial"/>
                <w:sz w:val="9"/>
                <w:szCs w:val="9"/>
                <w:color w:val="FFFFFF"/>
              </w:rPr>
              <w:t>TO WHOM REPORT ISSUED</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NAME AND TITLE OF</w:t>
            </w:r>
          </w:p>
        </w:tc>
        <w:tc>
          <w:tcPr>
            <w:tcW w:w="4760" w:type="dxa"/>
            <w:vAlign w:val="bottom"/>
            <w:gridSpan w:val="2"/>
            <w:vMerge w:val="continue"/>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FIRM NAME</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Integra LifeSciences Corporation</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STREET ADDRESS</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105 Morgan Ln</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CITY STATE, ZIP CODE, COUNTRY</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Plainsboro, NJ 08536-3339</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TYPE ESTABLISHMENT INSPECTED</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Medical Device Manufacturer</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vMerge w:val="restart"/>
          </w:tcPr>
          <w:p>
            <w:pPr>
              <w:ind w:left="540"/>
              <w:spacing w:after="0" w:line="81" w:lineRule="exact"/>
              <w:rPr>
                <w:sz w:val="20"/>
                <w:szCs w:val="20"/>
                <w:color w:val="auto"/>
              </w:rPr>
            </w:pPr>
            <w:r>
              <w:rPr>
                <w:rFonts w:ascii="Arial" w:cs="Arial" w:eastAsia="Arial" w:hAnsi="Arial"/>
                <w:sz w:val="9"/>
                <w:szCs w:val="9"/>
                <w:color w:val="FFFFFF"/>
              </w:rPr>
              <w:t>observations, and do not represent a final Agency determination regarding your</w:t>
            </w: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This document lists observations made by the FDA representative(s) during the inspection of your facility. They are</w:t>
            </w:r>
          </w:p>
        </w:tc>
        <w:tc>
          <w:tcPr>
            <w:tcW w:w="4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compliance. If you have an objection regarding an observation, or have implemented, or plan to implement, correctiveinspectionalactionresponse to an observation, you may discuss the objection or action with the FDA</w:t>
            </w: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representative(s) during the inspection or submit this information to FDA at the address above. If you have any</w:t>
            </w:r>
          </w:p>
        </w:tc>
        <w:tc>
          <w:tcPr>
            <w:tcW w:w="4920" w:type="dxa"/>
            <w:vAlign w:val="bottom"/>
          </w:tcPr>
          <w:p>
            <w:pPr>
              <w:ind w:left="180"/>
              <w:spacing w:after="0"/>
              <w:rPr>
                <w:sz w:val="20"/>
                <w:szCs w:val="20"/>
                <w:color w:val="auto"/>
              </w:rPr>
            </w:pPr>
            <w:r>
              <w:rPr>
                <w:rFonts w:ascii="Arial" w:cs="Arial" w:eastAsia="Arial" w:hAnsi="Arial"/>
                <w:sz w:val="3"/>
                <w:szCs w:val="3"/>
                <w:color w:val="FFFFFF"/>
              </w:rPr>
              <w:t>please contact FDA at the phone number and address above.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observations noted in this Form FDA-483 are not an exhaustive listing of objectionable conditions. Under thequestions,lawyour firm is responsible for conducting internal self-audits to identify and correct any and</w:t>
            </w: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all violations of the quality system requirements.</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DURING AN INSPECTION OF YOUR FIRM WE OBSERVED:</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Your firm has manufactured Class II (e.g., TenoGlide) and Class III (Integra artifical skin products [e.g., Dermal Regeneration Template], Absorbable Collagen products) medical devices under the following</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conditions.</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Corrective and Preventive Actions (CAPA)</w:t>
            </w: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OBSERVATION 1</w:t>
            </w:r>
          </w:p>
        </w:tc>
        <w:tc>
          <w:tcPr>
            <w:tcW w:w="9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3"/>
          </w:tcPr>
          <w:p>
            <w:pPr>
              <w:spacing w:after="0"/>
              <w:rPr>
                <w:sz w:val="20"/>
                <w:szCs w:val="20"/>
                <w:color w:val="auto"/>
              </w:rPr>
            </w:pPr>
            <w:r>
              <w:rPr>
                <w:rFonts w:ascii="Arial" w:cs="Arial" w:eastAsia="Arial" w:hAnsi="Arial"/>
                <w:sz w:val="3"/>
                <w:szCs w:val="3"/>
                <w:color w:val="FFFFFF"/>
              </w:rPr>
              <w:t>Procedures for corrective and preventive action have not been adequately established.</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Specifically, your firm's CAPA procedure (QA-051) was not implemented in that interim reports were not filed and extensions were not requested prior to CAPA due dates.</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For example -</w:t>
            </w:r>
          </w:p>
        </w:tc>
        <w:tc>
          <w:tcPr>
            <w:tcW w:w="960" w:type="dxa"/>
            <w:vAlign w:val="bottom"/>
          </w:tcPr>
          <w:p>
            <w:pPr>
              <w:spacing w:after="0"/>
              <w:rPr>
                <w:sz w:val="3"/>
                <w:szCs w:val="3"/>
                <w:color w:val="auto"/>
              </w:rPr>
            </w:pPr>
          </w:p>
        </w:tc>
        <w:tc>
          <w:tcPr>
            <w:tcW w:w="872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due date of 11/1/11. An interim report was filed and a first extension was requested. The first extension was granted and a new due date of 2/1/12 was given. The</w:t>
            </w: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a) CAPA 50079 was approved on 8/15/11 with</w:t>
            </w:r>
          </w:p>
        </w:tc>
        <w:tc>
          <w:tcPr>
            <w:tcW w:w="8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last corrective action, revising SOP QA-021, was not completed until March of 2012, approximately one month after the first extension due date. No other interim reports or extension requests were filed.</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b) CAPA 63949 was opened</w:t>
            </w:r>
          </w:p>
        </w:tc>
        <w:tc>
          <w:tcPr>
            <w:tcW w:w="9680" w:type="dxa"/>
            <w:vAlign w:val="bottom"/>
            <w:gridSpan w:val="3"/>
          </w:tcPr>
          <w:p>
            <w:pPr>
              <w:ind w:left="60"/>
              <w:spacing w:after="0"/>
              <w:rPr>
                <w:sz w:val="20"/>
                <w:szCs w:val="20"/>
                <w:color w:val="auto"/>
              </w:rPr>
            </w:pPr>
            <w:r>
              <w:rPr>
                <w:rFonts w:ascii="Arial" w:cs="Arial" w:eastAsia="Arial" w:hAnsi="Arial"/>
                <w:sz w:val="3"/>
                <w:szCs w:val="3"/>
                <w:color w:val="FFFFFF"/>
              </w:rPr>
              <w:t>3/13/12. The initial due date of one of the corrective actions, revising SOP 602, was 4/30/12. The procedure was not revised and approved until 6/26/12, 57 days after the due</w:t>
            </w:r>
          </w:p>
        </w:tc>
        <w:tc>
          <w:tcPr>
            <w:tcW w:w="0" w:type="dxa"/>
            <w:vAlign w:val="bottom"/>
          </w:tcPr>
          <w:p>
            <w:pPr>
              <w:spacing w:after="0"/>
              <w:rPr>
                <w:sz w:val="1"/>
                <w:szCs w:val="1"/>
                <w:color w:val="auto"/>
              </w:rPr>
            </w:pPr>
          </w:p>
        </w:tc>
      </w:tr>
      <w:tr>
        <w:trPr>
          <w:trHeight w:val="0"/>
        </w:trPr>
        <w:tc>
          <w:tcPr>
            <w:tcW w:w="1680" w:type="dxa"/>
            <w:vAlign w:val="bottom"/>
          </w:tcPr>
          <w:p>
            <w:pPr>
              <w:spacing w:after="0" w:line="121" w:lineRule="exact"/>
              <w:rPr>
                <w:sz w:val="20"/>
                <w:szCs w:val="20"/>
                <w:color w:val="auto"/>
              </w:rPr>
            </w:pPr>
            <w:r>
              <w:rPr>
                <w:rFonts w:ascii="Arial" w:cs="Arial" w:eastAsia="Arial" w:hAnsi="Arial"/>
                <w:sz w:val="12"/>
                <w:szCs w:val="12"/>
                <w:color w:val="FFFFFF"/>
              </w:rPr>
              <w:t>date. No interim report or</w:t>
            </w:r>
          </w:p>
        </w:tc>
        <w:tc>
          <w:tcPr>
            <w:tcW w:w="960" w:type="dxa"/>
            <w:vAlign w:val="bottom"/>
          </w:tcPr>
          <w:p>
            <w:pPr>
              <w:ind w:left="300"/>
              <w:spacing w:after="0" w:line="121" w:lineRule="exact"/>
              <w:rPr>
                <w:sz w:val="20"/>
                <w:szCs w:val="20"/>
                <w:color w:val="auto"/>
              </w:rPr>
            </w:pPr>
            <w:r>
              <w:rPr>
                <w:rFonts w:ascii="Arial" w:cs="Arial" w:eastAsia="Arial" w:hAnsi="Arial"/>
                <w:sz w:val="12"/>
                <w:szCs w:val="12"/>
                <w:color w:val="FFFFFF"/>
              </w:rPr>
              <w:t>request</w:t>
            </w:r>
          </w:p>
        </w:tc>
        <w:tc>
          <w:tcPr>
            <w:tcW w:w="3800" w:type="dxa"/>
            <w:vAlign w:val="bottom"/>
          </w:tcPr>
          <w:p>
            <w:pPr>
              <w:spacing w:after="0" w:line="121" w:lineRule="exact"/>
              <w:rPr>
                <w:sz w:val="20"/>
                <w:szCs w:val="20"/>
                <w:color w:val="auto"/>
              </w:rPr>
            </w:pPr>
            <w:r>
              <w:rPr>
                <w:rFonts w:ascii="Arial" w:cs="Arial" w:eastAsia="Arial" w:hAnsi="Arial"/>
                <w:sz w:val="12"/>
                <w:szCs w:val="12"/>
                <w:color w:val="FFFFFF"/>
              </w:rPr>
              <w:t>filed.</w:t>
            </w: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40"/>
        <w:spacing w:after="0"/>
        <w:rPr>
          <w:sz w:val="20"/>
          <w:szCs w:val="20"/>
          <w:color w:val="auto"/>
        </w:rPr>
      </w:pPr>
      <w:r>
        <w:rPr>
          <w:rFonts w:ascii="Arial" w:cs="Arial" w:eastAsia="Arial" w:hAnsi="Arial"/>
          <w:sz w:val="3"/>
          <w:szCs w:val="3"/>
          <w:color w:val="FFFFFF"/>
        </w:rPr>
        <w:t>c) CAPA 47440 was approvedextension7/5/11 withwasdue date of 10/31/11. An interim report was filed and a first extension was requested. The extension was granted and a new due date of 3/30/12 was given. A second extension</w:t>
      </w:r>
    </w:p>
    <w:p>
      <w:pPr>
        <w:spacing w:after="0" w:line="184" w:lineRule="auto"/>
        <w:rPr>
          <w:sz w:val="20"/>
          <w:szCs w:val="20"/>
          <w:color w:val="auto"/>
        </w:rPr>
      </w:pPr>
      <w:r>
        <w:rPr>
          <w:rFonts w:ascii="Arial" w:cs="Arial" w:eastAsia="Arial" w:hAnsi="Arial"/>
          <w:sz w:val="10"/>
          <w:szCs w:val="10"/>
          <w:color w:val="FFFFFF"/>
        </w:rPr>
        <w:t>was reviewed by the</w:t>
      </w:r>
    </w:p>
    <w:p>
      <w:pPr>
        <w:spacing w:after="0"/>
        <w:rPr>
          <w:sz w:val="20"/>
          <w:szCs w:val="20"/>
          <w:color w:val="auto"/>
        </w:rPr>
      </w:pPr>
      <w:r>
        <w:rPr>
          <w:rFonts w:ascii="Arial" w:cs="Arial" w:eastAsia="Arial" w:hAnsi="Arial"/>
          <w:sz w:val="3"/>
          <w:szCs w:val="3"/>
          <w:color w:val="FFFFFF"/>
        </w:rPr>
        <w:t>FORMSEEREVERSEFDA483OF(09/08)THIS PAGE</w:t>
      </w:r>
    </w:p>
    <w:p>
      <w:pPr>
        <w:spacing w:after="0" w:line="194" w:lineRule="auto"/>
        <w:rPr>
          <w:sz w:val="20"/>
          <w:szCs w:val="20"/>
          <w:color w:val="auto"/>
        </w:rPr>
      </w:pPr>
      <w:r>
        <w:rPr>
          <w:rFonts w:ascii="Arial" w:cs="Arial" w:eastAsia="Arial" w:hAnsi="Arial"/>
          <w:sz w:val="5"/>
          <w:szCs w:val="5"/>
          <w:color w:val="FFFFFF"/>
        </w:rPr>
        <w:t>EMPLOYEE(S) SIGNATURE</w:t>
      </w:r>
    </w:p>
    <w:p>
      <w:pPr>
        <w:spacing w:after="0" w:line="188" w:lineRule="auto"/>
        <w:rPr>
          <w:sz w:val="20"/>
          <w:szCs w:val="20"/>
          <w:color w:val="auto"/>
        </w:rPr>
      </w:pPr>
      <w:r>
        <w:rPr>
          <w:rFonts w:ascii="Arial" w:cs="Arial" w:eastAsia="Arial" w:hAnsi="Arial"/>
          <w:sz w:val="9"/>
          <w:szCs w:val="9"/>
          <w:color w:val="FFFFFF"/>
        </w:rPr>
        <w:t>Loretta Nemchik, Investigator</w:t>
      </w:r>
    </w:p>
    <w:p>
      <w:pPr>
        <w:spacing w:after="0" w:line="187" w:lineRule="auto"/>
        <w:rPr>
          <w:sz w:val="20"/>
          <w:szCs w:val="20"/>
          <w:color w:val="auto"/>
        </w:rPr>
      </w:pPr>
      <w:r>
        <w:rPr>
          <w:rFonts w:ascii="Arial" w:cs="Arial" w:eastAsia="Arial" w:hAnsi="Arial"/>
          <w:sz w:val="9"/>
          <w:szCs w:val="9"/>
          <w:color w:val="FFFFFF"/>
        </w:rPr>
        <w:t>07/30/2012DATEISSUED</w:t>
      </w:r>
    </w:p>
    <w:p>
      <w:pPr>
        <w:spacing w:after="0"/>
        <w:rPr>
          <w:sz w:val="20"/>
          <w:szCs w:val="20"/>
          <w:color w:val="auto"/>
        </w:rPr>
      </w:pPr>
      <w:r>
        <w:rPr>
          <w:rFonts w:ascii="Arial" w:cs="Arial" w:eastAsia="Arial" w:hAnsi="Arial"/>
          <w:sz w:val="3"/>
          <w:szCs w:val="3"/>
          <w:color w:val="FFFFFF"/>
        </w:rPr>
        <w:t>MeredithBarbaraJ.L.WilimczykSheridan,-Macri,InvestigatorInvestigator</w:t>
      </w:r>
    </w:p>
    <w:p>
      <w:pPr>
        <w:spacing w:after="0" w:line="181" w:lineRule="auto"/>
        <w:rPr>
          <w:sz w:val="20"/>
          <w:szCs w:val="20"/>
          <w:color w:val="auto"/>
        </w:rPr>
      </w:pPr>
      <w:r>
        <w:rPr>
          <w:rFonts w:ascii="Arial" w:cs="Arial" w:eastAsia="Arial" w:hAnsi="Arial"/>
          <w:sz w:val="10"/>
          <w:szCs w:val="10"/>
          <w:color w:val="FFFFFF"/>
        </w:rPr>
        <w:t>PREVIOUS EDITION OBSOLETE</w:t>
      </w:r>
    </w:p>
    <w:p>
      <w:pPr>
        <w:spacing w:after="0" w:line="185" w:lineRule="auto"/>
        <w:rPr>
          <w:sz w:val="20"/>
          <w:szCs w:val="20"/>
          <w:color w:val="auto"/>
        </w:rPr>
      </w:pPr>
      <w:r>
        <w:rPr>
          <w:rFonts w:ascii="Arial" w:cs="Arial" w:eastAsia="Arial" w:hAnsi="Arial"/>
          <w:sz w:val="14"/>
          <w:szCs w:val="14"/>
          <w:color w:val="FFFFFF"/>
        </w:rPr>
        <w:t>INSPECTIONALAGE1OF7AGES</w:t>
      </w:r>
      <w:r>
        <w:rPr>
          <w:rFonts w:ascii="Arial" w:cs="Arial" w:eastAsia="Arial" w:hAnsi="Arial"/>
          <w:sz w:val="27"/>
          <w:szCs w:val="27"/>
          <w:color w:val="FFFFFF"/>
          <w:vertAlign w:val="superscript"/>
        </w:rPr>
        <w:t>OBSERVATIONS</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0" w:type="dxa"/>
            <w:vAlign w:val="bottom"/>
            <w:gridSpan w:val="4"/>
          </w:tcPr>
          <w:p>
            <w:pPr>
              <w:spacing w:after="0"/>
              <w:rPr>
                <w:sz w:val="20"/>
                <w:szCs w:val="20"/>
                <w:color w:val="auto"/>
              </w:rPr>
            </w:pPr>
            <w:r>
              <w:rPr>
                <w:rFonts w:ascii="Arial" w:cs="Arial" w:eastAsia="Arial" w:hAnsi="Arial"/>
                <w:sz w:val="14"/>
                <w:szCs w:val="14"/>
                <w:color w:val="FFFFFF"/>
              </w:rPr>
              <w:t>DEPARTMENT OF HEALTH AND HUMAN SERVICES</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FOOD AND DRUG ADMINISTRATION</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DISTRICT ADDRESS AND PHONE NUMBER</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10 Waterview Blvd., 3rd Floor</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Parsippany, NJ 07054</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(973) 331-4900 Fax: (973) 331-4969</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Industry Information: www.fda.gov/oc/industry</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DATE(S) OF INSPECTION</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06/12/2012 - 07/30/2012*</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FEI NUMBER</w:t>
            </w:r>
          </w:p>
        </w:tc>
        <w:tc>
          <w:tcPr>
            <w:tcW w:w="680" w:type="dxa"/>
            <w:vAlign w:val="bottom"/>
          </w:tcPr>
          <w:p>
            <w:pPr>
              <w:spacing w:after="0"/>
              <w:rPr>
                <w:sz w:val="3"/>
                <w:szCs w:val="3"/>
                <w:color w:val="auto"/>
              </w:rPr>
            </w:pP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1121308</w:t>
            </w: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80" w:type="dxa"/>
            <w:vAlign w:val="bottom"/>
            <w:vMerge w:val="restart"/>
          </w:tcPr>
          <w:p>
            <w:pPr>
              <w:jc w:val="right"/>
              <w:ind w:right="7235"/>
              <w:spacing w:after="0" w:line="81" w:lineRule="exact"/>
              <w:rPr>
                <w:sz w:val="20"/>
                <w:szCs w:val="20"/>
                <w:color w:val="auto"/>
              </w:rPr>
            </w:pPr>
            <w:r>
              <w:rPr>
                <w:rFonts w:ascii="Arial" w:cs="Arial" w:eastAsia="Arial" w:hAnsi="Arial"/>
                <w:sz w:val="9"/>
                <w:szCs w:val="9"/>
                <w:color w:val="FFFFFF"/>
              </w:rPr>
              <w:t>TO WHOM REPORT ISSUED</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NAME AND TITLE OF</w:t>
            </w:r>
          </w:p>
        </w:tc>
        <w:tc>
          <w:tcPr>
            <w:tcW w:w="9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FIRM NAME</w:t>
            </w:r>
          </w:p>
        </w:tc>
        <w:tc>
          <w:tcPr>
            <w:tcW w:w="680" w:type="dxa"/>
            <w:vAlign w:val="bottom"/>
          </w:tcPr>
          <w:p>
            <w:pPr>
              <w:spacing w:after="0"/>
              <w:rPr>
                <w:sz w:val="3"/>
                <w:szCs w:val="3"/>
                <w:color w:val="auto"/>
              </w:rPr>
            </w:pP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Integra LifeSciences Corporation</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STREET ADDRESS</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105 Morgan Ln</w:t>
            </w:r>
          </w:p>
        </w:tc>
        <w:tc>
          <w:tcPr>
            <w:tcW w:w="680" w:type="dxa"/>
            <w:vAlign w:val="bottom"/>
          </w:tcPr>
          <w:p>
            <w:pPr>
              <w:spacing w:after="0"/>
              <w:rPr>
                <w:sz w:val="3"/>
                <w:szCs w:val="3"/>
                <w:color w:val="auto"/>
              </w:rPr>
            </w:pP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CITY STATE, ZIP CODE, COUNTRY</w:t>
            </w: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Plainsboro,</w:t>
            </w:r>
          </w:p>
        </w:tc>
        <w:tc>
          <w:tcPr>
            <w:tcW w:w="1080" w:type="dxa"/>
            <w:vAlign w:val="bottom"/>
            <w:gridSpan w:val="2"/>
          </w:tcPr>
          <w:p>
            <w:pPr>
              <w:ind w:left="20"/>
              <w:spacing w:after="0"/>
              <w:rPr>
                <w:sz w:val="20"/>
                <w:szCs w:val="20"/>
                <w:color w:val="auto"/>
              </w:rPr>
            </w:pPr>
            <w:r>
              <w:rPr>
                <w:rFonts w:ascii="Arial" w:cs="Arial" w:eastAsia="Arial" w:hAnsi="Arial"/>
                <w:sz w:val="3"/>
                <w:szCs w:val="3"/>
                <w:color w:val="FFFFFF"/>
              </w:rPr>
              <w:t>NJ 08536-3339</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TYPE ESTABLISHMENT INSPECTED</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Medical Device Manufacturer</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CAP  Board on 6/25/12, 86 days after the first extension due date.</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d) CAPA 21653</w:t>
            </w:r>
          </w:p>
        </w:tc>
        <w:tc>
          <w:tcPr>
            <w:tcW w:w="10160" w:type="dxa"/>
            <w:vAlign w:val="bottom"/>
            <w:gridSpan w:val="2"/>
          </w:tcPr>
          <w:p>
            <w:pPr>
              <w:jc w:val="right"/>
              <w:ind w:right="275"/>
              <w:spacing w:after="0"/>
              <w:rPr>
                <w:sz w:val="20"/>
                <w:szCs w:val="20"/>
                <w:color w:val="auto"/>
              </w:rPr>
            </w:pPr>
            <w:r>
              <w:rPr>
                <w:rFonts w:ascii="Arial" w:cs="Arial" w:eastAsia="Arial" w:hAnsi="Arial"/>
                <w:sz w:val="3"/>
                <w:szCs w:val="3"/>
                <w:color w:val="FFFFFF"/>
              </w:rPr>
              <w:t>opened on 4/14/10 and a due date of 8/20/10 was set. Three interim reports were filed and extensions were granted for this CAPA. The due date for the CAPA closure after the third</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extension was setwas 1/31/12. The fourth extension request was requested and approved on 7/9/12, 159 days after the third extension due date.</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This is a repeat observation from the previous inspection.</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Nonconforming Product</w:t>
            </w: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OBSERVATION 2</w:t>
            </w:r>
          </w:p>
        </w:tc>
        <w:tc>
          <w:tcPr>
            <w:tcW w:w="680" w:type="dxa"/>
            <w:vAlign w:val="bottom"/>
          </w:tcPr>
          <w:p>
            <w:pPr>
              <w:spacing w:after="0"/>
              <w:rPr>
                <w:sz w:val="3"/>
                <w:szCs w:val="3"/>
                <w:color w:val="auto"/>
              </w:rPr>
            </w:pP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Products that do not conform to specifications are not adequately controlled.</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For example -</w:t>
            </w:r>
          </w:p>
        </w:tc>
        <w:tc>
          <w:tcPr>
            <w:tcW w:w="680" w:type="dxa"/>
            <w:vAlign w:val="bottom"/>
          </w:tcPr>
          <w:p>
            <w:pPr>
              <w:spacing w:after="0"/>
              <w:rPr>
                <w:sz w:val="3"/>
                <w:szCs w:val="3"/>
                <w:color w:val="auto"/>
              </w:rPr>
            </w:pPr>
          </w:p>
        </w:tc>
        <w:tc>
          <w:tcPr>
            <w:tcW w:w="948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Lot#105000239711, which failed in-process testing for percent solids after the dispersion step in your production process. As a result, 2 pieces of the lot were able to be taken</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a) Your firm failed to</w:t>
            </w:r>
          </w:p>
        </w:tc>
        <w:tc>
          <w:tcPr>
            <w:tcW w:w="9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from inventory for usequarantinestability study being conducted at your facility for one of your customers.</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b) Your firm failed to quarantine Lot#105000247787 when the lot failed finished product testing for visible defects (particulate presence) on 5/7/12. As a result 70 pieces of this lot were boxed into</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Lot#105B00247787 before your firm quarantined the product on 5/16/12.</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Production and Process Controls (P&amp;PC)</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OBSERVATION 3</w:t>
            </w:r>
          </w:p>
        </w:tc>
        <w:tc>
          <w:tcPr>
            <w:tcW w:w="680" w:type="dxa"/>
            <w:vAlign w:val="bottom"/>
          </w:tcPr>
          <w:p>
            <w:pPr>
              <w:spacing w:after="0"/>
              <w:rPr>
                <w:sz w:val="3"/>
                <w:szCs w:val="3"/>
                <w:color w:val="auto"/>
              </w:rPr>
            </w:pPr>
          </w:p>
        </w:tc>
        <w:tc>
          <w:tcPr>
            <w:tcW w:w="9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Procedures to control environmental conditions have not been established.</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Your firm failed to provide Alert/Action Notification forms or documentation of laboratory out of specification (OOS) investigations conducted as a result of action/alert limit results in accordance to SOP G-</w:t>
            </w: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5 3,</w:t>
            </w:r>
          </w:p>
        </w:tc>
        <w:tc>
          <w:tcPr>
            <w:tcW w:w="10560" w:type="dxa"/>
            <w:vAlign w:val="bottom"/>
            <w:gridSpan w:val="3"/>
          </w:tcPr>
          <w:p>
            <w:pPr>
              <w:jc w:val="right"/>
              <w:spacing w:after="0"/>
              <w:rPr>
                <w:sz w:val="20"/>
                <w:szCs w:val="20"/>
                <w:color w:val="auto"/>
              </w:rPr>
            </w:pPr>
            <w:r>
              <w:rPr>
                <w:rFonts w:ascii="Arial" w:cs="Arial" w:eastAsia="Arial" w:hAnsi="Arial"/>
                <w:sz w:val="3"/>
                <w:szCs w:val="3"/>
                <w:color w:val="FFFFFF"/>
              </w:rPr>
              <w:t>ical Monitoring of the Medical Products Manufacturing Clean Areas, Revision 32, SOP 601, Environmental Monitoring Plan for the Integra Manufacturing Area, Revision 23, and SOP MB-</w:t>
            </w:r>
          </w:p>
        </w:tc>
        <w:tc>
          <w:tcPr>
            <w:tcW w:w="0" w:type="dxa"/>
            <w:vAlign w:val="bottom"/>
          </w:tcPr>
          <w:p>
            <w:pPr>
              <w:spacing w:after="0"/>
              <w:rPr>
                <w:sz w:val="1"/>
                <w:szCs w:val="1"/>
                <w:color w:val="auto"/>
              </w:rPr>
            </w:pPr>
          </w:p>
        </w:tc>
      </w:tr>
      <w:tr>
        <w:trPr>
          <w:trHeight w:val="0"/>
        </w:trPr>
        <w:tc>
          <w:tcPr>
            <w:tcW w:w="1040" w:type="dxa"/>
            <w:vAlign w:val="bottom"/>
            <w:gridSpan w:val="2"/>
          </w:tcPr>
          <w:p>
            <w:pPr>
              <w:spacing w:after="0"/>
              <w:rPr>
                <w:sz w:val="20"/>
                <w:szCs w:val="20"/>
                <w:color w:val="auto"/>
              </w:rPr>
            </w:pPr>
            <w:r>
              <w:rPr>
                <w:rFonts w:ascii="Arial" w:cs="Arial" w:eastAsia="Arial" w:hAnsi="Arial"/>
                <w:sz w:val="3"/>
                <w:szCs w:val="3"/>
                <w:color w:val="FFFFFF"/>
              </w:rPr>
              <w:t>026, Microbiology</w:t>
            </w:r>
          </w:p>
        </w:tc>
        <w:tc>
          <w:tcPr>
            <w:tcW w:w="10160" w:type="dxa"/>
            <w:vAlign w:val="bottom"/>
            <w:gridSpan w:val="2"/>
          </w:tcPr>
          <w:p>
            <w:pPr>
              <w:jc w:val="right"/>
              <w:ind w:right="6995"/>
              <w:spacing w:after="0"/>
              <w:rPr>
                <w:sz w:val="20"/>
                <w:szCs w:val="20"/>
                <w:color w:val="auto"/>
              </w:rPr>
            </w:pPr>
            <w:r>
              <w:rPr>
                <w:rFonts w:ascii="Arial" w:cs="Arial" w:eastAsia="Arial" w:hAnsi="Arial"/>
                <w:sz w:val="3"/>
                <w:szCs w:val="3"/>
                <w:color w:val="FFFFFF"/>
              </w:rPr>
              <w:t>Out of Specification Investigation Procedure, Revision 8.</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SEEpecifically-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REVERSE OF THIS PAGE</w:t>
      </w:r>
    </w:p>
    <w:p>
      <w:pPr>
        <w:ind w:left="460"/>
        <w:spacing w:after="0"/>
        <w:rPr>
          <w:sz w:val="20"/>
          <w:szCs w:val="20"/>
          <w:color w:val="auto"/>
        </w:rPr>
      </w:pPr>
      <w:r>
        <w:rPr>
          <w:rFonts w:ascii="Arial" w:cs="Arial" w:eastAsia="Arial" w:hAnsi="Arial"/>
          <w:sz w:val="3"/>
          <w:szCs w:val="3"/>
          <w:color w:val="FFFFFF"/>
        </w:rPr>
        <w:t>J. Wilimczyk-Macri, Investigator</w:t>
      </w:r>
    </w:p>
    <w:p>
      <w:pPr>
        <w:spacing w:after="0" w:line="181" w:lineRule="auto"/>
        <w:rPr>
          <w:sz w:val="20"/>
          <w:szCs w:val="20"/>
          <w:color w:val="auto"/>
        </w:rPr>
      </w:pPr>
      <w:r>
        <w:rPr>
          <w:rFonts w:ascii="Arial" w:cs="Arial" w:eastAsia="Arial" w:hAnsi="Arial"/>
          <w:sz w:val="10"/>
          <w:szCs w:val="10"/>
          <w:color w:val="FFFFFF"/>
        </w:rPr>
        <w:t>Meredith L. Sheridan, 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rPr>
          <w:sz w:val="20"/>
          <w:szCs w:val="20"/>
          <w:color w:val="auto"/>
        </w:rPr>
      </w:pPr>
      <w:r>
        <w:rPr>
          <w:rFonts w:ascii="Arial" w:cs="Arial" w:eastAsia="Arial" w:hAnsi="Arial"/>
          <w:sz w:val="3"/>
          <w:szCs w:val="3"/>
          <w:color w:val="FFFFFF"/>
        </w:rPr>
        <w:t>PREVIOUS EDITION OBSOLETE</w:t>
      </w:r>
    </w:p>
    <w:p>
      <w:pPr>
        <w:spacing w:after="0" w:line="194" w:lineRule="auto"/>
        <w:rPr>
          <w:sz w:val="20"/>
          <w:szCs w:val="20"/>
          <w:color w:val="auto"/>
        </w:rPr>
      </w:pPr>
      <w:r>
        <w:rPr>
          <w:rFonts w:ascii="Arial" w:cs="Arial" w:eastAsia="Arial" w:hAnsi="Arial"/>
          <w:sz w:val="3"/>
          <w:szCs w:val="3"/>
          <w:color w:val="FFFFFF"/>
        </w:rPr>
        <w:t xml:space="preserve">INSPECTIONAL </w:t>
      </w:r>
      <w:r>
        <w:rPr>
          <w:rFonts w:ascii="Arial" w:cs="Arial" w:eastAsia="Arial" w:hAnsi="Arial"/>
          <w:sz w:val="5"/>
          <w:szCs w:val="5"/>
          <w:color w:val="FFFFFF"/>
          <w:vertAlign w:val="superscript"/>
        </w:rPr>
        <w:t>OBSERVATIONS</w:t>
      </w:r>
    </w:p>
    <w:p>
      <w:pPr>
        <w:ind w:left="80"/>
        <w:spacing w:after="0"/>
        <w:rPr>
          <w:sz w:val="20"/>
          <w:szCs w:val="20"/>
          <w:color w:val="auto"/>
        </w:rPr>
      </w:pPr>
      <w:r>
        <w:rPr>
          <w:rFonts w:ascii="Arial" w:cs="Arial" w:eastAsia="Arial" w:hAnsi="Arial"/>
          <w:sz w:val="14"/>
          <w:szCs w:val="14"/>
          <w:color w:val="FFFFFF"/>
        </w:rPr>
        <w:t>AGE 2 OF 7  AGES</w:t>
      </w:r>
    </w:p>
    <w:p>
      <w:pPr>
        <w:sectPr>
          <w:pgSz w:w="11900" w:h="16838" w:orient="portrait"/>
          <w:cols w:equalWidth="0" w:num="1">
            <w:col w:w="11200"/>
          </w:cols>
          <w:pgMar w:left="240" w:top="1440" w:right="4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4"/>
          </w:tcPr>
          <w:p>
            <w:pPr>
              <w:spacing w:after="0"/>
              <w:rPr>
                <w:sz w:val="20"/>
                <w:szCs w:val="20"/>
                <w:color w:val="auto"/>
              </w:rPr>
            </w:pPr>
            <w:r>
              <w:rPr>
                <w:rFonts w:ascii="Arial" w:cs="Arial" w:eastAsia="Arial" w:hAnsi="Arial"/>
                <w:sz w:val="14"/>
                <w:szCs w:val="14"/>
                <w:color w:val="FFFFFF"/>
              </w:rPr>
              <w:t>DEPARTMENT OF HEALTH AND HUMAN SERVICES</w:t>
            </w:r>
          </w:p>
        </w:tc>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FOOD AND DRUG ADMINISTRATION</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DISTRICT ADDRESS AND PHONE NUMBER</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4"/>
          </w:tcPr>
          <w:p>
            <w:pPr>
              <w:spacing w:after="0"/>
              <w:rPr>
                <w:sz w:val="20"/>
                <w:szCs w:val="20"/>
                <w:color w:val="auto"/>
              </w:rPr>
            </w:pPr>
            <w:r>
              <w:rPr>
                <w:rFonts w:ascii="Arial" w:cs="Arial" w:eastAsia="Arial" w:hAnsi="Arial"/>
                <w:sz w:val="3"/>
                <w:szCs w:val="3"/>
                <w:color w:val="FFFFFF"/>
              </w:rPr>
              <w:t>10 Waterview Blvd., 3rd Floor Parsippany, NJ 07054</w:t>
            </w: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(973) 331-4900 Fax: (973) 331-4969</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Industry Information: www.fda.gov/oc/industry</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DATE(S) OF INSPECTION</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06/12/2012 - 07/30/2012*</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FEI NUMBER</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1121308</w:t>
            </w:r>
          </w:p>
        </w:tc>
        <w:tc>
          <w:tcPr>
            <w:tcW w:w="880" w:type="dxa"/>
            <w:vAlign w:val="bottom"/>
          </w:tcPr>
          <w:p>
            <w:pPr>
              <w:spacing w:after="0"/>
              <w:rPr>
                <w:sz w:val="3"/>
                <w:szCs w:val="3"/>
                <w:color w:val="auto"/>
              </w:rPr>
            </w:pPr>
          </w:p>
        </w:tc>
        <w:tc>
          <w:tcPr>
            <w:tcW w:w="2920" w:type="dxa"/>
            <w:vAlign w:val="bottom"/>
            <w:gridSpan w:val="2"/>
            <w:vMerge w:val="restart"/>
          </w:tcPr>
          <w:p>
            <w:pPr>
              <w:ind w:left="720"/>
              <w:spacing w:after="0" w:line="81" w:lineRule="exact"/>
              <w:rPr>
                <w:sz w:val="20"/>
                <w:szCs w:val="20"/>
                <w:color w:val="auto"/>
              </w:rPr>
            </w:pPr>
            <w:r>
              <w:rPr>
                <w:rFonts w:ascii="Arial" w:cs="Arial" w:eastAsia="Arial" w:hAnsi="Arial"/>
                <w:sz w:val="9"/>
                <w:szCs w:val="9"/>
                <w:color w:val="FFFFFF"/>
              </w:rPr>
              <w:t>TO WHOM REPORT ISSUED</w:t>
            </w: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NAME AND TITLE OF</w:t>
            </w:r>
          </w:p>
        </w:tc>
        <w:tc>
          <w:tcPr>
            <w:tcW w:w="2920" w:type="dxa"/>
            <w:vAlign w:val="bottom"/>
            <w:gridSpan w:val="2"/>
            <w:vMerge w:val="continue"/>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4"/>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FIRM NAME</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Integra LifeSciences Corporation</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CITY STATE, ZIP CODE, COUNTRY</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Plainsboro,</w:t>
            </w:r>
          </w:p>
        </w:tc>
        <w:tc>
          <w:tcPr>
            <w:tcW w:w="880" w:type="dxa"/>
            <w:vAlign w:val="bottom"/>
          </w:tcPr>
          <w:p>
            <w:pPr>
              <w:ind w:left="40"/>
              <w:spacing w:after="0"/>
              <w:rPr>
                <w:sz w:val="20"/>
                <w:szCs w:val="20"/>
                <w:color w:val="auto"/>
              </w:rPr>
            </w:pPr>
            <w:r>
              <w:rPr>
                <w:rFonts w:ascii="Arial" w:cs="Arial" w:eastAsia="Arial" w:hAnsi="Arial"/>
                <w:sz w:val="3"/>
                <w:szCs w:val="3"/>
                <w:color w:val="FFFFFF"/>
              </w:rPr>
              <w:t>NJ 08536-3339</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STREET ADDRESS</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105 Morgan Ln</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TYPE ESTABLISHMENT INSPECTED</w:t>
            </w: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Medical Device Manufacturer</w:t>
            </w:r>
          </w:p>
        </w:tc>
        <w:tc>
          <w:tcPr>
            <w:tcW w:w="8680" w:type="dxa"/>
            <w:vAlign w:val="bottom"/>
            <w:gridSpan w:val="3"/>
            <w:vMerge w:val="restart"/>
          </w:tcPr>
          <w:p>
            <w:pPr>
              <w:ind w:left="280"/>
              <w:spacing w:after="0" w:line="81" w:lineRule="exact"/>
              <w:rPr>
                <w:sz w:val="20"/>
                <w:szCs w:val="20"/>
                <w:color w:val="auto"/>
              </w:rPr>
            </w:pPr>
            <w:r>
              <w:rPr>
                <w:rFonts w:ascii="Arial" w:cs="Arial" w:eastAsia="Arial" w:hAnsi="Arial"/>
                <w:sz w:val="9"/>
                <w:szCs w:val="9"/>
                <w:color w:val="FFFFFF"/>
              </w:rPr>
              <w:t>Plan for the Integra Manufacturing Area, states wh n results exceed alert/action limits the user should refer to SOP MB-026, Microbiology Out of</w:t>
            </w:r>
          </w:p>
        </w:tc>
        <w:tc>
          <w:tcPr>
            <w:tcW w:w="0" w:type="dxa"/>
            <w:vAlign w:val="bottom"/>
          </w:tcPr>
          <w:p>
            <w:pPr>
              <w:spacing w:after="0"/>
              <w:rPr>
                <w:sz w:val="1"/>
                <w:szCs w:val="1"/>
                <w:color w:val="auto"/>
              </w:rPr>
            </w:pPr>
          </w:p>
        </w:tc>
      </w:tr>
      <w:tr>
        <w:trPr>
          <w:trHeight w:val="41"/>
        </w:trPr>
        <w:tc>
          <w:tcPr>
            <w:tcW w:w="2720" w:type="dxa"/>
            <w:vAlign w:val="bottom"/>
            <w:gridSpan w:val="3"/>
          </w:tcPr>
          <w:p>
            <w:pPr>
              <w:spacing w:after="0"/>
              <w:rPr>
                <w:sz w:val="20"/>
                <w:szCs w:val="20"/>
                <w:color w:val="auto"/>
              </w:rPr>
            </w:pPr>
            <w:r>
              <w:rPr>
                <w:rFonts w:ascii="Arial" w:cs="Arial" w:eastAsia="Arial" w:hAnsi="Arial"/>
                <w:sz w:val="3"/>
                <w:szCs w:val="3"/>
                <w:color w:val="FFFFFF"/>
              </w:rPr>
              <w:t>a) The procedure SOP 601, Environmental</w:t>
            </w:r>
          </w:p>
        </w:tc>
        <w:tc>
          <w:tcPr>
            <w:tcW w:w="86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Specification</w:t>
            </w:r>
          </w:p>
        </w:tc>
        <w:tc>
          <w:tcPr>
            <w:tcW w:w="1220" w:type="dxa"/>
            <w:vAlign w:val="bottom"/>
          </w:tcPr>
          <w:p>
            <w:pPr>
              <w:spacing w:after="0"/>
              <w:rPr>
                <w:sz w:val="20"/>
                <w:szCs w:val="20"/>
                <w:color w:val="auto"/>
              </w:rPr>
            </w:pPr>
            <w:r>
              <w:rPr>
                <w:rFonts w:ascii="Arial" w:cs="Arial" w:eastAsia="Arial" w:hAnsi="Arial"/>
                <w:sz w:val="3"/>
                <w:szCs w:val="3"/>
                <w:color w:val="FFFFFF"/>
              </w:rPr>
              <w:t>Procedure. According</w:t>
            </w:r>
          </w:p>
        </w:tc>
        <w:tc>
          <w:tcPr>
            <w:tcW w:w="8680" w:type="dxa"/>
            <w:vAlign w:val="bottom"/>
            <w:gridSpan w:val="3"/>
          </w:tcPr>
          <w:p>
            <w:pPr>
              <w:ind w:left="140"/>
              <w:spacing w:after="0"/>
              <w:rPr>
                <w:sz w:val="20"/>
                <w:szCs w:val="20"/>
                <w:color w:val="auto"/>
              </w:rPr>
            </w:pPr>
            <w:r>
              <w:rPr>
                <w:rFonts w:ascii="Arial" w:cs="Arial" w:eastAsia="Arial" w:hAnsi="Arial"/>
                <w:sz w:val="3"/>
                <w:szCs w:val="3"/>
                <w:color w:val="FFFFFF"/>
              </w:rPr>
              <w:t>this procedure when an alert limit is reached, it requires two additional tests be performed and an Alert/Action Notification form be completed. An action</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limit requires Investigationlaboratoryinvestigation (OOS)Monitoringbecompleted and documented. In addition, this procedure states that if either of the additional resample tests exceed the alert or action limit, proceed as per</w:t>
            </w: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action level excursion.</w:t>
            </w: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18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27 cfu/plate for TSA and 8</w:t>
            </w:r>
          </w:p>
        </w:tc>
        <w:tc>
          <w:tcPr>
            <w:tcW w:w="0" w:type="dxa"/>
            <w:vAlign w:val="bottom"/>
          </w:tcPr>
          <w:p>
            <w:pPr>
              <w:spacing w:after="0"/>
              <w:rPr>
                <w:sz w:val="1"/>
                <w:szCs w:val="1"/>
                <w:color w:val="auto"/>
              </w:rPr>
            </w:pPr>
          </w:p>
        </w:tc>
      </w:tr>
      <w:tr>
        <w:trPr>
          <w:trHeight w:val="41"/>
        </w:trPr>
        <w:tc>
          <w:tcPr>
            <w:tcW w:w="9220" w:type="dxa"/>
            <w:vAlign w:val="bottom"/>
            <w:gridSpan w:val="5"/>
          </w:tcPr>
          <w:p>
            <w:pPr>
              <w:spacing w:after="0"/>
              <w:rPr>
                <w:sz w:val="20"/>
                <w:szCs w:val="20"/>
                <w:color w:val="auto"/>
              </w:rPr>
            </w:pPr>
            <w:r>
              <w:rPr>
                <w:rFonts w:ascii="Arial" w:cs="Arial" w:eastAsia="Arial" w:hAnsi="Arial"/>
                <w:sz w:val="3"/>
                <w:szCs w:val="3"/>
                <w:color w:val="FFFFFF"/>
              </w:rPr>
              <w:t>(i) An Alert/Action Notification and  laboratory investigation were not initiated for environmental contact sample for Site# 105-4, ISO class 7 clean room, when on</w:t>
            </w:r>
          </w:p>
        </w:tc>
        <w:tc>
          <w:tcPr>
            <w:tcW w:w="2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cfu/plate for SDA were</w:t>
            </w:r>
          </w:p>
        </w:tc>
        <w:tc>
          <w:tcPr>
            <w:tcW w:w="1220" w:type="dxa"/>
            <w:vAlign w:val="bottom"/>
          </w:tcPr>
          <w:p>
            <w:pPr>
              <w:ind w:left="260"/>
              <w:spacing w:after="0"/>
              <w:rPr>
                <w:sz w:val="20"/>
                <w:szCs w:val="20"/>
                <w:color w:val="auto"/>
              </w:rPr>
            </w:pPr>
            <w:r>
              <w:rPr>
                <w:rFonts w:ascii="Arial" w:cs="Arial" w:eastAsia="Arial" w:hAnsi="Arial"/>
                <w:sz w:val="3"/>
                <w:szCs w:val="3"/>
                <w:color w:val="FFFFFF"/>
              </w:rPr>
              <w:t>. Additionally,</w:t>
            </w:r>
          </w:p>
        </w:tc>
        <w:tc>
          <w:tcPr>
            <w:tcW w:w="8680" w:type="dxa"/>
            <w:vAlign w:val="bottom"/>
            <w:gridSpan w:val="3"/>
          </w:tcPr>
          <w:p>
            <w:pPr>
              <w:ind w:left="20"/>
              <w:spacing w:after="0"/>
              <w:rPr>
                <w:sz w:val="20"/>
                <w:szCs w:val="20"/>
                <w:color w:val="auto"/>
              </w:rPr>
            </w:pPr>
            <w:r>
              <w:rPr>
                <w:rFonts w:ascii="Arial" w:cs="Arial" w:eastAsia="Arial" w:hAnsi="Arial"/>
                <w:sz w:val="3"/>
                <w:szCs w:val="3"/>
                <w:color w:val="FFFFFF"/>
              </w:rPr>
              <w:t>02/24/2012, the environmental contact samples for Site #105-5 was reported as 6 cfu/plate for TSA and for Site #1042/24/2012,-as13 cfu/plate for TSA and no</w:t>
            </w:r>
          </w:p>
        </w:tc>
        <w:tc>
          <w:tcPr>
            <w:tcW w:w="0" w:type="dxa"/>
            <w:vAlign w:val="bottom"/>
          </w:tcPr>
          <w:p>
            <w:pPr>
              <w:spacing w:after="0"/>
              <w:rPr>
                <w:sz w:val="1"/>
                <w:szCs w:val="1"/>
                <w:color w:val="auto"/>
              </w:rPr>
            </w:pPr>
          </w:p>
        </w:tc>
      </w:tr>
      <w:tr>
        <w:trPr>
          <w:trHeight w:val="41"/>
        </w:trPr>
        <w:tc>
          <w:tcPr>
            <w:tcW w:w="9220" w:type="dxa"/>
            <w:vAlign w:val="bottom"/>
            <w:gridSpan w:val="5"/>
          </w:tcPr>
          <w:p>
            <w:pPr>
              <w:spacing w:after="0"/>
              <w:rPr>
                <w:sz w:val="20"/>
                <w:szCs w:val="20"/>
                <w:color w:val="auto"/>
              </w:rPr>
            </w:pPr>
            <w:r>
              <w:rPr>
                <w:rFonts w:ascii="Arial" w:cs="Arial" w:eastAsia="Arial" w:hAnsi="Arial"/>
                <w:sz w:val="3"/>
                <w:szCs w:val="3"/>
                <w:color w:val="FFFFFF"/>
              </w:rPr>
              <w:t>Alert/Action Notificationreportedlaboratory investigation were completed. The alert limit is &gt;3 cfu/plate and the action limit is &gt;5 cfu/plate for ISO class 7 clean rooms.</w:t>
            </w: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(ii) On 4/13/2012, OOS M2012-026 was initiated for environmental contact monitoring action limit excursion for Site# 104-4, floor, front of washer, ISO class 7 clean room, with a result of 18 cfu/plate for SDA</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exceeding the action limit of 10 cfu/plate. Alert/Action Notification forms, AA12-055, AA12-058, and AA12-062 all state further action required is documented on OOS M2012-026; however, this OOS does</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not</w:t>
            </w:r>
          </w:p>
        </w:tc>
        <w:tc>
          <w:tcPr>
            <w:tcW w:w="10780" w:type="dxa"/>
            <w:vAlign w:val="bottom"/>
            <w:gridSpan w:val="5"/>
          </w:tcPr>
          <w:p>
            <w:pPr>
              <w:spacing w:after="0"/>
              <w:rPr>
                <w:sz w:val="20"/>
                <w:szCs w:val="20"/>
                <w:color w:val="auto"/>
              </w:rPr>
            </w:pPr>
            <w:r>
              <w:rPr>
                <w:rFonts w:ascii="Arial" w:cs="Arial" w:eastAsia="Arial" w:hAnsi="Arial"/>
                <w:sz w:val="3"/>
                <w:szCs w:val="3"/>
                <w:color w:val="FFFFFF"/>
              </w:rPr>
              <w:t>to two of the three notifications. Alert/Action Notification AA12-062 exceeded the action limit on 04/03/2012 for Site# C104-4, floor, front of washer, environmental contact monitoring SDA sample</w:t>
            </w:r>
          </w:p>
        </w:tc>
        <w:tc>
          <w:tcPr>
            <w:tcW w:w="0" w:type="dxa"/>
            <w:vAlign w:val="bottom"/>
          </w:tcPr>
          <w:p>
            <w:pPr>
              <w:spacing w:after="0"/>
              <w:rPr>
                <w:sz w:val="1"/>
                <w:szCs w:val="1"/>
                <w:color w:val="auto"/>
              </w:rPr>
            </w:pPr>
          </w:p>
        </w:tc>
      </w:tr>
      <w:tr>
        <w:trPr>
          <w:trHeight w:val="41"/>
        </w:trPr>
        <w:tc>
          <w:tcPr>
            <w:tcW w:w="4420" w:type="dxa"/>
            <w:vAlign w:val="bottom"/>
            <w:gridSpan w:val="4"/>
          </w:tcPr>
          <w:p>
            <w:pPr>
              <w:spacing w:after="0"/>
              <w:rPr>
                <w:sz w:val="20"/>
                <w:szCs w:val="20"/>
                <w:color w:val="auto"/>
              </w:rPr>
            </w:pPr>
            <w:r>
              <w:rPr>
                <w:rFonts w:ascii="Arial" w:cs="Arial" w:eastAsia="Arial" w:hAnsi="Arial"/>
                <w:sz w:val="3"/>
                <w:szCs w:val="3"/>
                <w:color w:val="FFFFFF"/>
              </w:rPr>
              <w:t>withpertaincount of 18 cfu/plate and is related to OOS M2012-026.</w:t>
            </w:r>
          </w:p>
        </w:tc>
        <w:tc>
          <w:tcPr>
            <w:tcW w:w="698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-4, floor, front of washer, ISO class 7 clean room, contact SDA sample was resampled on 3/26/2012 due to an alert limit</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An OOS</w:t>
            </w:r>
          </w:p>
        </w:tc>
        <w:tc>
          <w:tcPr>
            <w:tcW w:w="2100" w:type="dxa"/>
            <w:vAlign w:val="bottom"/>
            <w:gridSpan w:val="2"/>
          </w:tcPr>
          <w:p>
            <w:pPr>
              <w:ind w:left="620"/>
              <w:spacing w:after="0"/>
              <w:rPr>
                <w:sz w:val="20"/>
                <w:szCs w:val="20"/>
                <w:color w:val="auto"/>
              </w:rPr>
            </w:pPr>
            <w:r>
              <w:rPr>
                <w:rFonts w:ascii="Arial" w:cs="Arial" w:eastAsia="Arial" w:hAnsi="Arial"/>
                <w:sz w:val="3"/>
                <w:szCs w:val="3"/>
                <w:color w:val="FFFFFF"/>
              </w:rPr>
              <w:t>Report Form was not</w:t>
            </w:r>
          </w:p>
        </w:tc>
        <w:tc>
          <w:tcPr>
            <w:tcW w:w="1700" w:type="dxa"/>
            <w:vAlign w:val="bottom"/>
          </w:tcPr>
          <w:p>
            <w:pPr>
              <w:ind w:left="140"/>
              <w:spacing w:after="0"/>
              <w:rPr>
                <w:sz w:val="20"/>
                <w:szCs w:val="20"/>
                <w:color w:val="auto"/>
              </w:rPr>
            </w:pPr>
            <w:r>
              <w:rPr>
                <w:rFonts w:ascii="Arial" w:cs="Arial" w:eastAsia="Arial" w:hAnsi="Arial"/>
                <w:sz w:val="3"/>
                <w:szCs w:val="3"/>
                <w:color w:val="FFFFFF"/>
              </w:rPr>
              <w:t>for AA12-055 when Site#</w:t>
            </w:r>
          </w:p>
        </w:tc>
        <w:tc>
          <w:tcPr>
            <w:tcW w:w="6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20" w:type="dxa"/>
            <w:vAlign w:val="bottom"/>
          </w:tcPr>
          <w:p>
            <w:pPr>
              <w:spacing w:after="0" w:line="121" w:lineRule="exact"/>
              <w:rPr>
                <w:sz w:val="20"/>
                <w:szCs w:val="20"/>
                <w:color w:val="auto"/>
              </w:rPr>
            </w:pPr>
            <w:r>
              <w:rPr>
                <w:rFonts w:ascii="Arial" w:cs="Arial" w:eastAsia="Arial" w:hAnsi="Arial"/>
                <w:sz w:val="12"/>
                <w:szCs w:val="12"/>
                <w:color w:val="FFFFFF"/>
              </w:rPr>
              <w:t>excursion</w:t>
            </w:r>
          </w:p>
        </w:tc>
        <w:tc>
          <w:tcPr>
            <w:tcW w:w="2100" w:type="dxa"/>
            <w:vAlign w:val="bottom"/>
            <w:gridSpan w:val="2"/>
          </w:tcPr>
          <w:p>
            <w:pPr>
              <w:ind w:left="120"/>
              <w:spacing w:after="0" w:line="121" w:lineRule="exact"/>
              <w:rPr>
                <w:sz w:val="20"/>
                <w:szCs w:val="20"/>
                <w:color w:val="auto"/>
              </w:rPr>
            </w:pPr>
            <w:r>
              <w:rPr>
                <w:rFonts w:ascii="Arial" w:cs="Arial" w:eastAsia="Arial" w:hAnsi="Arial"/>
                <w:sz w:val="12"/>
                <w:szCs w:val="12"/>
                <w:color w:val="FFFFFF"/>
              </w:rPr>
              <w:t>03/20/2012. The SDA plate resampl</w:t>
            </w:r>
          </w:p>
        </w:tc>
        <w:tc>
          <w:tcPr>
            <w:tcW w:w="6500" w:type="dxa"/>
            <w:vAlign w:val="bottom"/>
            <w:gridSpan w:val="2"/>
          </w:tcPr>
          <w:p>
            <w:pPr>
              <w:ind w:left="140"/>
              <w:spacing w:after="0" w:line="121" w:lineRule="exact"/>
              <w:rPr>
                <w:sz w:val="20"/>
                <w:szCs w:val="20"/>
                <w:color w:val="auto"/>
              </w:rPr>
            </w:pPr>
            <w:r>
              <w:rPr>
                <w:rFonts w:ascii="Arial" w:cs="Arial" w:eastAsia="Arial" w:hAnsi="Arial"/>
                <w:sz w:val="12"/>
                <w:szCs w:val="12"/>
                <w:color w:val="FFFFFF"/>
              </w:rPr>
              <w:t>exceeded the action limit ofC104cfu/plate with a result of 16 cfu/plate on 04/02/2012.</w:t>
            </w: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 xml:space="preserve">An OOS Investigation Report Form was not created for AA12-058, </w:t>
      </w:r>
      <w:r>
        <w:rPr>
          <w:rFonts w:ascii="Arial" w:cs="Arial" w:eastAsia="Arial" w:hAnsi="Arial"/>
          <w:sz w:val="1"/>
          <w:szCs w:val="1"/>
          <w:color w:val="FFFFFF"/>
          <w:vertAlign w:val="subscript"/>
        </w:rPr>
        <w:t>cfu/plate</w:t>
      </w:r>
      <w:r>
        <w:rPr>
          <w:rFonts w:ascii="Arial" w:cs="Arial" w:eastAsia="Arial" w:hAnsi="Arial"/>
          <w:sz w:val="1"/>
          <w:szCs w:val="1"/>
          <w:color w:val="FFFFFF"/>
        </w:rPr>
        <w:t>whenSite# C104-4, floor front of washer, contact TSA sample was resampled on 03/30/2012 due to an alert limit excursion on 03/28/2012.</w:t>
      </w:r>
    </w:p>
    <w:p>
      <w:pPr>
        <w:spacing w:after="0"/>
        <w:tabs>
          <w:tab w:leader="none" w:pos="4140" w:val="left"/>
        </w:tabs>
        <w:rPr>
          <w:sz w:val="20"/>
          <w:szCs w:val="20"/>
          <w:color w:val="auto"/>
        </w:rPr>
      </w:pPr>
      <w:r>
        <w:rPr>
          <w:rFonts w:ascii="Arial" w:cs="Arial" w:eastAsia="Arial" w:hAnsi="Arial"/>
          <w:sz w:val="3"/>
          <w:szCs w:val="3"/>
          <w:color w:val="FFFFFF"/>
        </w:rPr>
        <w:t>The resampled TSA plate collected exceeded the action limit of 10</w:t>
      </w:r>
      <w:r>
        <w:rPr>
          <w:sz w:val="20"/>
          <w:szCs w:val="20"/>
          <w:color w:val="auto"/>
        </w:rPr>
        <w:tab/>
      </w:r>
      <w:r>
        <w:rPr>
          <w:rFonts w:ascii="Arial" w:cs="Arial" w:eastAsia="Arial" w:hAnsi="Arial"/>
          <w:sz w:val="3"/>
          <w:szCs w:val="3"/>
          <w:color w:val="FFFFFF"/>
        </w:rPr>
        <w:t>with a result of 25 cfu/plate on 04/03/2012.</w:t>
      </w:r>
    </w:p>
    <w:p>
      <w:pPr>
        <w:spacing w:after="0" w:line="6" w:lineRule="exact"/>
        <w:rPr>
          <w:sz w:val="20"/>
          <w:szCs w:val="20"/>
          <w:color w:val="auto"/>
        </w:rPr>
      </w:pPr>
    </w:p>
    <w:p>
      <w:pPr>
        <w:jc w:val="both"/>
        <w:ind w:right="20"/>
        <w:spacing w:after="0"/>
        <w:rPr>
          <w:sz w:val="20"/>
          <w:szCs w:val="20"/>
          <w:color w:val="auto"/>
        </w:rPr>
      </w:pPr>
      <w:r>
        <w:rPr>
          <w:rFonts w:ascii="Arial" w:cs="Arial" w:eastAsia="Arial" w:hAnsi="Arial"/>
          <w:sz w:val="6"/>
          <w:szCs w:val="6"/>
          <w:color w:val="FFFFFF"/>
        </w:rPr>
        <w:t>b) The procedure SOP G-523, Microbiological Monitoring of the Medical Products Manufacturing Clean Areas, states when results exceed alert/action limits the user should refer to SOP MB-026, Microbiology Out of Specification Investigation Procedure. According to this procedure in Section 5.1.1 “For all results exceeding the alert limit, fill out and follow the instructions in Attachment 14.”</w:t>
      </w:r>
    </w:p>
    <w:p>
      <w:pPr>
        <w:spacing w:after="0" w:line="12" w:lineRule="exact"/>
        <w:rPr>
          <w:sz w:val="20"/>
          <w:szCs w:val="20"/>
          <w:color w:val="auto"/>
        </w:rPr>
      </w:pPr>
    </w:p>
    <w:p>
      <w:pPr>
        <w:ind w:right="60"/>
        <w:spacing w:after="0" w:line="187" w:lineRule="auto"/>
        <w:rPr>
          <w:sz w:val="20"/>
          <w:szCs w:val="20"/>
          <w:color w:val="auto"/>
        </w:rPr>
      </w:pPr>
      <w:r>
        <w:rPr>
          <w:rFonts w:ascii="Arial" w:cs="Arial" w:eastAsia="Arial" w:hAnsi="Arial"/>
          <w:sz w:val="7"/>
          <w:szCs w:val="7"/>
          <w:color w:val="FFFFFF"/>
        </w:rPr>
        <w:t>(i) An Alert/Action Notification was not initiated for environmental contact sample at Site# 407-</w:t>
      </w:r>
      <w:r>
        <w:rPr>
          <w:rFonts w:ascii="Arial" w:cs="Arial" w:eastAsia="Arial" w:hAnsi="Arial"/>
          <w:sz w:val="9"/>
          <w:szCs w:val="9"/>
          <w:color w:val="FFFFFF"/>
          <w:vertAlign w:val="superscript"/>
        </w:rPr>
        <w:t>9,</w:t>
      </w:r>
      <w:r>
        <w:rPr>
          <w:rFonts w:ascii="Arial" w:cs="Arial" w:eastAsia="Arial" w:hAnsi="Arial"/>
          <w:sz w:val="7"/>
          <w:szCs w:val="7"/>
          <w:color w:val="FFFFFF"/>
        </w:rPr>
        <w:t xml:space="preserve"> within the Dispersion Prep Room specifically on the table, with scale. Site# 407-9 was sampled on 05/04/2012 and on 05/07/2012 the TSA plate count was reported as 7 cfu/plate. The alert limit for Site# 407- is 6 cfu/plate.</w:t>
      </w:r>
    </w:p>
    <w:p>
      <w:pPr>
        <w:spacing w:after="0" w:line="188" w:lineRule="auto"/>
        <w:rPr>
          <w:sz w:val="20"/>
          <w:szCs w:val="20"/>
          <w:color w:val="auto"/>
        </w:rPr>
      </w:pPr>
      <w:r>
        <w:rPr>
          <w:rFonts w:ascii="Arial" w:cs="Arial" w:eastAsia="Arial" w:hAnsi="Arial"/>
          <w:sz w:val="9"/>
          <w:szCs w:val="9"/>
          <w:color w:val="FFFFFF"/>
        </w:rPr>
        <w:t>SEE REVERSE OF THIS PAGE</w:t>
      </w:r>
    </w:p>
    <w:p>
      <w:pPr>
        <w:spacing w:after="0" w:line="188" w:lineRule="auto"/>
        <w:rPr>
          <w:sz w:val="20"/>
          <w:szCs w:val="20"/>
          <w:color w:val="auto"/>
        </w:rPr>
      </w:pPr>
      <w:r>
        <w:rPr>
          <w:rFonts w:ascii="Arial" w:cs="Arial" w:eastAsia="Arial" w:hAnsi="Arial"/>
          <w:sz w:val="7"/>
          <w:szCs w:val="7"/>
          <w:color w:val="FFFFFF"/>
        </w:rPr>
        <w:t>Lo</w:t>
      </w:r>
      <w:r>
        <w:rPr>
          <w:rFonts w:ascii="Arial" w:cs="Arial" w:eastAsia="Arial" w:hAnsi="Arial"/>
          <w:sz w:val="9"/>
          <w:szCs w:val="9"/>
          <w:color w:val="FFFFFF"/>
          <w:vertAlign w:val="superscript"/>
        </w:rPr>
        <w:t>Barbara</w:t>
      </w:r>
      <w:r>
        <w:rPr>
          <w:rFonts w:ascii="Arial" w:cs="Arial" w:eastAsia="Arial" w:hAnsi="Arial"/>
          <w:sz w:val="7"/>
          <w:szCs w:val="7"/>
          <w:color w:val="FFFFFF"/>
        </w:rPr>
        <w:t>EMPLOYEE(S)ettaNemchik,SIGNATUREInvestigator</w:t>
      </w:r>
    </w:p>
    <w:p>
      <w:pPr>
        <w:spacing w:after="0" w:line="188" w:lineRule="auto"/>
        <w:rPr>
          <w:sz w:val="20"/>
          <w:szCs w:val="20"/>
          <w:color w:val="auto"/>
        </w:rPr>
      </w:pPr>
      <w:r>
        <w:rPr>
          <w:rFonts w:ascii="Arial" w:cs="Arial" w:eastAsia="Arial" w:hAnsi="Arial"/>
          <w:sz w:val="9"/>
          <w:szCs w:val="9"/>
          <w:color w:val="FFFFFF"/>
        </w:rPr>
        <w:t>MeredithJ.L.WilimczykSheridan,-Macri,InvestigatorInvestigator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line="188" w:lineRule="auto"/>
        <w:rPr>
          <w:sz w:val="20"/>
          <w:szCs w:val="20"/>
          <w:color w:val="auto"/>
        </w:rPr>
      </w:pPr>
      <w:r>
        <w:rPr>
          <w:rFonts w:ascii="Arial" w:cs="Arial" w:eastAsia="Arial" w:hAnsi="Arial"/>
          <w:sz w:val="9"/>
          <w:szCs w:val="9"/>
          <w:color w:val="FFFFFF"/>
        </w:rPr>
        <w:t>PREVIOUS EDITION OBSOLETE</w:t>
      </w:r>
    </w:p>
    <w:p>
      <w:pPr>
        <w:spacing w:after="0" w:line="185" w:lineRule="auto"/>
        <w:rPr>
          <w:sz w:val="20"/>
          <w:szCs w:val="20"/>
          <w:color w:val="auto"/>
        </w:rPr>
      </w:pPr>
      <w:r>
        <w:rPr>
          <w:rFonts w:ascii="Arial" w:cs="Arial" w:eastAsia="Arial" w:hAnsi="Arial"/>
          <w:sz w:val="18"/>
          <w:szCs w:val="18"/>
          <w:color w:val="FFFFFF"/>
          <w:vertAlign w:val="subscript"/>
        </w:rPr>
        <w:t>INSPECTIONAL</w:t>
      </w:r>
      <w:r>
        <w:rPr>
          <w:rFonts w:ascii="Arial" w:cs="Arial" w:eastAsia="Arial" w:hAnsi="Arial"/>
          <w:sz w:val="10"/>
          <w:szCs w:val="10"/>
          <w:color w:val="FFFFFF"/>
        </w:rPr>
        <w:t>AGE3OF7AGESOBSERVATIONS</w:t>
      </w:r>
    </w:p>
    <w:p>
      <w:pPr>
        <w:sectPr>
          <w:pgSz w:w="11900" w:h="16838" w:orient="portrait"/>
          <w:cols w:equalWidth="0" w:num="1">
            <w:col w:w="11400"/>
          </w:cols>
          <w:pgMar w:left="240" w:top="1440" w:right="2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FFFFFF"/>
              </w:rPr>
              <w:t>DEPARTMENT OF HEALTH AND HUMAN SERVICES</w:t>
            </w:r>
          </w:p>
        </w:tc>
        <w:tc>
          <w:tcPr>
            <w:tcW w:w="7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FOOD AND DRUG ADMINISTRATION</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DISTRICT ADDRESS AND PHONE NUMBER</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10 Waterview Blvd., 3rd Floor</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Parsippany, NJ 07054</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(973) 331-4900 Fax: (973) 331-4969</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Industry Information: www.fda.gov/oc/industry</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DATE(S) OF INSPECTION</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06/12/2012 - 07/30/2012*</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FEI NUMBER</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1121308</w:t>
            </w:r>
          </w:p>
        </w:tc>
        <w:tc>
          <w:tcPr>
            <w:tcW w:w="2500" w:type="dxa"/>
            <w:vAlign w:val="bottom"/>
            <w:vMerge w:val="restart"/>
          </w:tcPr>
          <w:p>
            <w:pPr>
              <w:ind w:left="700"/>
              <w:spacing w:after="0" w:line="81" w:lineRule="exact"/>
              <w:rPr>
                <w:sz w:val="20"/>
                <w:szCs w:val="20"/>
                <w:color w:val="auto"/>
              </w:rPr>
            </w:pPr>
            <w:r>
              <w:rPr>
                <w:rFonts w:ascii="Arial" w:cs="Arial" w:eastAsia="Arial" w:hAnsi="Arial"/>
                <w:sz w:val="9"/>
                <w:szCs w:val="9"/>
                <w:color w:val="FFFFFF"/>
              </w:rPr>
              <w:t>TO WHOM REPORT ISSUED</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NAME AND TITLE OF</w:t>
            </w:r>
          </w:p>
        </w:tc>
        <w:tc>
          <w:tcPr>
            <w:tcW w:w="2500" w:type="dxa"/>
            <w:vAlign w:val="bottom"/>
            <w:vMerge w:val="continue"/>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FIRM NAME</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Integra LifeSciences Corporation</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STREET ADDRESS</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105 Morgan Ln</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CITY STATE, ZIP CODE, COUNTRY</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Plainsboro, NJ 08536-3339</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TYPE ESTABLISHMENT INSPECTED</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20" w:type="dxa"/>
            <w:vAlign w:val="bottom"/>
            <w:gridSpan w:val="2"/>
          </w:tcPr>
          <w:p>
            <w:pPr>
              <w:spacing w:after="0"/>
              <w:rPr>
                <w:sz w:val="20"/>
                <w:szCs w:val="20"/>
                <w:color w:val="auto"/>
              </w:rPr>
            </w:pPr>
            <w:r>
              <w:rPr>
                <w:rFonts w:ascii="Arial" w:cs="Arial" w:eastAsia="Arial" w:hAnsi="Arial"/>
                <w:sz w:val="3"/>
                <w:szCs w:val="3"/>
                <w:color w:val="FFFFFF"/>
              </w:rPr>
              <w:t>Medical Device Manufacturer</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ind w:left="440"/>
              <w:spacing w:after="0"/>
              <w:rPr>
                <w:sz w:val="20"/>
                <w:szCs w:val="20"/>
                <w:color w:val="auto"/>
              </w:rPr>
            </w:pPr>
            <w:r>
              <w:rPr>
                <w:rFonts w:ascii="Arial" w:cs="Arial" w:eastAsia="Arial" w:hAnsi="Arial"/>
                <w:sz w:val="3"/>
                <w:szCs w:val="3"/>
                <w:color w:val="FFFFFF"/>
              </w:rPr>
              <w:t>VATION 4</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OBSERftware used as part of the quality system has not been adequately validated for its intended use according to an established protocol.</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For example -</w:t>
            </w:r>
          </w:p>
        </w:tc>
        <w:tc>
          <w:tcPr>
            <w:tcW w:w="25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 The TrackWise software has not been adequately validated for its ability to identify MDRs that have blank or incomplete MDR decision trees 20, 25 and 27 days or more from the MDR awareness date 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MDRs that have not been filed 20, 25 and 27 days or more from the MDR awareness date. TrackWise has been used for this function since approximately December 2011.</w:t>
            </w:r>
          </w:p>
        </w:tc>
        <w:tc>
          <w:tcPr>
            <w:tcW w:w="0" w:type="dxa"/>
            <w:vAlign w:val="bottom"/>
          </w:tcPr>
          <w:p>
            <w:pPr>
              <w:spacing w:after="0"/>
              <w:rPr>
                <w:sz w:val="1"/>
                <w:szCs w:val="1"/>
                <w:color w:val="auto"/>
              </w:rPr>
            </w:pPr>
          </w:p>
        </w:tc>
      </w:tr>
      <w:tr>
        <w:trPr>
          <w:trHeight w:val="0"/>
        </w:trPr>
        <w:tc>
          <w:tcPr>
            <w:tcW w:w="1520" w:type="dxa"/>
            <w:vAlign w:val="bottom"/>
          </w:tcPr>
          <w:p>
            <w:pPr>
              <w:spacing w:after="0" w:line="80" w:lineRule="exact"/>
              <w:rPr>
                <w:sz w:val="20"/>
                <w:szCs w:val="20"/>
                <w:color w:val="auto"/>
              </w:rPr>
            </w:pPr>
            <w:r>
              <w:rPr>
                <w:rFonts w:ascii="Arial" w:cs="Arial" w:eastAsia="Arial" w:hAnsi="Arial"/>
                <w:sz w:val="9"/>
                <w:szCs w:val="9"/>
                <w:color w:val="FFFFFF"/>
              </w:rPr>
              <w:t>b) According to your firm’</w:t>
            </w:r>
          </w:p>
        </w:tc>
        <w:tc>
          <w:tcPr>
            <w:tcW w:w="2500" w:type="dxa"/>
            <w:vAlign w:val="bottom"/>
          </w:tcPr>
          <w:p>
            <w:pPr>
              <w:ind w:left="20"/>
              <w:spacing w:after="0" w:line="80" w:lineRule="exact"/>
              <w:rPr>
                <w:sz w:val="20"/>
                <w:szCs w:val="20"/>
                <w:color w:val="auto"/>
              </w:rPr>
            </w:pPr>
            <w:r>
              <w:rPr>
                <w:rFonts w:ascii="Arial" w:cs="Arial" w:eastAsia="Arial" w:hAnsi="Arial"/>
                <w:sz w:val="9"/>
                <w:szCs w:val="9"/>
                <w:color w:val="FFFFFF"/>
              </w:rPr>
              <w:t>procedure, G-539 “Event and</w:t>
            </w:r>
          </w:p>
        </w:tc>
        <w:tc>
          <w:tcPr>
            <w:tcW w:w="7340" w:type="dxa"/>
            <w:vAlign w:val="bottom"/>
          </w:tcPr>
          <w:p>
            <w:pPr>
              <w:ind w:left="100"/>
              <w:spacing w:after="0" w:line="80" w:lineRule="exact"/>
              <w:rPr>
                <w:sz w:val="20"/>
                <w:szCs w:val="20"/>
                <w:color w:val="auto"/>
              </w:rPr>
            </w:pPr>
            <w:r>
              <w:rPr>
                <w:rFonts w:ascii="Arial" w:cs="Arial" w:eastAsia="Arial" w:hAnsi="Arial"/>
                <w:sz w:val="9"/>
                <w:szCs w:val="9"/>
                <w:color w:val="FFFFFF"/>
              </w:rPr>
              <w:t>Investigation Processes” Rev.22, your firm assigns Event and Nonconformance identification numbers sequentially according to  log</w:t>
            </w:r>
          </w:p>
        </w:tc>
        <w:tc>
          <w:tcPr>
            <w:tcW w:w="0" w:type="dxa"/>
            <w:vAlign w:val="bottom"/>
          </w:tcPr>
          <w:p>
            <w:pPr>
              <w:spacing w:after="0" w:line="20" w:lineRule="exact"/>
              <w:rPr>
                <w:sz w:val="1"/>
                <w:szCs w:val="1"/>
                <w:color w:val="auto"/>
              </w:rPr>
            </w:pPr>
          </w:p>
        </w:tc>
      </w:tr>
    </w:tbl>
    <w:p>
      <w:pPr>
        <w:ind w:right="140"/>
        <w:spacing w:after="0" w:line="576" w:lineRule="auto"/>
        <w:rPr>
          <w:sz w:val="20"/>
          <w:szCs w:val="20"/>
          <w:color w:val="auto"/>
        </w:rPr>
      </w:pPr>
      <w:r>
        <w:rPr>
          <w:rFonts w:ascii="Arial" w:cs="Arial" w:eastAsia="Arial" w:hAnsi="Arial"/>
          <w:sz w:val="14"/>
          <w:szCs w:val="14"/>
          <w:color w:val="FFFFFF"/>
        </w:rPr>
        <w:t>maintained by Quality Assurance. Currently, your firm usesNonconformanceExcelspreadsheet to track and maintain the assignment of these identification numbers. Your firm was unable to provide any documentation that this spreadsheet</w:t>
      </w:r>
      <w:r>
        <w:rPr>
          <w:rFonts w:ascii="Arial" w:cs="Arial" w:eastAsia="Arial" w:hAnsi="Arial"/>
          <w:sz w:val="27"/>
          <w:szCs w:val="27"/>
          <w:color w:val="FFFFFF"/>
          <w:vertAlign w:val="subscript"/>
        </w:rPr>
        <w:t>Controls</w:t>
      </w:r>
      <w:r>
        <w:rPr>
          <w:rFonts w:ascii="Arial" w:cs="Arial" w:eastAsia="Arial" w:hAnsi="Arial"/>
          <w:sz w:val="14"/>
          <w:szCs w:val="14"/>
          <w:color w:val="FFFFFF"/>
        </w:rPr>
        <w:t>iscontrolled and validated for its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FFFFFF"/>
        </w:rPr>
        <w:t>Document</w:t>
      </w:r>
    </w:p>
    <w:p>
      <w:pPr>
        <w:spacing w:after="0"/>
        <w:rPr>
          <w:sz w:val="20"/>
          <w:szCs w:val="20"/>
          <w:color w:val="auto"/>
        </w:rPr>
      </w:pPr>
      <w:r>
        <w:rPr>
          <w:rFonts w:ascii="Arial" w:cs="Arial" w:eastAsia="Arial" w:hAnsi="Arial"/>
          <w:sz w:val="3"/>
          <w:szCs w:val="3"/>
          <w:color w:val="FFFFFF"/>
        </w:rPr>
        <w:t>OBSERVATION 5</w:t>
      </w:r>
    </w:p>
    <w:p>
      <w:pPr>
        <w:spacing w:after="0" w:line="194" w:lineRule="auto"/>
        <w:rPr>
          <w:sz w:val="20"/>
          <w:szCs w:val="20"/>
          <w:color w:val="auto"/>
        </w:rPr>
      </w:pPr>
      <w:r>
        <w:rPr>
          <w:rFonts w:ascii="Arial" w:cs="Arial" w:eastAsia="Arial" w:hAnsi="Arial"/>
          <w:sz w:val="5"/>
          <w:szCs w:val="5"/>
          <w:color w:val="FFFFFF"/>
        </w:rPr>
        <w:t>Document control procedures have not been adequately established. For example -</w:t>
      </w:r>
    </w:p>
    <w:p>
      <w:pPr>
        <w:spacing w:after="0" w:line="181" w:lineRule="auto"/>
        <w:rPr>
          <w:sz w:val="20"/>
          <w:szCs w:val="20"/>
          <w:color w:val="auto"/>
        </w:rPr>
      </w:pPr>
      <w:r>
        <w:rPr>
          <w:rFonts w:ascii="Arial" w:cs="Arial" w:eastAsia="Arial" w:hAnsi="Arial"/>
          <w:sz w:val="7"/>
          <w:szCs w:val="7"/>
          <w:color w:val="FFFFFF"/>
        </w:rPr>
        <w:t>a) Microbiology laboratory notebooks are not adequately maintained and controlled. As per SOP MB-024, Microbiology Notebook, Revision 6, Effective 03/01/2011, the Microbiology Supervisor or Senior Microbiologist issue notebooks by obtaining the notebook number from the K Drive, printing the pertinent forms, binding the notebook, and then stamping page numbers. There is no oversight for the laboratory notebooks created or maintained by the microbiology laboratory to ensure the regeneration of forms and/or notebooks are prevented.</w:t>
      </w:r>
    </w:p>
    <w:p>
      <w:pPr>
        <w:spacing w:after="0" w:line="212" w:lineRule="auto"/>
        <w:rPr>
          <w:sz w:val="20"/>
          <w:szCs w:val="20"/>
          <w:color w:val="auto"/>
        </w:rPr>
      </w:pPr>
      <w:r>
        <w:rPr>
          <w:rFonts w:ascii="Arial" w:cs="Arial" w:eastAsia="Arial" w:hAnsi="Arial"/>
          <w:sz w:val="2"/>
          <w:szCs w:val="2"/>
          <w:color w:val="FFFFFF"/>
        </w:rPr>
        <w:t xml:space="preserve">b) Your firm’s review of SOP G-523, Microbiological Monitoring of the Medical Products Manufacturing Clean Areas, Revision 32, Effective 10/21/2011 was inadequate because there was </w:t>
      </w:r>
      <w:r>
        <w:rPr>
          <w:rFonts w:ascii="Arial" w:cs="Arial" w:eastAsia="Arial" w:hAnsi="Arial"/>
          <w:sz w:val="4"/>
          <w:szCs w:val="4"/>
          <w:color w:val="FFFFFF"/>
          <w:vertAlign w:val="superscript"/>
        </w:rPr>
        <w:t>and</w:t>
      </w:r>
      <w:r>
        <w:rPr>
          <w:rFonts w:ascii="Arial" w:cs="Arial" w:eastAsia="Arial" w:hAnsi="Arial"/>
          <w:sz w:val="2"/>
          <w:szCs w:val="2"/>
          <w:color w:val="FFFFFF"/>
        </w:rPr>
        <w:t>failure to identify a</w:t>
      </w:r>
    </w:p>
    <w:p>
      <w:pPr>
        <w:ind w:right="100"/>
        <w:spacing w:after="0"/>
        <w:rPr>
          <w:sz w:val="20"/>
          <w:szCs w:val="20"/>
          <w:color w:val="auto"/>
        </w:rPr>
      </w:pPr>
      <w:r>
        <w:rPr>
          <w:rFonts w:ascii="Arial" w:cs="Arial" w:eastAsia="Arial" w:hAnsi="Arial"/>
          <w:sz w:val="6"/>
          <w:szCs w:val="6"/>
          <w:color w:val="FFFFFF"/>
        </w:rPr>
        <w:t>discrepancy between the sampling locations on form G-523B and the key for the map on Attachment 1 within the procedure. The following table identifies the difference for the site number what is written on the attachment and form. Additionally, there is no assurance as to which document the microbiology personnel utilized for instruction during environmental sampling.</w:t>
      </w:r>
    </w:p>
    <w:p>
      <w:pPr>
        <w:spacing w:after="0" w:line="194" w:lineRule="auto"/>
        <w:rPr>
          <w:sz w:val="20"/>
          <w:szCs w:val="20"/>
          <w:color w:val="auto"/>
        </w:rPr>
      </w:pPr>
      <w:r>
        <w:rPr>
          <w:rFonts w:ascii="Arial" w:cs="Arial" w:eastAsia="Arial" w:hAnsi="Arial"/>
          <w:sz w:val="10"/>
          <w:szCs w:val="10"/>
          <w:color w:val="FFFFFF"/>
        </w:rPr>
        <w:t>Site#</w:t>
      </w:r>
    </w:p>
    <w:p>
      <w:pPr>
        <w:spacing w:after="0"/>
        <w:rPr>
          <w:sz w:val="20"/>
          <w:szCs w:val="20"/>
          <w:color w:val="auto"/>
        </w:rPr>
      </w:pPr>
      <w:r>
        <w:rPr>
          <w:rFonts w:ascii="Arial" w:cs="Arial" w:eastAsia="Arial" w:hAnsi="Arial"/>
          <w:sz w:val="3"/>
          <w:szCs w:val="3"/>
          <w:color w:val="FFFFFF"/>
        </w:rPr>
        <w:t>AttachmentFormG-523B1 Key</w:t>
      </w:r>
    </w:p>
    <w:p>
      <w:pPr>
        <w:spacing w:after="0" w:line="181" w:lineRule="auto"/>
        <w:rPr>
          <w:sz w:val="20"/>
          <w:szCs w:val="20"/>
          <w:color w:val="auto"/>
        </w:rPr>
      </w:pPr>
      <w:r>
        <w:rPr>
          <w:rFonts w:ascii="Arial" w:cs="Arial" w:eastAsia="Arial" w:hAnsi="Arial"/>
          <w:sz w:val="10"/>
          <w:szCs w:val="10"/>
          <w:color w:val="FFFFFF"/>
        </w:rPr>
        <w:t>SEE REVERSE OF THIS PAGE</w:t>
      </w:r>
    </w:p>
    <w:p>
      <w:pPr>
        <w:spacing w:after="0" w:line="188" w:lineRule="auto"/>
        <w:rPr>
          <w:sz w:val="20"/>
          <w:szCs w:val="20"/>
          <w:color w:val="auto"/>
        </w:rPr>
      </w:pPr>
      <w:r>
        <w:rPr>
          <w:rFonts w:ascii="Arial" w:cs="Arial" w:eastAsia="Arial" w:hAnsi="Arial"/>
          <w:sz w:val="7"/>
          <w:szCs w:val="7"/>
          <w:color w:val="FFFFFF"/>
        </w:rPr>
        <w:t>Lo</w:t>
      </w:r>
      <w:r>
        <w:rPr>
          <w:rFonts w:ascii="Arial" w:cs="Arial" w:eastAsia="Arial" w:hAnsi="Arial"/>
          <w:sz w:val="9"/>
          <w:szCs w:val="9"/>
          <w:color w:val="FFFFFF"/>
          <w:vertAlign w:val="superscript"/>
        </w:rPr>
        <w:t>Barbara</w:t>
      </w:r>
      <w:r>
        <w:rPr>
          <w:rFonts w:ascii="Arial" w:cs="Arial" w:eastAsia="Arial" w:hAnsi="Arial"/>
          <w:sz w:val="7"/>
          <w:szCs w:val="7"/>
          <w:color w:val="FFFFFF"/>
        </w:rPr>
        <w:t>EMPLOYEE(S)ettaNemchik,SIGNATUREInvestigator</w:t>
      </w:r>
    </w:p>
    <w:p>
      <w:pPr>
        <w:spacing w:after="0" w:line="188" w:lineRule="auto"/>
        <w:rPr>
          <w:sz w:val="20"/>
          <w:szCs w:val="20"/>
          <w:color w:val="auto"/>
        </w:rPr>
      </w:pPr>
      <w:r>
        <w:rPr>
          <w:rFonts w:ascii="Arial" w:cs="Arial" w:eastAsia="Arial" w:hAnsi="Arial"/>
          <w:sz w:val="9"/>
          <w:szCs w:val="9"/>
          <w:color w:val="FFFFFF"/>
        </w:rPr>
        <w:t>MeredithJ.L.WilimczykSheridan,-Macri,InvestigatorInvestigator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line="188" w:lineRule="auto"/>
        <w:rPr>
          <w:sz w:val="20"/>
          <w:szCs w:val="20"/>
          <w:color w:val="auto"/>
        </w:rPr>
      </w:pPr>
      <w:r>
        <w:rPr>
          <w:rFonts w:ascii="Arial" w:cs="Arial" w:eastAsia="Arial" w:hAnsi="Arial"/>
          <w:sz w:val="9"/>
          <w:szCs w:val="9"/>
          <w:color w:val="FFFFFF"/>
        </w:rPr>
        <w:t>PREVIOUS EDITION OBSOLETE</w:t>
      </w:r>
    </w:p>
    <w:p>
      <w:pPr>
        <w:spacing w:after="0" w:line="185" w:lineRule="auto"/>
        <w:rPr>
          <w:sz w:val="20"/>
          <w:szCs w:val="20"/>
          <w:color w:val="auto"/>
        </w:rPr>
      </w:pPr>
      <w:r>
        <w:rPr>
          <w:rFonts w:ascii="Arial" w:cs="Arial" w:eastAsia="Arial" w:hAnsi="Arial"/>
          <w:sz w:val="18"/>
          <w:szCs w:val="18"/>
          <w:color w:val="FFFFFF"/>
          <w:vertAlign w:val="subscript"/>
        </w:rPr>
        <w:t>INSPECTIONAL</w:t>
      </w:r>
      <w:r>
        <w:rPr>
          <w:rFonts w:ascii="Arial" w:cs="Arial" w:eastAsia="Arial" w:hAnsi="Arial"/>
          <w:sz w:val="10"/>
          <w:szCs w:val="10"/>
          <w:color w:val="FFFFFF"/>
        </w:rPr>
        <w:t>AGE4OF7AGESOBSERVATIONS</w:t>
      </w:r>
    </w:p>
    <w:p>
      <w:pPr>
        <w:sectPr>
          <w:pgSz w:w="11900" w:h="16838" w:orient="portrait"/>
          <w:cols w:equalWidth="0" w:num="1">
            <w:col w:w="11380"/>
          </w:cols>
          <w:pgMar w:left="240" w:top="1440" w:right="27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color w:val="FFFFFF"/>
              </w:rPr>
              <w:t>DEPARTMENT OF HEALTH AND HUMAN SERVICES</w:t>
            </w:r>
          </w:p>
        </w:tc>
        <w:tc>
          <w:tcPr>
            <w:tcW w:w="7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FOOD AND DRUG ADMINISTRATION</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DISTRICT ADDRESS AND PHONE NUMBER</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10 Waterview Blvd., 3rd Floor</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Parsippany, NJ 07054</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(973) 331-4900 Fax: (973) 331-4969</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Industry Information: www.fda.gov/oc/industry</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DATE(S) OF INSPECTION</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06/12/2012 - 07/30/2012*</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FEI NUMBER</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1121308</w:t>
            </w:r>
          </w:p>
        </w:tc>
        <w:tc>
          <w:tcPr>
            <w:tcW w:w="17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TO WHOM REPORT ISSUED</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NAME AND TITLE OF</w:t>
            </w:r>
          </w:p>
        </w:tc>
        <w:tc>
          <w:tcPr>
            <w:tcW w:w="1760" w:type="dxa"/>
            <w:vAlign w:val="bottom"/>
            <w:vMerge w:val="continue"/>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FIRM NAME</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Integra LifeSciences Corporation</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STREET ADDRESS</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105 Morgan Ln</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CITY STATE, ZIP CODE, COUNTRY</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Plainsboro, NJ 08536-3339</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TYPE ESTABLISHMENT INSPECTED</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Medical Device Manufacturer</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405-1</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Floor, near room 407</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Door handle to room 407</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405-2</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Door handle, room 407</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Floor, near room 407</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405-3</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Supply rack</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Wall, left side</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Handling, Storage, Distribution, and Installation</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OBSERVATION 6</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Procedures for the control of storage areas and stock rooms have not been adequately established.</w:t>
            </w: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Specifically, according to your firm, SOP MM-003, “Material</w:t>
            </w:r>
          </w:p>
        </w:tc>
        <w:tc>
          <w:tcPr>
            <w:tcW w:w="7460" w:type="dxa"/>
            <w:vAlign w:val="bottom"/>
          </w:tcPr>
          <w:p>
            <w:pPr>
              <w:jc w:val="center"/>
              <w:spacing w:after="0"/>
              <w:rPr>
                <w:sz w:val="20"/>
                <w:szCs w:val="20"/>
                <w:color w:val="auto"/>
              </w:rPr>
            </w:pPr>
            <w:r>
              <w:rPr>
                <w:rFonts w:ascii="Arial" w:cs="Arial" w:eastAsia="Arial" w:hAnsi="Arial"/>
                <w:sz w:val="3"/>
                <w:szCs w:val="3"/>
                <w:color w:val="FFFFFF"/>
              </w:rPr>
              <w:t>Preservation, Storage &amp; Transfer” Rev. 23, is followed when a raw material, finished product or in-process material has been moved from</w:t>
            </w:r>
          </w:p>
        </w:tc>
        <w:tc>
          <w:tcPr>
            <w:tcW w:w="0" w:type="dxa"/>
            <w:vAlign w:val="bottom"/>
          </w:tcPr>
          <w:p>
            <w:pPr>
              <w:spacing w:after="0"/>
              <w:rPr>
                <w:sz w:val="1"/>
                <w:szCs w:val="1"/>
                <w:color w:val="auto"/>
              </w:rPr>
            </w:pPr>
          </w:p>
        </w:tc>
      </w:tr>
      <w:tr>
        <w:trPr>
          <w:trHeight w:val="41"/>
        </w:trPr>
        <w:tc>
          <w:tcPr>
            <w:tcW w:w="11400" w:type="dxa"/>
            <w:vAlign w:val="bottom"/>
            <w:gridSpan w:val="3"/>
          </w:tcPr>
          <w:p>
            <w:pPr>
              <w:ind w:left="80"/>
              <w:spacing w:after="0"/>
              <w:rPr>
                <w:sz w:val="20"/>
                <w:szCs w:val="20"/>
                <w:color w:val="auto"/>
              </w:rPr>
            </w:pPr>
            <w:r>
              <w:rPr>
                <w:rFonts w:ascii="Arial" w:cs="Arial" w:eastAsia="Arial" w:hAnsi="Arial"/>
                <w:sz w:val="3"/>
                <w:szCs w:val="3"/>
                <w:color w:val="FFFFFF"/>
              </w:rPr>
              <w:t>ne location in your facility to another. The procedure is not adequateHandling, that it does not identify all of the locations in your facility where products and materials can be located, nor does it provide the translation</w:t>
            </w:r>
          </w:p>
        </w:tc>
        <w:tc>
          <w:tcPr>
            <w:tcW w:w="0" w:type="dxa"/>
            <w:vAlign w:val="bottom"/>
          </w:tcPr>
          <w:p>
            <w:pPr>
              <w:spacing w:after="0"/>
              <w:rPr>
                <w:sz w:val="1"/>
                <w:szCs w:val="1"/>
                <w:color w:val="auto"/>
              </w:rPr>
            </w:pPr>
          </w:p>
        </w:tc>
      </w:tr>
      <w:tr>
        <w:trPr>
          <w:trHeight w:val="41"/>
        </w:trPr>
        <w:tc>
          <w:tcPr>
            <w:tcW w:w="3940" w:type="dxa"/>
            <w:vAlign w:val="bottom"/>
            <w:gridSpan w:val="2"/>
          </w:tcPr>
          <w:p>
            <w:pPr>
              <w:spacing w:after="0"/>
              <w:rPr>
                <w:sz w:val="20"/>
                <w:szCs w:val="20"/>
                <w:color w:val="auto"/>
              </w:rPr>
            </w:pPr>
            <w:r>
              <w:rPr>
                <w:rFonts w:ascii="Arial" w:cs="Arial" w:eastAsia="Arial" w:hAnsi="Arial"/>
                <w:sz w:val="3"/>
                <w:szCs w:val="3"/>
                <w:color w:val="FFFFFF"/>
              </w:rPr>
              <w:t>of several abbreviations used by your firm for location names.</w:t>
            </w: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Medical Device Reporting (MDRs)</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OBSERVATION 7</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 supplemental report was not submitted to FDA within one month following receipt of information that was not provided when the initial report was submitted.</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Specifically -</w:t>
            </w:r>
          </w:p>
        </w:tc>
        <w:tc>
          <w:tcPr>
            <w:tcW w:w="1760" w:type="dxa"/>
            <w:vAlign w:val="bottom"/>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 MDR 1121308-2012-00005 (TenoGlide, product outside of inner seal) was sent to FDA on 2/7/12. This initial MDR states that the device had not been returned for evaluation and that an investigation had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been initiated based on the reported information. The documented investigation, completed on 2/27/12 and approved by Quality Assurance (QA) on 2/29/12, contains information about the physical examination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of the returned product and the review of associated records which was not reported on the initial MDR. A supplemental report was sent to FDA on 4/23/12, 54 days after the investigation was approved by QA.</w:t>
            </w:r>
          </w:p>
        </w:tc>
        <w:tc>
          <w:tcPr>
            <w:tcW w:w="0" w:type="dxa"/>
            <w:vAlign w:val="bottom"/>
          </w:tcPr>
          <w:p>
            <w:pPr>
              <w:spacing w:after="0"/>
              <w:rPr>
                <w:sz w:val="1"/>
                <w:szCs w:val="1"/>
                <w:color w:val="auto"/>
              </w:rPr>
            </w:pPr>
          </w:p>
        </w:tc>
      </w:tr>
      <w:tr>
        <w:trPr>
          <w:trHeight w:val="41"/>
        </w:trPr>
        <w:tc>
          <w:tcPr>
            <w:tcW w:w="11400" w:type="dxa"/>
            <w:vAlign w:val="bottom"/>
            <w:gridSpan w:val="3"/>
          </w:tcPr>
          <w:p>
            <w:pPr>
              <w:ind w:left="80"/>
              <w:spacing w:after="0"/>
              <w:rPr>
                <w:sz w:val="20"/>
                <w:szCs w:val="20"/>
                <w:color w:val="auto"/>
              </w:rPr>
            </w:pPr>
            <w:r>
              <w:rPr>
                <w:rFonts w:ascii="Arial" w:cs="Arial" w:eastAsia="Arial" w:hAnsi="Arial"/>
                <w:sz w:val="3"/>
                <w:szCs w:val="3"/>
                <w:color w:val="FFFFFF"/>
              </w:rPr>
              <w:t>) MDR 1121308-2012-00006 (BioMend, product stiff, hard to mold, poor wound healing, patient infection) was sent to FDA on 2/10/12. This intial MDR states that the device was not available for evaluation</w:t>
            </w:r>
          </w:p>
        </w:tc>
        <w:tc>
          <w:tcPr>
            <w:tcW w:w="0" w:type="dxa"/>
            <w:vAlign w:val="bottom"/>
          </w:tcPr>
          <w:p>
            <w:pPr>
              <w:spacing w:after="0"/>
              <w:rPr>
                <w:sz w:val="1"/>
                <w:szCs w:val="1"/>
                <w:color w:val="auto"/>
              </w:rPr>
            </w:pPr>
          </w:p>
        </w:tc>
      </w:tr>
      <w:tr>
        <w:trPr>
          <w:trHeight w:val="0"/>
        </w:trPr>
        <w:tc>
          <w:tcPr>
            <w:tcW w:w="3940" w:type="dxa"/>
            <w:vAlign w:val="bottom"/>
            <w:gridSpan w:val="2"/>
          </w:tcPr>
          <w:p>
            <w:pPr>
              <w:spacing w:after="0" w:line="80" w:lineRule="exact"/>
              <w:rPr>
                <w:sz w:val="20"/>
                <w:szCs w:val="20"/>
                <w:color w:val="auto"/>
              </w:rPr>
            </w:pPr>
            <w:r>
              <w:rPr>
                <w:rFonts w:ascii="Arial" w:cs="Arial" w:eastAsia="Arial" w:hAnsi="Arial"/>
                <w:sz w:val="9"/>
                <w:szCs w:val="9"/>
                <w:color w:val="FFFFFF"/>
              </w:rPr>
              <w:t>but that an investigation had been initiated based on the reported</w:t>
            </w:r>
          </w:p>
        </w:tc>
        <w:tc>
          <w:tcPr>
            <w:tcW w:w="7460" w:type="dxa"/>
            <w:vAlign w:val="bottom"/>
          </w:tcPr>
          <w:p>
            <w:pPr>
              <w:jc w:val="center"/>
              <w:spacing w:after="0" w:line="80" w:lineRule="exact"/>
              <w:rPr>
                <w:sz w:val="20"/>
                <w:szCs w:val="20"/>
                <w:color w:val="auto"/>
              </w:rPr>
            </w:pPr>
            <w:r>
              <w:rPr>
                <w:rFonts w:ascii="Arial" w:cs="Arial" w:eastAsia="Arial" w:hAnsi="Arial"/>
                <w:sz w:val="9"/>
                <w:szCs w:val="9"/>
                <w:color w:val="FFFFFF"/>
              </w:rPr>
              <w:t>. The documented investiga ion, completed on 3/23/12 and approved by QA on 3/23/12, contains information about the review of</w:t>
            </w:r>
          </w:p>
        </w:tc>
        <w:tc>
          <w:tcPr>
            <w:tcW w:w="0" w:type="dxa"/>
            <w:vAlign w:val="bottom"/>
          </w:tcPr>
          <w:p>
            <w:pPr>
              <w:spacing w:after="0" w:line="20" w:lineRule="exact"/>
              <w:rPr>
                <w:sz w:val="1"/>
                <w:szCs w:val="1"/>
                <w:color w:val="auto"/>
              </w:rPr>
            </w:pPr>
          </w:p>
        </w:tc>
      </w:tr>
    </w:tbl>
    <w:p>
      <w:pPr>
        <w:ind w:right="1120"/>
        <w:spacing w:after="0" w:line="190" w:lineRule="auto"/>
        <w:rPr>
          <w:sz w:val="20"/>
          <w:szCs w:val="20"/>
          <w:color w:val="auto"/>
        </w:rPr>
      </w:pPr>
      <w:r>
        <w:rPr>
          <w:rFonts w:ascii="Arial" w:cs="Arial" w:eastAsia="Arial" w:hAnsi="Arial"/>
          <w:sz w:val="9"/>
          <w:szCs w:val="9"/>
          <w:color w:val="FFFFFF"/>
        </w:rPr>
        <w:t>records related to the BioMend product family which was not reportedinformationthe initial MDR. A supplemental report was sent to FDA on 5/14/12, 52 days after the investigation was completed. SEE REVERSE OF THIS PAGE</w:t>
      </w:r>
    </w:p>
    <w:p>
      <w:pPr>
        <w:spacing w:after="0" w:line="188" w:lineRule="auto"/>
        <w:rPr>
          <w:sz w:val="20"/>
          <w:szCs w:val="20"/>
          <w:color w:val="auto"/>
        </w:rPr>
      </w:pPr>
      <w:r>
        <w:rPr>
          <w:rFonts w:ascii="Arial" w:cs="Arial" w:eastAsia="Arial" w:hAnsi="Arial"/>
          <w:sz w:val="7"/>
          <w:szCs w:val="7"/>
          <w:color w:val="FFFFFF"/>
        </w:rPr>
        <w:t>Lo</w:t>
      </w:r>
      <w:r>
        <w:rPr>
          <w:rFonts w:ascii="Arial" w:cs="Arial" w:eastAsia="Arial" w:hAnsi="Arial"/>
          <w:sz w:val="9"/>
          <w:szCs w:val="9"/>
          <w:color w:val="FFFFFF"/>
          <w:vertAlign w:val="superscript"/>
        </w:rPr>
        <w:t>Barbara</w:t>
      </w:r>
      <w:r>
        <w:rPr>
          <w:rFonts w:ascii="Arial" w:cs="Arial" w:eastAsia="Arial" w:hAnsi="Arial"/>
          <w:sz w:val="7"/>
          <w:szCs w:val="7"/>
          <w:color w:val="FFFFFF"/>
        </w:rPr>
        <w:t>EMPLOYEE(S)ettaNemchik,SIGNATUREInvestigator</w:t>
      </w:r>
    </w:p>
    <w:p>
      <w:pPr>
        <w:spacing w:after="0" w:line="188" w:lineRule="auto"/>
        <w:rPr>
          <w:sz w:val="20"/>
          <w:szCs w:val="20"/>
          <w:color w:val="auto"/>
        </w:rPr>
      </w:pPr>
      <w:r>
        <w:rPr>
          <w:rFonts w:ascii="Arial" w:cs="Arial" w:eastAsia="Arial" w:hAnsi="Arial"/>
          <w:sz w:val="9"/>
          <w:szCs w:val="9"/>
          <w:color w:val="FFFFFF"/>
        </w:rPr>
        <w:t>MeredithJ.L.WilimczykSheridan,-Macri,InvestigatorInvestigator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line="188" w:lineRule="auto"/>
        <w:rPr>
          <w:sz w:val="20"/>
          <w:szCs w:val="20"/>
          <w:color w:val="auto"/>
        </w:rPr>
      </w:pPr>
      <w:r>
        <w:rPr>
          <w:rFonts w:ascii="Arial" w:cs="Arial" w:eastAsia="Arial" w:hAnsi="Arial"/>
          <w:sz w:val="9"/>
          <w:szCs w:val="9"/>
          <w:color w:val="FFFFFF"/>
        </w:rPr>
        <w:t>PREVIOUS EDITION OBSOLETE</w:t>
      </w:r>
    </w:p>
    <w:p>
      <w:pPr>
        <w:spacing w:after="0" w:line="185" w:lineRule="auto"/>
        <w:rPr>
          <w:sz w:val="20"/>
          <w:szCs w:val="20"/>
          <w:color w:val="auto"/>
        </w:rPr>
      </w:pPr>
      <w:r>
        <w:rPr>
          <w:rFonts w:ascii="Arial" w:cs="Arial" w:eastAsia="Arial" w:hAnsi="Arial"/>
          <w:sz w:val="14"/>
          <w:szCs w:val="14"/>
          <w:color w:val="FFFFFF"/>
        </w:rPr>
        <w:t>INSPECTIONALAGE5OF7AGES</w:t>
      </w:r>
      <w:r>
        <w:rPr>
          <w:rFonts w:ascii="Arial" w:cs="Arial" w:eastAsia="Arial" w:hAnsi="Arial"/>
          <w:sz w:val="27"/>
          <w:szCs w:val="27"/>
          <w:color w:val="FFFFFF"/>
          <w:vertAlign w:val="superscript"/>
        </w:rPr>
        <w:t>OBSERVATIONS</w:t>
      </w:r>
    </w:p>
    <w:p>
      <w:pPr>
        <w:sectPr>
          <w:pgSz w:w="11900" w:h="16838" w:orient="portrait"/>
          <w:cols w:equalWidth="0" w:num="1">
            <w:col w:w="11400"/>
          </w:cols>
          <w:pgMar w:left="240" w:top="1440" w:right="2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color w:val="FFFFFF"/>
              </w:rPr>
              <w:t>DEPARTMENT OF HEALTH AND HUMAN SERVICES</w:t>
            </w:r>
          </w:p>
        </w:tc>
        <w:tc>
          <w:tcPr>
            <w:tcW w:w="0" w:type="dxa"/>
            <w:vAlign w:val="bottom"/>
          </w:tcPr>
          <w:p>
            <w:pPr>
              <w:spacing w:after="0"/>
              <w:rPr>
                <w:sz w:val="1"/>
                <w:szCs w:val="1"/>
                <w:color w:val="auto"/>
              </w:rPr>
            </w:pPr>
          </w:p>
        </w:tc>
      </w:tr>
      <w:tr>
        <w:trPr>
          <w:trHeight w:val="41"/>
        </w:trPr>
        <w:tc>
          <w:tcPr>
            <w:tcW w:w="3920" w:type="dxa"/>
            <w:vAlign w:val="bottom"/>
            <w:gridSpan w:val="2"/>
          </w:tcPr>
          <w:p>
            <w:pPr>
              <w:spacing w:after="0"/>
              <w:rPr>
                <w:sz w:val="20"/>
                <w:szCs w:val="20"/>
                <w:color w:val="auto"/>
              </w:rPr>
            </w:pPr>
            <w:r>
              <w:rPr>
                <w:rFonts w:ascii="Arial" w:cs="Arial" w:eastAsia="Arial" w:hAnsi="Arial"/>
                <w:sz w:val="3"/>
                <w:szCs w:val="3"/>
                <w:color w:val="FFFFFF"/>
              </w:rPr>
              <w:t>FOOD AND DRUG ADMINISTRATION</w:t>
            </w:r>
          </w:p>
        </w:tc>
        <w:tc>
          <w:tcPr>
            <w:tcW w:w="0" w:type="dxa"/>
            <w:vAlign w:val="bottom"/>
          </w:tcPr>
          <w:p>
            <w:pPr>
              <w:spacing w:after="0"/>
              <w:rPr>
                <w:sz w:val="1"/>
                <w:szCs w:val="1"/>
                <w:color w:val="auto"/>
              </w:rPr>
            </w:pPr>
          </w:p>
        </w:tc>
      </w:tr>
      <w:tr>
        <w:trPr>
          <w:trHeight w:val="41"/>
        </w:trPr>
        <w:tc>
          <w:tcPr>
            <w:tcW w:w="3920" w:type="dxa"/>
            <w:vAlign w:val="bottom"/>
            <w:gridSpan w:val="2"/>
          </w:tcPr>
          <w:p>
            <w:pPr>
              <w:spacing w:after="0"/>
              <w:rPr>
                <w:sz w:val="20"/>
                <w:szCs w:val="20"/>
                <w:color w:val="auto"/>
              </w:rPr>
            </w:pPr>
            <w:r>
              <w:rPr>
                <w:rFonts w:ascii="Arial" w:cs="Arial" w:eastAsia="Arial" w:hAnsi="Arial"/>
                <w:sz w:val="3"/>
                <w:szCs w:val="3"/>
                <w:color w:val="FFFFFF"/>
              </w:rPr>
              <w:t>DISTRICT ADDRESS AND PHONE NUMBER</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10 Waterview Blvd., 3rd Floor</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Parsippany, NJ 07054</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(973) 331-4900 Fax: (973) 331-4969</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2"/>
          </w:tcPr>
          <w:p>
            <w:pPr>
              <w:spacing w:after="0"/>
              <w:rPr>
                <w:sz w:val="20"/>
                <w:szCs w:val="20"/>
                <w:color w:val="auto"/>
              </w:rPr>
            </w:pPr>
            <w:r>
              <w:rPr>
                <w:rFonts w:ascii="Arial" w:cs="Arial" w:eastAsia="Arial" w:hAnsi="Arial"/>
                <w:sz w:val="3"/>
                <w:szCs w:val="3"/>
                <w:color w:val="FFFFFF"/>
              </w:rPr>
              <w:t>Industry Information: www.fda.gov/oc/industry</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DATE(S) OF INSPECTION</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06/12/2012 - 07/30/2012*</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FEI NUMBER</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1121308</w:t>
            </w:r>
          </w:p>
        </w:tc>
        <w:tc>
          <w:tcPr>
            <w:tcW w:w="1800" w:type="dxa"/>
            <w:vAlign w:val="bottom"/>
            <w:vMerge w:val="restart"/>
          </w:tcPr>
          <w:p>
            <w:pPr>
              <w:ind w:left="100"/>
              <w:spacing w:after="0"/>
              <w:rPr>
                <w:sz w:val="20"/>
                <w:szCs w:val="20"/>
                <w:color w:val="auto"/>
              </w:rPr>
            </w:pPr>
            <w:r>
              <w:rPr>
                <w:rFonts w:ascii="Arial" w:cs="Arial" w:eastAsia="Arial" w:hAnsi="Arial"/>
                <w:sz w:val="3"/>
                <w:szCs w:val="3"/>
                <w:color w:val="FFFFFF"/>
              </w:rPr>
              <w:t>TO WHOM REPORT ISSUED</w:t>
            </w:r>
          </w:p>
        </w:tc>
        <w:tc>
          <w:tcPr>
            <w:tcW w:w="0" w:type="dxa"/>
            <w:vAlign w:val="bottom"/>
          </w:tcPr>
          <w:p>
            <w:pPr>
              <w:spacing w:after="0"/>
              <w:rPr>
                <w:sz w:val="1"/>
                <w:szCs w:val="1"/>
                <w:color w:val="auto"/>
              </w:rPr>
            </w:pPr>
          </w:p>
        </w:tc>
      </w:tr>
      <w:tr>
        <w:trPr>
          <w:trHeight w:val="0"/>
        </w:trPr>
        <w:tc>
          <w:tcPr>
            <w:tcW w:w="2120" w:type="dxa"/>
            <w:vAlign w:val="bottom"/>
          </w:tcPr>
          <w:p>
            <w:pPr>
              <w:spacing w:after="0" w:line="80" w:lineRule="exact"/>
              <w:rPr>
                <w:sz w:val="20"/>
                <w:szCs w:val="20"/>
                <w:color w:val="auto"/>
              </w:rPr>
            </w:pPr>
            <w:r>
              <w:rPr>
                <w:rFonts w:ascii="Arial" w:cs="Arial" w:eastAsia="Arial" w:hAnsi="Arial"/>
                <w:sz w:val="9"/>
                <w:szCs w:val="9"/>
                <w:color w:val="FFFFFF"/>
              </w:rPr>
              <w:t>NAME AND TITLE OF</w:t>
            </w: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TO: Barbara T. McAleer, INDIVIDUALice-President/General Manager Plant 105</w:t>
      </w:r>
    </w:p>
    <w:p>
      <w:pPr>
        <w:spacing w:after="0" w:line="181" w:lineRule="auto"/>
        <w:rPr>
          <w:sz w:val="20"/>
          <w:szCs w:val="20"/>
          <w:color w:val="auto"/>
        </w:rPr>
      </w:pPr>
      <w:r>
        <w:rPr>
          <w:rFonts w:ascii="Arial" w:cs="Arial" w:eastAsia="Arial" w:hAnsi="Arial"/>
          <w:sz w:val="14"/>
          <w:szCs w:val="14"/>
          <w:color w:val="FFFFFF"/>
        </w:rPr>
        <w:t>FIRM NAME</w:t>
      </w:r>
    </w:p>
    <w:p>
      <w:pPr>
        <w:spacing w:after="0"/>
        <w:rPr>
          <w:sz w:val="20"/>
          <w:szCs w:val="20"/>
          <w:color w:val="auto"/>
        </w:rPr>
      </w:pPr>
      <w:r>
        <w:rPr>
          <w:rFonts w:ascii="Arial" w:cs="Arial" w:eastAsia="Arial" w:hAnsi="Arial"/>
          <w:sz w:val="3"/>
          <w:szCs w:val="3"/>
          <w:color w:val="FFFFFF"/>
        </w:rPr>
        <w:t>105STREETMorganADDRESSLn</w:t>
      </w:r>
    </w:p>
    <w:p>
      <w:pPr>
        <w:jc w:val="center"/>
        <w:ind w:right="9140"/>
        <w:spacing w:after="0" w:line="194" w:lineRule="auto"/>
        <w:rPr>
          <w:sz w:val="20"/>
          <w:szCs w:val="20"/>
          <w:color w:val="auto"/>
        </w:rPr>
      </w:pPr>
      <w:r>
        <w:rPr>
          <w:rFonts w:ascii="Arial" w:cs="Arial" w:eastAsia="Arial" w:hAnsi="Arial"/>
          <w:sz w:val="5"/>
          <w:szCs w:val="5"/>
          <w:color w:val="FFFFFF"/>
          <w:vertAlign w:val="subscript"/>
        </w:rPr>
        <w:t>Plainsboro,</w:t>
      </w:r>
      <w:r>
        <w:rPr>
          <w:rFonts w:ascii="Arial" w:cs="Arial" w:eastAsia="Arial" w:hAnsi="Arial"/>
          <w:sz w:val="3"/>
          <w:szCs w:val="3"/>
          <w:color w:val="FFFFFF"/>
        </w:rPr>
        <w:t>CITYSTATE, ZIP CODE, COUNTRY</w:t>
      </w:r>
    </w:p>
    <w:p>
      <w:pPr>
        <w:jc w:val="center"/>
        <w:ind w:right="9160"/>
        <w:spacing w:after="0" w:line="188" w:lineRule="auto"/>
        <w:rPr>
          <w:sz w:val="20"/>
          <w:szCs w:val="20"/>
          <w:color w:val="auto"/>
        </w:rPr>
      </w:pPr>
      <w:r>
        <w:rPr>
          <w:rFonts w:ascii="Arial" w:cs="Arial" w:eastAsia="Arial" w:hAnsi="Arial"/>
          <w:sz w:val="9"/>
          <w:szCs w:val="9"/>
          <w:color w:val="FFFFFF"/>
        </w:rPr>
        <w:t>NJ 08536-3339</w:t>
      </w:r>
    </w:p>
    <w:p>
      <w:pPr>
        <w:spacing w:after="0"/>
        <w:rPr>
          <w:sz w:val="20"/>
          <w:szCs w:val="20"/>
          <w:color w:val="auto"/>
        </w:rPr>
      </w:pPr>
      <w:r>
        <w:rPr>
          <w:rFonts w:ascii="Arial" w:cs="Arial" w:eastAsia="Arial" w:hAnsi="Arial"/>
          <w:sz w:val="3"/>
          <w:szCs w:val="3"/>
          <w:color w:val="FFFFFF"/>
        </w:rPr>
        <w:t>MedicalTYPEESTABLISHMENTDeviceManufacturerINSPECTED</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c) MDR 1121308-2012-00009 (TenoGlide, product broken and discolored when opened in the Operating Room) was sent to FDA on 3/8/12. This initial MDR states that the device had not been returned for evaluation and that an investigation had been initiated based on the reported information. The documented investigation, completed on 4/17/12 and approved by Quality Assurance (QA) on 4/17/12, contains information about the physical examination of the returned product and the review of associated records which was not reported on the initial MDR. A supplemental report was sent to FDA on 5/22/12, 35 days after the investigation was approved by QA.</w:t>
      </w:r>
    </w:p>
    <w:p>
      <w:pPr>
        <w:spacing w:after="0" w:line="190" w:lineRule="auto"/>
        <w:rPr>
          <w:sz w:val="20"/>
          <w:szCs w:val="20"/>
          <w:color w:val="auto"/>
        </w:rPr>
      </w:pPr>
      <w:r>
        <w:rPr>
          <w:rFonts w:ascii="Arial" w:cs="Arial" w:eastAsia="Arial" w:hAnsi="Arial"/>
          <w:sz w:val="9"/>
          <w:szCs w:val="9"/>
          <w:color w:val="FFFFFF"/>
        </w:rPr>
        <w:t>SEE REVERSE OF THIS PAGE</w:t>
      </w:r>
    </w:p>
    <w:p>
      <w:pPr>
        <w:spacing w:after="0" w:line="188" w:lineRule="auto"/>
        <w:rPr>
          <w:sz w:val="20"/>
          <w:szCs w:val="20"/>
          <w:color w:val="auto"/>
        </w:rPr>
      </w:pPr>
      <w:r>
        <w:rPr>
          <w:rFonts w:ascii="Arial" w:cs="Arial" w:eastAsia="Arial" w:hAnsi="Arial"/>
          <w:sz w:val="7"/>
          <w:szCs w:val="7"/>
          <w:color w:val="FFFFFF"/>
        </w:rPr>
        <w:t>Lo</w:t>
      </w:r>
      <w:r>
        <w:rPr>
          <w:rFonts w:ascii="Arial" w:cs="Arial" w:eastAsia="Arial" w:hAnsi="Arial"/>
          <w:sz w:val="9"/>
          <w:szCs w:val="9"/>
          <w:color w:val="FFFFFF"/>
          <w:vertAlign w:val="superscript"/>
        </w:rPr>
        <w:t>Barbara</w:t>
      </w:r>
      <w:r>
        <w:rPr>
          <w:rFonts w:ascii="Arial" w:cs="Arial" w:eastAsia="Arial" w:hAnsi="Arial"/>
          <w:sz w:val="7"/>
          <w:szCs w:val="7"/>
          <w:color w:val="FFFFFF"/>
        </w:rPr>
        <w:t>EMPLOYEE(S)ettaNemchik,SIGNATUREInvestigator</w:t>
      </w:r>
    </w:p>
    <w:p>
      <w:pPr>
        <w:spacing w:after="0" w:line="188" w:lineRule="auto"/>
        <w:rPr>
          <w:sz w:val="20"/>
          <w:szCs w:val="20"/>
          <w:color w:val="auto"/>
        </w:rPr>
      </w:pPr>
      <w:r>
        <w:rPr>
          <w:rFonts w:ascii="Arial" w:cs="Arial" w:eastAsia="Arial" w:hAnsi="Arial"/>
          <w:sz w:val="9"/>
          <w:szCs w:val="9"/>
          <w:color w:val="FFFFFF"/>
        </w:rPr>
        <w:t>MeredithJ.L.WilimczykSheridan,-Macri,InvestigatorInvestigator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line="188" w:lineRule="auto"/>
        <w:rPr>
          <w:sz w:val="20"/>
          <w:szCs w:val="20"/>
          <w:color w:val="auto"/>
        </w:rPr>
      </w:pPr>
      <w:r>
        <w:rPr>
          <w:rFonts w:ascii="Arial" w:cs="Arial" w:eastAsia="Arial" w:hAnsi="Arial"/>
          <w:sz w:val="9"/>
          <w:szCs w:val="9"/>
          <w:color w:val="FFFFFF"/>
        </w:rPr>
        <w:t>PREVIOUS EDITION OBSOLETE</w:t>
      </w:r>
    </w:p>
    <w:p>
      <w:pPr>
        <w:spacing w:after="0" w:line="185" w:lineRule="auto"/>
        <w:rPr>
          <w:sz w:val="20"/>
          <w:szCs w:val="20"/>
          <w:color w:val="auto"/>
        </w:rPr>
      </w:pPr>
      <w:r>
        <w:rPr>
          <w:rFonts w:ascii="Arial" w:cs="Arial" w:eastAsia="Arial" w:hAnsi="Arial"/>
          <w:sz w:val="18"/>
          <w:szCs w:val="18"/>
          <w:color w:val="FFFFFF"/>
          <w:vertAlign w:val="subscript"/>
        </w:rPr>
        <w:t>INSPECTIONAL</w:t>
      </w:r>
      <w:r>
        <w:rPr>
          <w:rFonts w:ascii="Arial" w:cs="Arial" w:eastAsia="Arial" w:hAnsi="Arial"/>
          <w:sz w:val="10"/>
          <w:szCs w:val="10"/>
          <w:color w:val="FFFFFF"/>
        </w:rPr>
        <w:t>AGE6OF7AGESOBSERVATIONS</w:t>
      </w:r>
    </w:p>
    <w:p>
      <w:pPr>
        <w:sectPr>
          <w:pgSz w:w="11900" w:h="16838" w:orient="portrait"/>
          <w:cols w:equalWidth="0" w:num="1">
            <w:col w:w="11300"/>
          </w:cols>
          <w:pgMar w:left="240" w:top="1440" w:right="35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20" w:type="dxa"/>
            <w:vAlign w:val="bottom"/>
            <w:gridSpan w:val="3"/>
          </w:tcPr>
          <w:p>
            <w:pPr>
              <w:spacing w:after="0"/>
              <w:rPr>
                <w:sz w:val="20"/>
                <w:szCs w:val="20"/>
                <w:color w:val="auto"/>
              </w:rPr>
            </w:pPr>
            <w:r>
              <w:rPr>
                <w:rFonts w:ascii="Arial" w:cs="Arial" w:eastAsia="Arial" w:hAnsi="Arial"/>
                <w:sz w:val="14"/>
                <w:szCs w:val="14"/>
                <w:color w:val="FFFFFF"/>
              </w:rPr>
              <w:t>DEPARTMENT OF HEALTH AND HUMAN SERVICES</w:t>
            </w:r>
          </w:p>
        </w:tc>
        <w:tc>
          <w:tcPr>
            <w:tcW w:w="0" w:type="dxa"/>
            <w:vAlign w:val="bottom"/>
          </w:tcPr>
          <w:p>
            <w:pPr>
              <w:spacing w:after="0"/>
              <w:rPr>
                <w:sz w:val="1"/>
                <w:szCs w:val="1"/>
                <w:color w:val="auto"/>
              </w:rPr>
            </w:pPr>
          </w:p>
        </w:tc>
      </w:tr>
      <w:tr>
        <w:trPr>
          <w:trHeight w:val="41"/>
        </w:trPr>
        <w:tc>
          <w:tcPr>
            <w:tcW w:w="10920" w:type="dxa"/>
            <w:vAlign w:val="bottom"/>
            <w:gridSpan w:val="3"/>
          </w:tcPr>
          <w:p>
            <w:pPr>
              <w:spacing w:after="0"/>
              <w:rPr>
                <w:sz w:val="20"/>
                <w:szCs w:val="20"/>
                <w:color w:val="auto"/>
              </w:rPr>
            </w:pPr>
            <w:r>
              <w:rPr>
                <w:rFonts w:ascii="Arial" w:cs="Arial" w:eastAsia="Arial" w:hAnsi="Arial"/>
                <w:sz w:val="3"/>
                <w:szCs w:val="3"/>
                <w:color w:val="FFFFFF"/>
              </w:rPr>
              <w:t>FOOD AND DRUG ADMINISTRATION</w:t>
            </w:r>
          </w:p>
        </w:tc>
        <w:tc>
          <w:tcPr>
            <w:tcW w:w="0" w:type="dxa"/>
            <w:vAlign w:val="bottom"/>
          </w:tcPr>
          <w:p>
            <w:pPr>
              <w:spacing w:after="0"/>
              <w:rPr>
                <w:sz w:val="1"/>
                <w:szCs w:val="1"/>
                <w:color w:val="auto"/>
              </w:rPr>
            </w:pPr>
          </w:p>
        </w:tc>
      </w:tr>
      <w:tr>
        <w:trPr>
          <w:trHeight w:val="41"/>
        </w:trPr>
        <w:tc>
          <w:tcPr>
            <w:tcW w:w="10920" w:type="dxa"/>
            <w:vAlign w:val="bottom"/>
            <w:gridSpan w:val="3"/>
          </w:tcPr>
          <w:p>
            <w:pPr>
              <w:spacing w:after="0"/>
              <w:rPr>
                <w:sz w:val="20"/>
                <w:szCs w:val="20"/>
                <w:color w:val="auto"/>
              </w:rPr>
            </w:pPr>
            <w:r>
              <w:rPr>
                <w:rFonts w:ascii="Arial" w:cs="Arial" w:eastAsia="Arial" w:hAnsi="Arial"/>
                <w:sz w:val="3"/>
                <w:szCs w:val="3"/>
                <w:color w:val="FFFFFF"/>
              </w:rPr>
              <w:t>DISTRICT ADDRESS AND PHONE NUMBER</w:t>
            </w: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10 Waterview Blvd., 3rd Floor</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Parsippany, NJ 07054</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(973) 331-4900 Fax: (973) 331-4969</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3"/>
          </w:tcPr>
          <w:p>
            <w:pPr>
              <w:spacing w:after="0"/>
              <w:rPr>
                <w:sz w:val="20"/>
                <w:szCs w:val="20"/>
                <w:color w:val="auto"/>
              </w:rPr>
            </w:pPr>
            <w:r>
              <w:rPr>
                <w:rFonts w:ascii="Arial" w:cs="Arial" w:eastAsia="Arial" w:hAnsi="Arial"/>
                <w:sz w:val="3"/>
                <w:szCs w:val="3"/>
                <w:color w:val="FFFFFF"/>
              </w:rPr>
              <w:t>Industry Information: www.fda.gov/oc/industry</w:t>
            </w: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DATE(S) OF INSPECTION</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06/12/2012 - 07/30/2012*</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FEI NUMBER</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1121308</w:t>
            </w:r>
          </w:p>
        </w:tc>
        <w:tc>
          <w:tcPr>
            <w:tcW w:w="1540" w:type="dxa"/>
            <w:vAlign w:val="bottom"/>
          </w:tcPr>
          <w:p>
            <w:pPr>
              <w:spacing w:after="0"/>
              <w:rPr>
                <w:sz w:val="3"/>
                <w:szCs w:val="3"/>
                <w:color w:val="auto"/>
              </w:rPr>
            </w:pPr>
          </w:p>
        </w:tc>
        <w:tc>
          <w:tcPr>
            <w:tcW w:w="874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TO WHOM REPORT ISSUED</w:t>
            </w: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NAME AND TITLE OF</w:t>
            </w:r>
          </w:p>
        </w:tc>
        <w:tc>
          <w:tcPr>
            <w:tcW w:w="8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3"/>
          </w:tcPr>
          <w:p>
            <w:pPr>
              <w:spacing w:after="0"/>
              <w:rPr>
                <w:sz w:val="20"/>
                <w:szCs w:val="20"/>
                <w:color w:val="auto"/>
              </w:rPr>
            </w:pPr>
            <w:r>
              <w:rPr>
                <w:rFonts w:ascii="Arial" w:cs="Arial" w:eastAsia="Arial" w:hAnsi="Arial"/>
                <w:sz w:val="3"/>
                <w:szCs w:val="3"/>
                <w:color w:val="FFFFFF"/>
              </w:rPr>
              <w:t>TO: Barbara T. McAleer, INDIVIDUALice-President/General Manager Plant 105</w:t>
            </w: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FIRM NAME</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Integra LifeSciences Corporation</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STREET ADDRESS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105 Morgan Ln</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CITY STATE, ZIP CODE, COUNTRY</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Plainsboro,</w:t>
            </w:r>
          </w:p>
        </w:tc>
        <w:tc>
          <w:tcPr>
            <w:tcW w:w="1540" w:type="dxa"/>
            <w:vAlign w:val="bottom"/>
          </w:tcPr>
          <w:p>
            <w:pPr>
              <w:ind w:left="20"/>
              <w:spacing w:after="0"/>
              <w:rPr>
                <w:sz w:val="20"/>
                <w:szCs w:val="20"/>
                <w:color w:val="auto"/>
              </w:rPr>
            </w:pPr>
            <w:r>
              <w:rPr>
                <w:rFonts w:ascii="Arial" w:cs="Arial" w:eastAsia="Arial" w:hAnsi="Arial"/>
                <w:sz w:val="3"/>
                <w:szCs w:val="3"/>
                <w:color w:val="FFFFFF"/>
              </w:rPr>
              <w:t>NJ 08536-3339</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3"/>
          </w:tcPr>
          <w:p>
            <w:pPr>
              <w:spacing w:after="0"/>
              <w:rPr>
                <w:sz w:val="20"/>
                <w:szCs w:val="20"/>
                <w:color w:val="auto"/>
              </w:rPr>
            </w:pPr>
            <w:r>
              <w:rPr>
                <w:rFonts w:ascii="Arial" w:cs="Arial" w:eastAsia="Arial" w:hAnsi="Arial"/>
                <w:sz w:val="3"/>
                <w:szCs w:val="3"/>
                <w:color w:val="FFFFFF"/>
              </w:rPr>
              <w:t>TYPE ESTABLISHMENT INSPECTED</w:t>
            </w: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Medical Device Manufacturer</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1540" w:type="dxa"/>
            <w:vAlign w:val="bottom"/>
          </w:tcPr>
          <w:p>
            <w:pPr>
              <w:ind w:left="60"/>
              <w:spacing w:after="0"/>
              <w:rPr>
                <w:sz w:val="20"/>
                <w:szCs w:val="20"/>
                <w:color w:val="auto"/>
              </w:rPr>
            </w:pPr>
            <w:r>
              <w:rPr>
                <w:rFonts w:ascii="Arial" w:cs="Arial" w:eastAsia="Arial" w:hAnsi="Arial"/>
                <w:sz w:val="3"/>
                <w:szCs w:val="3"/>
                <w:color w:val="FFFFFF"/>
              </w:rPr>
              <w:t>Annotations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1:</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2:</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3:</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4:</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5:</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6:</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Observation 7:</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Promised to correct.</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 DATES OF INSPECTION:</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40" w:type="dxa"/>
            <w:vAlign w:val="bottom"/>
          </w:tcPr>
          <w:p>
            <w:pPr>
              <w:ind w:left="180"/>
              <w:spacing w:after="0" w:line="80" w:lineRule="exact"/>
              <w:rPr>
                <w:sz w:val="20"/>
                <w:szCs w:val="20"/>
                <w:color w:val="auto"/>
              </w:rPr>
            </w:pPr>
            <w:r>
              <w:rPr>
                <w:rFonts w:ascii="Arial" w:cs="Arial" w:eastAsia="Arial" w:hAnsi="Arial"/>
                <w:sz w:val="9"/>
                <w:szCs w:val="9"/>
                <w:color w:val="FFFFFF"/>
              </w:rPr>
              <w:t>12</w:t>
            </w:r>
          </w:p>
        </w:tc>
        <w:tc>
          <w:tcPr>
            <w:tcW w:w="10280" w:type="dxa"/>
            <w:vAlign w:val="bottom"/>
            <w:gridSpan w:val="2"/>
          </w:tcPr>
          <w:p>
            <w:pPr>
              <w:ind w:left="20"/>
              <w:spacing w:after="0" w:line="80" w:lineRule="exact"/>
              <w:rPr>
                <w:sz w:val="20"/>
                <w:szCs w:val="20"/>
                <w:color w:val="auto"/>
              </w:rPr>
            </w:pPr>
            <w:r>
              <w:rPr>
                <w:rFonts w:ascii="Arial" w:cs="Arial" w:eastAsia="Arial" w:hAnsi="Arial"/>
                <w:sz w:val="9"/>
                <w:szCs w:val="9"/>
                <w:color w:val="FFFFFF"/>
              </w:rPr>
              <w:t>Tue), 06/13/2012(Wed), 06/18/2012(Mon), 06/19/2012(Tue), 06/21/2012(Thu), 06/22/2012(Fri), 06/25/2012(Mon), 06/27/20I2(Wed), 07/02/2012(Mon), 07/03/2012(Tue), 07/05/2012(Thu),</w:t>
            </w:r>
          </w:p>
        </w:tc>
        <w:tc>
          <w:tcPr>
            <w:tcW w:w="0" w:type="dxa"/>
            <w:vAlign w:val="bottom"/>
          </w:tcPr>
          <w:p>
            <w:pPr>
              <w:spacing w:after="0" w:line="20" w:lineRule="exact"/>
              <w:rPr>
                <w:sz w:val="1"/>
                <w:szCs w:val="1"/>
                <w:color w:val="auto"/>
              </w:rPr>
            </w:pPr>
          </w:p>
        </w:tc>
      </w:tr>
    </w:tbl>
    <w:p>
      <w:pPr>
        <w:ind w:right="2040"/>
        <w:spacing w:after="0" w:line="190" w:lineRule="auto"/>
        <w:rPr>
          <w:sz w:val="20"/>
          <w:szCs w:val="20"/>
          <w:color w:val="auto"/>
        </w:rPr>
      </w:pPr>
      <w:r>
        <w:rPr>
          <w:rFonts w:ascii="Arial" w:cs="Arial" w:eastAsia="Arial" w:hAnsi="Arial"/>
          <w:sz w:val="9"/>
          <w:szCs w:val="9"/>
          <w:color w:val="FFFFFF"/>
        </w:rPr>
        <w:t>07/06/2012(Fri), 07/10/2012(Tue), 07/1l/2012(Wed), 07/16/2012(Mon), 07/17/2012(Tue), 07/18/2012(Wed), 07/19/20I2(Thu), 07/23/2012(Mon), 07/30/2012(Mon) SEE REVERSE OF THIS PAGE</w:t>
      </w:r>
    </w:p>
    <w:p>
      <w:pPr>
        <w:spacing w:after="0" w:line="188" w:lineRule="auto"/>
        <w:rPr>
          <w:sz w:val="20"/>
          <w:szCs w:val="20"/>
          <w:color w:val="auto"/>
        </w:rPr>
      </w:pPr>
      <w:r>
        <w:rPr>
          <w:rFonts w:ascii="Arial" w:cs="Arial" w:eastAsia="Arial" w:hAnsi="Arial"/>
          <w:sz w:val="7"/>
          <w:szCs w:val="7"/>
          <w:color w:val="FFFFFF"/>
        </w:rPr>
        <w:t>Lo</w:t>
      </w:r>
      <w:r>
        <w:rPr>
          <w:rFonts w:ascii="Arial" w:cs="Arial" w:eastAsia="Arial" w:hAnsi="Arial"/>
          <w:sz w:val="9"/>
          <w:szCs w:val="9"/>
          <w:color w:val="FFFFFF"/>
          <w:vertAlign w:val="superscript"/>
        </w:rPr>
        <w:t>Barbara</w:t>
      </w:r>
      <w:r>
        <w:rPr>
          <w:rFonts w:ascii="Arial" w:cs="Arial" w:eastAsia="Arial" w:hAnsi="Arial"/>
          <w:sz w:val="7"/>
          <w:szCs w:val="7"/>
          <w:color w:val="FFFFFF"/>
        </w:rPr>
        <w:t>EMPLOYEE(S)ettaNemchik,SIGNATUREInvestigator</w:t>
      </w:r>
    </w:p>
    <w:p>
      <w:pPr>
        <w:spacing w:after="0" w:line="188" w:lineRule="auto"/>
        <w:rPr>
          <w:sz w:val="20"/>
          <w:szCs w:val="20"/>
          <w:color w:val="auto"/>
        </w:rPr>
      </w:pPr>
      <w:r>
        <w:rPr>
          <w:rFonts w:ascii="Arial" w:cs="Arial" w:eastAsia="Arial" w:hAnsi="Arial"/>
          <w:sz w:val="9"/>
          <w:szCs w:val="9"/>
          <w:color w:val="FFFFFF"/>
        </w:rPr>
        <w:t>MeredithJ.L.WilimczykSheridan,-Macri, Investigator</w:t>
      </w:r>
    </w:p>
    <w:p>
      <w:pPr>
        <w:spacing w:after="0"/>
        <w:rPr>
          <w:sz w:val="20"/>
          <w:szCs w:val="20"/>
          <w:color w:val="auto"/>
        </w:rPr>
      </w:pPr>
      <w:r>
        <w:rPr>
          <w:rFonts w:ascii="Arial" w:cs="Arial" w:eastAsia="Arial" w:hAnsi="Arial"/>
          <w:sz w:val="3"/>
          <w:szCs w:val="3"/>
          <w:color w:val="FFFFFF"/>
        </w:rPr>
        <w:t>07/30/2012DATEISSUED</w:t>
      </w:r>
    </w:p>
    <w:p>
      <w:pPr>
        <w:spacing w:after="0" w:line="194" w:lineRule="auto"/>
        <w:rPr>
          <w:sz w:val="20"/>
          <w:szCs w:val="20"/>
          <w:color w:val="auto"/>
        </w:rPr>
      </w:pPr>
      <w:r>
        <w:rPr>
          <w:rFonts w:ascii="Arial" w:cs="Arial" w:eastAsia="Arial" w:hAnsi="Arial"/>
          <w:sz w:val="5"/>
          <w:szCs w:val="5"/>
          <w:color w:val="FFFFFF"/>
        </w:rPr>
        <w:t>FORM FDA 483 (09/08)</w:t>
      </w:r>
    </w:p>
    <w:p>
      <w:pPr>
        <w:spacing w:after="0" w:line="188" w:lineRule="auto"/>
        <w:rPr>
          <w:sz w:val="20"/>
          <w:szCs w:val="20"/>
          <w:color w:val="auto"/>
        </w:rPr>
      </w:pPr>
      <w:r>
        <w:rPr>
          <w:rFonts w:ascii="Arial" w:cs="Arial" w:eastAsia="Arial" w:hAnsi="Arial"/>
          <w:sz w:val="9"/>
          <w:szCs w:val="9"/>
          <w:color w:val="FFFFFF"/>
        </w:rPr>
        <w:t>PREVIOUS EDITION OBSOLETE</w:t>
      </w:r>
    </w:p>
    <w:p>
      <w:pPr>
        <w:spacing w:after="0" w:line="185" w:lineRule="auto"/>
        <w:rPr>
          <w:sz w:val="20"/>
          <w:szCs w:val="20"/>
          <w:color w:val="auto"/>
        </w:rPr>
      </w:pPr>
      <w:r>
        <w:rPr>
          <w:rFonts w:ascii="Arial" w:cs="Arial" w:eastAsia="Arial" w:hAnsi="Arial"/>
          <w:sz w:val="14"/>
          <w:szCs w:val="14"/>
          <w:color w:val="FFFFFF"/>
        </w:rPr>
        <w:t>INSPECTIONALAGE7OF7AGES</w:t>
      </w:r>
      <w:r>
        <w:rPr>
          <w:rFonts w:ascii="Arial" w:cs="Arial" w:eastAsia="Arial" w:hAnsi="Arial"/>
          <w:sz w:val="27"/>
          <w:szCs w:val="27"/>
          <w:color w:val="FFFFFF"/>
          <w:vertAlign w:val="superscript"/>
        </w:rPr>
        <w:t>OBSERVATIONS</w:t>
      </w:r>
    </w:p>
    <w:sectPr>
      <w:pgSz w:w="11900" w:h="16838" w:orient="portrait"/>
      <w:cols w:equalWidth="0" w:num="1">
        <w:col w:w="10920"/>
      </w:cols>
      <w:pgMar w:left="2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Roman"/>
      <w:start w:val="3"/>
    </w:lvl>
  </w:abstractNum>
  <w:abstractNum w:abstractNumId="11">
    <w:nsid w:val="519B500D"/>
    <w:multiLevelType w:val="hybridMultilevel"/>
    <w:lvl w:ilvl="0">
      <w:lvlJc w:val="left"/>
      <w:lvlText w:val="(%1)"/>
      <w:numFmt w:val="lowerRoman"/>
      <w:start w:val="3"/>
    </w:lvl>
  </w:abstractNum>
  <w:abstractNum w:abstractNumId="12">
    <w:nsid w:val="431BD7B7"/>
    <w:multiLevelType w:val="hybridMultilevel"/>
    <w:lvl w:ilvl="0">
      <w:lvlJc w:val="left"/>
      <w:lvlText w:val="\emdash "/>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2019-12-09T11:12:34Z</dcterms:created>
  <dcterms:modified xsi:type="dcterms:W3CDTF">2019-12-09T11:12:34Z</dcterms:modified>
</cp:coreProperties>
</file>